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after="156" w:afterLines="50" w:line="360" w:lineRule="auto"/>
        <w:rPr>
          <w:rFonts w:ascii="黑体" w:hAnsi="黑体" w:eastAsia="黑体" w:cs="黑体"/>
          <w:color w:val="000000"/>
          <w:sz w:val="48"/>
          <w:szCs w:val="60"/>
          <w:lang w:val="en-US"/>
        </w:rPr>
      </w:pPr>
      <w:bookmarkStart w:id="0" w:name="_Toc13608"/>
      <w:r>
        <w:rPr>
          <w:rFonts w:hint="eastAsia" w:ascii="黑体" w:hAnsi="黑体" w:eastAsia="黑体" w:cs="黑体"/>
          <w:color w:val="000000"/>
          <w:sz w:val="48"/>
          <w:szCs w:val="60"/>
        </w:rPr>
        <w:t>闽侯县</w:t>
      </w:r>
      <w:r>
        <w:rPr>
          <w:rFonts w:hint="eastAsia" w:ascii="黑体" w:hAnsi="黑体" w:eastAsia="黑体" w:cs="黑体"/>
          <w:color w:val="000000"/>
          <w:sz w:val="48"/>
          <w:szCs w:val="60"/>
          <w:lang w:val="en-US"/>
        </w:rPr>
        <w:t>橄榄行业协会团体标准</w:t>
      </w:r>
    </w:p>
    <w:p>
      <w:pPr>
        <w:pStyle w:val="12"/>
        <w:spacing w:before="0" w:after="156" w:afterLines="50" w:line="360" w:lineRule="auto"/>
        <w:rPr>
          <w:rFonts w:ascii="黑体" w:hAnsi="黑体" w:eastAsia="黑体" w:cs="黑体"/>
          <w:color w:val="000000"/>
          <w:sz w:val="48"/>
          <w:szCs w:val="60"/>
        </w:rPr>
      </w:pPr>
      <w:r>
        <w:rPr>
          <w:rFonts w:hint="eastAsia" w:ascii="黑体" w:hAnsi="黑体" w:eastAsia="黑体" w:cs="黑体"/>
          <w:color w:val="000000"/>
          <w:sz w:val="48"/>
          <w:szCs w:val="60"/>
        </w:rPr>
        <w:t>《地理标志证明商标产品  闽侯橄榄》编制说明</w:t>
      </w:r>
    </w:p>
    <w:bookmarkEnd w:id="0"/>
    <w:p>
      <w:pPr>
        <w:pStyle w:val="2"/>
        <w:spacing w:line="360" w:lineRule="auto"/>
        <w:rPr>
          <w:b w:val="0"/>
          <w:bCs/>
          <w:sz w:val="28"/>
        </w:rPr>
      </w:pPr>
      <w:bookmarkStart w:id="1" w:name="_Toc17187"/>
      <w:r>
        <w:rPr>
          <w:rFonts w:hint="eastAsia"/>
          <w:b w:val="0"/>
          <w:bCs/>
          <w:sz w:val="28"/>
        </w:rPr>
        <w:t>一、任务来源</w:t>
      </w:r>
      <w:bookmarkEnd w:id="1"/>
    </w:p>
    <w:p>
      <w:pPr>
        <w:spacing w:line="360" w:lineRule="auto"/>
        <w:ind w:firstLine="480" w:firstLineChars="200"/>
        <w:rPr>
          <w:color w:val="000000"/>
          <w:kern w:val="0"/>
          <w:sz w:val="20"/>
        </w:rPr>
      </w:pPr>
      <w:r>
        <w:rPr>
          <w:rFonts w:hint="eastAsia"/>
          <w:sz w:val="24"/>
          <w:szCs w:val="28"/>
        </w:rPr>
        <w:t>为</w:t>
      </w:r>
      <w:r>
        <w:rPr>
          <w:sz w:val="24"/>
          <w:szCs w:val="28"/>
        </w:rPr>
        <w:t>规范</w:t>
      </w:r>
      <w:r>
        <w:rPr>
          <w:rFonts w:hint="eastAsia"/>
          <w:sz w:val="24"/>
          <w:szCs w:val="28"/>
        </w:rPr>
        <w:t>闽侯橄榄</w:t>
      </w:r>
      <w:r>
        <w:rPr>
          <w:sz w:val="24"/>
          <w:szCs w:val="28"/>
        </w:rPr>
        <w:t>地理标志集体商标</w:t>
      </w:r>
      <w:r>
        <w:rPr>
          <w:rFonts w:hint="eastAsia"/>
          <w:sz w:val="24"/>
          <w:szCs w:val="28"/>
        </w:rPr>
        <w:t>的</w:t>
      </w:r>
      <w:r>
        <w:rPr>
          <w:sz w:val="24"/>
          <w:szCs w:val="28"/>
        </w:rPr>
        <w:t>使用</w:t>
      </w:r>
      <w:r>
        <w:rPr>
          <w:rFonts w:hint="eastAsia"/>
          <w:sz w:val="24"/>
          <w:szCs w:val="28"/>
        </w:rPr>
        <w:t>，推动闽侯县橄榄产业发展，发挥团体标准在支撑和引领行业发展中的作用，闽侯县橄榄行业协会内部提出</w:t>
      </w:r>
      <w:r>
        <w:rPr>
          <w:sz w:val="24"/>
          <w:szCs w:val="28"/>
        </w:rPr>
        <w:t>关于</w:t>
      </w:r>
      <w:r>
        <w:rPr>
          <w:rFonts w:hint="eastAsia"/>
          <w:sz w:val="24"/>
          <w:szCs w:val="28"/>
        </w:rPr>
        <w:t>制定闽侯橄榄</w:t>
      </w:r>
      <w:r>
        <w:rPr>
          <w:sz w:val="24"/>
          <w:szCs w:val="28"/>
        </w:rPr>
        <w:t>团体标准</w:t>
      </w:r>
      <w:r>
        <w:rPr>
          <w:rFonts w:hint="eastAsia"/>
          <w:sz w:val="24"/>
          <w:szCs w:val="28"/>
        </w:rPr>
        <w:t>的</w:t>
      </w:r>
      <w:r>
        <w:rPr>
          <w:sz w:val="24"/>
          <w:szCs w:val="28"/>
        </w:rPr>
        <w:t>建议，</w:t>
      </w:r>
      <w:r>
        <w:rPr>
          <w:rFonts w:hint="eastAsia"/>
          <w:sz w:val="24"/>
          <w:szCs w:val="28"/>
        </w:rPr>
        <w:t>并</w:t>
      </w:r>
      <w:r>
        <w:rPr>
          <w:sz w:val="24"/>
          <w:szCs w:val="28"/>
        </w:rPr>
        <w:t>于</w:t>
      </w:r>
      <w:r>
        <w:rPr>
          <w:rFonts w:hint="eastAsia"/>
          <w:sz w:val="24"/>
          <w:szCs w:val="28"/>
        </w:rPr>
        <w:t>2021年9月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>5</w:t>
      </w:r>
      <w:r>
        <w:rPr>
          <w:rFonts w:hint="eastAsia"/>
          <w:sz w:val="24"/>
          <w:szCs w:val="28"/>
        </w:rPr>
        <w:t>日发布了立项公告。</w:t>
      </w:r>
      <w:bookmarkStart w:id="7" w:name="_GoBack"/>
      <w:bookmarkEnd w:id="7"/>
    </w:p>
    <w:p>
      <w:pPr>
        <w:pStyle w:val="2"/>
        <w:spacing w:line="360" w:lineRule="auto"/>
        <w:rPr>
          <w:b w:val="0"/>
          <w:bCs/>
          <w:sz w:val="28"/>
        </w:rPr>
      </w:pPr>
      <w:bookmarkStart w:id="2" w:name="_Toc3534"/>
      <w:r>
        <w:rPr>
          <w:rFonts w:hint="eastAsia"/>
          <w:b w:val="0"/>
          <w:bCs/>
          <w:sz w:val="28"/>
        </w:rPr>
        <w:t>二、编制过程</w:t>
      </w:r>
      <w:bookmarkEnd w:id="2"/>
    </w:p>
    <w:p>
      <w:pPr>
        <w:pStyle w:val="17"/>
        <w:tabs>
          <w:tab w:val="left" w:pos="2520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2021年8月，闽侯县橄榄行业协会组织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行业内相关单位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和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专家组成了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标准起草小组，并邀请福建省标准化研究院、闽侯县农业农村局等单位参与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起草。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起草组根据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标准制定程序，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拟定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标准编制计划，明确了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各相关方的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任务分工及各阶段进度时间要求。</w:t>
      </w:r>
    </w:p>
    <w:p>
      <w:pPr>
        <w:pStyle w:val="17"/>
        <w:tabs>
          <w:tab w:val="left" w:pos="2520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9月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，起草组开始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收集、查阅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了橄榄相关的国家标准、行业标准、地方标准、团体标准和企业标准，并对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闽侯县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辖区内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的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橄榄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种植、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加工企业进行了调研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。在此基础上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起草组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讨论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确定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了标准框架内容，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明确了产品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分类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以及感官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、理化、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安全指标体系，结合现行的食品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安全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国家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标准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要求、行业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标准要求、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企业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产品检测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报告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数据和生产现状等因素，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确定了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val="en-US"/>
        </w:rPr>
        <w:t>各项技术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val="en-US"/>
        </w:rPr>
        <w:t>指标参数。经起草组反复修改和讨论，形成了标准征求意见稿。</w:t>
      </w:r>
    </w:p>
    <w:p>
      <w:pPr>
        <w:pStyle w:val="2"/>
        <w:spacing w:line="360" w:lineRule="auto"/>
        <w:rPr>
          <w:b w:val="0"/>
          <w:bCs/>
          <w:sz w:val="28"/>
        </w:rPr>
      </w:pPr>
      <w:bookmarkStart w:id="3" w:name="_Toc7120"/>
      <w:r>
        <w:rPr>
          <w:rFonts w:hint="eastAsia"/>
          <w:b w:val="0"/>
          <w:bCs/>
          <w:sz w:val="28"/>
        </w:rPr>
        <w:t>三、编制原则和依据</w:t>
      </w:r>
      <w:bookmarkEnd w:id="3"/>
    </w:p>
    <w:p>
      <w:pPr>
        <w:pStyle w:val="8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本标准遵循“科学性”“适用性”“先进性”原则，以DB35/T 501-2003《鲜橄榄》、NY/T 2667.16-2020《 热带作物品种审定规范 第16部分：橄榄》、LY/T 1532-1999《油橄榄鲜果》、DB44/T 676-2009《地理标志产品 金玉三捻橄榄》、T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/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SMXN 1—2020《地理标志产品 江津石蟆橄榄》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等标准为参考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，结合闽侯县橄榄产业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发展现状和趋势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进行编制。</w:t>
      </w:r>
    </w:p>
    <w:p>
      <w:pPr>
        <w:pStyle w:val="8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标准格式按GB/T 1.1-2020《标准化工作导则 第1部分：标准的结构和编写》的要求执行，框架清晰，内容明确、格式规范。</w:t>
      </w:r>
    </w:p>
    <w:p>
      <w:pPr>
        <w:pStyle w:val="2"/>
        <w:spacing w:line="360" w:lineRule="auto"/>
        <w:rPr>
          <w:b w:val="0"/>
          <w:bCs/>
          <w:sz w:val="28"/>
        </w:rPr>
      </w:pPr>
      <w:bookmarkStart w:id="4" w:name="_Toc22318"/>
      <w:r>
        <w:rPr>
          <w:rFonts w:hint="eastAsia"/>
          <w:b w:val="0"/>
          <w:bCs/>
          <w:sz w:val="28"/>
        </w:rPr>
        <w:t>四、主要内容及说明</w:t>
      </w:r>
      <w:bookmarkEnd w:id="4"/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Calibri"/>
          <w:bCs/>
          <w:color w:val="000000"/>
          <w:sz w:val="24"/>
          <w:szCs w:val="28"/>
        </w:rPr>
      </w:pPr>
      <w:r>
        <w:rPr>
          <w:rFonts w:hint="eastAsia" w:ascii="黑体" w:hAnsi="黑体" w:eastAsia="黑体" w:cs="Calibri"/>
          <w:bCs/>
          <w:color w:val="000000"/>
          <w:sz w:val="24"/>
          <w:szCs w:val="28"/>
        </w:rPr>
        <w:t xml:space="preserve">术语和定义 </w:t>
      </w:r>
    </w:p>
    <w:p>
      <w:pPr>
        <w:pStyle w:val="8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本章对闽侯橄榄进行了定义，主要从生产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地域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范围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生产技术和质量要求来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说明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hint="eastAsia" w:ascii="黑体" w:hAnsi="黑体" w:eastAsia="黑体" w:cs="Calibri"/>
          <w:bCs/>
          <w:color w:val="000000"/>
          <w:sz w:val="24"/>
          <w:szCs w:val="28"/>
        </w:rPr>
      </w:pPr>
      <w:r>
        <w:rPr>
          <w:rFonts w:hint="eastAsia" w:ascii="黑体" w:hAnsi="黑体" w:eastAsia="黑体" w:cs="Calibri"/>
          <w:bCs/>
          <w:color w:val="000000"/>
          <w:sz w:val="24"/>
          <w:szCs w:val="28"/>
        </w:rPr>
        <w:t>生产</w:t>
      </w:r>
      <w:r>
        <w:rPr>
          <w:rFonts w:ascii="黑体" w:hAnsi="黑体" w:eastAsia="黑体" w:cs="Calibri"/>
          <w:bCs/>
          <w:color w:val="000000"/>
          <w:sz w:val="24"/>
          <w:szCs w:val="28"/>
        </w:rPr>
        <w:t>地域范围</w:t>
      </w:r>
      <w:r>
        <w:rPr>
          <w:rFonts w:hint="eastAsia" w:ascii="黑体" w:hAnsi="黑体" w:eastAsia="黑体" w:cs="Calibri"/>
          <w:bCs/>
          <w:color w:val="000000"/>
          <w:sz w:val="24"/>
          <w:szCs w:val="28"/>
        </w:rPr>
        <w:t>和</w:t>
      </w:r>
      <w:r>
        <w:rPr>
          <w:rFonts w:ascii="黑体" w:hAnsi="黑体" w:eastAsia="黑体" w:cs="Calibri"/>
          <w:bCs/>
          <w:color w:val="000000"/>
          <w:sz w:val="24"/>
          <w:szCs w:val="28"/>
        </w:rPr>
        <w:t>环境要求</w:t>
      </w:r>
    </w:p>
    <w:p>
      <w:pPr>
        <w:pStyle w:val="8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根据原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工商总局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2010年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第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1228号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公告和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《“闽侯橄榄”证明商标使用规则》的规定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明确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了闽侯橄榄的生产地域范围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和产地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环境要求。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Calibri"/>
          <w:bCs/>
          <w:color w:val="000000"/>
          <w:sz w:val="24"/>
          <w:szCs w:val="28"/>
        </w:rPr>
      </w:pPr>
      <w:r>
        <w:rPr>
          <w:rFonts w:hint="eastAsia" w:ascii="黑体" w:hAnsi="黑体" w:eastAsia="黑体" w:cs="Calibri"/>
          <w:bCs/>
          <w:color w:val="000000"/>
          <w:sz w:val="24"/>
          <w:szCs w:val="28"/>
        </w:rPr>
        <w:t>品种</w:t>
      </w:r>
    </w:p>
    <w:p>
      <w:pPr>
        <w:pStyle w:val="8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根据闽侯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橄榄现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主要种植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的品种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和《“闽侯橄榄”证明商标使用规则》中规定的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品种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类型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对闽侯橄榄的品种作出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了要求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Calibri"/>
          <w:bCs/>
          <w:color w:val="000000"/>
          <w:sz w:val="24"/>
          <w:szCs w:val="28"/>
        </w:rPr>
      </w:pPr>
      <w:r>
        <w:rPr>
          <w:rFonts w:hint="eastAsia" w:ascii="黑体" w:hAnsi="黑体" w:eastAsia="黑体" w:cs="Calibri"/>
          <w:bCs/>
          <w:color w:val="000000"/>
          <w:sz w:val="24"/>
          <w:szCs w:val="28"/>
        </w:rPr>
        <w:t>生产技术</w:t>
      </w:r>
    </w:p>
    <w:p>
      <w:pPr>
        <w:pStyle w:val="8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闽侯橄榄生产种植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技术应符合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DB35/T 1344《橄榄丰产栽培技术规范》的要求。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Calibri"/>
          <w:bCs/>
          <w:color w:val="000000"/>
          <w:sz w:val="24"/>
          <w:szCs w:val="28"/>
        </w:rPr>
      </w:pPr>
      <w:r>
        <w:rPr>
          <w:rFonts w:hint="eastAsia" w:ascii="黑体" w:hAnsi="黑体" w:eastAsia="黑体" w:cs="Calibri"/>
          <w:bCs/>
          <w:color w:val="000000"/>
          <w:sz w:val="24"/>
          <w:szCs w:val="28"/>
        </w:rPr>
        <w:t xml:space="preserve">质量要求 </w:t>
      </w:r>
    </w:p>
    <w:p>
      <w:pPr>
        <w:pStyle w:val="8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本章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闽侯橄榄的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感官指标、理化指标和安全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指标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都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一一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做了规定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。</w:t>
      </w:r>
    </w:p>
    <w:p>
      <w:pPr>
        <w:pStyle w:val="8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感官指标：根据闽侯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橄榄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鲜果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的特点，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综合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考虑了不同品种之间的差异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，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对外观、色泽、滋味、气味进行了设定。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同时还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设定了缺陷指标，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要求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无腐烂、无霉变、无机械损伤。</w:t>
      </w:r>
    </w:p>
    <w:p>
      <w:pPr>
        <w:pStyle w:val="8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理化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指标：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设定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了单果重、可食率、水分、可溶性固形物、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总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膳食纤维、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钙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总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多酚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共7个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指标。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单果重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引用DB35/T 501-2003《鲜橄榄》中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合格品的要求进行设定。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可食率和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可溶性固形物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，在引用DB35/T 501-2003《鲜橄榄》的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基础上，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根据DB35/T 501-2003《鲜橄榄》规定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的方法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对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不同橄榄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品种进行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试验验证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后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调整为≥70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%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和≥8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%。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水分，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参考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DB44/T 676-2009《地理标志产品 金玉三捻橄榄》，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进行试验验证后，调整为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80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%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～90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%。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为突显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闽侯橄榄的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品质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特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性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，设定了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总膳食纤维、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钙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和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总多酚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共3个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特征指标。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钙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含量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和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总多酚，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在引用DB35/T 501-2003《鲜橄榄》的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基础上，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根据闽侯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橄榄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实际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情况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调整为≥60mg/100g和≥1200mg/100g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总膳食纤维，根据试验验证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数据统计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分析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后进行设定，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≥3.5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g/100g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。</w:t>
      </w:r>
    </w:p>
    <w:p>
      <w:pPr>
        <w:pStyle w:val="8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安全指标：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引用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了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现行的食品安全国家标准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中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相应类别产品的要求，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包括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了污染物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限量和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农药残留</w:t>
      </w: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限量</w:t>
      </w:r>
      <w:r>
        <w:rPr>
          <w:rFonts w:ascii="宋体" w:hAnsi="宋体" w:eastAsia="宋体" w:cs="宋体"/>
          <w:color w:val="000000"/>
          <w:kern w:val="0"/>
          <w:szCs w:val="28"/>
          <w:lang w:bidi="zh-CN"/>
        </w:rPr>
        <w:t>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Calibri"/>
          <w:bCs/>
          <w:color w:val="000000"/>
          <w:sz w:val="24"/>
          <w:szCs w:val="28"/>
        </w:rPr>
      </w:pPr>
      <w:r>
        <w:rPr>
          <w:rFonts w:hint="eastAsia" w:ascii="黑体" w:hAnsi="黑体" w:eastAsia="黑体" w:cs="Calibri"/>
          <w:bCs/>
          <w:color w:val="000000"/>
          <w:sz w:val="24"/>
          <w:szCs w:val="28"/>
        </w:rPr>
        <w:t>检验规则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按照农产品交收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实际情况，设定了相应的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组批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、抽样、检验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和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判定规则。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Calibri"/>
          <w:bCs/>
          <w:color w:val="000000"/>
          <w:sz w:val="24"/>
          <w:szCs w:val="28"/>
        </w:rPr>
      </w:pPr>
      <w:r>
        <w:rPr>
          <w:rFonts w:hint="eastAsia" w:ascii="黑体" w:hAnsi="黑体" w:eastAsia="黑体" w:cs="Calibri"/>
          <w:bCs/>
          <w:color w:val="000000"/>
          <w:sz w:val="24"/>
          <w:szCs w:val="28"/>
        </w:rPr>
        <w:t>标签、标志、包装和贮运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关于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标签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标志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除了要求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符合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GB/T 32950，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还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特别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增加了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关于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地理标志专用标志使用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的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相关要求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如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：应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符合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《地理标志专用标志使用管理办法（试行）》和《“闽侯橄榄”集体商标使用规则》的规定。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关于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贮运，根据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实践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经验总结，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除了常温贮运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，还增加了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6 ℃～10 ℃的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贮存和运输条件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。</w:t>
      </w:r>
    </w:p>
    <w:p>
      <w:pPr>
        <w:pStyle w:val="2"/>
        <w:spacing w:line="360" w:lineRule="auto"/>
        <w:rPr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四、主要参考</w:t>
      </w:r>
      <w:r>
        <w:rPr>
          <w:b w:val="0"/>
          <w:bCs/>
          <w:sz w:val="28"/>
        </w:rPr>
        <w:t>标准</w:t>
      </w:r>
      <w:r>
        <w:rPr>
          <w:rFonts w:hint="eastAsia"/>
          <w:b w:val="0"/>
          <w:bCs/>
          <w:sz w:val="28"/>
        </w:rPr>
        <w:t>质量</w:t>
      </w:r>
      <w:r>
        <w:rPr>
          <w:b w:val="0"/>
          <w:bCs/>
          <w:sz w:val="28"/>
        </w:rPr>
        <w:t>要求对比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931"/>
        <w:gridCol w:w="179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  <w:t>本标准</w:t>
            </w:r>
          </w:p>
        </w:tc>
        <w:tc>
          <w:tcPr>
            <w:tcW w:w="1931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  <w:t>DB35/T 501-2003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  <w:t>《鲜橄榄》</w:t>
            </w:r>
          </w:p>
        </w:tc>
        <w:tc>
          <w:tcPr>
            <w:tcW w:w="1798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zh-CN"/>
              </w:rPr>
              <w:t>DB44/T 676-2009《地理标志产品 金玉三捻橄榄》</w:t>
            </w:r>
          </w:p>
        </w:tc>
        <w:tc>
          <w:tcPr>
            <w:tcW w:w="1799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zh-CN"/>
              </w:rPr>
              <w:t>T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8"/>
                <w:lang w:bidi="zh-CN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zh-CN"/>
              </w:rPr>
              <w:t>SMXN 1—2020《地理标志产品 江津石蟆橄榄》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单果重/（g）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≥5.0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优等品6.0-8.0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合格品≥5.0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特级10-12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一级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  <w:t>8-10</w:t>
            </w:r>
          </w:p>
        </w:tc>
        <w:tc>
          <w:tcPr>
            <w:tcW w:w="17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可食率/（%）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≥70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≥75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≥80</w:t>
            </w:r>
          </w:p>
        </w:tc>
        <w:tc>
          <w:tcPr>
            <w:tcW w:w="17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水分/（g/100g）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80～90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Ansi="宋体"/>
                <w:kern w:val="0"/>
                <w:szCs w:val="21"/>
              </w:rPr>
              <w:t>75.0</w:t>
            </w:r>
            <w:r>
              <w:rPr>
                <w:rFonts w:hint="eastAsia" w:hAnsi="宋体"/>
                <w:kern w:val="0"/>
                <w:szCs w:val="21"/>
              </w:rPr>
              <w:t>～88.0</w:t>
            </w:r>
          </w:p>
        </w:tc>
        <w:tc>
          <w:tcPr>
            <w:tcW w:w="17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可溶性固形物/（g/100g）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≥8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≥10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总膳食纤维/（g/100g）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≥3.5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钙/（mg/100g）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≥60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≥50</w:t>
            </w:r>
          </w:p>
        </w:tc>
        <w:tc>
          <w:tcPr>
            <w:tcW w:w="17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总多酚/（mg/100g）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≥1200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bidi="zh-CN"/>
              </w:rPr>
              <w:t>（单宁）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1500-2800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蛋白质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int="eastAsia" w:hAnsi="宋体"/>
                <w:sz w:val="18"/>
                <w:szCs w:val="18"/>
              </w:rPr>
              <w:t>%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9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≥1.2</w:t>
            </w:r>
          </w:p>
        </w:tc>
        <w:tc>
          <w:tcPr>
            <w:tcW w:w="17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还原糖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int="eastAsia" w:hAnsi="宋体"/>
                <w:sz w:val="18"/>
                <w:szCs w:val="18"/>
              </w:rPr>
              <w:t>%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9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≤2.2</w:t>
            </w:r>
          </w:p>
        </w:tc>
        <w:tc>
          <w:tcPr>
            <w:tcW w:w="17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铁（mg/kg）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9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≥1.0</w:t>
            </w:r>
          </w:p>
        </w:tc>
        <w:tc>
          <w:tcPr>
            <w:tcW w:w="179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碳水</w:t>
            </w:r>
            <w:r>
              <w:rPr>
                <w:rFonts w:hAnsi="宋体"/>
                <w:sz w:val="18"/>
                <w:szCs w:val="18"/>
              </w:rPr>
              <w:t>化合物（</w:t>
            </w:r>
            <w:r>
              <w:rPr>
                <w:rFonts w:hint="eastAsia" w:hAnsi="宋体"/>
                <w:sz w:val="18"/>
                <w:szCs w:val="18"/>
              </w:rPr>
              <w:t>%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9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维生素C（%）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9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hAnsi="宋体"/>
                <w:kern w:val="0"/>
                <w:szCs w:val="21"/>
              </w:rPr>
              <w:t>≥0.02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锰（mg/</w:t>
            </w:r>
            <w:r>
              <w:rPr>
                <w:rFonts w:hAnsi="宋体"/>
                <w:sz w:val="18"/>
                <w:szCs w:val="18"/>
              </w:rPr>
              <w:t>k</w:t>
            </w:r>
            <w:r>
              <w:rPr>
                <w:rFonts w:hint="eastAsia" w:hAnsi="宋体"/>
                <w:sz w:val="18"/>
                <w:szCs w:val="18"/>
              </w:rPr>
              <w:t>g）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9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9" w:type="dxa"/>
          </w:tcPr>
          <w:p>
            <w:pPr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≤0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int="eastAsia" w:hAnsi="宋体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硒（mg/</w:t>
            </w:r>
            <w:r>
              <w:rPr>
                <w:rFonts w:hAnsi="宋体"/>
                <w:sz w:val="18"/>
                <w:szCs w:val="18"/>
              </w:rPr>
              <w:t>k</w:t>
            </w:r>
            <w:r>
              <w:rPr>
                <w:rFonts w:hint="eastAsia" w:hAnsi="宋体"/>
                <w:sz w:val="18"/>
                <w:szCs w:val="18"/>
              </w:rPr>
              <w:t>g）</w:t>
            </w:r>
          </w:p>
        </w:tc>
        <w:tc>
          <w:tcPr>
            <w:tcW w:w="14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9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zh-CN"/>
              </w:rPr>
              <w:t>/</w:t>
            </w:r>
          </w:p>
        </w:tc>
        <w:tc>
          <w:tcPr>
            <w:tcW w:w="1799" w:type="dxa"/>
          </w:tcPr>
          <w:p>
            <w:pPr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≤0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int="eastAsia" w:hAnsi="宋体"/>
                <w:kern w:val="0"/>
                <w:szCs w:val="21"/>
              </w:rPr>
              <w:t>35</w:t>
            </w:r>
          </w:p>
        </w:tc>
      </w:tr>
    </w:tbl>
    <w:p>
      <w:pPr>
        <w:pStyle w:val="2"/>
        <w:spacing w:line="360" w:lineRule="auto"/>
        <w:rPr>
          <w:b w:val="0"/>
          <w:bCs/>
          <w:sz w:val="28"/>
          <w:szCs w:val="32"/>
        </w:rPr>
      </w:pPr>
      <w:bookmarkStart w:id="5" w:name="_Toc27151"/>
      <w:r>
        <w:rPr>
          <w:rFonts w:hint="eastAsia"/>
          <w:b w:val="0"/>
          <w:bCs/>
          <w:sz w:val="28"/>
          <w:szCs w:val="32"/>
        </w:rPr>
        <w:t>五、</w:t>
      </w:r>
      <w:bookmarkEnd w:id="5"/>
      <w:r>
        <w:rPr>
          <w:rFonts w:hint="eastAsia"/>
          <w:b w:val="0"/>
          <w:bCs/>
          <w:sz w:val="28"/>
          <w:szCs w:val="32"/>
        </w:rPr>
        <w:t>与有关的现行法律、法规及强制性标准的关系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本标准条款均符合国家现行法律、法规及强制性标准要求。在标准中，主要引用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了以下标准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和规范性</w:t>
      </w:r>
      <w:r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  <w:t>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：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GB 2762  食品安全国家标准 食品中污染物限量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GB 2763  食品安全国家标准 食品中农药最大残留限量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GB 5009.3  食品安全国家标准 食品中水分的测定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GB 5009.88  食品安全国家标准 食品中膳食纤维的测定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GB 5009.92  食品安全国家标准 食品中钙的测定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GB/T 32950  鲜活农产品标签标识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NY/T 2637  水果和蔬菜可溶性固形物含量的测定 折射仪法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NY/T 2668.16  热带作物品种试验技术规程 第16部分：橄榄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DB35/T 501  鲜橄榄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DB35/T 1158  橄榄种质资源鉴定技术规程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DB35/T 1344  橄榄丰产栽培技术规范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《地理标志专用标志使用管理办法（试行）》（国家知识产权局2020年第354号公告）</w:t>
      </w:r>
    </w:p>
    <w:p>
      <w:pPr>
        <w:pStyle w:val="8"/>
        <w:spacing w:line="360" w:lineRule="auto"/>
        <w:ind w:left="420" w:leftChars="200"/>
        <w:jc w:val="left"/>
        <w:rPr>
          <w:rFonts w:ascii="宋体" w:hAnsi="宋体" w:eastAsia="宋体" w:cs="宋体"/>
          <w:color w:val="000000"/>
          <w:kern w:val="0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zh-CN"/>
        </w:rPr>
        <w:t>《“闽侯橄榄”证明商标使用规则》</w:t>
      </w:r>
    </w:p>
    <w:p>
      <w:pPr>
        <w:pStyle w:val="2"/>
        <w:spacing w:line="360" w:lineRule="auto"/>
        <w:rPr>
          <w:b w:val="0"/>
          <w:bCs/>
          <w:sz w:val="28"/>
        </w:rPr>
      </w:pPr>
      <w:bookmarkStart w:id="6" w:name="_Toc15871"/>
      <w:r>
        <w:rPr>
          <w:rFonts w:hint="eastAsia"/>
          <w:b w:val="0"/>
          <w:bCs/>
          <w:sz w:val="28"/>
        </w:rPr>
        <w:t>六、贯彻标准的要求和措施建议</w:t>
      </w:r>
      <w:bookmarkEnd w:id="6"/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加大宣贯力度。利用报纸、电视、电台及微信、微博等各种新媒体，大力宣传闽侯橄榄产品优势和特点，为标准的实施营造良好的社会氛围。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  <w:lang w:bidi="zh-CN"/>
        </w:rPr>
        <w:t>加强标准实施反馈。对在标准实施过程中发现的问题及提出的意见，要进行深入探讨和研究，做好标准的修订和完善工作。</w:t>
      </w:r>
    </w:p>
    <w:p>
      <w:pPr>
        <w:spacing w:line="360" w:lineRule="auto"/>
        <w:ind w:left="560"/>
        <w:rPr>
          <w:rFonts w:ascii="宋体" w:hAnsi="宋体" w:eastAsia="宋体" w:cs="宋体"/>
          <w:color w:val="000000"/>
          <w:kern w:val="0"/>
          <w:sz w:val="24"/>
          <w:szCs w:val="28"/>
          <w:lang w:bidi="zh-CN"/>
        </w:rPr>
      </w:pPr>
    </w:p>
    <w:p>
      <w:pPr>
        <w:pStyle w:val="3"/>
        <w:spacing w:line="360" w:lineRule="auto"/>
        <w:ind w:right="120"/>
        <w:jc w:val="right"/>
        <w:rPr>
          <w:rFonts w:hAnsi="宋体"/>
          <w:b/>
          <w:bCs/>
          <w:color w:val="000000"/>
          <w:sz w:val="24"/>
          <w:szCs w:val="28"/>
        </w:rPr>
      </w:pPr>
      <w:r>
        <w:rPr>
          <w:rFonts w:hint="eastAsia" w:hAnsi="宋体"/>
          <w:b/>
          <w:bCs/>
          <w:color w:val="000000"/>
          <w:sz w:val="24"/>
          <w:szCs w:val="28"/>
        </w:rPr>
        <w:t>团体标准《地理标志集体商标产品 闽侯橄榄》起草组</w:t>
      </w:r>
    </w:p>
    <w:p>
      <w:pPr>
        <w:pStyle w:val="3"/>
        <w:spacing w:line="360" w:lineRule="auto"/>
        <w:ind w:right="120"/>
        <w:jc w:val="right"/>
        <w:rPr>
          <w:rFonts w:hAnsi="宋体"/>
          <w:color w:val="000000"/>
          <w:sz w:val="24"/>
          <w:szCs w:val="28"/>
        </w:rPr>
      </w:pPr>
      <w:r>
        <w:rPr>
          <w:rFonts w:hint="eastAsia" w:hAnsi="宋体"/>
          <w:b/>
          <w:bCs/>
          <w:color w:val="000000"/>
          <w:sz w:val="24"/>
          <w:szCs w:val="28"/>
        </w:rPr>
        <w:t>2021年</w:t>
      </w:r>
      <w:r>
        <w:rPr>
          <w:rFonts w:hAnsi="宋体"/>
          <w:b/>
          <w:bCs/>
          <w:color w:val="000000"/>
          <w:sz w:val="24"/>
          <w:szCs w:val="28"/>
        </w:rPr>
        <w:t>9</w:t>
      </w:r>
      <w:r>
        <w:rPr>
          <w:rFonts w:hint="eastAsia" w:hAnsi="宋体"/>
          <w:b/>
          <w:bCs/>
          <w:color w:val="000000"/>
          <w:sz w:val="24"/>
          <w:szCs w:val="28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5068"/>
    <w:multiLevelType w:val="multilevel"/>
    <w:tmpl w:val="4BD15068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BD560CD"/>
    <w:multiLevelType w:val="multilevel"/>
    <w:tmpl w:val="4BD560CD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33B2E"/>
    <w:rsid w:val="00004489"/>
    <w:rsid w:val="000060A2"/>
    <w:rsid w:val="000100AA"/>
    <w:rsid w:val="000179BB"/>
    <w:rsid w:val="000217C7"/>
    <w:rsid w:val="0002278D"/>
    <w:rsid w:val="00025DC4"/>
    <w:rsid w:val="0003037E"/>
    <w:rsid w:val="000315DF"/>
    <w:rsid w:val="000331EC"/>
    <w:rsid w:val="00035BA0"/>
    <w:rsid w:val="000463F6"/>
    <w:rsid w:val="00046F4A"/>
    <w:rsid w:val="000551AC"/>
    <w:rsid w:val="000651FD"/>
    <w:rsid w:val="00073279"/>
    <w:rsid w:val="0008308E"/>
    <w:rsid w:val="00083F86"/>
    <w:rsid w:val="00092C72"/>
    <w:rsid w:val="000A095A"/>
    <w:rsid w:val="000A0F6E"/>
    <w:rsid w:val="000A321E"/>
    <w:rsid w:val="000B5D93"/>
    <w:rsid w:val="000B6FDF"/>
    <w:rsid w:val="000C0F93"/>
    <w:rsid w:val="000D04F2"/>
    <w:rsid w:val="000D27DA"/>
    <w:rsid w:val="000E59DD"/>
    <w:rsid w:val="000E608E"/>
    <w:rsid w:val="001075C8"/>
    <w:rsid w:val="0011014D"/>
    <w:rsid w:val="00115435"/>
    <w:rsid w:val="00115B1B"/>
    <w:rsid w:val="00116307"/>
    <w:rsid w:val="0013571A"/>
    <w:rsid w:val="00143E2C"/>
    <w:rsid w:val="001602F8"/>
    <w:rsid w:val="00166005"/>
    <w:rsid w:val="00166042"/>
    <w:rsid w:val="0016685F"/>
    <w:rsid w:val="00173AE3"/>
    <w:rsid w:val="00177805"/>
    <w:rsid w:val="00186DD0"/>
    <w:rsid w:val="00186FCC"/>
    <w:rsid w:val="00187DAF"/>
    <w:rsid w:val="0019103F"/>
    <w:rsid w:val="00191D17"/>
    <w:rsid w:val="001921A2"/>
    <w:rsid w:val="001B1200"/>
    <w:rsid w:val="001C0AEE"/>
    <w:rsid w:val="001C0D21"/>
    <w:rsid w:val="001C11F0"/>
    <w:rsid w:val="001C590D"/>
    <w:rsid w:val="001C6BFD"/>
    <w:rsid w:val="001C7040"/>
    <w:rsid w:val="001D64BB"/>
    <w:rsid w:val="001E0160"/>
    <w:rsid w:val="001E03B3"/>
    <w:rsid w:val="001E0516"/>
    <w:rsid w:val="001E7116"/>
    <w:rsid w:val="001F1A5F"/>
    <w:rsid w:val="001F513D"/>
    <w:rsid w:val="001F5AAC"/>
    <w:rsid w:val="001F5E6B"/>
    <w:rsid w:val="002014D6"/>
    <w:rsid w:val="00201AAB"/>
    <w:rsid w:val="0020433F"/>
    <w:rsid w:val="00213F9E"/>
    <w:rsid w:val="002162EE"/>
    <w:rsid w:val="00216DDE"/>
    <w:rsid w:val="00227165"/>
    <w:rsid w:val="002307C6"/>
    <w:rsid w:val="00230A96"/>
    <w:rsid w:val="00257C98"/>
    <w:rsid w:val="00257FF2"/>
    <w:rsid w:val="00261F27"/>
    <w:rsid w:val="00262EB9"/>
    <w:rsid w:val="00265AE0"/>
    <w:rsid w:val="00267085"/>
    <w:rsid w:val="00267CDF"/>
    <w:rsid w:val="00270DF8"/>
    <w:rsid w:val="0027196B"/>
    <w:rsid w:val="002739DD"/>
    <w:rsid w:val="002749E8"/>
    <w:rsid w:val="00275B26"/>
    <w:rsid w:val="00280245"/>
    <w:rsid w:val="00282616"/>
    <w:rsid w:val="0028462B"/>
    <w:rsid w:val="00284B34"/>
    <w:rsid w:val="0029022F"/>
    <w:rsid w:val="002905F8"/>
    <w:rsid w:val="002A08B1"/>
    <w:rsid w:val="002A0C89"/>
    <w:rsid w:val="002A4C43"/>
    <w:rsid w:val="002A51C5"/>
    <w:rsid w:val="002A59AE"/>
    <w:rsid w:val="002A7F4C"/>
    <w:rsid w:val="002B2A1E"/>
    <w:rsid w:val="002B7ADC"/>
    <w:rsid w:val="002D3014"/>
    <w:rsid w:val="002D60C4"/>
    <w:rsid w:val="002E294F"/>
    <w:rsid w:val="002E2EB2"/>
    <w:rsid w:val="002E6915"/>
    <w:rsid w:val="00311CA3"/>
    <w:rsid w:val="00315DE2"/>
    <w:rsid w:val="00315F14"/>
    <w:rsid w:val="00321F2D"/>
    <w:rsid w:val="00322651"/>
    <w:rsid w:val="003231E9"/>
    <w:rsid w:val="003234DB"/>
    <w:rsid w:val="00334786"/>
    <w:rsid w:val="00340665"/>
    <w:rsid w:val="003466C5"/>
    <w:rsid w:val="003539E9"/>
    <w:rsid w:val="003670AD"/>
    <w:rsid w:val="0037394C"/>
    <w:rsid w:val="003819C9"/>
    <w:rsid w:val="00382CED"/>
    <w:rsid w:val="00386322"/>
    <w:rsid w:val="003941C2"/>
    <w:rsid w:val="00396BF5"/>
    <w:rsid w:val="003A3606"/>
    <w:rsid w:val="003A7D76"/>
    <w:rsid w:val="003B10C2"/>
    <w:rsid w:val="003C4E2E"/>
    <w:rsid w:val="003D160D"/>
    <w:rsid w:val="003D3B53"/>
    <w:rsid w:val="003E0EF2"/>
    <w:rsid w:val="003E6ACB"/>
    <w:rsid w:val="003F0812"/>
    <w:rsid w:val="0040046F"/>
    <w:rsid w:val="004020DF"/>
    <w:rsid w:val="00404005"/>
    <w:rsid w:val="00406668"/>
    <w:rsid w:val="00415090"/>
    <w:rsid w:val="004167DB"/>
    <w:rsid w:val="00422813"/>
    <w:rsid w:val="00426578"/>
    <w:rsid w:val="00427063"/>
    <w:rsid w:val="004323C2"/>
    <w:rsid w:val="00434545"/>
    <w:rsid w:val="004355B9"/>
    <w:rsid w:val="00444DE6"/>
    <w:rsid w:val="00447AA1"/>
    <w:rsid w:val="0045099F"/>
    <w:rsid w:val="004545F1"/>
    <w:rsid w:val="00455811"/>
    <w:rsid w:val="004631B5"/>
    <w:rsid w:val="00474E31"/>
    <w:rsid w:val="00496FC1"/>
    <w:rsid w:val="00497E3C"/>
    <w:rsid w:val="004B1AD1"/>
    <w:rsid w:val="004C1191"/>
    <w:rsid w:val="004C5728"/>
    <w:rsid w:val="004C5BA6"/>
    <w:rsid w:val="004D1292"/>
    <w:rsid w:val="004D27F5"/>
    <w:rsid w:val="004D3249"/>
    <w:rsid w:val="004D75EF"/>
    <w:rsid w:val="004D7E66"/>
    <w:rsid w:val="004E39BB"/>
    <w:rsid w:val="004F1FCE"/>
    <w:rsid w:val="004F5046"/>
    <w:rsid w:val="004F682F"/>
    <w:rsid w:val="00502C8C"/>
    <w:rsid w:val="00504DAC"/>
    <w:rsid w:val="005053BF"/>
    <w:rsid w:val="00505CA5"/>
    <w:rsid w:val="00524EA5"/>
    <w:rsid w:val="0053237C"/>
    <w:rsid w:val="00536126"/>
    <w:rsid w:val="00537643"/>
    <w:rsid w:val="00541DBE"/>
    <w:rsid w:val="005534AD"/>
    <w:rsid w:val="00556FAF"/>
    <w:rsid w:val="00562DD3"/>
    <w:rsid w:val="00572387"/>
    <w:rsid w:val="005727D1"/>
    <w:rsid w:val="00574025"/>
    <w:rsid w:val="0057425E"/>
    <w:rsid w:val="00576608"/>
    <w:rsid w:val="00584866"/>
    <w:rsid w:val="00584D15"/>
    <w:rsid w:val="00585BE8"/>
    <w:rsid w:val="00593624"/>
    <w:rsid w:val="00595B04"/>
    <w:rsid w:val="005A053A"/>
    <w:rsid w:val="005A0D90"/>
    <w:rsid w:val="005A26CE"/>
    <w:rsid w:val="005A42A7"/>
    <w:rsid w:val="005B20A7"/>
    <w:rsid w:val="005C787F"/>
    <w:rsid w:val="005D353D"/>
    <w:rsid w:val="005D4B8A"/>
    <w:rsid w:val="005F0A05"/>
    <w:rsid w:val="005F23BF"/>
    <w:rsid w:val="005F4C8F"/>
    <w:rsid w:val="00601DA6"/>
    <w:rsid w:val="006022AA"/>
    <w:rsid w:val="00602AE1"/>
    <w:rsid w:val="00603264"/>
    <w:rsid w:val="00607B36"/>
    <w:rsid w:val="006129E6"/>
    <w:rsid w:val="00622E01"/>
    <w:rsid w:val="00627967"/>
    <w:rsid w:val="006505B3"/>
    <w:rsid w:val="00655CC1"/>
    <w:rsid w:val="006565BD"/>
    <w:rsid w:val="00664D20"/>
    <w:rsid w:val="006857BF"/>
    <w:rsid w:val="00687A84"/>
    <w:rsid w:val="006901C4"/>
    <w:rsid w:val="006A2B2E"/>
    <w:rsid w:val="006A347D"/>
    <w:rsid w:val="006A3672"/>
    <w:rsid w:val="006B31FA"/>
    <w:rsid w:val="006C29C6"/>
    <w:rsid w:val="006C44C6"/>
    <w:rsid w:val="006D2C35"/>
    <w:rsid w:val="006D3A47"/>
    <w:rsid w:val="006D44ED"/>
    <w:rsid w:val="006E3BDB"/>
    <w:rsid w:val="006E58E7"/>
    <w:rsid w:val="006F12CE"/>
    <w:rsid w:val="007013C4"/>
    <w:rsid w:val="00705DB5"/>
    <w:rsid w:val="00712348"/>
    <w:rsid w:val="00723E47"/>
    <w:rsid w:val="00731264"/>
    <w:rsid w:val="0074034C"/>
    <w:rsid w:val="0074039E"/>
    <w:rsid w:val="00741108"/>
    <w:rsid w:val="00742284"/>
    <w:rsid w:val="007559BC"/>
    <w:rsid w:val="007569BA"/>
    <w:rsid w:val="00761C04"/>
    <w:rsid w:val="0076235E"/>
    <w:rsid w:val="00765F42"/>
    <w:rsid w:val="007671E2"/>
    <w:rsid w:val="007674CE"/>
    <w:rsid w:val="00770D68"/>
    <w:rsid w:val="007757F4"/>
    <w:rsid w:val="00786666"/>
    <w:rsid w:val="00786F5E"/>
    <w:rsid w:val="00787723"/>
    <w:rsid w:val="00791139"/>
    <w:rsid w:val="007B5271"/>
    <w:rsid w:val="007C3B8C"/>
    <w:rsid w:val="007D072B"/>
    <w:rsid w:val="007D14A5"/>
    <w:rsid w:val="007D3A03"/>
    <w:rsid w:val="007D4A67"/>
    <w:rsid w:val="007D6159"/>
    <w:rsid w:val="007E0762"/>
    <w:rsid w:val="007E0EC2"/>
    <w:rsid w:val="007E21F1"/>
    <w:rsid w:val="007E6ABA"/>
    <w:rsid w:val="00802BF0"/>
    <w:rsid w:val="00804792"/>
    <w:rsid w:val="00812F34"/>
    <w:rsid w:val="00812F87"/>
    <w:rsid w:val="008152CA"/>
    <w:rsid w:val="00815AA7"/>
    <w:rsid w:val="00816E1C"/>
    <w:rsid w:val="00817A57"/>
    <w:rsid w:val="0082048F"/>
    <w:rsid w:val="00821613"/>
    <w:rsid w:val="00822FB1"/>
    <w:rsid w:val="00823BF3"/>
    <w:rsid w:val="008243E7"/>
    <w:rsid w:val="00831EEF"/>
    <w:rsid w:val="00846F56"/>
    <w:rsid w:val="00847C63"/>
    <w:rsid w:val="00847D5E"/>
    <w:rsid w:val="00850C46"/>
    <w:rsid w:val="008600E1"/>
    <w:rsid w:val="00863127"/>
    <w:rsid w:val="00870244"/>
    <w:rsid w:val="00870564"/>
    <w:rsid w:val="00876244"/>
    <w:rsid w:val="0088007A"/>
    <w:rsid w:val="00882B0A"/>
    <w:rsid w:val="008903F1"/>
    <w:rsid w:val="00893222"/>
    <w:rsid w:val="00895C05"/>
    <w:rsid w:val="008A3B4B"/>
    <w:rsid w:val="008A6859"/>
    <w:rsid w:val="008B4EA7"/>
    <w:rsid w:val="008B5285"/>
    <w:rsid w:val="008C16C5"/>
    <w:rsid w:val="008C2B48"/>
    <w:rsid w:val="008C3EF2"/>
    <w:rsid w:val="008C752B"/>
    <w:rsid w:val="008D1560"/>
    <w:rsid w:val="008D21D0"/>
    <w:rsid w:val="008D27CD"/>
    <w:rsid w:val="008D7092"/>
    <w:rsid w:val="008E5DA7"/>
    <w:rsid w:val="008E60BB"/>
    <w:rsid w:val="008E726E"/>
    <w:rsid w:val="008F537A"/>
    <w:rsid w:val="008F5EA7"/>
    <w:rsid w:val="008F77DD"/>
    <w:rsid w:val="009069DE"/>
    <w:rsid w:val="00906EFA"/>
    <w:rsid w:val="00906F33"/>
    <w:rsid w:val="00907E37"/>
    <w:rsid w:val="00910498"/>
    <w:rsid w:val="009112DA"/>
    <w:rsid w:val="009112DF"/>
    <w:rsid w:val="00933E11"/>
    <w:rsid w:val="009378C8"/>
    <w:rsid w:val="00941E2C"/>
    <w:rsid w:val="00942BE9"/>
    <w:rsid w:val="00946A7B"/>
    <w:rsid w:val="009471A5"/>
    <w:rsid w:val="00957F52"/>
    <w:rsid w:val="00960205"/>
    <w:rsid w:val="009605FF"/>
    <w:rsid w:val="00984DEF"/>
    <w:rsid w:val="00995DEE"/>
    <w:rsid w:val="009A7AA4"/>
    <w:rsid w:val="009B3460"/>
    <w:rsid w:val="009B5933"/>
    <w:rsid w:val="009C3025"/>
    <w:rsid w:val="009C57AE"/>
    <w:rsid w:val="009D7309"/>
    <w:rsid w:val="009E4E23"/>
    <w:rsid w:val="009F2AF6"/>
    <w:rsid w:val="00A0042F"/>
    <w:rsid w:val="00A022E6"/>
    <w:rsid w:val="00A206E7"/>
    <w:rsid w:val="00A27EA1"/>
    <w:rsid w:val="00A30E00"/>
    <w:rsid w:val="00A4079B"/>
    <w:rsid w:val="00A419AA"/>
    <w:rsid w:val="00A5425F"/>
    <w:rsid w:val="00A6195A"/>
    <w:rsid w:val="00A64DDD"/>
    <w:rsid w:val="00A65446"/>
    <w:rsid w:val="00A76B6E"/>
    <w:rsid w:val="00A824F1"/>
    <w:rsid w:val="00A87DDE"/>
    <w:rsid w:val="00A92A4B"/>
    <w:rsid w:val="00A966F7"/>
    <w:rsid w:val="00AA0188"/>
    <w:rsid w:val="00AA22E4"/>
    <w:rsid w:val="00AA3775"/>
    <w:rsid w:val="00AA4A79"/>
    <w:rsid w:val="00AA5CA6"/>
    <w:rsid w:val="00AB03A4"/>
    <w:rsid w:val="00AC3B64"/>
    <w:rsid w:val="00AD46B2"/>
    <w:rsid w:val="00AE419C"/>
    <w:rsid w:val="00AF0374"/>
    <w:rsid w:val="00AF1129"/>
    <w:rsid w:val="00AF1E2B"/>
    <w:rsid w:val="00AF4284"/>
    <w:rsid w:val="00AF76C4"/>
    <w:rsid w:val="00B00798"/>
    <w:rsid w:val="00B07F2A"/>
    <w:rsid w:val="00B10404"/>
    <w:rsid w:val="00B168E1"/>
    <w:rsid w:val="00B174FD"/>
    <w:rsid w:val="00B20593"/>
    <w:rsid w:val="00B25167"/>
    <w:rsid w:val="00B26484"/>
    <w:rsid w:val="00B26BA9"/>
    <w:rsid w:val="00B30376"/>
    <w:rsid w:val="00B32489"/>
    <w:rsid w:val="00B33671"/>
    <w:rsid w:val="00B37BBF"/>
    <w:rsid w:val="00B50C4B"/>
    <w:rsid w:val="00B558F2"/>
    <w:rsid w:val="00B718B9"/>
    <w:rsid w:val="00B77D22"/>
    <w:rsid w:val="00B77FEF"/>
    <w:rsid w:val="00B914DE"/>
    <w:rsid w:val="00B973E7"/>
    <w:rsid w:val="00BA1524"/>
    <w:rsid w:val="00BA4868"/>
    <w:rsid w:val="00BB532F"/>
    <w:rsid w:val="00BC07FC"/>
    <w:rsid w:val="00BD4268"/>
    <w:rsid w:val="00BD6CC1"/>
    <w:rsid w:val="00BE69C5"/>
    <w:rsid w:val="00BF28C6"/>
    <w:rsid w:val="00C02E13"/>
    <w:rsid w:val="00C04421"/>
    <w:rsid w:val="00C07320"/>
    <w:rsid w:val="00C0785C"/>
    <w:rsid w:val="00C131D9"/>
    <w:rsid w:val="00C15863"/>
    <w:rsid w:val="00C21E75"/>
    <w:rsid w:val="00C30EBD"/>
    <w:rsid w:val="00C4142E"/>
    <w:rsid w:val="00C45F9A"/>
    <w:rsid w:val="00C478B4"/>
    <w:rsid w:val="00C51F09"/>
    <w:rsid w:val="00C63291"/>
    <w:rsid w:val="00C645B2"/>
    <w:rsid w:val="00C653BD"/>
    <w:rsid w:val="00C6573A"/>
    <w:rsid w:val="00C740D5"/>
    <w:rsid w:val="00C7447C"/>
    <w:rsid w:val="00C80E38"/>
    <w:rsid w:val="00C8775E"/>
    <w:rsid w:val="00C96994"/>
    <w:rsid w:val="00C97199"/>
    <w:rsid w:val="00C978C5"/>
    <w:rsid w:val="00CB6AA8"/>
    <w:rsid w:val="00CB6E6E"/>
    <w:rsid w:val="00CC1CDE"/>
    <w:rsid w:val="00CC4498"/>
    <w:rsid w:val="00CC457B"/>
    <w:rsid w:val="00CC51C8"/>
    <w:rsid w:val="00CC607B"/>
    <w:rsid w:val="00CD39D9"/>
    <w:rsid w:val="00CE0C81"/>
    <w:rsid w:val="00CE2BF0"/>
    <w:rsid w:val="00CE76FC"/>
    <w:rsid w:val="00CF566B"/>
    <w:rsid w:val="00CF703F"/>
    <w:rsid w:val="00D00854"/>
    <w:rsid w:val="00D1626C"/>
    <w:rsid w:val="00D176C5"/>
    <w:rsid w:val="00D3287B"/>
    <w:rsid w:val="00D3512D"/>
    <w:rsid w:val="00D37571"/>
    <w:rsid w:val="00D41A41"/>
    <w:rsid w:val="00D5192D"/>
    <w:rsid w:val="00D52552"/>
    <w:rsid w:val="00D525B1"/>
    <w:rsid w:val="00D55C62"/>
    <w:rsid w:val="00D62255"/>
    <w:rsid w:val="00D719F9"/>
    <w:rsid w:val="00D746A4"/>
    <w:rsid w:val="00D74BD5"/>
    <w:rsid w:val="00D81283"/>
    <w:rsid w:val="00D926B7"/>
    <w:rsid w:val="00DA0D89"/>
    <w:rsid w:val="00DB155D"/>
    <w:rsid w:val="00DE43BA"/>
    <w:rsid w:val="00E01BAD"/>
    <w:rsid w:val="00E03564"/>
    <w:rsid w:val="00E174B3"/>
    <w:rsid w:val="00E249F0"/>
    <w:rsid w:val="00E30389"/>
    <w:rsid w:val="00E37B86"/>
    <w:rsid w:val="00E47CC5"/>
    <w:rsid w:val="00E5754B"/>
    <w:rsid w:val="00E67986"/>
    <w:rsid w:val="00E744B0"/>
    <w:rsid w:val="00E766BC"/>
    <w:rsid w:val="00E80AE2"/>
    <w:rsid w:val="00E81BBF"/>
    <w:rsid w:val="00E85254"/>
    <w:rsid w:val="00E929C4"/>
    <w:rsid w:val="00E93212"/>
    <w:rsid w:val="00E97C20"/>
    <w:rsid w:val="00EA29ED"/>
    <w:rsid w:val="00EA4FE5"/>
    <w:rsid w:val="00EB2656"/>
    <w:rsid w:val="00EB3D69"/>
    <w:rsid w:val="00EB496A"/>
    <w:rsid w:val="00EC5C0F"/>
    <w:rsid w:val="00EC6CB9"/>
    <w:rsid w:val="00ED37CA"/>
    <w:rsid w:val="00ED4393"/>
    <w:rsid w:val="00EE1AAF"/>
    <w:rsid w:val="00EF0300"/>
    <w:rsid w:val="00EF094C"/>
    <w:rsid w:val="00EF641F"/>
    <w:rsid w:val="00EF6BA9"/>
    <w:rsid w:val="00EF7173"/>
    <w:rsid w:val="00F00BE2"/>
    <w:rsid w:val="00F02C23"/>
    <w:rsid w:val="00F05E91"/>
    <w:rsid w:val="00F11F07"/>
    <w:rsid w:val="00F20810"/>
    <w:rsid w:val="00F236B8"/>
    <w:rsid w:val="00F2615A"/>
    <w:rsid w:val="00F30838"/>
    <w:rsid w:val="00F33C3B"/>
    <w:rsid w:val="00F359DC"/>
    <w:rsid w:val="00F35BC4"/>
    <w:rsid w:val="00F40A4F"/>
    <w:rsid w:val="00F40D3B"/>
    <w:rsid w:val="00F419F4"/>
    <w:rsid w:val="00F435BC"/>
    <w:rsid w:val="00F461E2"/>
    <w:rsid w:val="00F549A1"/>
    <w:rsid w:val="00F5539C"/>
    <w:rsid w:val="00F61292"/>
    <w:rsid w:val="00F65FF7"/>
    <w:rsid w:val="00F71F97"/>
    <w:rsid w:val="00F722B3"/>
    <w:rsid w:val="00F76220"/>
    <w:rsid w:val="00F84777"/>
    <w:rsid w:val="00F872AF"/>
    <w:rsid w:val="00F942F2"/>
    <w:rsid w:val="00FA0DBE"/>
    <w:rsid w:val="00FA1E44"/>
    <w:rsid w:val="00FA3CDE"/>
    <w:rsid w:val="00FB229C"/>
    <w:rsid w:val="00FB50F6"/>
    <w:rsid w:val="00FC3CD1"/>
    <w:rsid w:val="00FC7A75"/>
    <w:rsid w:val="00FD0EF3"/>
    <w:rsid w:val="00FD1991"/>
    <w:rsid w:val="00FD63CA"/>
    <w:rsid w:val="00FE0C69"/>
    <w:rsid w:val="00FE102C"/>
    <w:rsid w:val="00FE17BE"/>
    <w:rsid w:val="00FE55EC"/>
    <w:rsid w:val="00FE6D39"/>
    <w:rsid w:val="00FF0427"/>
    <w:rsid w:val="00FF461E"/>
    <w:rsid w:val="024B5021"/>
    <w:rsid w:val="03261F14"/>
    <w:rsid w:val="03464F31"/>
    <w:rsid w:val="043B419E"/>
    <w:rsid w:val="05BC3E4F"/>
    <w:rsid w:val="06725DD7"/>
    <w:rsid w:val="087368F6"/>
    <w:rsid w:val="096765CD"/>
    <w:rsid w:val="09C13552"/>
    <w:rsid w:val="0BD20C5E"/>
    <w:rsid w:val="0C597177"/>
    <w:rsid w:val="0D30581C"/>
    <w:rsid w:val="0DBA6086"/>
    <w:rsid w:val="0E2339EA"/>
    <w:rsid w:val="12B13F6C"/>
    <w:rsid w:val="17865965"/>
    <w:rsid w:val="181E2771"/>
    <w:rsid w:val="18A22447"/>
    <w:rsid w:val="1A4E4854"/>
    <w:rsid w:val="1AC40099"/>
    <w:rsid w:val="1AFF5991"/>
    <w:rsid w:val="1B9B306F"/>
    <w:rsid w:val="1C852E13"/>
    <w:rsid w:val="1EA51939"/>
    <w:rsid w:val="20161BE3"/>
    <w:rsid w:val="20A45CC4"/>
    <w:rsid w:val="21833B2E"/>
    <w:rsid w:val="21B10166"/>
    <w:rsid w:val="21E4271D"/>
    <w:rsid w:val="22D2071E"/>
    <w:rsid w:val="22E23D5F"/>
    <w:rsid w:val="23A76B77"/>
    <w:rsid w:val="24914766"/>
    <w:rsid w:val="277032EF"/>
    <w:rsid w:val="29FC6554"/>
    <w:rsid w:val="2A95661D"/>
    <w:rsid w:val="2AB365DE"/>
    <w:rsid w:val="2AB51A4D"/>
    <w:rsid w:val="2B1C0D4E"/>
    <w:rsid w:val="2B37207D"/>
    <w:rsid w:val="2EB421CE"/>
    <w:rsid w:val="314D7DAF"/>
    <w:rsid w:val="318E5407"/>
    <w:rsid w:val="32D303B6"/>
    <w:rsid w:val="333D65AE"/>
    <w:rsid w:val="34F20658"/>
    <w:rsid w:val="356F4819"/>
    <w:rsid w:val="36530347"/>
    <w:rsid w:val="36603936"/>
    <w:rsid w:val="376D20C5"/>
    <w:rsid w:val="379339B7"/>
    <w:rsid w:val="37E56586"/>
    <w:rsid w:val="38B277EE"/>
    <w:rsid w:val="3917247C"/>
    <w:rsid w:val="39A9086A"/>
    <w:rsid w:val="3A0B4523"/>
    <w:rsid w:val="3B134794"/>
    <w:rsid w:val="3BF17BA4"/>
    <w:rsid w:val="3E442097"/>
    <w:rsid w:val="3EEB714A"/>
    <w:rsid w:val="3FAF2209"/>
    <w:rsid w:val="43736FDA"/>
    <w:rsid w:val="43CB09B4"/>
    <w:rsid w:val="4499704D"/>
    <w:rsid w:val="44A8079E"/>
    <w:rsid w:val="45190634"/>
    <w:rsid w:val="46AE1A82"/>
    <w:rsid w:val="483B581D"/>
    <w:rsid w:val="4C8B4F10"/>
    <w:rsid w:val="4CDA1C71"/>
    <w:rsid w:val="4D0D605F"/>
    <w:rsid w:val="4E425044"/>
    <w:rsid w:val="4ED42344"/>
    <w:rsid w:val="4FF50624"/>
    <w:rsid w:val="516D439E"/>
    <w:rsid w:val="53BF7B07"/>
    <w:rsid w:val="5517653B"/>
    <w:rsid w:val="56427E11"/>
    <w:rsid w:val="56EC6C83"/>
    <w:rsid w:val="57672D6B"/>
    <w:rsid w:val="58C64350"/>
    <w:rsid w:val="58D75C9B"/>
    <w:rsid w:val="59BF156E"/>
    <w:rsid w:val="5DAC218E"/>
    <w:rsid w:val="60FF4367"/>
    <w:rsid w:val="62703BC6"/>
    <w:rsid w:val="653B7BA3"/>
    <w:rsid w:val="656C638E"/>
    <w:rsid w:val="65850355"/>
    <w:rsid w:val="66E84C71"/>
    <w:rsid w:val="69221F4E"/>
    <w:rsid w:val="695D411B"/>
    <w:rsid w:val="6CAC2D05"/>
    <w:rsid w:val="6E2F653D"/>
    <w:rsid w:val="70FB4BE1"/>
    <w:rsid w:val="71752346"/>
    <w:rsid w:val="72DF78BF"/>
    <w:rsid w:val="7351393D"/>
    <w:rsid w:val="742348CA"/>
    <w:rsid w:val="742616ED"/>
    <w:rsid w:val="75274F9B"/>
    <w:rsid w:val="762257BE"/>
    <w:rsid w:val="77331317"/>
    <w:rsid w:val="786304EC"/>
    <w:rsid w:val="78E46FB8"/>
    <w:rsid w:val="7AD34278"/>
    <w:rsid w:val="7CE96285"/>
    <w:rsid w:val="7DB0468E"/>
    <w:rsid w:val="7ED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宋体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黑体"/>
      <w:b/>
      <w:kern w:val="44"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正文文本 (7)"/>
    <w:basedOn w:val="1"/>
    <w:qFormat/>
    <w:uiPriority w:val="0"/>
    <w:pPr>
      <w:spacing w:before="2240" w:after="120"/>
      <w:jc w:val="center"/>
    </w:pPr>
    <w:rPr>
      <w:rFonts w:ascii="宋体" w:hAnsi="宋体" w:eastAsia="宋体" w:cs="宋体"/>
      <w:b/>
      <w:bCs/>
      <w:sz w:val="72"/>
      <w:szCs w:val="72"/>
      <w:lang w:val="zh-CN" w:bidi="zh-CN"/>
    </w:rPr>
  </w:style>
  <w:style w:type="paragraph" w:customStyle="1" w:styleId="13">
    <w:name w:val="正文文本 (6)"/>
    <w:basedOn w:val="1"/>
    <w:qFormat/>
    <w:uiPriority w:val="0"/>
    <w:pPr>
      <w:spacing w:after="5560" w:line="1154" w:lineRule="exact"/>
      <w:jc w:val="center"/>
    </w:pPr>
    <w:rPr>
      <w:rFonts w:ascii="黑体" w:hAnsi="黑体" w:eastAsia="黑体" w:cs="黑体"/>
      <w:b/>
      <w:bCs/>
      <w:sz w:val="72"/>
      <w:szCs w:val="72"/>
      <w:lang w:val="zh-CN" w:bidi="zh-CN"/>
    </w:rPr>
  </w:style>
  <w:style w:type="paragraph" w:customStyle="1" w:styleId="14">
    <w:name w:val="标题 #2"/>
    <w:basedOn w:val="1"/>
    <w:qFormat/>
    <w:uiPriority w:val="0"/>
    <w:pPr>
      <w:spacing w:line="600" w:lineRule="exact"/>
      <w:ind w:firstLine="102"/>
      <w:outlineLvl w:val="1"/>
    </w:pPr>
    <w:rPr>
      <w:rFonts w:ascii="宋体" w:hAnsi="宋体" w:eastAsia="黑体" w:cs="宋体"/>
      <w:b/>
      <w:bCs/>
      <w:sz w:val="32"/>
      <w:szCs w:val="28"/>
      <w:lang w:val="zh-CN" w:bidi="zh-CN"/>
    </w:rPr>
  </w:style>
  <w:style w:type="paragraph" w:customStyle="1" w:styleId="15">
    <w:name w:val="正文文本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16">
    <w:name w:val="正文文本 (3)"/>
    <w:basedOn w:val="1"/>
    <w:qFormat/>
    <w:uiPriority w:val="0"/>
    <w:pPr>
      <w:spacing w:line="624" w:lineRule="exact"/>
      <w:ind w:firstLine="560"/>
    </w:pPr>
    <w:rPr>
      <w:rFonts w:ascii="黑体" w:hAnsi="黑体" w:eastAsia="黑体" w:cs="黑体"/>
      <w:sz w:val="28"/>
      <w:szCs w:val="28"/>
      <w:lang w:val="zh-CN" w:bidi="zh-CN"/>
    </w:rPr>
  </w:style>
  <w:style w:type="paragraph" w:customStyle="1" w:styleId="17">
    <w:name w:val="正文文本 (2)"/>
    <w:basedOn w:val="1"/>
    <w:qFormat/>
    <w:uiPriority w:val="0"/>
    <w:pPr>
      <w:spacing w:line="600" w:lineRule="exact"/>
    </w:pPr>
    <w:rPr>
      <w:rFonts w:ascii="黑体" w:hAnsi="黑体" w:eastAsia="黑体" w:cs="黑体"/>
      <w:sz w:val="32"/>
      <w:szCs w:val="32"/>
      <w:lang w:val="zh-CN" w:bidi="zh-CN"/>
    </w:rPr>
  </w:style>
  <w:style w:type="character" w:customStyle="1" w:styleId="18">
    <w:name w:val="正文文本 (2)_"/>
    <w:basedOn w:val="9"/>
    <w:qFormat/>
    <w:uiPriority w:val="0"/>
    <w:rPr>
      <w:rFonts w:hint="eastAsia" w:ascii="黑体" w:hAnsi="宋体" w:eastAsia="黑体" w:cs="黑体"/>
      <w:sz w:val="32"/>
      <w:szCs w:val="32"/>
      <w:lang w:val="zh-CN" w:eastAsia="zh-CN" w:bidi="zh-CN"/>
    </w:rPr>
  </w:style>
  <w:style w:type="character" w:customStyle="1" w:styleId="19">
    <w:name w:val="纯文本 字符"/>
    <w:basedOn w:val="9"/>
    <w:link w:val="3"/>
    <w:qFormat/>
    <w:uiPriority w:val="99"/>
    <w:rPr>
      <w:rFonts w:ascii="宋体"/>
      <w:kern w:val="2"/>
      <w:sz w:val="21"/>
      <w:szCs w:val="21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411</Words>
  <Characters>2345</Characters>
  <Lines>19</Lines>
  <Paragraphs>5</Paragraphs>
  <TotalTime>86</TotalTime>
  <ScaleCrop>false</ScaleCrop>
  <LinksUpToDate>false</LinksUpToDate>
  <CharactersWithSpaces>2751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2021-03-30T07:31:00Z</dcterms:created>
  <dc:creator>J</dc:creator>
  <cp:lastModifiedBy>Administrator</cp:lastModifiedBy>
  <dcterms:modified xsi:type="dcterms:W3CDTF">2021-09-18T08:01:39Z</dcterms:modified>
  <cp:revision>540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2AE6D1E9CADD439CB7EA8031E0FDFB6E</vt:lpwstr>
  </property>
</Properties>
</file>