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PMingLiU" w:hAnsi="PMingLiU" w:cs="PMingLiU"/>
          <w:b/>
          <w:bCs/>
          <w:sz w:val="72"/>
          <w:szCs w:val="72"/>
          <w:lang w:val="en-US" w:eastAsia="zh-CN"/>
        </w:rPr>
        <w:t>T</w:t>
      </w:r>
      <w:r>
        <w:rPr>
          <w:rFonts w:hint="eastAsia" w:ascii="PMingLiU" w:hAnsi="PMingLiU" w:eastAsia="PMingLiU" w:cs="PMingLiU"/>
          <w:b/>
          <w:bCs/>
          <w:sz w:val="72"/>
          <w:szCs w:val="72"/>
        </w:rPr>
        <w:t>/H</w:t>
      </w:r>
      <w:r>
        <w:rPr>
          <w:rFonts w:hint="eastAsia" w:ascii="PMingLiU" w:hAnsi="PMingLiU" w:cs="PMingLiU"/>
          <w:b/>
          <w:bCs/>
          <w:sz w:val="72"/>
          <w:szCs w:val="72"/>
          <w:lang w:val="en-US" w:eastAsia="zh-CN"/>
        </w:rPr>
        <w:t>BJYH</w:t>
      </w:r>
      <w:r>
        <w:rPr>
          <w:rFonts w:hint="eastAsia" w:ascii="等线" w:hAnsi="等线" w:eastAsia="等线" w:cs="等线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河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金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花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行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协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体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标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准</w:t>
      </w:r>
      <w:r>
        <w:rPr>
          <w:rFonts w:ascii="宋体" w:hAnsi="宋体" w:eastAsia="宋体" w:cs="宋体"/>
          <w:sz w:val="36"/>
          <w:szCs w:val="36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ascii="宋体" w:hAnsi="宋体" w:eastAsia="宋体" w:cs="宋体"/>
          <w:sz w:val="28"/>
          <w:szCs w:val="28"/>
        </w:rPr>
        <w:t>Q/</w:t>
      </w:r>
      <w:r>
        <w:rPr>
          <w:rFonts w:hint="eastAsia" w:ascii="宋体" w:hAnsi="宋体" w:cs="宋体"/>
          <w:sz w:val="28"/>
          <w:szCs w:val="28"/>
          <w:lang w:val="en-US" w:eastAsia="zh-CN"/>
        </w:rPr>
        <w:t>HBJYH</w:t>
      </w:r>
      <w:r>
        <w:rPr>
          <w:rFonts w:ascii="宋体" w:hAnsi="宋体" w:eastAsia="宋体" w:cs="宋体"/>
          <w:sz w:val="28"/>
          <w:szCs w:val="28"/>
        </w:rPr>
        <w:t> 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2-</w:t>
      </w:r>
      <w:r>
        <w:rPr>
          <w:rFonts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144780</wp:posOffset>
                </wp:positionV>
                <wp:extent cx="5417820" cy="19685"/>
                <wp:effectExtent l="0" t="4445" r="11430" b="139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2210" y="2842260"/>
                          <a:ext cx="5417820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1.4pt;height:1.55pt;width:426.6pt;z-index:251660288;mso-width-relative:page;mso-height-relative:page;" filled="f" stroked="t" coordsize="21600,21600" o:gfxdata="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g8tH1gAAAAcBAAAPAAAAAAAAAAEAIAAAACIAAABkcnMvZG93bnJldi54bWxQ&#10;SwECFAAUAAAACACHTuJAcP8YBvkBAADRAwAADgAAAAAAAAABACAAAAAlAQAAZHJzL2Uyb0RvYy54&#10;bWxQSwUGAAAAAAYABgBZAQAAk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菊花抑菌喷剂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208915</wp:posOffset>
                </wp:positionV>
                <wp:extent cx="5269865" cy="19685"/>
                <wp:effectExtent l="0" t="4445" r="6985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2995" y="8849995"/>
                          <a:ext cx="526986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15pt;margin-top:16.45pt;height:1.55pt;width:414.95pt;z-index:251659264;mso-width-relative:page;mso-height-relative:page;" filled="f" stroked="t" coordsize="21600,21600" o:gfxdata="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P5ok1gAAAAgBAAAPAAAAAAAAAAEAIAAAACIAAABkcnMvZG93bnJl&#10;di54bWxQSwECFAAUAAAACACHTuJAyFukqv8BAADZAwAADgAAAAAAAAABACAAAAAlAQAAZHJzL2Uy&#10;b0RvYy54bWxQSwUGAAAAAAYABgBZAQAAl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20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</w:t>
      </w:r>
      <w:r>
        <w:rPr>
          <w:rFonts w:hint="eastAsia" w:ascii="黑体" w:hAnsi="黑体" w:eastAsia="黑体" w:cs="黑体"/>
          <w:sz w:val="24"/>
          <w:szCs w:val="24"/>
        </w:rPr>
        <w:t>发布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20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**实施 </w:t>
      </w:r>
      <w:r>
        <w:rPr>
          <w:rFonts w:hint="eastAsia" w:ascii="黑体" w:hAnsi="黑体" w:eastAsia="黑体" w:cs="黑体"/>
          <w:sz w:val="24"/>
          <w:szCs w:val="24"/>
        </w:rPr>
        <w:br w:type="textWrapping"/>
      </w:r>
    </w:p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布</w:t>
      </w:r>
    </w:p>
    <w:p>
      <w:pPr>
        <w:ind w:firstLine="4216" w:firstLineChars="14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前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z w:val="30"/>
          <w:szCs w:val="30"/>
        </w:rPr>
        <w:t>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本标准</w:t>
      </w:r>
      <w:r>
        <w:rPr>
          <w:rFonts w:hint="eastAsia" w:ascii="宋体" w:hAnsi="宋体" w:eastAsia="宋体" w:cs="宋体"/>
          <w:sz w:val="24"/>
          <w:szCs w:val="24"/>
        </w:rPr>
        <w:t>编制所依据的起草规则为</w:t>
      </w:r>
      <w:r>
        <w:rPr>
          <w:rFonts w:ascii="宋体" w:hAnsi="宋体" w:eastAsia="宋体" w:cs="宋体"/>
          <w:sz w:val="24"/>
          <w:szCs w:val="24"/>
        </w:rPr>
        <w:t>GB/T 1.1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-2020</w:t>
      </w:r>
      <w:r>
        <w:rPr>
          <w:rFonts w:hint="eastAsia" w:ascii="宋体" w:hAnsi="宋体" w:eastAsia="宋体" w:cs="宋体"/>
          <w:sz w:val="24"/>
          <w:szCs w:val="24"/>
        </w:rPr>
        <w:t>《标准化工作导则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部分：标准化</w:t>
      </w:r>
      <w:r>
        <w:rPr>
          <w:rFonts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的结构和编写》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本标准由</w:t>
      </w:r>
      <w:r>
        <w:rPr>
          <w:rFonts w:hint="eastAsia" w:ascii="宋体" w:hAnsi="宋体" w:cs="宋体"/>
          <w:sz w:val="24"/>
          <w:szCs w:val="24"/>
          <w:lang w:eastAsia="zh-CN"/>
        </w:rPr>
        <w:t>巨鹿县市场监督管理局</w:t>
      </w:r>
      <w:r>
        <w:rPr>
          <w:rFonts w:ascii="宋体" w:hAnsi="宋体" w:eastAsia="宋体" w:cs="宋体"/>
          <w:sz w:val="24"/>
          <w:szCs w:val="24"/>
        </w:rPr>
        <w:t>提出。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本标准起草单位：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本标准主要起草人: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菊花抑菌喷剂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1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</w:rPr>
        <w:t>范围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本标准规定了菊花抑菌喷剂的要求、试验方法、检验规则、标志、标签、包装、运输及贮存</w:t>
      </w:r>
      <w:r>
        <w:rPr>
          <w:rFonts w:hint="eastAsia" w:ascii="宋体" w:hAnsi="宋体" w:cs="宋体"/>
          <w:sz w:val="21"/>
          <w:szCs w:val="21"/>
          <w:lang w:eastAsia="zh-CN"/>
        </w:rPr>
        <w:t>、保质期</w:t>
      </w:r>
      <w:r>
        <w:rPr>
          <w:rFonts w:hint="eastAsia" w:ascii="宋体" w:hAnsi="宋体" w:eastAsia="宋体" w:cs="宋体"/>
          <w:sz w:val="21"/>
          <w:szCs w:val="21"/>
        </w:rPr>
        <w:t>。本标准适用于以菊花为原料，经水煮提取、过滤、灭菌、灌装、包装而成的菊花抑菌喷剂。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</w:rPr>
        <w:t>规范性引用文件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下列文件对于本文件的应用是必不可少的。凡是注日期的引用文件，仅注日期的版本适用于本文件。凡是不注日期的引用文件，其最新版本(包括所有的修改单)适用于本文件。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GB/T 191包装储运图示标志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QB/T 2660化妆水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JJF 1070 定量包装商品净含量计量检验规则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《中华人民共和国药典》 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版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《消毒技术规范》卫生部2001年版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《消毒产品标签说明书管理规范》 卫生部2005年版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《定量包装商品计量监督管理办法》国家质量监督检验检疫总局令[2021]第75号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《化妆品安全技术规范》国家食员药品监督管理总局2015年版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3  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3.1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</w:rPr>
        <w:t>原料</w:t>
      </w:r>
    </w:p>
    <w:p>
      <w:pPr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菊花水应符合《中华人民共和国药典》 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版的有关规定。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3.2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</w:rPr>
        <w:t>感官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感官应符合表1的规定。</w:t>
      </w:r>
    </w:p>
    <w:p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形态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色泽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气味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清香味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杂质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无肉眼可见外来杂质，有少量沉淀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3.3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理化指标</w:t>
      </w:r>
    </w:p>
    <w:p>
      <w:pPr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理化指标应符合表2的规定。</w:t>
      </w:r>
    </w:p>
    <w:p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表2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PH值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6.5-7.5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相对密度（20℃/20℃）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1.01-1.03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汞（以Hg计），mg/kg                &lt;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砷(以As计), mg/kg                 &lt;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铅(以Pb计), mg/kg                 &lt;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3.4  微生物指标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微生物指标应符合表3的规定。</w:t>
      </w:r>
    </w:p>
    <w:p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表3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菌落总数，CFU/g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粪大肠菌群,/g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铜绿假单胞菌,/g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金黄色葡萄球菌,/g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不得检出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霉菌及酵母, CFU/g              ≤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3.5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抑菌指标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对金黄色葡萄球菌抑菌环直径&gt;8mm。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对大肠杆菌抑菌环直径&gt;8mm。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对白色念珠菌抑菌环直径&gt;8mm。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3.6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安全性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多次皮肤刺激试验无明显刺激性。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3.7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净含量及允许短缺量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50ml/瓶，也可根据市场需求确定规格，允许短缺量符合《定量包装商品计量监督管理办法》的有关规定。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试验方法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4.1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感官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随机抽取样品50ml,倒入无色烧杯中，在室内自然光下，观察其形态、色泽及杂质，嗅其气味。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4.2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理化指标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 xml:space="preserve">4.2.1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PH 值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按《消毒技术规范》规定的方法进行。</w:t>
      </w:r>
    </w:p>
    <w:p>
      <w:pPr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4.2.2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相对密度</w:t>
      </w:r>
    </w:p>
    <w:p>
      <w:pPr>
        <w:ind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按QB/T 2660规定的方法进行。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4.2.3  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4.2.4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4.2.5铅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4.3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微生物指标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4.3.1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4.3.2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粪大肠杆菌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</w:rPr>
        <w:t>4.3.3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铜绿假单胞菌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4.3.4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金黄 色葡萄球菌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4.3.5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霉菌和酵母菌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按《化妆品安全技术规范》规定的方法进行。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</w:rPr>
        <w:t>4.4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抑菌指标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按《消毒技术规范》规定的方法进行。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4.5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按《消毒技术规范》规定的方法进行。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4.6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稳定性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按《消毒技术规范》规定的方法进行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</w:rPr>
        <w:t>4.7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净含量及允许短缺量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按JJF 1070定量包装商品净含量计量检验规则规定的方法进行。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 xml:space="preserve">5  </w:t>
      </w:r>
      <w:r>
        <w:rPr>
          <w:rFonts w:hint="eastAsia" w:ascii="黑体" w:hAnsi="黑体" w:eastAsia="黑体" w:cs="黑体"/>
        </w:rPr>
        <w:t>检验规则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5.1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组批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2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以每投一次料、同一规格、同一天生产的产品为-批。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lang w:val="en-US" w:eastAsia="zh-CN"/>
        </w:rPr>
        <w:t>5.2  抽样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按3%的比例随机抽样，每次抽样最少不得低于30瓶。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 xml:space="preserve">5.3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default" w:ascii="黑体" w:hAnsi="黑体" w:eastAsia="黑体" w:cs="黑体"/>
          <w:lang w:val="en-US" w:eastAsia="zh-CN"/>
        </w:rPr>
        <w:t>出厂 检验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出厂检验为逐批检验，经检验合格，签发合格证后方可出厂。出厂检验项目为感官、</w:t>
      </w:r>
      <w:r>
        <w:rPr>
          <w:rFonts w:hint="eastAsia"/>
          <w:lang w:val="en-US" w:eastAsia="zh-CN"/>
        </w:rPr>
        <w:t>PH</w:t>
      </w:r>
      <w:r>
        <w:rPr>
          <w:rFonts w:hint="default"/>
          <w:lang w:val="en-US" w:eastAsia="zh-CN"/>
        </w:rPr>
        <w:t>值、细度、水分、菌落总数、净含量及允许短缺量。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5.4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default" w:ascii="黑体" w:hAnsi="黑体" w:eastAsia="黑体" w:cs="黑体"/>
          <w:lang w:val="en-US" w:eastAsia="zh-CN"/>
        </w:rPr>
        <w:t>型式检验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型式检验为本标准规定的所有检验项目，一般情况下每年进行一次，有下列情况之一时也应进行型式检验：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a)产品定型投产时;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b)原材料来源发生重大改变,有可能影响产品质量时;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c)停产三个月以上恢复生产时;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d)出厂检验结果与上次型式检验有较大差异时;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e)国家质量监督机构提出型式检验要求时。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5.5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default" w:ascii="黑体" w:hAnsi="黑体" w:eastAsia="黑体" w:cs="黑体"/>
          <w:lang w:val="en-US" w:eastAsia="zh-CN"/>
        </w:rPr>
        <w:t>判定规则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当检验项目全部符合标准要求时，则判定为合格产品。有一项或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项以上不符合标准要求时，从保留样品中或同批产品再次随机加倍抽取样品进行复检，若结果均符合标准要求时，则判定为合格产品。若仍有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项不符合标准要求时，则判定为不合格产品。微生物指标不合格不得复检。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default" w:ascii="黑体" w:hAnsi="黑体" w:eastAsia="黑体" w:cs="黑体"/>
          <w:lang w:val="en-US" w:eastAsia="zh-CN"/>
        </w:rPr>
        <w:t>标志、标签、包装、运输及贮存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6.1 标志、标签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标志、标签按《消毒产品标签说明书管理规范》的规定执行，应标明产品名称、商标、净含量、企业名称、企业地址、生产日期和批号、保质期、卫生许可证号、执行标准号、有效成分含量、主要植物拉丁文名称、抑制微生物类别、使用方法、注意事项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6.2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default" w:ascii="黑体" w:hAnsi="黑体" w:eastAsia="黑体" w:cs="黑体"/>
          <w:lang w:val="en-US" w:eastAsia="zh-CN"/>
        </w:rPr>
        <w:t>包装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产品内包装采用符合卫生要求的塑料瓶外加纸盒包装，外包装采用瓦楞纸箱。包装储运图示标志符合GB/T 191的规定。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6.3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default" w:ascii="黑体" w:hAnsi="黑体" w:eastAsia="黑体" w:cs="黑体"/>
          <w:lang w:val="en-US" w:eastAsia="zh-CN"/>
        </w:rPr>
        <w:t>运输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产品在运输过程中运输工具应清洁卫生，应注意防雨淋、防晒，搬运时应小心轻放，不得与有毒、有害、有异味等可能对产品产生不良影响的物品混装运输。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6.4 贮存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产品应贮存在清洁卫生、阴凉、干燥、通风的库房内，离地20cm以上,离墙30cm以上，不得与有毒、有害、有异味的物品混存，并掌握先进先出原则。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7  保质期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在上述规定的条件下，自生产之日起，保质期为24个月。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41A62"/>
    <w:rsid w:val="2D841A62"/>
    <w:rsid w:val="4C4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2021-08-13T01:51:00Z</dcterms:created>
  <dc:creator>Administrator</dc:creator>
  <cp:lastModifiedBy>Administrator</cp:lastModifiedBy>
  <dcterms:modified xsi:type="dcterms:W3CDTF">2021-08-14T09:30:00Z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5CE62793E9624F6F9FB6E81EDADC4E55</vt:lpwstr>
  </property>
</Properties>
</file>