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30" w:lineRule="exact"/>
        <w:jc w:val="distribute"/>
        <w:rPr>
          <w:rFonts w:ascii="Times New Roman" w:hAnsi="Times New Roman" w:eastAsia="黑体" w:cs="Times New Roman"/>
          <w:sz w:val="72"/>
          <w:szCs w:val="72"/>
          <w:highlight w:val="none"/>
        </w:rPr>
      </w:pPr>
      <w:r>
        <w:rPr>
          <w:rFonts w:ascii="Times New Roman" w:hAnsi="Times New Roman" w:eastAsia="黑体" w:cs="Times New Roman"/>
          <w:spacing w:val="-73"/>
          <w:sz w:val="72"/>
          <w:szCs w:val="72"/>
          <w:highlight w:val="none"/>
        </w:rPr>
        <w:t>团 体 标 准</w:t>
      </w:r>
    </w:p>
    <w:p>
      <w:pPr>
        <w:pStyle w:val="2"/>
        <w:jc w:val="center"/>
        <w:rPr>
          <w:rFonts w:ascii="Times New Roman" w:hAnsi="Times New Roman" w:cs="Times New Roman"/>
          <w:sz w:val="24"/>
          <w:highlight w:val="none"/>
        </w:rPr>
      </w:pPr>
    </w:p>
    <w:p>
      <w:pPr>
        <w:pStyle w:val="6"/>
        <w:ind w:firstLine="6184" w:firstLineChars="2200"/>
        <w:rPr>
          <w:rFonts w:ascii="Times New Roman" w:hAnsi="Times New Roman" w:cs="Times New Roman"/>
          <w:sz w:val="24"/>
          <w:highlight w:val="none"/>
          <w:lang w:val="en-US"/>
        </w:rPr>
      </w:pPr>
      <w:r>
        <w:rPr>
          <w:rFonts w:ascii="Times New Roman" w:hAnsi="Times New Roman" w:eastAsia="黑体" w:cs="Times New Roman"/>
          <w:b/>
          <w:bCs/>
          <w:sz w:val="28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431800</wp:posOffset>
                </wp:positionV>
                <wp:extent cx="58293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pt;margin-top:34pt;height:0.05pt;width:459pt;z-index:251658240;mso-width-relative:page;mso-height-relative:page;" filled="f" stroked="t" coordsize="21600,21600" o:gfxdata="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GZr/XWAAAACQEAAA8A&#10;AAAAAAAAAQAgAAAAIgAAAGRycy9kb3ducmV2LnhtbFBLAQIUABQAAAAIAIdO4kCdfOIx4AEAAKY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 w:cs="Times New Roman"/>
          <w:b/>
          <w:bCs/>
          <w:sz w:val="28"/>
          <w:szCs w:val="22"/>
          <w:highlight w:val="none"/>
        </w:rPr>
        <w:t>T/YNCXXH</w:t>
      </w:r>
      <w:r>
        <w:rPr>
          <w:rFonts w:ascii="Times New Roman" w:hAnsi="Times New Roman" w:eastAsia="黑体" w:cs="Times New Roman"/>
          <w:sz w:val="28"/>
          <w:szCs w:val="22"/>
          <w:highlight w:val="none"/>
          <w:lang w:val="en-US"/>
        </w:rPr>
        <w:t xml:space="preserve"> ***-202</w:t>
      </w:r>
      <w:r>
        <w:rPr>
          <w:rFonts w:hint="eastAsia" w:ascii="Times New Roman" w:hAnsi="Times New Roman" w:eastAsia="黑体" w:cs="Times New Roman"/>
          <w:sz w:val="28"/>
          <w:szCs w:val="22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2"/>
          <w:highlight w:val="none"/>
          <w:lang w:val="en-US"/>
        </w:rPr>
        <w:t xml:space="preserve">   </w:t>
      </w:r>
      <w:r>
        <w:rPr>
          <w:rFonts w:ascii="Times New Roman" w:hAnsi="Times New Roman" w:cs="Times New Roman"/>
          <w:sz w:val="24"/>
          <w:highlight w:val="none"/>
          <w:lang w:val="en-US"/>
        </w:rPr>
        <w:t xml:space="preserve">  </w:t>
      </w: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pStyle w:val="7"/>
      </w:pPr>
      <w:r>
        <w:rPr>
          <w:rFonts w:hint="eastAsia" w:ascii="黑体"/>
        </w:rPr>
        <w:t>202</w:t>
      </w:r>
      <w:r>
        <w:rPr>
          <w:rFonts w:hint="eastAsia" w:ascii="黑体"/>
          <w:lang w:val="en-US" w:eastAsia="zh-CN"/>
        </w:rPr>
        <w:t>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**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**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59264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8.5pt;height:0pt;width:481.9pt;mso-position-vertical-relative:page;z-index:251659264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WHazzWAAAACwEAAA8AAAAA&#10;AAAAAQAgAAAAIgAAAGRycy9kb3ducmV2LnhtbFBLAQIUABQAAAAIAIdO4kCCtDLg3QEAAKQ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9"/>
      </w:pPr>
      <w:r>
        <w:rPr>
          <w:rFonts w:hint="eastAsia" w:ascii="黑体"/>
        </w:rPr>
        <w:t>202</w:t>
      </w:r>
      <w:r>
        <w:rPr>
          <w:rFonts w:hint="eastAsia" w:ascii="黑体"/>
          <w:lang w:val="en-US" w:eastAsia="zh-CN"/>
        </w:rPr>
        <w:t>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**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**</w:t>
      </w:r>
      <w:r>
        <w:rPr>
          <w:rFonts w:hint="eastAsia"/>
        </w:rPr>
        <w:t>实施</w:t>
      </w:r>
    </w:p>
    <w:p>
      <w:pPr>
        <w:pStyle w:val="11"/>
      </w:pPr>
      <w:r>
        <w:rPr>
          <w:rFonts w:hint="eastAsia"/>
        </w:rPr>
        <w:t>沂南县</w:t>
      </w:r>
      <w:r>
        <w:rPr>
          <w:rFonts w:hint="eastAsia"/>
          <w:lang w:eastAsia="zh-CN"/>
        </w:rPr>
        <w:t>农产品产销协会</w:t>
      </w:r>
      <w:r>
        <w:rPr>
          <w:rFonts w:hint="eastAsia"/>
          <w:lang w:val="en-US" w:eastAsia="zh-CN"/>
        </w:rPr>
        <w:t xml:space="preserve"> </w:t>
      </w:r>
      <w:r>
        <w:rPr>
          <w:rStyle w:val="13"/>
          <w:rFonts w:hint="eastAsia"/>
        </w:rPr>
        <w:t>发布</w:t>
      </w:r>
    </w:p>
    <w:p>
      <w:pPr>
        <w:pStyle w:val="2"/>
        <w:jc w:val="center"/>
        <w:rPr>
          <w:rFonts w:ascii="Times New Roman" w:hAnsi="Times New Roman" w:cs="Times New Roman"/>
          <w:sz w:val="24"/>
          <w:highlight w:val="none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pStyle w:val="14"/>
        <w:framePr w:x="1149" w:y="499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Lines="50" w:after="156" w:afterLines="50"/>
        <w:rPr>
          <w:rFonts w:hint="eastAsia" w:ascii="Times New Roman"/>
          <w:szCs w:val="22"/>
        </w:rPr>
      </w:pP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ab/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沂南县设施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芹菜</w:t>
      </w:r>
      <w:r>
        <w:rPr>
          <w:rFonts w:hint="eastAsia" w:ascii="方正小标宋简体" w:hAnsi="Times New Roman" w:eastAsia="方正小标宋简体" w:cs="Times New Roman"/>
          <w:sz w:val="44"/>
          <w:szCs w:val="44"/>
          <w:lang w:eastAsia="zh-CN"/>
        </w:rPr>
        <w:t>标准化种植技术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规程</w:t>
      </w:r>
    </w:p>
    <w:p>
      <w:pPr>
        <w:pStyle w:val="14"/>
        <w:framePr w:x="1149" w:y="4998"/>
        <w:spacing w:before="156" w:beforeLines="50" w:after="156" w:afterLines="50"/>
        <w:rPr>
          <w:rFonts w:hint="eastAsia" w:ascii="Times New Roma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>（征求意见稿）</w:t>
      </w:r>
    </w:p>
    <w:p>
      <w:pPr>
        <w:pStyle w:val="14"/>
        <w:framePr w:x="1149" w:y="4998"/>
        <w:spacing w:before="156" w:beforeLines="50" w:after="156" w:afterLines="50"/>
        <w:rPr>
          <w:rFonts w:hint="eastAsia" w:ascii="Times New Roman"/>
          <w:szCs w:val="22"/>
          <w:lang w:val="en-US" w:eastAsia="zh-CN"/>
        </w:rPr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15"/>
        <w:ind w:firstLine="320" w:firstLineChars="100"/>
        <w:jc w:val="center"/>
        <w:rPr>
          <w:rFonts w:hint="eastAsia"/>
        </w:rPr>
      </w:pPr>
      <w:r>
        <w:rPr>
          <w:rFonts w:hint="eastAsia"/>
        </w:rPr>
        <w:t>前</w:t>
      </w:r>
      <w:bookmarkStart w:id="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0"/>
    </w:p>
    <w:p>
      <w:pPr>
        <w:pStyle w:val="16"/>
        <w:ind w:firstLine="420" w:firstLineChars="200"/>
        <w:jc w:val="both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本标准按照G</w:t>
      </w:r>
      <w:r>
        <w:rPr>
          <w:rFonts w:ascii="宋体" w:hAnsi="宋体" w:cs="宋体"/>
          <w:color w:val="auto"/>
          <w:sz w:val="21"/>
          <w:szCs w:val="21"/>
        </w:rPr>
        <w:t>B/T 1.1</w:t>
      </w:r>
      <w:r>
        <w:rPr>
          <w:rFonts w:hint="eastAsia" w:ascii="宋体" w:hAnsi="宋体" w:cs="宋体"/>
          <w:color w:val="auto"/>
          <w:sz w:val="21"/>
          <w:szCs w:val="21"/>
        </w:rPr>
        <w:t>-</w:t>
      </w:r>
      <w:r>
        <w:rPr>
          <w:rFonts w:ascii="宋体" w:hAnsi="宋体" w:cs="宋体"/>
          <w:color w:val="auto"/>
          <w:sz w:val="21"/>
          <w:szCs w:val="21"/>
        </w:rPr>
        <w:t>2020</w:t>
      </w:r>
      <w:r>
        <w:rPr>
          <w:rFonts w:hint="eastAsia" w:ascii="宋体" w:hAnsi="宋体" w:cs="宋体"/>
          <w:color w:val="auto"/>
          <w:sz w:val="21"/>
          <w:szCs w:val="21"/>
        </w:rPr>
        <w:t>给出</w:t>
      </w:r>
      <w:bookmarkStart w:id="1" w:name="_GoBack"/>
      <w:bookmarkEnd w:id="1"/>
      <w:r>
        <w:rPr>
          <w:rFonts w:hint="eastAsia" w:ascii="宋体" w:hAnsi="宋体" w:cs="宋体"/>
          <w:color w:val="auto"/>
          <w:sz w:val="21"/>
          <w:szCs w:val="21"/>
        </w:rPr>
        <w:t>的规则起草。</w:t>
      </w:r>
    </w:p>
    <w:p>
      <w:pPr>
        <w:pStyle w:val="16"/>
        <w:ind w:firstLine="420" w:firstLineChars="200"/>
        <w:jc w:val="both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本标准由沂南县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农产品产销</w:t>
      </w:r>
      <w:r>
        <w:rPr>
          <w:rFonts w:hint="eastAsia" w:ascii="宋体" w:hAnsi="宋体" w:cs="宋体"/>
          <w:color w:val="auto"/>
          <w:sz w:val="21"/>
          <w:szCs w:val="21"/>
        </w:rPr>
        <w:t>协会提出并归口。</w:t>
      </w:r>
    </w:p>
    <w:p>
      <w:pPr>
        <w:pStyle w:val="16"/>
        <w:ind w:firstLine="420" w:firstLineChars="200"/>
        <w:jc w:val="both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/>
          <w:color w:val="auto"/>
          <w:sz w:val="21"/>
          <w:szCs w:val="21"/>
        </w:rPr>
        <w:t>本规程起草单位：</w:t>
      </w:r>
      <w:r>
        <w:rPr>
          <w:rFonts w:ascii="宋体" w:cs="宋体"/>
          <w:color w:val="auto"/>
          <w:sz w:val="21"/>
          <w:szCs w:val="21"/>
        </w:rPr>
        <w:t>沂南县</w:t>
      </w:r>
      <w:r>
        <w:rPr>
          <w:rFonts w:hint="eastAsia" w:ascii="宋体" w:cs="宋体"/>
          <w:color w:val="auto"/>
          <w:sz w:val="21"/>
          <w:szCs w:val="21"/>
          <w:lang w:eastAsia="zh-CN"/>
        </w:rPr>
        <w:t>农业技术推广中心、沂南县汇鑫家庭农场</w:t>
      </w:r>
      <w:r>
        <w:rPr>
          <w:rFonts w:ascii="宋体" w:hAnsi="宋体" w:cs="宋体"/>
          <w:color w:val="auto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lang w:val="en-US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ascii="宋体" w:hAnsi="宋体" w:cs="宋体"/>
          <w:szCs w:val="21"/>
        </w:rPr>
        <w:t>本</w:t>
      </w:r>
      <w:r>
        <w:rPr>
          <w:rFonts w:hint="eastAsia" w:ascii="宋体" w:hAnsi="宋体" w:cs="宋体"/>
          <w:szCs w:val="21"/>
        </w:rPr>
        <w:t>规程</w:t>
      </w:r>
      <w:r>
        <w:rPr>
          <w:rFonts w:ascii="宋体" w:hAnsi="宋体" w:cs="宋体"/>
          <w:szCs w:val="21"/>
        </w:rPr>
        <w:t>主要起草人：</w:t>
      </w:r>
      <w:r>
        <w:rPr>
          <w:rFonts w:hint="eastAsia" w:ascii="宋体" w:hAnsi="宋体" w:cs="宋体"/>
          <w:szCs w:val="21"/>
          <w:lang w:eastAsia="zh-CN"/>
        </w:rPr>
        <w:t>张磊</w:t>
      </w:r>
      <w:r>
        <w:rPr>
          <w:rFonts w:hint="eastAsia" w:ascii="宋体" w:hAnsi="宋体" w:cs="宋体"/>
          <w:szCs w:val="21"/>
          <w:lang w:val="en-US" w:eastAsia="zh-CN"/>
        </w:rPr>
        <w:t>、郑树功、王玉春、刘召部、邵明朋、魏文杰、刘新庆</w:t>
      </w:r>
    </w:p>
    <w:p>
      <w:pPr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沂南县设施</w:t>
      </w:r>
      <w:r>
        <w:rPr>
          <w:rFonts w:hint="eastAsia" w:ascii="黑体" w:hAnsi="黑体" w:eastAsia="黑体" w:cs="黑体"/>
          <w:sz w:val="36"/>
          <w:szCs w:val="36"/>
        </w:rPr>
        <w:t>芹菜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标准化种植技术</w:t>
      </w:r>
      <w:r>
        <w:rPr>
          <w:rFonts w:hint="eastAsia" w:ascii="黑体" w:hAnsi="黑体" w:eastAsia="黑体" w:cs="黑体"/>
          <w:sz w:val="36"/>
          <w:szCs w:val="36"/>
        </w:rPr>
        <w:t>规程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 范围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本规程适用于沂南县芹菜在塑料拱棚、塑料大棚、日光温室等保护设施内的生产。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 规范性引用文件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凡是注日期的引用文件,仅往日期的版本适用于本文件凡是不往日期的引用文件,其最新版本(包括所有的修改单)适用于本文件。 </w:t>
      </w: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G 2763食品安全国标准 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GB / T 8231(所有都分》农药合理使用准则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GB 16715.5瓜菜作物种子第5部分绿叶蔬菜 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NY / T 391绿色食品产地环境质量 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NY /T496肥料合理使用准则通则 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NY 525有机肥料 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NY / T580芹菜 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中华人民共和国农业部公告第199号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 产地环境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</w:t>
      </w:r>
      <w:r>
        <w:rPr>
          <w:rFonts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产地条件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设施芹菜产地土壤、灌溉水及大气等环境条件，应符合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NY / T 391的规定。并要求土壤疏松、肥沃。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numPr>
          <w:ilvl w:val="0"/>
          <w:numId w:val="0"/>
        </w:numPr>
        <w:ind w:leftChars="0"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3.2</w:t>
      </w:r>
      <w:r>
        <w:rPr>
          <w:rFonts w:ascii="Times New Roman" w:hAnsi="Times New Roman" w:eastAsia="仿宋_GB2312" w:cs="Times New Roman"/>
          <w:sz w:val="30"/>
          <w:szCs w:val="30"/>
        </w:rPr>
        <w:t>轮作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播种前清除病残体，深翻整地减少菌原，重病地实行2-3年轮作。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4 </w:t>
      </w:r>
      <w:r>
        <w:rPr>
          <w:rFonts w:ascii="Times New Roman" w:hAnsi="Times New Roman" w:eastAsia="仿宋_GB2312" w:cs="Times New Roman"/>
          <w:sz w:val="30"/>
          <w:szCs w:val="30"/>
        </w:rPr>
        <w:t>选用抗病品种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常规品种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选用优质、抗病、适应性广、叶柄黄绿色、实心的本地芹或西芹品种。</w:t>
      </w:r>
      <w:r>
        <w:rPr>
          <w:rFonts w:ascii="Times New Roman" w:hAnsi="Times New Roman" w:eastAsia="仿宋_GB2312" w:cs="Times New Roman"/>
          <w:sz w:val="30"/>
          <w:szCs w:val="30"/>
        </w:rPr>
        <w:t>如津南实芹1号、美国西芹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等</w:t>
      </w:r>
      <w:r>
        <w:rPr>
          <w:rFonts w:ascii="Times New Roman" w:hAnsi="Times New Roman" w:eastAsia="仿宋_GB2312" w:cs="Times New Roman"/>
          <w:sz w:val="30"/>
          <w:szCs w:val="30"/>
        </w:rPr>
        <w:t>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5 茬口安排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沂南县芹菜在塑料拱棚、塑料大棚、日光温室等保护设施内栽培茬口见表1。</w:t>
      </w:r>
    </w:p>
    <w:p>
      <w:pPr>
        <w:jc w:val="center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表1 常见设施芹菜栽培茬口安排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24"/>
        <w:gridCol w:w="2436"/>
        <w:gridCol w:w="1816"/>
        <w:gridCol w:w="24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茬口</w:t>
            </w:r>
          </w:p>
        </w:tc>
        <w:tc>
          <w:tcPr>
            <w:tcW w:w="243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播种期</w:t>
            </w:r>
          </w:p>
        </w:tc>
        <w:tc>
          <w:tcPr>
            <w:tcW w:w="181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定植期</w:t>
            </w:r>
          </w:p>
        </w:tc>
        <w:tc>
          <w:tcPr>
            <w:tcW w:w="244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收获期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拱棚秋冬茬</w:t>
            </w:r>
          </w:p>
        </w:tc>
        <w:tc>
          <w:tcPr>
            <w:tcW w:w="243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中下/6月-7月上</w:t>
            </w:r>
          </w:p>
        </w:tc>
        <w:tc>
          <w:tcPr>
            <w:tcW w:w="181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上中/8月</w:t>
            </w:r>
          </w:p>
        </w:tc>
        <w:tc>
          <w:tcPr>
            <w:tcW w:w="244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10月中下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24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大棚秋冬茬</w:t>
            </w:r>
          </w:p>
        </w:tc>
        <w:tc>
          <w:tcPr>
            <w:tcW w:w="243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7月上</w:t>
            </w:r>
          </w:p>
        </w:tc>
        <w:tc>
          <w:tcPr>
            <w:tcW w:w="181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8月中下</w:t>
            </w:r>
          </w:p>
        </w:tc>
        <w:tc>
          <w:tcPr>
            <w:tcW w:w="2446" w:type="dxa"/>
          </w:tcPr>
          <w:p>
            <w:pP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30"/>
                <w:szCs w:val="30"/>
                <w:vertAlign w:val="baseline"/>
                <w:lang w:val="en-US" w:eastAsia="zh-CN"/>
              </w:rPr>
              <w:t>10月下-11月上</w:t>
            </w:r>
          </w:p>
        </w:tc>
      </w:tr>
    </w:tbl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培育壮苗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.1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种子要求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种子应符合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GB 16715.5的要求。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6.2</w:t>
      </w:r>
      <w:r>
        <w:rPr>
          <w:rFonts w:ascii="Times New Roman" w:hAnsi="Times New Roman" w:eastAsia="仿宋_GB2312" w:cs="Times New Roman"/>
          <w:sz w:val="30"/>
          <w:szCs w:val="30"/>
        </w:rPr>
        <w:t>苗床准备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播前结合翻地，每平方米苗床施腐熟过筛的农家肥15kg，磷酸二铵25g，并用50％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甲基硫菌灵可湿性粉剂</w:t>
      </w:r>
      <w:r>
        <w:rPr>
          <w:rFonts w:ascii="Times New Roman" w:hAnsi="Times New Roman" w:eastAsia="仿宋_GB2312" w:cs="Times New Roman"/>
          <w:sz w:val="30"/>
          <w:szCs w:val="30"/>
        </w:rPr>
        <w:t>5g或50％多菌灵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可湿性粉剂</w:t>
      </w:r>
      <w:r>
        <w:rPr>
          <w:rFonts w:ascii="Times New Roman" w:hAnsi="Times New Roman" w:eastAsia="仿宋_GB2312" w:cs="Times New Roman"/>
          <w:sz w:val="30"/>
          <w:szCs w:val="30"/>
        </w:rPr>
        <w:t>10g进行土壤消毒，整平畦面，苗床上铺15cm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20cm厚的营养土（用1份过筛的腐熟的农家肥与2份过筛的肥沃园土配制成营养土，每立方米营养土加过磷酸钙1kg或磷酸二铵0.5kg，枯草芽孢杆菌菌肥2 kg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-</w:t>
      </w:r>
      <w:r>
        <w:rPr>
          <w:rFonts w:ascii="Times New Roman" w:hAnsi="Times New Roman" w:eastAsia="仿宋_GB2312" w:cs="Times New Roman"/>
          <w:sz w:val="30"/>
          <w:szCs w:val="30"/>
        </w:rPr>
        <w:t>3kg）。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.3 </w:t>
      </w:r>
      <w:r>
        <w:rPr>
          <w:rFonts w:ascii="Times New Roman" w:hAnsi="Times New Roman" w:eastAsia="仿宋_GB2312" w:cs="Times New Roman"/>
          <w:sz w:val="30"/>
          <w:szCs w:val="30"/>
        </w:rPr>
        <w:t>种子消毒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温汤浸种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：</w:t>
      </w:r>
      <w:r>
        <w:rPr>
          <w:rFonts w:ascii="Times New Roman" w:hAnsi="Times New Roman" w:eastAsia="仿宋_GB2312" w:cs="Times New Roman"/>
          <w:sz w:val="30"/>
          <w:szCs w:val="30"/>
        </w:rPr>
        <w:t>将种子放入55</w:t>
      </w:r>
      <w:r>
        <w:rPr>
          <w:rFonts w:hint="eastAsia" w:ascii="宋体" w:hAnsi="宋体" w:eastAsia="宋体" w:cs="宋体"/>
          <w:sz w:val="30"/>
          <w:szCs w:val="30"/>
        </w:rPr>
        <w:t>℃</w:t>
      </w:r>
      <w:r>
        <w:rPr>
          <w:rFonts w:ascii="Times New Roman" w:hAnsi="Times New Roman" w:eastAsia="仿宋_GB2312" w:cs="Times New Roman"/>
          <w:sz w:val="30"/>
          <w:szCs w:val="30"/>
        </w:rPr>
        <w:t>温水中，即2份开水对1份凉水，不断搅拌15分钟，自然冷却降温后，浸种4至6小时；或直接采用55</w:t>
      </w:r>
      <w:r>
        <w:rPr>
          <w:rFonts w:hint="eastAsia" w:ascii="宋体" w:hAnsi="宋体" w:eastAsia="宋体" w:cs="宋体"/>
          <w:sz w:val="30"/>
          <w:szCs w:val="30"/>
        </w:rPr>
        <w:t>℃</w:t>
      </w:r>
      <w:r>
        <w:rPr>
          <w:rFonts w:ascii="Times New Roman" w:hAnsi="Times New Roman" w:eastAsia="仿宋_GB2312" w:cs="Times New Roman"/>
          <w:sz w:val="30"/>
          <w:szCs w:val="30"/>
        </w:rPr>
        <w:t>温水浸泡种子不断搅拌，随着温度降低不断加入热水使水温稳定在53-56</w:t>
      </w:r>
      <w:r>
        <w:rPr>
          <w:rFonts w:hint="eastAsia" w:ascii="宋体" w:hAnsi="宋体" w:eastAsia="宋体" w:cs="宋体"/>
          <w:sz w:val="30"/>
          <w:szCs w:val="30"/>
        </w:rPr>
        <w:t>℃</w:t>
      </w:r>
      <w:r>
        <w:rPr>
          <w:rFonts w:ascii="Times New Roman" w:hAnsi="Times New Roman" w:eastAsia="仿宋_GB2312" w:cs="Times New Roman"/>
          <w:sz w:val="30"/>
          <w:szCs w:val="30"/>
        </w:rPr>
        <w:t>之间维持15-30分钟。55</w:t>
      </w:r>
      <w:r>
        <w:rPr>
          <w:rFonts w:hint="eastAsia" w:ascii="宋体" w:hAnsi="宋体" w:eastAsia="宋体" w:cs="宋体"/>
          <w:sz w:val="30"/>
          <w:szCs w:val="30"/>
        </w:rPr>
        <w:t>℃</w:t>
      </w:r>
      <w:r>
        <w:rPr>
          <w:rFonts w:ascii="Times New Roman" w:hAnsi="Times New Roman" w:eastAsia="仿宋_GB2312" w:cs="Times New Roman"/>
          <w:sz w:val="30"/>
          <w:szCs w:val="30"/>
        </w:rPr>
        <w:t>为病菌的致死温度，浸烫种子后，可基本杀死种子表面传带的病菌。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6.4种子催芽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种子经浸种、淘洗后，沥净水分，用纱布包好置于18℃~23℃的条件下保温、保湿催芽。当种子30%漏白时即可播种。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穴盘育苗采用机械化精播时，先把经过浸种、淘洗的种子沥净水分、放到沙布上，种子层厚度不超过2cm ，把种子包好后装入塑料袋内，扎严塑料袋口，放入10℃的冰箱内进行保湿低温处理，其间每隔2d~3d检查一次，发现种子发黏时，进行淘洗，热后继续低温处理。经过10 d 低温处理后，把种子晾散，即可直接上机播种。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6.5播种时间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常见设施芹菜育苗播种时间，参见本标准中表1常见设施芹菜栽培茬口安排的规定。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6.6播种量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采用平畦撒播育苗，本地芹每亩苗床用种量为150 g ~250g，西芹每亩苗床用种量为20 g ~25g。采用穴盘机械化精量播种育苗，采用288孔穴盘，播种1000盘，约需种子150g。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6.7播种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采用土壤育苗，播前在播种畦内浇底水，育苗床土上保持3 cm ~5 cm 静水层，待水下渗后，把催芽的种子等分成与播种畦相等的份数，每个育苗畦内的种子，按种子体积1:200比例掺细沙或细潮土并与种子混均匀，在畦内往返3次均匀撒播于育苗畦内。播后覆土，再在苗床表面覆盖杀菌土，杀菌土采用25%甲霜灵可湿性粉剂与70%代森锰锌可湿性粉剂按9:1混合而成，按每平方米苗床用混合合杀菌剂3g~5g与1kg ~2kg过筛细土混合,均匀撒在苗床表面，覆土总厚度0.3cm~0.5 cm。播种后出苗前，每667m</w:t>
      </w:r>
      <w:r>
        <w:rPr>
          <w:rFonts w:hint="eastAsia" w:ascii="Times New Roman" w:hAnsi="Times New Roman" w:eastAsia="仿宋_GB2312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vertAlign w:val="baseline"/>
          <w:lang w:val="en-US" w:eastAsia="zh-CN"/>
        </w:rPr>
        <w:t>苗床用33%二甲戊灵150ml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~200ml，兑水15 kg~20 kg，均匀喷酒于苗床表面，防止苗期草害。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7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精耕施肥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定植前进行土壤深耕，深翻25cm，整平耙实。施足基肥：播前结合耕翻地每667m</w:t>
      </w:r>
      <w:r>
        <w:rPr>
          <w:rFonts w:ascii="Times New Roman" w:hAnsi="Times New Roman" w:eastAsia="仿宋_GB2312" w:cs="Times New Roman"/>
          <w:sz w:val="30"/>
          <w:szCs w:val="30"/>
          <w:vertAlign w:val="superscript"/>
        </w:rPr>
        <w:t xml:space="preserve">2 </w:t>
      </w:r>
      <w:r>
        <w:rPr>
          <w:rFonts w:ascii="Times New Roman" w:hAnsi="Times New Roman" w:eastAsia="仿宋_GB2312" w:cs="Times New Roman"/>
          <w:sz w:val="30"/>
          <w:szCs w:val="30"/>
        </w:rPr>
        <w:t>撒施有机肥4000 kg～5000kg，纯N 3.6 kg，P</w:t>
      </w:r>
      <w:r>
        <w:rPr>
          <w:rFonts w:ascii="Times New Roman" w:hAnsi="Times New Roman" w:eastAsia="仿宋_GB2312" w:cs="Times New Roman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O</w:t>
      </w:r>
      <w:r>
        <w:rPr>
          <w:rFonts w:ascii="Times New Roman" w:hAnsi="Times New Roman" w:eastAsia="仿宋_GB2312" w:cs="Times New Roman"/>
          <w:sz w:val="30"/>
          <w:szCs w:val="30"/>
          <w:vertAlign w:val="subscript"/>
        </w:rPr>
        <w:t>5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6.0 kg，K</w:t>
      </w:r>
      <w:r>
        <w:rPr>
          <w:rFonts w:ascii="Times New Roman" w:hAnsi="Times New Roman" w:eastAsia="仿宋_GB2312" w:cs="Times New Roman"/>
          <w:sz w:val="30"/>
          <w:szCs w:val="30"/>
          <w:vertAlign w:val="subscript"/>
        </w:rPr>
        <w:t>2</w:t>
      </w:r>
      <w:r>
        <w:rPr>
          <w:rFonts w:ascii="Times New Roman" w:hAnsi="Times New Roman" w:eastAsia="仿宋_GB2312" w:cs="Times New Roman"/>
          <w:sz w:val="30"/>
          <w:szCs w:val="30"/>
        </w:rPr>
        <w:t>O 4.8 kg - 7.2 kg 。有机肥宜采用充分沤制和腐熟的农家肥。亩施枯草芽孢杆菌菌肥40公斤。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整平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细耙，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做畦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宽畦1.2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m</w:t>
      </w:r>
      <w:r>
        <w:rPr>
          <w:rFonts w:ascii="Times New Roman" w:hAnsi="Times New Roman" w:eastAsia="仿宋_GB2312" w:cs="Times New Roman"/>
          <w:sz w:val="30"/>
          <w:szCs w:val="30"/>
        </w:rPr>
        <w:t>～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5m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。施用肥料要符合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NY /T 496、NY 525的要求。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8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ascii="Times New Roman" w:hAnsi="Times New Roman" w:eastAsia="仿宋_GB2312" w:cs="Times New Roman"/>
          <w:sz w:val="30"/>
          <w:szCs w:val="30"/>
        </w:rPr>
        <w:t>土壤消毒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根结线虫病发病重的地块，可利用太阳能消毒。即在夏季高温季节，深翻地25cm，撒施500kg切碎的稻草或麦秸，加入100kg氰胺化钙，混匀后起垄，覆膜，膜下灌水，保持20天。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9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定植 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.1定植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期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常见设施芹菜育苗播种时间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参见本标准表1设施芹菜载培季节与茬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口。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.2定植密度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本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芹类品种定植密度为:250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00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~35000株/667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行距15 cm ,株距13 c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~18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cm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西芹类品种定植密度为:10000~20000株/667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行距25 cm ,株距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15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cm ~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27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cm。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.3定植深度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定植时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做到“深不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心,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浅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不露根”。定植水渗完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后，埋土深度与苗床入土深度一致，心叶漏出地面。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10 </w:t>
      </w:r>
      <w:r>
        <w:rPr>
          <w:rFonts w:ascii="Times New Roman" w:hAnsi="Times New Roman" w:eastAsia="仿宋_GB2312" w:cs="Times New Roman"/>
          <w:sz w:val="30"/>
          <w:szCs w:val="30"/>
        </w:rPr>
        <w:t>免疫诱抗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选择无病虫苗进行移栽。在定植完缓苗后，间隔10-15天，采用叶片喷施的方法，连续施用5%氨基寡糖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素</w:t>
      </w:r>
      <w:r>
        <w:rPr>
          <w:rFonts w:ascii="Times New Roman" w:hAnsi="Times New Roman" w:eastAsia="仿宋_GB2312" w:cs="Times New Roman"/>
          <w:sz w:val="30"/>
          <w:szCs w:val="30"/>
        </w:rPr>
        <w:t>水剂1000倍液3-4次，可达到促进作物生长、抗病、抗逆、提高产量和改善品质的效果。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1 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病虫害综合防治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11.1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农业防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治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选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用抗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病品种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培育适龄壮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苗；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增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施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腐熟有机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肥，采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测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土配方施肥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通过放风控制设施环境湿度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及时清洁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田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园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；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实行与非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伞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形花科作物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间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隔3年以上的轮作制度。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1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1.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2生物防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治</w:t>
      </w:r>
    </w:p>
    <w:p>
      <w:pPr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虫可用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瓢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虫、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茧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蜂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蜘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蛛、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草蛉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、食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蝇等天敌防治。</w:t>
      </w:r>
    </w:p>
    <w:p>
      <w:pPr>
        <w:ind w:firstLine="600" w:firstLineChars="200"/>
        <w:rPr>
          <w:rFonts w:ascii="Times New Roman" w:hAnsi="Times New Roman" w:eastAsia="仿宋_GB2312" w:cs="Times New Roman"/>
          <w:color w:val="000000"/>
          <w:sz w:val="30"/>
          <w:szCs w:val="30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11. 3物理防治</w:t>
      </w:r>
    </w:p>
    <w:p>
      <w:pPr>
        <w:spacing w:line="360" w:lineRule="auto"/>
        <w:ind w:firstLine="600" w:firstLineChars="200"/>
        <w:rPr>
          <w:rFonts w:ascii="Times New Roman" w:hAnsi="Times New Roman" w:eastAsia="仿宋_GB2312" w:cs="Times New Roman"/>
          <w:sz w:val="30"/>
          <w:szCs w:val="30"/>
        </w:rPr>
      </w:pPr>
      <w:r>
        <w:rPr>
          <w:rFonts w:ascii="Times New Roman" w:hAnsi="Times New Roman" w:eastAsia="仿宋_GB2312" w:cs="Times New Roman"/>
          <w:sz w:val="30"/>
          <w:szCs w:val="30"/>
        </w:rPr>
        <w:t>设施栽培可铺设或悬挂银灰膜驱避蚜虫等害虫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，</w:t>
      </w:r>
      <w:r>
        <w:rPr>
          <w:rFonts w:ascii="Times New Roman" w:hAnsi="Times New Roman" w:eastAsia="仿宋_GB2312" w:cs="Times New Roman"/>
          <w:sz w:val="30"/>
          <w:szCs w:val="30"/>
        </w:rPr>
        <w:t>兼防病毒病。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vertAlign w:val="baseline"/>
          <w:lang w:val="en-US" w:eastAsia="zh-CN"/>
        </w:rPr>
      </w:pPr>
      <w:r>
        <w:rPr>
          <w:rFonts w:ascii="Times New Roman" w:hAnsi="Times New Roman" w:eastAsia="仿宋_GB2312" w:cs="Times New Roman"/>
          <w:sz w:val="30"/>
          <w:szCs w:val="30"/>
        </w:rPr>
        <w:t>温室大棚通风口用60目防虫网罩住，防止害虫进入。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667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m</w:t>
      </w:r>
      <w:r>
        <w:rPr>
          <w:rFonts w:hint="eastAsia" w:ascii="Times New Roman" w:hAnsi="Times New Roman" w:eastAsia="仿宋_GB2312" w:cs="Times New Roman"/>
          <w:sz w:val="30"/>
          <w:szCs w:val="30"/>
          <w:vertAlign w:val="superscript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0"/>
          <w:szCs w:val="30"/>
          <w:vertAlign w:val="baseline"/>
          <w:lang w:val="en-US" w:eastAsia="zh-CN"/>
        </w:rPr>
        <w:t>悬挂黄色粘虫板50块左右，诱杀白粉虱、蚜虫、潜叶蝇；悬挂蓝色粘虫板30块左右，诱杀蓟马、茶黄螨。</w:t>
      </w:r>
    </w:p>
    <w:p>
      <w:pPr>
        <w:numPr>
          <w:ilvl w:val="0"/>
          <w:numId w:val="0"/>
        </w:num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12 化学防治</w:t>
      </w:r>
    </w:p>
    <w:p>
      <w:pPr>
        <w:ind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注意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轮换用药。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合理混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用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严格执行农药安全间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隔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期。使用药剂防治应符合中华人民共和国农业部公告第19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号、G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B</w:t>
      </w:r>
      <w:r>
        <w:rPr>
          <w:rFonts w:hint="eastAsia" w:ascii="Times New Roman" w:hAnsi="Times New Roman" w:eastAsia="仿宋_GB2312" w:cs="Times New Roman"/>
          <w:sz w:val="30"/>
          <w:szCs w:val="30"/>
        </w:rPr>
        <w:t xml:space="preserve"> /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T 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8231的要求。芹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菜</w:t>
      </w:r>
      <w:r>
        <w:rPr>
          <w:rFonts w:hint="eastAsia" w:ascii="Times New Roman" w:hAnsi="Times New Roman" w:eastAsia="仿宋_GB2312" w:cs="Times New Roman"/>
          <w:sz w:val="30"/>
          <w:szCs w:val="30"/>
        </w:rPr>
        <w:t>主要病虫化学防治方法</w:t>
      </w:r>
      <w:r>
        <w:rPr>
          <w:rFonts w:hint="eastAsia" w:ascii="Times New Roman" w:hAnsi="Times New Roman" w:eastAsia="仿宋_GB2312" w:cs="Times New Roman"/>
          <w:sz w:val="30"/>
          <w:szCs w:val="30"/>
          <w:lang w:eastAsia="zh-CN"/>
        </w:rPr>
        <w:t>，见附录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A。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13 采收</w:t>
      </w:r>
    </w:p>
    <w:p>
      <w:pPr>
        <w:numPr>
          <w:ilvl w:val="0"/>
          <w:numId w:val="0"/>
        </w:numPr>
        <w:ind w:leftChars="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当芹菜生长达到符合市场商品要求时适时采收，产品符合GB 2763、NY/T 580规定。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14 生产档案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建立田间生产档案，并妥善保存3年，以备查阅。</w:t>
      </w: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jc w:val="center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p>
      <w:pPr>
        <w:numPr>
          <w:ilvl w:val="0"/>
          <w:numId w:val="0"/>
        </w:numPr>
        <w:ind w:leftChars="0" w:firstLine="600" w:firstLineChars="200"/>
        <w:jc w:val="center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附录A</w:t>
      </w:r>
    </w:p>
    <w:p>
      <w:pPr>
        <w:numPr>
          <w:ilvl w:val="0"/>
          <w:numId w:val="0"/>
        </w:numPr>
        <w:ind w:leftChars="0" w:firstLine="600" w:firstLineChars="200"/>
        <w:jc w:val="center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>设施芹菜主要病虫害化学防治方法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4"/>
        <w:gridCol w:w="1710"/>
        <w:gridCol w:w="1515"/>
        <w:gridCol w:w="1275"/>
        <w:gridCol w:w="1470"/>
        <w:gridCol w:w="780"/>
        <w:gridCol w:w="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防治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农药成分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有效成分含量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剂型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用量（g/667m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或稀释倍数）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使用</w:t>
            </w:r>
          </w:p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方法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安全间隔期/d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猝倒病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立枯病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霜霉威盐酸盐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哈茨木霉菌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72.2%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3亿CFU/g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5-8ml/m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4-6g/m</w:t>
            </w: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superscript"/>
                <w:lang w:val="en-US" w:eastAsia="zh-CN"/>
              </w:rPr>
              <w:t>2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灌根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灌根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早疫病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斑枯病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多菌灵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百菌清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噁霜灵*锰锌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苯醚甲环唑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百菌清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75%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64%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水分散粒剂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粉尘剂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500-600倍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600-700倍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500-700倍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35-45g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1000g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喷粉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软腐病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络氨铜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琥胶肥酸铜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氢氧化铜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25%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46%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悬浮剂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水分散粒剂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300-500倍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500-600倍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600-800倍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菌核病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灰霉病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异菌脲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菌核净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乙霉威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嘧霉胺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枯草芽孢杆菌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6.5%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1000亿CFU/g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粉尘剂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悬浮剂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600-800倍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60-80g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喷粉喷雾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-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</w:trPr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根结线虫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淡紫拟青霉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噻唑膦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威百亩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氰氨化钙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异硫氰酸烯丙酯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5亿孢子/g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35%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20%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颗粒剂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颗粒剂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颗粒剂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水乳剂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2500g-3000g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1500g-2000g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20000g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80000g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3-5kg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沟施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沟施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土壤消毒土壤消毒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-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-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-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-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-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白粉虱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烟粉虱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蚜虫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噻虫嗪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联苯菊酯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吡虫啉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啶虫脒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25%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2.5%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5%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水分散粒剂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乳油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水分散粒剂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4000-6000倍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1000倍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潜叶蝇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阿维菌素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高效氯氰菊酯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灭蝇胺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1.8%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4.5%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75%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乳油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乳油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2000-3000倍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1000倍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红蜘蛛</w:t>
            </w:r>
          </w:p>
        </w:tc>
        <w:tc>
          <w:tcPr>
            <w:tcW w:w="171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阿维菌素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联苯肼酯</w:t>
            </w:r>
          </w:p>
        </w:tc>
        <w:tc>
          <w:tcPr>
            <w:tcW w:w="151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1.8%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43%</w:t>
            </w:r>
          </w:p>
        </w:tc>
        <w:tc>
          <w:tcPr>
            <w:tcW w:w="1275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乳油</w:t>
            </w:r>
          </w:p>
          <w:p>
            <w:pPr>
              <w:numPr>
                <w:ilvl w:val="0"/>
                <w:numId w:val="0"/>
              </w:numPr>
              <w:ind w:left="0" w:leftChars="0" w:firstLine="0" w:firstLineChars="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悬浮剂</w:t>
            </w:r>
          </w:p>
        </w:tc>
        <w:tc>
          <w:tcPr>
            <w:tcW w:w="147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2000-3000倍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1000倍</w:t>
            </w:r>
          </w:p>
        </w:tc>
        <w:tc>
          <w:tcPr>
            <w:tcW w:w="780" w:type="dxa"/>
            <w:vAlign w:val="top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</w:tc>
        <w:tc>
          <w:tcPr>
            <w:tcW w:w="698" w:type="dxa"/>
            <w:vAlign w:val="top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left="0" w:leftChars="0"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74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菜青虫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等虫害</w:t>
            </w:r>
          </w:p>
        </w:tc>
        <w:tc>
          <w:tcPr>
            <w:tcW w:w="171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高氯*甲维盐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苏云金杆菌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甲维*虱螨脲</w:t>
            </w:r>
          </w:p>
        </w:tc>
        <w:tc>
          <w:tcPr>
            <w:tcW w:w="151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5%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8000亿IU/mg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45%</w:t>
            </w:r>
          </w:p>
        </w:tc>
        <w:tc>
          <w:tcPr>
            <w:tcW w:w="1275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水乳剂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可湿性粉剂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水分散粒剂</w:t>
            </w:r>
          </w:p>
        </w:tc>
        <w:tc>
          <w:tcPr>
            <w:tcW w:w="147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10-15ml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500-1000倍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1000倍</w:t>
            </w:r>
          </w:p>
        </w:tc>
        <w:tc>
          <w:tcPr>
            <w:tcW w:w="780" w:type="dxa"/>
          </w:tcPr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  <w:p>
            <w:pPr>
              <w:numPr>
                <w:ilvl w:val="0"/>
                <w:numId w:val="0"/>
              </w:numP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喷雾</w:t>
            </w:r>
          </w:p>
        </w:tc>
        <w:tc>
          <w:tcPr>
            <w:tcW w:w="698" w:type="dxa"/>
          </w:tcPr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5</w:t>
            </w:r>
          </w:p>
          <w:p>
            <w:pPr>
              <w:numPr>
                <w:ilvl w:val="0"/>
                <w:numId w:val="0"/>
              </w:numPr>
              <w:ind w:firstLine="210" w:firstLineChars="100"/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</w:tr>
    </w:tbl>
    <w:p>
      <w:pPr>
        <w:numPr>
          <w:ilvl w:val="0"/>
          <w:numId w:val="0"/>
        </w:numPr>
        <w:ind w:leftChars="0" w:firstLine="600" w:firstLineChars="200"/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highlight w:val="none"/>
      </w:rPr>
      <w:t>T/YNCXXH</w:t>
    </w:r>
    <w:r>
      <w:rPr>
        <w:rFonts w:hint="eastAsia" w:ascii="宋体" w:hAnsi="宋体" w:eastAsia="宋体" w:cs="宋体"/>
        <w:b w:val="0"/>
        <w:bCs w:val="0"/>
        <w:sz w:val="24"/>
        <w:szCs w:val="24"/>
        <w:highlight w:val="none"/>
        <w:lang w:val="en-US"/>
      </w:rPr>
      <w:t xml:space="preserve"> ***-202</w:t>
    </w:r>
    <w:r>
      <w:rPr>
        <w:rFonts w:hint="eastAsia" w:ascii="宋体" w:hAnsi="宋体" w:eastAsia="宋体" w:cs="宋体"/>
        <w:b w:val="0"/>
        <w:bCs w:val="0"/>
        <w:sz w:val="24"/>
        <w:szCs w:val="24"/>
        <w:highlight w:val="none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8818E4"/>
    <w:rsid w:val="17296F78"/>
    <w:rsid w:val="260A531C"/>
    <w:rsid w:val="281A5F69"/>
    <w:rsid w:val="41C578AF"/>
    <w:rsid w:val="49E36420"/>
    <w:rsid w:val="4CE82B1C"/>
    <w:rsid w:val="4E8818E4"/>
    <w:rsid w:val="69E439D3"/>
    <w:rsid w:val="71E245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其他发布日期"/>
    <w:basedOn w:val="8"/>
    <w:qFormat/>
    <w:uiPriority w:val="0"/>
    <w:pPr>
      <w:framePr w:vAnchor="page" w:hAnchor="page" w:x="1419"/>
    </w:pPr>
  </w:style>
  <w:style w:type="paragraph" w:customStyle="1" w:styleId="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">
    <w:name w:val="其他实施日期"/>
    <w:basedOn w:val="10"/>
    <w:qFormat/>
    <w:uiPriority w:val="0"/>
  </w:style>
  <w:style w:type="paragraph" w:customStyle="1" w:styleId="10">
    <w:name w:val="实施日期"/>
    <w:basedOn w:val="8"/>
    <w:qFormat/>
    <w:uiPriority w:val="0"/>
    <w:pPr>
      <w:framePr w:vAnchor="page" w:hAnchor="page"/>
      <w:jc w:val="right"/>
    </w:pPr>
  </w:style>
  <w:style w:type="paragraph" w:customStyle="1" w:styleId="11">
    <w:name w:val="其他发布部门"/>
    <w:basedOn w:val="12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2">
    <w:name w:val="发布部门"/>
    <w:next w:val="6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character" w:customStyle="1" w:styleId="1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5">
    <w:name w:val="前言、引言标题"/>
    <w:next w:val="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2021-07-12T08:00:00Z</dcterms:created>
  <dc:creator>菜根</dc:creator>
  <cp:lastModifiedBy>菜根</cp:lastModifiedBy>
  <dcterms:modified xsi:type="dcterms:W3CDTF">2021-08-18T07:37:07Z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