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区域远程医学影像中心质量控制标准：图像及诊断报告质控体系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CT辐射剂量诊断参考水平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系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头颈部CT检查和辐射剂量管理规范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颈动脉磁共振管壁成像质量控制规范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PET/CT在肺癌的临床检查操作规范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《</w:t>
      </w: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肺癌PET-CT诊断放射性药物的应用标准</w:t>
      </w:r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</w:rPr>
        <w:t>》征求意见汇总处理表</w:t>
      </w:r>
    </w:p>
    <w:tbl>
      <w:tblPr>
        <w:tblStyle w:val="2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86"/>
        <w:gridCol w:w="2265"/>
        <w:gridCol w:w="2430"/>
        <w:gridCol w:w="2265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条款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修改内容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修改为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提出意见单位/人员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60EA"/>
    <w:rsid w:val="06E54BBE"/>
    <w:rsid w:val="27642054"/>
    <w:rsid w:val="339C456B"/>
    <w:rsid w:val="446860EA"/>
    <w:rsid w:val="52E4405E"/>
    <w:rsid w:val="5B8112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2018-08-28T08:35:00Z</dcterms:created>
  <dc:creator>疾风劲草洋</dc:creator>
  <cp:lastModifiedBy>李冬洋</cp:lastModifiedBy>
  <dcterms:modified xsi:type="dcterms:W3CDTF">2020-12-30T06:37:29Z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