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pPr>
      <w:r>
        <w:rPr>
          <w:rFonts w:ascii="Times New Roman"/>
        </w:rPr>
        <w:t>ICS</w:t>
      </w:r>
      <w:r>
        <w:rPr>
          <w:rFonts w:hint="eastAsia" w:hAnsi="黑体"/>
        </w:rPr>
        <w:t> </w:t>
      </w:r>
      <w:r>
        <w:t>67.140.10</w:t>
      </w:r>
    </w:p>
    <w:p>
      <w:pPr>
        <w:pStyle w:val="88"/>
      </w:pPr>
      <w:r>
        <w:t>X55</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88"/>
            </w:pPr>
            <w:r>
              <w:pict>
                <v:rect id="BAH" o:spid="_x0000_s1026" o:spt="1" style="position:absolute;left:0pt;margin-left:-5.25pt;margin-top:0pt;height:15.6pt;width:68.25pt;z-index:-251659264;mso-width-relative:page;mso-height-relative:page;" stroked="f" coordsize="21600,21600">
                  <v:path/>
                  <v:fill focussize="0,0"/>
                  <v:stroke on="f"/>
                  <v:imagedata o:title=""/>
                  <o:lock v:ext="edit"/>
                  <v:textbox>
                    <w:txbxContent>
                      <w:p/>
                    </w:txbxContent>
                  </v:textbox>
                </v:rect>
              </w:pict>
            </w:r>
            <w:bookmarkStart w:id="0" w:name="BAH"/>
            <w:r>
              <w:fldChar w:fldCharType="begin">
                <w:ffData>
                  <w:name w:val="BAH"/>
                  <w:enabled/>
                  <w:calcOnExit w:val="0"/>
                  <w:textInput/>
                </w:ffData>
              </w:fldChar>
            </w:r>
            <w:r>
              <w:instrText xml:space="preserve"> FORMTEXT </w:instrText>
            </w:r>
            <w:r>
              <w:fldChar w:fldCharType="separate"/>
            </w:r>
            <w:r>
              <w:t>     </w:t>
            </w:r>
            <w:r>
              <w:fldChar w:fldCharType="end"/>
            </w:r>
            <w:bookmarkEnd w:id="0"/>
          </w:p>
        </w:tc>
      </w:tr>
    </w:tbl>
    <w:p>
      <w:pPr>
        <w:pStyle w:val="124"/>
        <w:framePr w:h="916" w:hRule="exact" w:y="3226"/>
        <w:rPr>
          <w:rFonts w:hAnsi="黑体"/>
        </w:rPr>
      </w:pPr>
      <w:r>
        <w:rPr>
          <w:rFonts w:ascii="Times New Roman"/>
        </w:rPr>
        <w:t>T/CSTEA</w:t>
      </w:r>
      <w:r>
        <w:rPr>
          <w:rFonts w:hAnsi="黑体"/>
        </w:rPr>
        <w:t xml:space="preserve"> </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4"/>
              <w:framePr w:h="916" w:hRule="exact" w:y="3226"/>
            </w:pPr>
            <w:r>
              <w:pict>
                <v:rect id="DT" o:spid="_x0000_s1027" o:spt="1" style="position:absolute;left:0pt;margin-left:372.8pt;margin-top:2.7pt;height:18pt;width:90pt;z-index:-251660288;mso-width-relative:page;mso-height-relative:page;" stroked="f" coordsize="21600,21600">
                  <v:path/>
                  <v:fill focussize="0,0"/>
                  <v:stroke on="f"/>
                  <v:imagedata o:title=""/>
                  <o:lock v:ext="edit"/>
                  <v:textbox>
                    <w:txbxContent>
                      <w:p/>
                    </w:txbxContent>
                  </v:textbox>
                </v:rect>
              </w:pict>
            </w:r>
            <w:bookmarkStart w:id="1" w:name="DT"/>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124"/>
        <w:framePr w:h="916" w:hRule="exact" w:y="3226"/>
        <w:rPr>
          <w:rFonts w:hAnsi="黑体"/>
        </w:rPr>
      </w:pPr>
    </w:p>
    <w:p>
      <w:pPr>
        <w:pStyle w:val="124"/>
        <w:framePr w:h="916" w:hRule="exact" w:y="3226"/>
        <w:rPr>
          <w:rFonts w:hAnsi="黑体"/>
        </w:rPr>
      </w:pPr>
    </w:p>
    <w:p>
      <w:pPr>
        <w:pStyle w:val="51"/>
        <w:rPr>
          <w:rFonts w:hint="eastAsia" w:eastAsia="黑体"/>
          <w:lang w:eastAsia="zh-CN"/>
        </w:rPr>
      </w:pPr>
      <w:r>
        <w:rPr>
          <w:rFonts w:hint="eastAsia"/>
          <w:lang w:eastAsia="zh-CN"/>
        </w:rPr>
        <w:t>永春佛手</w:t>
      </w:r>
    </w:p>
    <w:p>
      <w:pPr>
        <w:pStyle w:val="50"/>
      </w:pPr>
    </w:p>
    <w:p>
      <w:pPr>
        <w:pStyle w:val="69"/>
      </w:pPr>
    </w:p>
    <w:p>
      <w:pPr>
        <w:pStyle w:val="121"/>
        <w:framePr w:hAnchor="page" w:x="1456" w:y="14071"/>
      </w:pPr>
      <w:r>
        <w:rPr>
          <w:rFonts w:hint="eastAsia" w:ascii="黑体"/>
          <w:lang w:val="en-US" w:eastAsia="zh-CN"/>
        </w:rPr>
        <w:t xml:space="preserve"> </w:t>
      </w:r>
      <w:r>
        <w:t xml:space="preserve"> </w:t>
      </w:r>
      <w:r>
        <w:rPr>
          <w:rFonts w:ascii="黑体"/>
        </w:rPr>
        <w:t>-</w:t>
      </w:r>
      <w:r>
        <w:rPr>
          <w:rFonts w:hint="eastAsia"/>
          <w:lang w:val="en-US" w:eastAsia="zh-CN"/>
        </w:rPr>
        <w:t xml:space="preserve">  </w:t>
      </w:r>
      <w:r>
        <w:t xml:space="preserve"> </w:t>
      </w:r>
      <w:r>
        <w:rPr>
          <w:rFonts w:ascii="黑体"/>
        </w:rPr>
        <w:t>-</w:t>
      </w:r>
      <w:r>
        <w:t xml:space="preserve"> </w:t>
      </w:r>
      <w:r>
        <w:rPr>
          <w:rFonts w:hint="eastAsia" w:ascii="黑体"/>
          <w:lang w:val="en-US" w:eastAsia="zh-CN"/>
        </w:rPr>
        <w:t xml:space="preserve"> </w:t>
      </w:r>
      <w:r>
        <w:rPr>
          <w:rFonts w:hint="eastAsia"/>
        </w:rPr>
        <w:t>发布</w:t>
      </w:r>
      <w:r>
        <w:pict>
          <v:line id="直线 10" o:spid="_x0000_s1028" o:spt="20" style="position:absolute;left:0pt;margin-left:-0.05pt;margin-top:728.5pt;height:0pt;width:481.9pt;mso-position-vertical-relative:page;z-index:251658240;mso-width-relative:page;mso-height-relative:page;" coordsize="21600,21600">
            <v:path arrowok="t"/>
            <v:fill focussize="0,0"/>
            <v:stroke/>
            <v:imagedata o:title=""/>
            <o:lock v:ext="edit"/>
            <w10:anchorlock/>
          </v:line>
        </w:pict>
      </w:r>
    </w:p>
    <w:p>
      <w:pPr>
        <w:pStyle w:val="85"/>
        <w:framePr w:hAnchor="page" w:x="7066" w:y="14131"/>
      </w:pPr>
      <w:r>
        <w:rPr>
          <w:rFonts w:hint="eastAsia" w:ascii="黑体"/>
          <w:lang w:val="en-US" w:eastAsia="zh-CN"/>
        </w:rPr>
        <w:t xml:space="preserve"> </w:t>
      </w:r>
      <w:r>
        <w:t xml:space="preserve"> </w:t>
      </w:r>
      <w:r>
        <w:rPr>
          <w:rFonts w:ascii="黑体"/>
        </w:rPr>
        <w:t>-</w:t>
      </w:r>
      <w:r>
        <w:rPr>
          <w:rFonts w:hint="eastAsia"/>
          <w:lang w:val="en-US" w:eastAsia="zh-CN"/>
        </w:rPr>
        <w:t xml:space="preserve"> </w:t>
      </w:r>
      <w:r>
        <w:t xml:space="preserve"> </w:t>
      </w:r>
      <w:r>
        <w:rPr>
          <w:rFonts w:ascii="黑体"/>
        </w:rPr>
        <w:t>-</w:t>
      </w:r>
      <w:r>
        <w:t xml:space="preserve"> </w:t>
      </w:r>
      <w:r>
        <w:rPr>
          <w:rFonts w:hint="eastAsia" w:ascii="黑体"/>
          <w:lang w:val="en-US" w:eastAsia="zh-CN"/>
        </w:rPr>
        <w:t xml:space="preserve"> </w:t>
      </w:r>
      <w:r>
        <w:rPr>
          <w:rFonts w:hint="eastAsia"/>
        </w:rPr>
        <w:t>实施</w:t>
      </w:r>
    </w:p>
    <w:p>
      <w:pPr>
        <w:pStyle w:val="114"/>
        <w:framePr w:h="706" w:hRule="exact" w:x="2426" w:y="14926"/>
      </w:pPr>
      <w:r>
        <w:rPr>
          <w:rFonts w:hint="eastAsia"/>
        </w:rPr>
        <w:t>永春县茶叶同业公</w:t>
      </w:r>
      <w:r>
        <w:rPr>
          <w:rFonts w:hint="eastAsia" w:hAnsi="黑体"/>
        </w:rPr>
        <w:t>   </w:t>
      </w:r>
      <w:r>
        <w:rPr>
          <w:rStyle w:val="39"/>
          <w:rFonts w:hint="eastAsia"/>
        </w:rPr>
        <w:t>发布</w:t>
      </w:r>
    </w:p>
    <w:p>
      <w:pPr>
        <w:pStyle w:val="20"/>
        <w:ind w:firstLine="0" w:firstLineChars="0"/>
        <w:jc w:val="center"/>
        <w:rPr>
          <w:b/>
          <w:sz w:val="84"/>
          <w:szCs w:val="84"/>
        </w:rPr>
        <w:sectPr>
          <w:pgSz w:w="11906" w:h="16838"/>
          <w:pgMar w:top="567" w:right="850" w:bottom="1134" w:left="1418" w:header="0" w:footer="0" w:gutter="0"/>
          <w:pgNumType w:start="1"/>
          <w:cols w:space="720" w:num="1"/>
          <w:docGrid w:type="lines" w:linePitch="312" w:charSpace="0"/>
        </w:sectPr>
      </w:pPr>
      <w:r>
        <w:pict>
          <v:line id="直线 11" o:spid="_x0000_s1029" o:spt="20" style="position:absolute;left:0pt;margin-left:-0.05pt;margin-top:184.25pt;height:0pt;width:481.9pt;z-index:251659264;mso-width-relative:page;mso-height-relative:page;" coordsize="21600,21600">
            <v:path arrowok="t"/>
            <v:fill focussize="0,0"/>
            <v:stroke/>
            <v:imagedata o:title=""/>
            <o:lock v:ext="edit"/>
          </v:line>
        </w:pict>
      </w:r>
      <w:r>
        <w:rPr>
          <w:rFonts w:hint="eastAsia" w:ascii="黑体" w:eastAsia="黑体"/>
          <w:sz w:val="84"/>
          <w:szCs w:val="84"/>
        </w:rPr>
        <w:t>团</w:t>
      </w:r>
      <w:r>
        <w:rPr>
          <w:rFonts w:ascii="黑体" w:eastAsia="黑体"/>
          <w:sz w:val="84"/>
          <w:szCs w:val="84"/>
        </w:rPr>
        <w:t xml:space="preserve"> </w:t>
      </w:r>
      <w:r>
        <w:rPr>
          <w:rFonts w:hint="eastAsia" w:ascii="黑体" w:eastAsia="黑体"/>
          <w:sz w:val="84"/>
          <w:szCs w:val="84"/>
        </w:rPr>
        <w:t>体</w:t>
      </w:r>
      <w:r>
        <w:rPr>
          <w:rFonts w:ascii="黑体" w:eastAsia="黑体"/>
          <w:sz w:val="84"/>
          <w:szCs w:val="84"/>
        </w:rPr>
        <w:t xml:space="preserve"> </w:t>
      </w:r>
      <w:r>
        <w:rPr>
          <w:rFonts w:hint="eastAsia" w:ascii="黑体" w:eastAsia="黑体"/>
          <w:sz w:val="84"/>
          <w:szCs w:val="84"/>
        </w:rPr>
        <w:t>标</w:t>
      </w:r>
      <w:r>
        <w:rPr>
          <w:rFonts w:ascii="黑体" w:eastAsia="黑体"/>
          <w:sz w:val="84"/>
          <w:szCs w:val="84"/>
        </w:rPr>
        <w:t xml:space="preserve"> </w:t>
      </w:r>
      <w:r>
        <w:rPr>
          <w:rFonts w:hint="eastAsia" w:ascii="黑体" w:eastAsia="黑体"/>
          <w:sz w:val="84"/>
          <w:szCs w:val="84"/>
        </w:rPr>
        <w:t>准</w:t>
      </w:r>
    </w:p>
    <w:p>
      <w:pPr>
        <w:pStyle w:val="131"/>
      </w:pPr>
      <w:r>
        <w:rPr>
          <w:rFonts w:hint="eastAsia"/>
        </w:rPr>
        <w:t>前</w:t>
      </w:r>
      <w:bookmarkStart w:id="2" w:name="BKQY"/>
      <w:r>
        <w:rPr>
          <w:rFonts w:hint="eastAsia"/>
        </w:rPr>
        <w:t>  言</w:t>
      </w:r>
      <w:bookmarkEnd w:id="2"/>
    </w:p>
    <w:p>
      <w:pPr>
        <w:pStyle w:val="20"/>
        <w:ind w:firstLine="31680"/>
      </w:pPr>
      <w:r>
        <w:rPr>
          <w:rFonts w:hint="eastAsia"/>
        </w:rPr>
        <w:t>本标准按GB/T1.1-2020《标准化工作导则 第1部分：标准化文件的结构和起草规则》的规定起草。</w:t>
      </w:r>
    </w:p>
    <w:p>
      <w:pPr>
        <w:pStyle w:val="20"/>
        <w:ind w:firstLine="31680"/>
      </w:pPr>
      <w:r>
        <w:rPr>
          <w:rFonts w:hint="eastAsia"/>
        </w:rPr>
        <w:t>本标准由</w:t>
      </w:r>
      <w:r>
        <w:rPr>
          <w:rFonts w:hint="eastAsia"/>
          <w:lang w:val="en-US" w:eastAsia="zh-CN"/>
        </w:rPr>
        <w:t>*****</w:t>
      </w:r>
      <w:r>
        <w:rPr>
          <w:rFonts w:hint="eastAsia"/>
        </w:rPr>
        <w:t>提出。</w:t>
      </w:r>
    </w:p>
    <w:p>
      <w:pPr>
        <w:pStyle w:val="20"/>
        <w:ind w:firstLine="31680"/>
      </w:pPr>
      <w:r>
        <w:rPr>
          <w:rFonts w:hint="eastAsia"/>
        </w:rPr>
        <w:t>本标准由永春县茶叶同业公归口。</w:t>
      </w:r>
    </w:p>
    <w:p>
      <w:pPr>
        <w:pStyle w:val="20"/>
        <w:ind w:firstLine="31680"/>
        <w:rPr>
          <w:rFonts w:hint="eastAsia"/>
        </w:rPr>
      </w:pPr>
      <w:r>
        <w:rPr>
          <w:rFonts w:hint="eastAsia"/>
        </w:rPr>
        <w:t>本标准起草单位：</w:t>
      </w:r>
    </w:p>
    <w:p>
      <w:pPr>
        <w:pStyle w:val="20"/>
        <w:ind w:firstLine="31680"/>
      </w:pPr>
      <w:r>
        <w:rPr>
          <w:rFonts w:hint="eastAsia"/>
        </w:rPr>
        <w:t>本标准主要起草人：</w:t>
      </w:r>
      <w:r>
        <w:t xml:space="preserve"> </w:t>
      </w:r>
    </w:p>
    <w:p>
      <w:pPr>
        <w:pStyle w:val="20"/>
        <w:ind w:firstLine="31680"/>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98"/>
        <w:rPr>
          <w:rFonts w:hint="eastAsia" w:eastAsia="黑体"/>
          <w:lang w:eastAsia="zh-CN"/>
        </w:rPr>
      </w:pPr>
      <w:r>
        <w:rPr>
          <w:rFonts w:hint="eastAsia"/>
          <w:lang w:eastAsia="zh-CN"/>
        </w:rPr>
        <w:t>永春佛手</w:t>
      </w:r>
    </w:p>
    <w:p>
      <w:pPr>
        <w:pStyle w:val="57"/>
        <w:spacing w:before="312" w:after="312"/>
      </w:pPr>
      <w:r>
        <w:rPr>
          <w:rFonts w:hint="eastAsia"/>
        </w:rPr>
        <w:t>范围</w:t>
      </w:r>
    </w:p>
    <w:p>
      <w:pPr>
        <w:pStyle w:val="20"/>
        <w:rPr>
          <w:rFonts w:hint="eastAsia"/>
          <w:szCs w:val="22"/>
        </w:rPr>
      </w:pPr>
      <w:r>
        <w:rPr>
          <w:rFonts w:hint="eastAsia"/>
          <w:szCs w:val="22"/>
        </w:rPr>
        <w:t>本</w:t>
      </w:r>
      <w:r>
        <w:rPr>
          <w:rFonts w:hint="eastAsia"/>
          <w:szCs w:val="22"/>
          <w:highlight w:val="none"/>
        </w:rPr>
        <w:t>文件</w:t>
      </w:r>
      <w:r>
        <w:rPr>
          <w:rFonts w:hint="eastAsia"/>
          <w:szCs w:val="22"/>
        </w:rPr>
        <w:t>规定了</w:t>
      </w:r>
      <w:r>
        <w:rPr>
          <w:rFonts w:hint="eastAsia"/>
          <w:szCs w:val="22"/>
          <w:lang w:eastAsia="zh-CN"/>
        </w:rPr>
        <w:t>永春佛手</w:t>
      </w:r>
      <w:r>
        <w:rPr>
          <w:rFonts w:hint="eastAsia"/>
          <w:szCs w:val="22"/>
        </w:rPr>
        <w:t>的术语和定义、分类、要求、检验方法、检验规则、标志标签、包装、运输和贮存。</w:t>
      </w:r>
    </w:p>
    <w:p>
      <w:pPr>
        <w:pStyle w:val="20"/>
        <w:ind w:firstLine="31680"/>
      </w:pPr>
      <w:r>
        <w:rPr>
          <w:rFonts w:hint="eastAsia"/>
        </w:rPr>
        <w:t>本标准适用于</w:t>
      </w:r>
      <w:r>
        <w:rPr>
          <w:rFonts w:hint="eastAsia"/>
          <w:lang w:eastAsia="zh-CN"/>
        </w:rPr>
        <w:t>永春佛手产品</w:t>
      </w:r>
      <w:r>
        <w:rPr>
          <w:rFonts w:hint="eastAsia"/>
        </w:rPr>
        <w:t>。</w:t>
      </w:r>
    </w:p>
    <w:p>
      <w:pPr>
        <w:pStyle w:val="57"/>
        <w:spacing w:before="312" w:after="312"/>
      </w:pPr>
      <w:r>
        <w:rPr>
          <w:rFonts w:hint="eastAsia"/>
        </w:rPr>
        <w:t>规范性引用文件</w:t>
      </w:r>
    </w:p>
    <w:p>
      <w:pPr>
        <w:pStyle w:val="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rPr>
          <w:rFonts w:hint="eastAsia"/>
          <w:szCs w:val="22"/>
        </w:rPr>
      </w:pPr>
      <w:r>
        <w:rPr>
          <w:rFonts w:hint="eastAsia"/>
          <w:szCs w:val="22"/>
        </w:rPr>
        <w:t>GB/T 191  包装储运图示标志</w:t>
      </w:r>
    </w:p>
    <w:p>
      <w:pPr>
        <w:pStyle w:val="20"/>
      </w:pPr>
      <w:r>
        <w:t>GB 5009.3</w:t>
      </w:r>
      <w:r>
        <w:rPr>
          <w:rFonts w:hint="eastAsia"/>
        </w:rPr>
        <w:t xml:space="preserve">  </w:t>
      </w:r>
      <w:r>
        <w:t>食品安全国家标准 食品中水分的测定</w:t>
      </w:r>
    </w:p>
    <w:p>
      <w:pPr>
        <w:pStyle w:val="20"/>
      </w:pPr>
      <w:r>
        <w:t>GB 5009.</w:t>
      </w:r>
      <w:r>
        <w:rPr>
          <w:rFonts w:hint="eastAsia"/>
        </w:rPr>
        <w:t xml:space="preserve">4  </w:t>
      </w:r>
      <w:r>
        <w:t>食品安全国家标准 食品中</w:t>
      </w:r>
      <w:r>
        <w:rPr>
          <w:rFonts w:hint="eastAsia"/>
        </w:rPr>
        <w:t>灰</w:t>
      </w:r>
      <w:r>
        <w:t>分的测定</w:t>
      </w:r>
    </w:p>
    <w:p>
      <w:pPr>
        <w:pStyle w:val="20"/>
        <w:rPr>
          <w:rFonts w:hint="eastAsia"/>
          <w:szCs w:val="22"/>
        </w:rPr>
      </w:pPr>
      <w:r>
        <w:rPr>
          <w:rFonts w:hint="eastAsia"/>
          <w:szCs w:val="22"/>
        </w:rPr>
        <w:t>GB 7718  食品安全国家标准 预包装食品标签通则</w:t>
      </w:r>
    </w:p>
    <w:p>
      <w:pPr>
        <w:pStyle w:val="20"/>
        <w:rPr>
          <w:rFonts w:hint="eastAsia"/>
          <w:szCs w:val="22"/>
        </w:rPr>
      </w:pPr>
      <w:r>
        <w:rPr>
          <w:rFonts w:hint="eastAsia"/>
          <w:szCs w:val="22"/>
        </w:rPr>
        <w:t>GB/T 8302  茶 取样</w:t>
      </w:r>
    </w:p>
    <w:p>
      <w:pPr>
        <w:pStyle w:val="20"/>
        <w:rPr>
          <w:rFonts w:hint="eastAsia"/>
          <w:szCs w:val="22"/>
        </w:rPr>
      </w:pPr>
      <w:r>
        <w:rPr>
          <w:rFonts w:hint="eastAsia"/>
          <w:szCs w:val="22"/>
        </w:rPr>
        <w:t>GB/T 8303  茶 磨碎试样的制备及其干物质含量测定</w:t>
      </w:r>
    </w:p>
    <w:p>
      <w:pPr>
        <w:pStyle w:val="20"/>
        <w:rPr>
          <w:rFonts w:hint="eastAsia"/>
          <w:szCs w:val="22"/>
        </w:rPr>
      </w:pPr>
      <w:r>
        <w:rPr>
          <w:rFonts w:hint="eastAsia"/>
          <w:szCs w:val="22"/>
        </w:rPr>
        <w:t>GB/T 8305  茶 水浸出物测定</w:t>
      </w:r>
    </w:p>
    <w:p>
      <w:pPr>
        <w:pStyle w:val="20"/>
        <w:rPr>
          <w:rFonts w:hint="eastAsia"/>
          <w:szCs w:val="22"/>
        </w:rPr>
      </w:pPr>
      <w:r>
        <w:rPr>
          <w:rFonts w:hint="eastAsia"/>
          <w:szCs w:val="22"/>
        </w:rPr>
        <w:t>GB/T 8311  茶 粉末和碎茶含量测定</w:t>
      </w:r>
    </w:p>
    <w:p>
      <w:pPr>
        <w:pStyle w:val="20"/>
        <w:rPr>
          <w:rFonts w:hint="eastAsia"/>
          <w:szCs w:val="22"/>
        </w:rPr>
      </w:pPr>
      <w:r>
        <w:rPr>
          <w:rFonts w:hint="eastAsia"/>
          <w:szCs w:val="22"/>
        </w:rPr>
        <w:t>GB/T 14487  茶叶感官</w:t>
      </w:r>
      <w:r>
        <w:rPr>
          <w:rFonts w:hint="eastAsia"/>
          <w:szCs w:val="22"/>
          <w:highlight w:val="none"/>
        </w:rPr>
        <w:t>审评</w:t>
      </w:r>
      <w:r>
        <w:rPr>
          <w:rFonts w:hint="eastAsia"/>
          <w:szCs w:val="22"/>
        </w:rPr>
        <w:t>术语</w:t>
      </w:r>
    </w:p>
    <w:p>
      <w:pPr>
        <w:pStyle w:val="20"/>
        <w:rPr>
          <w:rFonts w:hint="default"/>
          <w:szCs w:val="22"/>
          <w:lang w:val="en-US"/>
        </w:rPr>
      </w:pPr>
      <w:r>
        <w:rPr>
          <w:rFonts w:hint="eastAsia"/>
          <w:lang w:val="en-US" w:eastAsia="zh-CN"/>
        </w:rPr>
        <w:t>GB/T 21824-2008  地理标志产品 永春佛手</w:t>
      </w:r>
    </w:p>
    <w:p>
      <w:pPr>
        <w:pStyle w:val="20"/>
        <w:rPr>
          <w:rFonts w:hint="eastAsia"/>
          <w:szCs w:val="22"/>
        </w:rPr>
      </w:pPr>
      <w:r>
        <w:rPr>
          <w:rFonts w:hint="eastAsia"/>
          <w:szCs w:val="22"/>
        </w:rPr>
        <w:t>GB/T 23776  茶叶感官审评方法</w:t>
      </w:r>
    </w:p>
    <w:p>
      <w:pPr>
        <w:pStyle w:val="20"/>
        <w:rPr>
          <w:rFonts w:hint="eastAsia"/>
          <w:szCs w:val="22"/>
        </w:rPr>
      </w:pPr>
      <w:r>
        <w:rPr>
          <w:rFonts w:hint="eastAsia"/>
          <w:szCs w:val="22"/>
        </w:rPr>
        <w:t>GB/T 30357.1  乌龙茶 第1部分：基本要求</w:t>
      </w:r>
    </w:p>
    <w:p>
      <w:pPr>
        <w:pStyle w:val="20"/>
        <w:rPr>
          <w:rFonts w:hint="eastAsia"/>
          <w:szCs w:val="22"/>
        </w:rPr>
      </w:pPr>
      <w:r>
        <w:rPr>
          <w:rFonts w:hint="eastAsia"/>
          <w:szCs w:val="22"/>
        </w:rPr>
        <w:t>GB/T 30375  茶叶贮存</w:t>
      </w:r>
    </w:p>
    <w:p>
      <w:pPr>
        <w:pStyle w:val="20"/>
        <w:rPr>
          <w:rFonts w:hint="eastAsia"/>
          <w:szCs w:val="22"/>
        </w:rPr>
      </w:pPr>
      <w:r>
        <w:rPr>
          <w:rFonts w:hint="eastAsia"/>
          <w:szCs w:val="22"/>
        </w:rPr>
        <w:t>GH/T 1070  茶叶包装通则</w:t>
      </w:r>
    </w:p>
    <w:p>
      <w:pPr>
        <w:pStyle w:val="20"/>
        <w:rPr>
          <w:rFonts w:hint="eastAsia"/>
          <w:szCs w:val="22"/>
        </w:rPr>
      </w:pPr>
      <w:r>
        <w:rPr>
          <w:rFonts w:hint="eastAsia"/>
          <w:szCs w:val="22"/>
        </w:rPr>
        <w:t>JJF 1070  定量包装商品净含量计量检验规则术语和定义</w:t>
      </w:r>
    </w:p>
    <w:p>
      <w:pPr>
        <w:pStyle w:val="57"/>
        <w:spacing w:before="312" w:after="312"/>
        <w:rPr>
          <w:szCs w:val="22"/>
        </w:rPr>
      </w:pPr>
      <w:r>
        <w:rPr>
          <w:rFonts w:hint="eastAsia"/>
          <w:szCs w:val="22"/>
        </w:rPr>
        <w:t>术语和定义</w:t>
      </w:r>
    </w:p>
    <w:p>
      <w:pPr>
        <w:pStyle w:val="20"/>
        <w:ind w:firstLine="31680"/>
      </w:pPr>
      <w:r>
        <w:t>GB/T 14487</w:t>
      </w:r>
      <w:r>
        <w:rPr>
          <w:rFonts w:hint="eastAsia"/>
        </w:rPr>
        <w:t>界定的及下列术语和定义适用于本文件。</w:t>
      </w:r>
    </w:p>
    <w:p>
      <w:pPr>
        <w:pStyle w:val="56"/>
        <w:spacing w:before="156" w:after="156"/>
      </w:pPr>
      <w:r>
        <w:rPr>
          <w:rFonts w:hint="eastAsia"/>
          <w:lang w:eastAsia="zh-CN"/>
        </w:rPr>
        <w:t>永春佛手</w:t>
      </w:r>
    </w:p>
    <w:p>
      <w:pPr>
        <w:pStyle w:val="20"/>
        <w:ind w:firstLine="31680"/>
      </w:pPr>
      <w:r>
        <w:rPr>
          <w:rFonts w:hint="eastAsia"/>
          <w:lang w:eastAsia="zh-CN"/>
        </w:rPr>
        <w:t>在永春佛手地理标志产品保护范围内的自然生态条件下，</w:t>
      </w:r>
      <w:r>
        <w:rPr>
          <w:rFonts w:hint="eastAsia"/>
        </w:rPr>
        <w:t>以</w:t>
      </w:r>
      <w:r>
        <w:rPr>
          <w:rFonts w:hint="eastAsia"/>
          <w:lang w:eastAsia="zh-CN"/>
        </w:rPr>
        <w:t>佛手茶树</w:t>
      </w:r>
      <w:r>
        <w:rPr>
          <w:rFonts w:hint="eastAsia"/>
        </w:rPr>
        <w:t>品种的鲜叶</w:t>
      </w:r>
      <w:r>
        <w:rPr>
          <w:rFonts w:hint="eastAsia"/>
          <w:lang w:eastAsia="zh-CN"/>
        </w:rPr>
        <w:t>、驻芽及嫩梢</w:t>
      </w:r>
      <w:r>
        <w:rPr>
          <w:rFonts w:hint="eastAsia"/>
        </w:rPr>
        <w:t>为原料，经萎凋、做青、杀青、揉捻（包揉）、烘干等独特工艺加工而成的茶叶产品。</w:t>
      </w:r>
    </w:p>
    <w:p>
      <w:pPr>
        <w:pStyle w:val="57"/>
        <w:spacing w:before="312" w:after="312"/>
        <w:rPr>
          <w:szCs w:val="22"/>
        </w:rPr>
      </w:pPr>
      <w:r>
        <w:rPr>
          <w:rFonts w:hint="eastAsia"/>
          <w:szCs w:val="22"/>
          <w:lang w:eastAsia="zh-CN"/>
        </w:rPr>
        <w:t>产品分类与等级</w:t>
      </w:r>
    </w:p>
    <w:p>
      <w:pPr>
        <w:pStyle w:val="56"/>
        <w:spacing w:before="156" w:after="156"/>
      </w:pPr>
      <w:r>
        <w:rPr>
          <w:rFonts w:hint="eastAsia"/>
          <w:lang w:eastAsia="zh-CN"/>
        </w:rPr>
        <w:t>产品分类</w:t>
      </w:r>
    </w:p>
    <w:p>
      <w:pPr>
        <w:pStyle w:val="20"/>
        <w:ind w:firstLine="31680"/>
      </w:pPr>
      <w:r>
        <w:rPr>
          <w:rFonts w:hint="eastAsia" w:hAnsi="宋体"/>
          <w:szCs w:val="21"/>
          <w:highlight w:val="none"/>
          <w:lang w:eastAsia="zh-CN"/>
        </w:rPr>
        <w:t>永春佛手</w:t>
      </w:r>
      <w:r>
        <w:rPr>
          <w:rFonts w:hint="eastAsia"/>
          <w:szCs w:val="21"/>
          <w:highlight w:val="none"/>
        </w:rPr>
        <w:t>产品根据</w:t>
      </w:r>
      <w:r>
        <w:rPr>
          <w:rFonts w:hint="eastAsia"/>
          <w:szCs w:val="21"/>
          <w:highlight w:val="none"/>
          <w:lang w:val="en-US" w:eastAsia="zh-CN"/>
        </w:rPr>
        <w:t>外形</w:t>
      </w:r>
      <w:r>
        <w:rPr>
          <w:rFonts w:hint="eastAsia"/>
          <w:szCs w:val="21"/>
          <w:highlight w:val="none"/>
        </w:rPr>
        <w:t>的不同，其类型分为</w:t>
      </w:r>
      <w:r>
        <w:rPr>
          <w:rFonts w:hint="eastAsia"/>
          <w:szCs w:val="21"/>
          <w:highlight w:val="none"/>
          <w:lang w:val="en-US" w:eastAsia="zh-CN"/>
        </w:rPr>
        <w:t>颗粒</w:t>
      </w:r>
      <w:r>
        <w:rPr>
          <w:rFonts w:hint="eastAsia"/>
          <w:szCs w:val="21"/>
          <w:highlight w:val="none"/>
        </w:rPr>
        <w:t>型和</w:t>
      </w:r>
      <w:r>
        <w:rPr>
          <w:rFonts w:hint="eastAsia"/>
          <w:szCs w:val="21"/>
          <w:highlight w:val="none"/>
          <w:lang w:val="en-US" w:eastAsia="zh-CN"/>
        </w:rPr>
        <w:t>条索</w:t>
      </w:r>
      <w:r>
        <w:rPr>
          <w:rFonts w:hint="eastAsia"/>
          <w:szCs w:val="21"/>
          <w:highlight w:val="none"/>
        </w:rPr>
        <w:t>型</w:t>
      </w:r>
      <w:r>
        <w:rPr>
          <w:rFonts w:hint="eastAsia"/>
        </w:rPr>
        <w:t>。</w:t>
      </w:r>
    </w:p>
    <w:p>
      <w:pPr>
        <w:pStyle w:val="56"/>
        <w:spacing w:before="156" w:after="156"/>
      </w:pPr>
      <w:r>
        <w:rPr>
          <w:rFonts w:hint="eastAsia"/>
          <w:lang w:eastAsia="zh-CN"/>
        </w:rPr>
        <w:t>产品等级</w:t>
      </w:r>
    </w:p>
    <w:p>
      <w:pPr>
        <w:pStyle w:val="20"/>
        <w:ind w:firstLine="31680"/>
      </w:pPr>
      <w:r>
        <w:rPr>
          <w:rFonts w:hint="eastAsia" w:hAnsi="宋体"/>
          <w:szCs w:val="21"/>
          <w:highlight w:val="none"/>
          <w:lang w:eastAsia="zh-CN"/>
        </w:rPr>
        <w:t>永春佛手</w:t>
      </w:r>
      <w:r>
        <w:rPr>
          <w:rFonts w:hint="eastAsia"/>
          <w:szCs w:val="21"/>
          <w:highlight w:val="none"/>
        </w:rPr>
        <w:t>产品分为特级、一级、二级</w:t>
      </w:r>
      <w:r>
        <w:rPr>
          <w:rFonts w:hint="eastAsia"/>
          <w:szCs w:val="21"/>
          <w:highlight w:val="none"/>
          <w:lang w:eastAsia="zh-CN"/>
        </w:rPr>
        <w:t>、</w:t>
      </w:r>
      <w:r>
        <w:rPr>
          <w:rFonts w:hint="eastAsia"/>
          <w:szCs w:val="21"/>
          <w:highlight w:val="none"/>
        </w:rPr>
        <w:t>三级</w:t>
      </w:r>
      <w:r>
        <w:rPr>
          <w:rFonts w:hint="eastAsia"/>
          <w:szCs w:val="21"/>
          <w:highlight w:val="none"/>
          <w:lang w:val="en-US" w:eastAsia="zh-CN"/>
        </w:rPr>
        <w:t>和四级</w:t>
      </w:r>
      <w:r>
        <w:rPr>
          <w:rFonts w:hint="eastAsia"/>
        </w:rPr>
        <w:t>。</w:t>
      </w:r>
    </w:p>
    <w:p>
      <w:pPr>
        <w:pStyle w:val="57"/>
        <w:spacing w:before="312" w:after="312"/>
      </w:pPr>
      <w:r>
        <w:rPr>
          <w:rFonts w:hint="eastAsia"/>
          <w:lang w:eastAsia="zh-CN"/>
        </w:rPr>
        <w:t>要求</w:t>
      </w:r>
    </w:p>
    <w:p>
      <w:pPr>
        <w:pStyle w:val="56"/>
        <w:spacing w:before="156" w:after="156"/>
      </w:pPr>
      <w:r>
        <w:rPr>
          <w:rFonts w:hint="eastAsia"/>
          <w:lang w:eastAsia="zh-CN"/>
        </w:rPr>
        <w:t>基本要求</w:t>
      </w:r>
    </w:p>
    <w:p>
      <w:pPr>
        <w:pStyle w:val="20"/>
        <w:ind w:firstLine="31680"/>
        <w:rPr>
          <w:rFonts w:hint="eastAsia" w:eastAsia="宋体"/>
          <w:lang w:eastAsia="zh-CN"/>
        </w:rPr>
      </w:pPr>
      <w:r>
        <w:rPr>
          <w:rFonts w:hint="eastAsia" w:hAnsi="宋体"/>
          <w:szCs w:val="21"/>
        </w:rPr>
        <w:t>应符合GB/T 30357.1的要求</w:t>
      </w:r>
      <w:r>
        <w:rPr>
          <w:rFonts w:hint="eastAsia" w:hAnsi="宋体"/>
          <w:szCs w:val="21"/>
          <w:lang w:eastAsia="zh-CN"/>
        </w:rPr>
        <w:t>，具有正常的色、香、味，无异味，无劣变</w:t>
      </w:r>
      <w:r>
        <w:rPr>
          <w:rFonts w:hint="eastAsia"/>
        </w:rPr>
        <w:t>。</w:t>
      </w:r>
      <w:r>
        <w:rPr>
          <w:rFonts w:hint="eastAsia"/>
          <w:lang w:eastAsia="zh-CN"/>
        </w:rPr>
        <w:t>不含有非茶类物质，不着色、无任何添加剂。</w:t>
      </w:r>
    </w:p>
    <w:p>
      <w:pPr>
        <w:pStyle w:val="56"/>
        <w:spacing w:before="156" w:after="156"/>
      </w:pPr>
      <w:r>
        <w:rPr>
          <w:rFonts w:hint="eastAsia"/>
          <w:lang w:eastAsia="zh-CN"/>
        </w:rPr>
        <w:t>感官指标</w:t>
      </w:r>
    </w:p>
    <w:p>
      <w:pPr>
        <w:pStyle w:val="20"/>
        <w:ind w:firstLine="0" w:firstLineChars="0"/>
        <w:rPr>
          <w:rFonts w:hint="eastAsia"/>
        </w:rPr>
      </w:pPr>
      <w:r>
        <w:rPr>
          <w:rFonts w:hint="eastAsia" w:ascii="黑体" w:hAnsi="黑体" w:eastAsia="黑体" w:cs="黑体"/>
        </w:rPr>
        <w:t>5.2.1</w:t>
      </w:r>
      <w:r>
        <w:rPr>
          <w:rFonts w:hint="eastAsia"/>
        </w:rPr>
        <w:t xml:space="preserve"> </w:t>
      </w:r>
      <w:r>
        <w:rPr>
          <w:rFonts w:hint="eastAsia"/>
          <w:lang w:val="en-US" w:eastAsia="zh-CN"/>
        </w:rPr>
        <w:t>颗粒</w:t>
      </w:r>
      <w:r>
        <w:rPr>
          <w:rFonts w:hint="eastAsia"/>
        </w:rPr>
        <w:t>型</w:t>
      </w:r>
      <w:r>
        <w:rPr>
          <w:rFonts w:hint="eastAsia"/>
          <w:lang w:eastAsia="zh-CN"/>
        </w:rPr>
        <w:t>永春佛手</w:t>
      </w:r>
      <w:r>
        <w:rPr>
          <w:rFonts w:hint="eastAsia"/>
        </w:rPr>
        <w:t>产品感官品质应符合</w:t>
      </w:r>
      <w:r>
        <w:rPr>
          <w:rFonts w:hint="eastAsia"/>
          <w:lang w:val="en-US" w:eastAsia="zh-CN"/>
        </w:rPr>
        <w:t>GB/T 21824-2008</w:t>
      </w:r>
      <w:r>
        <w:rPr>
          <w:rFonts w:hint="eastAsia"/>
        </w:rPr>
        <w:t>的要求。</w:t>
      </w:r>
    </w:p>
    <w:p>
      <w:pPr>
        <w:rPr>
          <w:rFonts w:hint="eastAsia"/>
        </w:rPr>
      </w:pPr>
      <w:r>
        <w:rPr>
          <w:rFonts w:hint="eastAsia" w:ascii="黑体" w:hAnsi="黑体" w:eastAsia="黑体" w:cs="黑体"/>
          <w:kern w:val="0"/>
          <w:szCs w:val="22"/>
        </w:rPr>
        <w:t>5.2.2</w:t>
      </w:r>
      <w:r>
        <w:rPr>
          <w:rFonts w:hint="eastAsia"/>
        </w:rPr>
        <w:t xml:space="preserve"> </w:t>
      </w:r>
      <w:r>
        <w:rPr>
          <w:rFonts w:hint="eastAsia"/>
          <w:lang w:val="en-US" w:eastAsia="zh-CN"/>
        </w:rPr>
        <w:t>条索</w:t>
      </w:r>
      <w:r>
        <w:rPr>
          <w:rFonts w:hint="eastAsia"/>
        </w:rPr>
        <w:t>型</w:t>
      </w:r>
      <w:r>
        <w:rPr>
          <w:rFonts w:hint="eastAsia"/>
          <w:lang w:eastAsia="zh-CN"/>
        </w:rPr>
        <w:t>永春佛手</w:t>
      </w:r>
      <w:r>
        <w:rPr>
          <w:rFonts w:hint="eastAsia"/>
        </w:rPr>
        <w:t>产品感官品质应符合表</w:t>
      </w:r>
      <w:r>
        <w:rPr>
          <w:rFonts w:hint="eastAsia"/>
          <w:lang w:val="en-US" w:eastAsia="zh-CN"/>
        </w:rPr>
        <w:t>1和表</w:t>
      </w:r>
      <w:r>
        <w:rPr>
          <w:rFonts w:hint="eastAsia"/>
        </w:rPr>
        <w:t>2的要求。</w:t>
      </w:r>
    </w:p>
    <w:p>
      <w:pPr>
        <w:pStyle w:val="133"/>
        <w:rPr>
          <w:rFonts w:hint="eastAsia"/>
        </w:rPr>
      </w:pPr>
      <w:r>
        <w:rPr>
          <w:rFonts w:hint="eastAsia"/>
        </w:rPr>
        <w:t>感官品质要求（清香型）</w:t>
      </w:r>
    </w:p>
    <w:tbl>
      <w:tblPr>
        <w:tblStyle w:val="28"/>
        <w:tblW w:w="10120" w:type="dxa"/>
        <w:tblInd w:w="-2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86"/>
        <w:gridCol w:w="795"/>
        <w:gridCol w:w="1125"/>
        <w:gridCol w:w="1281"/>
        <w:gridCol w:w="1245"/>
        <w:gridCol w:w="1140"/>
        <w:gridCol w:w="1390"/>
        <w:gridCol w:w="11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vMerge w:val="restart"/>
            <w:tcBorders>
              <w:top w:val="single" w:color="auto" w:sz="8" w:space="0"/>
            </w:tcBorders>
            <w:noWrap w:val="0"/>
            <w:vAlign w:val="center"/>
          </w:tcPr>
          <w:p>
            <w:pPr>
              <w:jc w:val="center"/>
              <w:rPr>
                <w:rFonts w:hint="eastAsia" w:ascii="宋体"/>
                <w:sz w:val="18"/>
              </w:rPr>
            </w:pPr>
            <w:r>
              <w:rPr>
                <w:rFonts w:hint="eastAsia" w:ascii="宋体"/>
                <w:sz w:val="18"/>
              </w:rPr>
              <w:t>级别</w:t>
            </w:r>
          </w:p>
        </w:tc>
        <w:tc>
          <w:tcPr>
            <w:tcW w:w="9132" w:type="dxa"/>
            <w:gridSpan w:val="8"/>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vMerge w:val="continue"/>
            <w:noWrap w:val="0"/>
            <w:vAlign w:val="top"/>
          </w:tcPr>
          <w:p>
            <w:pPr>
              <w:rPr>
                <w:rFonts w:hint="eastAsia" w:ascii="宋体"/>
                <w:sz w:val="18"/>
              </w:rPr>
            </w:pPr>
          </w:p>
        </w:tc>
        <w:tc>
          <w:tcPr>
            <w:tcW w:w="4187" w:type="dxa"/>
            <w:gridSpan w:val="4"/>
            <w:tcBorders>
              <w:top w:val="single" w:color="auto" w:sz="8" w:space="0"/>
            </w:tcBorders>
            <w:noWrap w:val="0"/>
            <w:vAlign w:val="center"/>
          </w:tcPr>
          <w:p>
            <w:pPr>
              <w:jc w:val="center"/>
              <w:rPr>
                <w:rFonts w:hint="eastAsia" w:ascii="宋体"/>
                <w:sz w:val="18"/>
              </w:rPr>
            </w:pPr>
            <w:r>
              <w:rPr>
                <w:rFonts w:hint="eastAsia" w:ascii="宋体"/>
                <w:sz w:val="18"/>
              </w:rPr>
              <w:t>外形</w:t>
            </w:r>
          </w:p>
        </w:tc>
        <w:tc>
          <w:tcPr>
            <w:tcW w:w="4945" w:type="dxa"/>
            <w:gridSpan w:val="4"/>
            <w:tcBorders>
              <w:top w:val="single" w:color="auto" w:sz="8" w:space="0"/>
            </w:tcBorders>
            <w:noWrap w:val="0"/>
            <w:vAlign w:val="top"/>
          </w:tcPr>
          <w:p>
            <w:pPr>
              <w:jc w:val="center"/>
              <w:rPr>
                <w:rFonts w:hint="eastAsia" w:ascii="宋体"/>
                <w:sz w:val="18"/>
              </w:rPr>
            </w:pPr>
            <w:r>
              <w:rPr>
                <w:rFonts w:hint="eastAsia" w:ascii="宋体"/>
                <w:sz w:val="18"/>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vMerge w:val="continue"/>
            <w:tcBorders>
              <w:bottom w:val="single" w:color="auto" w:sz="4" w:space="0"/>
            </w:tcBorders>
            <w:noWrap w:val="0"/>
            <w:vAlign w:val="top"/>
          </w:tcPr>
          <w:p>
            <w:pPr>
              <w:rPr>
                <w:rFonts w:hint="eastAsia" w:ascii="宋体"/>
                <w:sz w:val="18"/>
              </w:rPr>
            </w:pPr>
          </w:p>
        </w:tc>
        <w:tc>
          <w:tcPr>
            <w:tcW w:w="986" w:type="dxa"/>
            <w:tcBorders>
              <w:bottom w:val="single" w:color="auto" w:sz="4" w:space="0"/>
            </w:tcBorders>
            <w:noWrap w:val="0"/>
            <w:vAlign w:val="top"/>
          </w:tcPr>
          <w:p>
            <w:pPr>
              <w:jc w:val="center"/>
              <w:rPr>
                <w:rFonts w:hint="eastAsia" w:ascii="宋体"/>
                <w:sz w:val="18"/>
              </w:rPr>
            </w:pPr>
            <w:r>
              <w:rPr>
                <w:rFonts w:hint="eastAsia" w:ascii="宋体"/>
                <w:sz w:val="18"/>
              </w:rPr>
              <w:t>形状</w:t>
            </w:r>
          </w:p>
        </w:tc>
        <w:tc>
          <w:tcPr>
            <w:tcW w:w="795" w:type="dxa"/>
            <w:tcBorders>
              <w:bottom w:val="single" w:color="auto" w:sz="4" w:space="0"/>
            </w:tcBorders>
            <w:noWrap w:val="0"/>
            <w:vAlign w:val="top"/>
          </w:tcPr>
          <w:p>
            <w:pPr>
              <w:jc w:val="center"/>
              <w:rPr>
                <w:rFonts w:hint="eastAsia" w:ascii="宋体"/>
                <w:sz w:val="18"/>
              </w:rPr>
            </w:pPr>
            <w:r>
              <w:rPr>
                <w:rFonts w:hint="eastAsia" w:ascii="宋体"/>
                <w:sz w:val="18"/>
              </w:rPr>
              <w:t>整碎</w:t>
            </w:r>
          </w:p>
        </w:tc>
        <w:tc>
          <w:tcPr>
            <w:tcW w:w="1125" w:type="dxa"/>
            <w:tcBorders>
              <w:bottom w:val="single" w:color="auto" w:sz="4" w:space="0"/>
            </w:tcBorders>
            <w:noWrap w:val="0"/>
            <w:vAlign w:val="top"/>
          </w:tcPr>
          <w:p>
            <w:pPr>
              <w:jc w:val="center"/>
              <w:rPr>
                <w:rFonts w:hint="eastAsia" w:ascii="宋体"/>
                <w:sz w:val="18"/>
              </w:rPr>
            </w:pPr>
            <w:r>
              <w:rPr>
                <w:rFonts w:hint="eastAsia" w:ascii="宋体"/>
                <w:sz w:val="18"/>
              </w:rPr>
              <w:t>净度</w:t>
            </w:r>
          </w:p>
        </w:tc>
        <w:tc>
          <w:tcPr>
            <w:tcW w:w="1281" w:type="dxa"/>
            <w:tcBorders>
              <w:bottom w:val="single" w:color="auto" w:sz="4" w:space="0"/>
            </w:tcBorders>
            <w:noWrap w:val="0"/>
            <w:vAlign w:val="top"/>
          </w:tcPr>
          <w:p>
            <w:pPr>
              <w:jc w:val="center"/>
              <w:rPr>
                <w:rFonts w:hint="eastAsia" w:ascii="宋体"/>
                <w:sz w:val="18"/>
              </w:rPr>
            </w:pPr>
            <w:r>
              <w:rPr>
                <w:rFonts w:hint="eastAsia" w:ascii="宋体"/>
                <w:sz w:val="18"/>
              </w:rPr>
              <w:t>色泽</w:t>
            </w:r>
          </w:p>
        </w:tc>
        <w:tc>
          <w:tcPr>
            <w:tcW w:w="1245" w:type="dxa"/>
            <w:tcBorders>
              <w:bottom w:val="single" w:color="auto" w:sz="4" w:space="0"/>
            </w:tcBorders>
            <w:noWrap w:val="0"/>
            <w:vAlign w:val="top"/>
          </w:tcPr>
          <w:p>
            <w:pPr>
              <w:jc w:val="center"/>
              <w:rPr>
                <w:rFonts w:hint="eastAsia" w:ascii="宋体"/>
                <w:sz w:val="18"/>
              </w:rPr>
            </w:pPr>
            <w:r>
              <w:rPr>
                <w:rFonts w:hint="eastAsia" w:ascii="宋体"/>
                <w:sz w:val="18"/>
              </w:rPr>
              <w:t>香气</w:t>
            </w:r>
          </w:p>
        </w:tc>
        <w:tc>
          <w:tcPr>
            <w:tcW w:w="1140" w:type="dxa"/>
            <w:tcBorders>
              <w:bottom w:val="single" w:color="auto" w:sz="4" w:space="0"/>
            </w:tcBorders>
            <w:noWrap w:val="0"/>
            <w:vAlign w:val="top"/>
          </w:tcPr>
          <w:p>
            <w:pPr>
              <w:jc w:val="center"/>
              <w:rPr>
                <w:rFonts w:hint="eastAsia" w:ascii="宋体"/>
                <w:sz w:val="18"/>
              </w:rPr>
            </w:pPr>
            <w:r>
              <w:rPr>
                <w:rFonts w:hint="eastAsia" w:ascii="宋体"/>
                <w:sz w:val="18"/>
              </w:rPr>
              <w:t>滋味</w:t>
            </w:r>
          </w:p>
        </w:tc>
        <w:tc>
          <w:tcPr>
            <w:tcW w:w="1390" w:type="dxa"/>
            <w:tcBorders>
              <w:bottom w:val="single" w:color="auto" w:sz="4" w:space="0"/>
            </w:tcBorders>
            <w:noWrap w:val="0"/>
            <w:vAlign w:val="top"/>
          </w:tcPr>
          <w:p>
            <w:pPr>
              <w:jc w:val="center"/>
              <w:rPr>
                <w:rFonts w:hint="eastAsia" w:ascii="宋体"/>
                <w:sz w:val="18"/>
              </w:rPr>
            </w:pPr>
            <w:r>
              <w:rPr>
                <w:rFonts w:hint="eastAsia" w:ascii="宋体"/>
                <w:sz w:val="18"/>
              </w:rPr>
              <w:t>汤色</w:t>
            </w:r>
          </w:p>
        </w:tc>
        <w:tc>
          <w:tcPr>
            <w:tcW w:w="1170" w:type="dxa"/>
            <w:tcBorders>
              <w:bottom w:val="single" w:color="auto" w:sz="4" w:space="0"/>
            </w:tcBorders>
            <w:noWrap w:val="0"/>
            <w:vAlign w:val="top"/>
          </w:tcPr>
          <w:p>
            <w:pPr>
              <w:jc w:val="center"/>
              <w:rPr>
                <w:rFonts w:hint="eastAsia" w:ascii="宋体"/>
                <w:sz w:val="18"/>
              </w:rPr>
            </w:pPr>
            <w:r>
              <w:rPr>
                <w:rFonts w:hint="eastAsia" w:ascii="宋体"/>
                <w:sz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tcBorders>
              <w:top w:val="single" w:color="auto" w:sz="4" w:space="0"/>
            </w:tcBorders>
            <w:noWrap w:val="0"/>
            <w:vAlign w:val="center"/>
          </w:tcPr>
          <w:p>
            <w:pPr>
              <w:jc w:val="center"/>
              <w:rPr>
                <w:rFonts w:hint="eastAsia" w:ascii="宋体"/>
                <w:sz w:val="18"/>
              </w:rPr>
            </w:pPr>
            <w:r>
              <w:rPr>
                <w:rFonts w:hint="eastAsia" w:ascii="宋体"/>
                <w:sz w:val="18"/>
              </w:rPr>
              <w:t>特级</w:t>
            </w:r>
          </w:p>
        </w:tc>
        <w:tc>
          <w:tcPr>
            <w:tcW w:w="986"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lang w:val="en-US" w:eastAsia="zh-CN"/>
              </w:rPr>
              <w:t>壮</w:t>
            </w:r>
            <w:r>
              <w:rPr>
                <w:rFonts w:hint="eastAsia" w:ascii="宋体"/>
                <w:sz w:val="18"/>
              </w:rPr>
              <w:t>结重实</w:t>
            </w:r>
          </w:p>
        </w:tc>
        <w:tc>
          <w:tcPr>
            <w:tcW w:w="795"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匀整</w:t>
            </w:r>
          </w:p>
        </w:tc>
        <w:tc>
          <w:tcPr>
            <w:tcW w:w="1125"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洁净</w:t>
            </w:r>
          </w:p>
        </w:tc>
        <w:tc>
          <w:tcPr>
            <w:tcW w:w="1281"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lang w:eastAsia="zh-CN"/>
              </w:rPr>
              <w:t>砂</w:t>
            </w:r>
            <w:r>
              <w:rPr>
                <w:rFonts w:hint="eastAsia" w:ascii="宋体"/>
                <w:sz w:val="18"/>
              </w:rPr>
              <w:t>绿油润</w:t>
            </w:r>
          </w:p>
        </w:tc>
        <w:tc>
          <w:tcPr>
            <w:tcW w:w="1245"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lang w:eastAsia="zh-CN"/>
              </w:rPr>
              <w:t>馥郁，品种香明显</w:t>
            </w:r>
          </w:p>
        </w:tc>
        <w:tc>
          <w:tcPr>
            <w:tcW w:w="1140" w:type="dxa"/>
            <w:tcBorders>
              <w:top w:val="single" w:color="auto" w:sz="4" w:space="0"/>
              <w:bottom w:val="single" w:color="auto" w:sz="4" w:space="0"/>
            </w:tcBorders>
            <w:noWrap w:val="0"/>
            <w:vAlign w:val="center"/>
          </w:tcPr>
          <w:p>
            <w:pPr>
              <w:widowControl/>
              <w:jc w:val="both"/>
              <w:rPr>
                <w:rFonts w:hint="eastAsia" w:ascii="宋体" w:hAnsi="宋体" w:eastAsia="宋体"/>
                <w:sz w:val="18"/>
                <w:szCs w:val="18"/>
                <w:lang w:eastAsia="zh-CN"/>
              </w:rPr>
            </w:pPr>
            <w:r>
              <w:rPr>
                <w:rFonts w:hint="eastAsia" w:ascii="宋体" w:hAnsi="宋体"/>
                <w:sz w:val="18"/>
                <w:szCs w:val="18"/>
                <w:lang w:eastAsia="zh-CN"/>
              </w:rPr>
              <w:t>醇厚甘爽</w:t>
            </w:r>
          </w:p>
        </w:tc>
        <w:tc>
          <w:tcPr>
            <w:tcW w:w="1390" w:type="dxa"/>
            <w:tcBorders>
              <w:top w:val="single" w:color="auto" w:sz="4" w:space="0"/>
              <w:bottom w:val="single" w:color="auto" w:sz="4" w:space="0"/>
            </w:tcBorders>
            <w:noWrap w:val="0"/>
            <w:vAlign w:val="center"/>
          </w:tcPr>
          <w:p>
            <w:pPr>
              <w:widowControl/>
              <w:jc w:val="center"/>
              <w:rPr>
                <w:rFonts w:hint="eastAsia" w:ascii="宋体" w:hAnsi="宋体"/>
                <w:sz w:val="18"/>
                <w:szCs w:val="18"/>
                <w:lang w:eastAsia="zh-CN"/>
              </w:rPr>
            </w:pPr>
            <w:r>
              <w:rPr>
                <w:rFonts w:hint="eastAsia" w:ascii="宋体" w:hAnsi="宋体"/>
                <w:sz w:val="18"/>
                <w:szCs w:val="18"/>
                <w:lang w:eastAsia="zh-CN"/>
              </w:rPr>
              <w:t>浅金黄</w:t>
            </w:r>
          </w:p>
          <w:p>
            <w:pPr>
              <w:widowControl/>
              <w:jc w:val="center"/>
              <w:rPr>
                <w:rFonts w:hint="eastAsia" w:ascii="宋体" w:hAnsi="宋体"/>
                <w:sz w:val="18"/>
                <w:szCs w:val="18"/>
              </w:rPr>
            </w:pPr>
            <w:r>
              <w:rPr>
                <w:rFonts w:hint="eastAsia" w:ascii="宋体" w:hAnsi="宋体"/>
                <w:sz w:val="18"/>
                <w:szCs w:val="18"/>
              </w:rPr>
              <w:t>清澈明亮</w:t>
            </w:r>
          </w:p>
        </w:tc>
        <w:tc>
          <w:tcPr>
            <w:tcW w:w="1170"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eastAsia="zh-CN"/>
              </w:rPr>
            </w:pPr>
            <w:r>
              <w:rPr>
                <w:rFonts w:hint="eastAsia" w:ascii="宋体" w:hAnsi="宋体"/>
                <w:kern w:val="0"/>
                <w:sz w:val="18"/>
                <w:szCs w:val="18"/>
              </w:rPr>
              <w:t>肥厚软亮</w:t>
            </w:r>
            <w:r>
              <w:rPr>
                <w:rFonts w:hint="eastAsia" w:ascii="宋体" w:hAnsi="宋体"/>
                <w:kern w:val="0"/>
                <w:sz w:val="18"/>
                <w:szCs w:val="18"/>
                <w:lang w:eastAsia="zh-CN"/>
              </w:rPr>
              <w:t>、叶片红点明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noWrap w:val="0"/>
            <w:vAlign w:val="center"/>
          </w:tcPr>
          <w:p>
            <w:pPr>
              <w:jc w:val="center"/>
              <w:rPr>
                <w:rFonts w:hint="eastAsia" w:ascii="宋体"/>
                <w:sz w:val="18"/>
              </w:rPr>
            </w:pPr>
            <w:r>
              <w:rPr>
                <w:rFonts w:hint="eastAsia" w:ascii="宋体"/>
                <w:sz w:val="18"/>
              </w:rPr>
              <w:t>一级</w:t>
            </w:r>
          </w:p>
        </w:tc>
        <w:tc>
          <w:tcPr>
            <w:tcW w:w="986" w:type="dxa"/>
            <w:tcBorders>
              <w:top w:val="single" w:color="auto" w:sz="4" w:space="0"/>
              <w:bottom w:val="single" w:color="auto" w:sz="4" w:space="0"/>
            </w:tcBorders>
            <w:noWrap w:val="0"/>
            <w:vAlign w:val="center"/>
          </w:tcPr>
          <w:p>
            <w:pPr>
              <w:jc w:val="center"/>
              <w:rPr>
                <w:rFonts w:ascii="宋体" w:hAnsi="宋体"/>
                <w:kern w:val="0"/>
                <w:sz w:val="18"/>
                <w:szCs w:val="18"/>
              </w:rPr>
            </w:pPr>
            <w:r>
              <w:rPr>
                <w:rFonts w:hint="eastAsia" w:ascii="宋体"/>
                <w:sz w:val="18"/>
                <w:lang w:val="en-US" w:eastAsia="zh-CN"/>
              </w:rPr>
              <w:t>紧</w:t>
            </w:r>
            <w:r>
              <w:rPr>
                <w:rFonts w:hint="eastAsia" w:ascii="宋体"/>
                <w:sz w:val="18"/>
              </w:rPr>
              <w:t>结重实</w:t>
            </w:r>
          </w:p>
        </w:tc>
        <w:tc>
          <w:tcPr>
            <w:tcW w:w="795"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较匀整</w:t>
            </w:r>
          </w:p>
        </w:tc>
        <w:tc>
          <w:tcPr>
            <w:tcW w:w="1125"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sz w:val="18"/>
              </w:rPr>
              <w:t>较洁净</w:t>
            </w:r>
          </w:p>
        </w:tc>
        <w:tc>
          <w:tcPr>
            <w:tcW w:w="1281" w:type="dxa"/>
            <w:tcBorders>
              <w:top w:val="single" w:color="auto" w:sz="4" w:space="0"/>
              <w:bottom w:val="single" w:color="auto" w:sz="4" w:space="0"/>
            </w:tcBorders>
            <w:noWrap w:val="0"/>
            <w:vAlign w:val="center"/>
          </w:tcPr>
          <w:p>
            <w:pPr>
              <w:jc w:val="center"/>
              <w:rPr>
                <w:rFonts w:hint="eastAsia" w:ascii="宋体"/>
                <w:sz w:val="18"/>
              </w:rPr>
            </w:pPr>
            <w:r>
              <w:rPr>
                <w:rFonts w:hint="eastAsia" w:ascii="宋体" w:hAnsi="宋体"/>
                <w:sz w:val="18"/>
                <w:szCs w:val="18"/>
                <w:lang w:eastAsia="zh-CN"/>
              </w:rPr>
              <w:t>砂</w:t>
            </w:r>
            <w:r>
              <w:rPr>
                <w:rFonts w:hint="eastAsia" w:ascii="宋体" w:hAnsi="宋体"/>
                <w:sz w:val="18"/>
                <w:szCs w:val="18"/>
              </w:rPr>
              <w:t>绿</w:t>
            </w:r>
            <w:r>
              <w:rPr>
                <w:rFonts w:hint="eastAsia" w:ascii="宋体" w:hAnsi="宋体"/>
                <w:kern w:val="0"/>
                <w:sz w:val="18"/>
                <w:szCs w:val="18"/>
              </w:rPr>
              <w:t>较润</w:t>
            </w:r>
          </w:p>
        </w:tc>
        <w:tc>
          <w:tcPr>
            <w:tcW w:w="1245"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eastAsia="zh-CN"/>
              </w:rPr>
            </w:pPr>
            <w:r>
              <w:rPr>
                <w:rFonts w:hint="eastAsia" w:ascii="宋体" w:hAnsi="宋体"/>
                <w:kern w:val="0"/>
                <w:sz w:val="18"/>
                <w:szCs w:val="18"/>
                <w:lang w:eastAsia="zh-CN"/>
              </w:rPr>
              <w:t>清高、品种香较显</w:t>
            </w:r>
          </w:p>
        </w:tc>
        <w:tc>
          <w:tcPr>
            <w:tcW w:w="1140"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lang w:eastAsia="zh-CN"/>
              </w:rPr>
              <w:t>清</w:t>
            </w:r>
            <w:r>
              <w:rPr>
                <w:rFonts w:hint="eastAsia" w:ascii="宋体" w:hAnsi="宋体"/>
                <w:kern w:val="0"/>
                <w:sz w:val="18"/>
                <w:szCs w:val="18"/>
              </w:rPr>
              <w:t>醇</w:t>
            </w:r>
            <w:r>
              <w:rPr>
                <w:rFonts w:hint="eastAsia" w:ascii="宋体" w:hAnsi="宋体"/>
                <w:kern w:val="0"/>
                <w:sz w:val="18"/>
                <w:szCs w:val="18"/>
                <w:lang w:eastAsia="zh-CN"/>
              </w:rPr>
              <w:t>较</w:t>
            </w:r>
            <w:r>
              <w:rPr>
                <w:rFonts w:hint="eastAsia" w:ascii="宋体" w:hAnsi="宋体"/>
                <w:kern w:val="0"/>
                <w:sz w:val="18"/>
                <w:szCs w:val="18"/>
              </w:rPr>
              <w:t>爽</w:t>
            </w:r>
          </w:p>
        </w:tc>
        <w:tc>
          <w:tcPr>
            <w:tcW w:w="1390" w:type="dxa"/>
            <w:tcBorders>
              <w:top w:val="single" w:color="auto" w:sz="4" w:space="0"/>
              <w:bottom w:val="single" w:color="auto" w:sz="4" w:space="0"/>
            </w:tcBorders>
            <w:noWrap w:val="0"/>
            <w:vAlign w:val="center"/>
          </w:tcPr>
          <w:p>
            <w:pPr>
              <w:widowControl/>
              <w:jc w:val="center"/>
              <w:rPr>
                <w:rFonts w:ascii="宋体" w:hAnsi="宋体"/>
                <w:sz w:val="18"/>
                <w:szCs w:val="18"/>
              </w:rPr>
            </w:pPr>
            <w:r>
              <w:rPr>
                <w:rFonts w:hint="eastAsia" w:ascii="宋体" w:hAnsi="宋体"/>
                <w:kern w:val="0"/>
                <w:sz w:val="18"/>
                <w:szCs w:val="18"/>
                <w:lang w:eastAsia="zh-CN"/>
              </w:rPr>
              <w:t>金黄</w:t>
            </w:r>
            <w:r>
              <w:rPr>
                <w:rFonts w:hint="eastAsia" w:ascii="宋体" w:hAnsi="宋体"/>
                <w:kern w:val="0"/>
                <w:sz w:val="18"/>
                <w:szCs w:val="18"/>
              </w:rPr>
              <w:t>明亮</w:t>
            </w:r>
          </w:p>
        </w:tc>
        <w:tc>
          <w:tcPr>
            <w:tcW w:w="1170"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eastAsia="zh-CN"/>
              </w:rPr>
            </w:pPr>
            <w:r>
              <w:rPr>
                <w:rFonts w:hint="eastAsia" w:ascii="宋体" w:hAnsi="宋体"/>
                <w:kern w:val="0"/>
                <w:sz w:val="18"/>
                <w:szCs w:val="18"/>
                <w:lang w:eastAsia="zh-CN"/>
              </w:rPr>
              <w:t>较肥厚</w:t>
            </w:r>
            <w:r>
              <w:rPr>
                <w:rFonts w:hint="eastAsia" w:ascii="宋体" w:hAnsi="宋体"/>
                <w:kern w:val="0"/>
                <w:sz w:val="18"/>
                <w:szCs w:val="18"/>
              </w:rPr>
              <w:t>软亮</w:t>
            </w:r>
            <w:r>
              <w:rPr>
                <w:rFonts w:hint="eastAsia" w:ascii="宋体" w:hAnsi="宋体"/>
                <w:kern w:val="0"/>
                <w:sz w:val="18"/>
                <w:szCs w:val="18"/>
                <w:lang w:eastAsia="zh-CN"/>
              </w:rPr>
              <w:t>、叶片带红点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noWrap w:val="0"/>
            <w:vAlign w:val="center"/>
          </w:tcPr>
          <w:p>
            <w:pPr>
              <w:jc w:val="center"/>
              <w:rPr>
                <w:rFonts w:hint="eastAsia" w:ascii="宋体"/>
                <w:sz w:val="18"/>
              </w:rPr>
            </w:pPr>
            <w:r>
              <w:rPr>
                <w:rFonts w:hint="eastAsia" w:ascii="宋体"/>
                <w:sz w:val="18"/>
              </w:rPr>
              <w:t>二级</w:t>
            </w:r>
          </w:p>
        </w:tc>
        <w:tc>
          <w:tcPr>
            <w:tcW w:w="986" w:type="dxa"/>
            <w:tcBorders>
              <w:top w:val="single" w:color="auto" w:sz="4" w:space="0"/>
              <w:bottom w:val="single" w:color="auto" w:sz="4" w:space="0"/>
            </w:tcBorders>
            <w:noWrap w:val="0"/>
            <w:vAlign w:val="center"/>
          </w:tcPr>
          <w:p>
            <w:pPr>
              <w:jc w:val="center"/>
              <w:rPr>
                <w:rFonts w:ascii="宋体" w:hAnsi="宋体"/>
                <w:kern w:val="0"/>
                <w:sz w:val="18"/>
                <w:szCs w:val="18"/>
              </w:rPr>
            </w:pPr>
            <w:r>
              <w:rPr>
                <w:rFonts w:hint="eastAsia" w:ascii="宋体" w:hAnsi="宋体"/>
                <w:kern w:val="0"/>
                <w:sz w:val="18"/>
                <w:szCs w:val="18"/>
              </w:rPr>
              <w:t>较</w:t>
            </w:r>
            <w:r>
              <w:rPr>
                <w:rFonts w:hint="eastAsia" w:ascii="宋体" w:hAnsi="宋体"/>
                <w:kern w:val="0"/>
                <w:sz w:val="18"/>
                <w:szCs w:val="18"/>
                <w:lang w:val="en-US" w:eastAsia="zh-CN"/>
              </w:rPr>
              <w:t>紧</w:t>
            </w:r>
            <w:r>
              <w:rPr>
                <w:rFonts w:hint="eastAsia" w:ascii="宋体" w:hAnsi="宋体"/>
                <w:kern w:val="0"/>
                <w:sz w:val="18"/>
                <w:szCs w:val="18"/>
                <w:lang w:eastAsia="zh-CN"/>
              </w:rPr>
              <w:t>结</w:t>
            </w:r>
          </w:p>
        </w:tc>
        <w:tc>
          <w:tcPr>
            <w:tcW w:w="795"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rPr>
              <w:t>尚匀整</w:t>
            </w:r>
          </w:p>
        </w:tc>
        <w:tc>
          <w:tcPr>
            <w:tcW w:w="1125" w:type="dxa"/>
            <w:tcBorders>
              <w:top w:val="single" w:color="auto" w:sz="4" w:space="0"/>
              <w:bottom w:val="single" w:color="auto" w:sz="4" w:space="0"/>
            </w:tcBorders>
            <w:noWrap w:val="0"/>
            <w:vAlign w:val="center"/>
          </w:tcPr>
          <w:p>
            <w:pPr>
              <w:jc w:val="center"/>
              <w:rPr>
                <w:rFonts w:hint="eastAsia" w:ascii="宋体" w:hAnsi="宋体" w:eastAsia="宋体"/>
                <w:kern w:val="0"/>
                <w:sz w:val="18"/>
                <w:szCs w:val="18"/>
                <w:lang w:eastAsia="zh-CN"/>
              </w:rPr>
            </w:pPr>
            <w:r>
              <w:rPr>
                <w:rFonts w:hint="eastAsia" w:ascii="宋体" w:hAnsi="宋体"/>
                <w:kern w:val="0"/>
                <w:sz w:val="18"/>
                <w:szCs w:val="18"/>
              </w:rPr>
              <w:t>尚净</w:t>
            </w:r>
          </w:p>
        </w:tc>
        <w:tc>
          <w:tcPr>
            <w:tcW w:w="1281" w:type="dxa"/>
            <w:tcBorders>
              <w:top w:val="single" w:color="auto" w:sz="4" w:space="0"/>
              <w:bottom w:val="single" w:color="auto" w:sz="4" w:space="0"/>
            </w:tcBorders>
            <w:noWrap w:val="0"/>
            <w:vAlign w:val="center"/>
          </w:tcPr>
          <w:p>
            <w:pPr>
              <w:jc w:val="center"/>
              <w:rPr>
                <w:rFonts w:hint="eastAsia" w:ascii="宋体" w:hAnsi="宋体" w:eastAsia="宋体"/>
                <w:kern w:val="0"/>
                <w:sz w:val="18"/>
                <w:szCs w:val="18"/>
                <w:lang w:eastAsia="zh-CN"/>
              </w:rPr>
            </w:pPr>
            <w:r>
              <w:rPr>
                <w:rFonts w:hint="eastAsia" w:ascii="宋体" w:hAnsi="宋体"/>
                <w:kern w:val="0"/>
                <w:sz w:val="18"/>
                <w:szCs w:val="18"/>
                <w:lang w:eastAsia="zh-CN"/>
              </w:rPr>
              <w:t>乌</w:t>
            </w:r>
            <w:r>
              <w:rPr>
                <w:rFonts w:hint="eastAsia" w:ascii="宋体" w:hAnsi="宋体"/>
                <w:kern w:val="0"/>
                <w:sz w:val="18"/>
                <w:szCs w:val="18"/>
              </w:rPr>
              <w:t>绿</w:t>
            </w:r>
          </w:p>
        </w:tc>
        <w:tc>
          <w:tcPr>
            <w:tcW w:w="1245"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eastAsia="zh-CN"/>
              </w:rPr>
            </w:pPr>
            <w:r>
              <w:rPr>
                <w:rFonts w:hint="eastAsia" w:ascii="宋体" w:hAnsi="宋体"/>
                <w:sz w:val="18"/>
                <w:szCs w:val="18"/>
                <w:lang w:eastAsia="zh-CN"/>
              </w:rPr>
              <w:t>较</w:t>
            </w:r>
            <w:r>
              <w:rPr>
                <w:rFonts w:hint="eastAsia" w:ascii="宋体" w:hAnsi="宋体"/>
                <w:sz w:val="18"/>
                <w:szCs w:val="18"/>
              </w:rPr>
              <w:t>清</w:t>
            </w:r>
            <w:r>
              <w:rPr>
                <w:rFonts w:hint="eastAsia" w:ascii="宋体" w:hAnsi="宋体"/>
                <w:sz w:val="18"/>
                <w:szCs w:val="18"/>
                <w:lang w:eastAsia="zh-CN"/>
              </w:rPr>
              <w:t>纯、品种香尚显</w:t>
            </w:r>
          </w:p>
        </w:tc>
        <w:tc>
          <w:tcPr>
            <w:tcW w:w="1140" w:type="dxa"/>
            <w:tcBorders>
              <w:top w:val="single" w:color="auto" w:sz="4" w:space="0"/>
              <w:bottom w:val="single" w:color="auto" w:sz="4" w:space="0"/>
            </w:tcBorders>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eastAsia="zh-CN"/>
              </w:rPr>
              <w:t>尚清醇</w:t>
            </w:r>
          </w:p>
        </w:tc>
        <w:tc>
          <w:tcPr>
            <w:tcW w:w="1390" w:type="dxa"/>
            <w:tcBorders>
              <w:top w:val="single" w:color="auto" w:sz="4" w:space="0"/>
              <w:bottom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lang w:eastAsia="zh-CN"/>
              </w:rPr>
              <w:t>橙黄尚</w:t>
            </w:r>
            <w:r>
              <w:rPr>
                <w:rFonts w:hint="eastAsia" w:ascii="宋体" w:hAnsi="宋体"/>
                <w:kern w:val="0"/>
                <w:sz w:val="18"/>
                <w:szCs w:val="18"/>
              </w:rPr>
              <w:t>亮</w:t>
            </w:r>
          </w:p>
        </w:tc>
        <w:tc>
          <w:tcPr>
            <w:tcW w:w="1170" w:type="dxa"/>
            <w:tcBorders>
              <w:top w:val="single" w:color="auto" w:sz="4" w:space="0"/>
              <w:bottom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较软、尚匀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noWrap w:val="0"/>
            <w:vAlign w:val="center"/>
          </w:tcPr>
          <w:p>
            <w:pPr>
              <w:jc w:val="center"/>
              <w:rPr>
                <w:rFonts w:hint="eastAsia" w:ascii="宋体"/>
                <w:sz w:val="18"/>
              </w:rPr>
            </w:pPr>
            <w:r>
              <w:rPr>
                <w:rFonts w:hint="eastAsia" w:ascii="宋体"/>
                <w:sz w:val="18"/>
              </w:rPr>
              <w:t>三级</w:t>
            </w:r>
          </w:p>
        </w:tc>
        <w:tc>
          <w:tcPr>
            <w:tcW w:w="986" w:type="dxa"/>
            <w:tcBorders>
              <w:top w:val="single" w:color="auto" w:sz="4" w:space="0"/>
              <w:bottom w:val="single" w:color="auto" w:sz="4"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eastAsia="zh-CN"/>
              </w:rPr>
              <w:t>尚</w:t>
            </w:r>
            <w:r>
              <w:rPr>
                <w:rFonts w:hint="eastAsia" w:ascii="宋体" w:hAnsi="宋体"/>
                <w:sz w:val="18"/>
                <w:szCs w:val="18"/>
                <w:lang w:val="en-US" w:eastAsia="zh-CN"/>
              </w:rPr>
              <w:t>紧结</w:t>
            </w:r>
          </w:p>
        </w:tc>
        <w:tc>
          <w:tcPr>
            <w:tcW w:w="79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尚匀</w:t>
            </w:r>
          </w:p>
        </w:tc>
        <w:tc>
          <w:tcPr>
            <w:tcW w:w="112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lang w:eastAsia="zh-CN"/>
              </w:rPr>
              <w:t>带</w:t>
            </w:r>
            <w:r>
              <w:rPr>
                <w:rFonts w:hint="eastAsia" w:ascii="宋体" w:hAnsi="宋体"/>
                <w:kern w:val="0"/>
                <w:sz w:val="18"/>
                <w:szCs w:val="18"/>
              </w:rPr>
              <w:t>细梗</w:t>
            </w:r>
            <w:r>
              <w:rPr>
                <w:rFonts w:hint="eastAsia" w:ascii="宋体" w:hAnsi="宋体"/>
                <w:kern w:val="0"/>
                <w:sz w:val="18"/>
                <w:szCs w:val="18"/>
                <w:lang w:eastAsia="zh-CN"/>
              </w:rPr>
              <w:t>轻片</w:t>
            </w:r>
          </w:p>
        </w:tc>
        <w:tc>
          <w:tcPr>
            <w:tcW w:w="1281" w:type="dxa"/>
            <w:tcBorders>
              <w:top w:val="single" w:color="auto" w:sz="4" w:space="0"/>
              <w:bottom w:val="single" w:color="auto" w:sz="4"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rPr>
              <w:t>尚绿</w:t>
            </w:r>
            <w:r>
              <w:rPr>
                <w:rFonts w:hint="eastAsia" w:ascii="宋体" w:hAnsi="宋体"/>
                <w:sz w:val="18"/>
                <w:szCs w:val="18"/>
                <w:lang w:eastAsia="zh-CN"/>
              </w:rPr>
              <w:t>带褐</w:t>
            </w:r>
            <w:r>
              <w:rPr>
                <w:rFonts w:hint="eastAsia" w:ascii="宋体" w:hAnsi="宋体"/>
                <w:sz w:val="18"/>
                <w:szCs w:val="18"/>
                <w:lang w:val="en-US" w:eastAsia="zh-CN"/>
              </w:rPr>
              <w:t xml:space="preserve"> 红</w:t>
            </w:r>
          </w:p>
        </w:tc>
        <w:tc>
          <w:tcPr>
            <w:tcW w:w="1245"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sz w:val="18"/>
                <w:szCs w:val="18"/>
              </w:rPr>
              <w:t>带清香</w:t>
            </w:r>
          </w:p>
        </w:tc>
        <w:tc>
          <w:tcPr>
            <w:tcW w:w="1140" w:type="dxa"/>
            <w:tcBorders>
              <w:top w:val="single" w:color="auto" w:sz="4" w:space="0"/>
              <w:bottom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尚醇</w:t>
            </w:r>
          </w:p>
        </w:tc>
        <w:tc>
          <w:tcPr>
            <w:tcW w:w="1390" w:type="dxa"/>
            <w:tcBorders>
              <w:top w:val="single" w:color="auto" w:sz="4" w:space="0"/>
              <w:bottom w:val="single" w:color="auto" w:sz="4" w:space="0"/>
            </w:tcBorders>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eastAsia="zh-CN"/>
              </w:rPr>
              <w:t>深橙黄</w:t>
            </w:r>
          </w:p>
        </w:tc>
        <w:tc>
          <w:tcPr>
            <w:tcW w:w="1170" w:type="dxa"/>
            <w:tcBorders>
              <w:top w:val="single" w:color="auto" w:sz="4" w:space="0"/>
              <w:bottom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尚软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88" w:type="dxa"/>
            <w:tcBorders>
              <w:bottom w:val="single" w:color="auto" w:sz="4" w:space="0"/>
            </w:tcBorders>
            <w:noWrap w:val="0"/>
            <w:vAlign w:val="center"/>
          </w:tcPr>
          <w:p>
            <w:pPr>
              <w:jc w:val="center"/>
              <w:rPr>
                <w:rFonts w:hint="default" w:ascii="宋体" w:eastAsia="宋体"/>
                <w:sz w:val="18"/>
                <w:lang w:val="en-US" w:eastAsia="zh-CN"/>
              </w:rPr>
            </w:pPr>
            <w:r>
              <w:rPr>
                <w:rFonts w:hint="eastAsia" w:ascii="宋体"/>
                <w:sz w:val="18"/>
                <w:lang w:val="en-US" w:eastAsia="zh-CN"/>
              </w:rPr>
              <w:t>四级</w:t>
            </w:r>
          </w:p>
        </w:tc>
        <w:tc>
          <w:tcPr>
            <w:tcW w:w="986" w:type="dxa"/>
            <w:tcBorders>
              <w:top w:val="single" w:color="auto" w:sz="4" w:space="0"/>
              <w:bottom w:val="single" w:color="auto" w:sz="4" w:space="0"/>
            </w:tcBorders>
            <w:noWrap w:val="0"/>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粗松</w:t>
            </w:r>
          </w:p>
        </w:tc>
        <w:tc>
          <w:tcPr>
            <w:tcW w:w="795" w:type="dxa"/>
            <w:tcBorders>
              <w:top w:val="single" w:color="auto" w:sz="4" w:space="0"/>
              <w:bottom w:val="single" w:color="auto" w:sz="4"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欠匀</w:t>
            </w:r>
          </w:p>
        </w:tc>
        <w:tc>
          <w:tcPr>
            <w:tcW w:w="112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有梗片</w:t>
            </w:r>
          </w:p>
        </w:tc>
        <w:tc>
          <w:tcPr>
            <w:tcW w:w="1281" w:type="dxa"/>
            <w:tcBorders>
              <w:top w:val="single" w:color="auto" w:sz="4" w:space="0"/>
              <w:bottom w:val="single" w:color="auto" w:sz="4" w:space="0"/>
            </w:tcBorders>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暗绿带褐红</w:t>
            </w:r>
          </w:p>
        </w:tc>
        <w:tc>
          <w:tcPr>
            <w:tcW w:w="1245"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val="en-US" w:eastAsia="zh-CN"/>
              </w:rPr>
            </w:pPr>
            <w:r>
              <w:rPr>
                <w:rFonts w:hint="eastAsia" w:ascii="宋体" w:hAnsi="宋体"/>
                <w:sz w:val="18"/>
                <w:szCs w:val="18"/>
                <w:lang w:val="en-US" w:eastAsia="zh-CN"/>
              </w:rPr>
              <w:t>纯正</w:t>
            </w:r>
          </w:p>
        </w:tc>
        <w:tc>
          <w:tcPr>
            <w:tcW w:w="1140" w:type="dxa"/>
            <w:tcBorders>
              <w:top w:val="single" w:color="auto" w:sz="4" w:space="0"/>
              <w:bottom w:val="single" w:color="auto" w:sz="4" w:space="0"/>
            </w:tcBorders>
            <w:noWrap w:val="0"/>
            <w:vAlign w:val="center"/>
          </w:tcPr>
          <w:p>
            <w:pPr>
              <w:widowControl/>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纯正</w:t>
            </w:r>
          </w:p>
        </w:tc>
        <w:tc>
          <w:tcPr>
            <w:tcW w:w="1390" w:type="dxa"/>
            <w:tcBorders>
              <w:top w:val="single" w:color="auto" w:sz="4" w:space="0"/>
              <w:bottom w:val="single" w:color="auto" w:sz="4" w:space="0"/>
            </w:tcBorders>
            <w:noWrap w:val="0"/>
            <w:vAlign w:val="center"/>
          </w:tcPr>
          <w:p>
            <w:pPr>
              <w:widowControl/>
              <w:jc w:val="center"/>
              <w:rPr>
                <w:rFonts w:hint="default" w:ascii="宋体" w:hAnsi="宋体"/>
                <w:kern w:val="0"/>
                <w:sz w:val="18"/>
                <w:szCs w:val="18"/>
                <w:lang w:val="en-US" w:eastAsia="zh-CN"/>
              </w:rPr>
            </w:pPr>
            <w:r>
              <w:rPr>
                <w:rFonts w:hint="eastAsia" w:ascii="宋体" w:hAnsi="宋体"/>
                <w:kern w:val="0"/>
                <w:sz w:val="18"/>
                <w:szCs w:val="18"/>
                <w:lang w:eastAsia="zh-CN"/>
              </w:rPr>
              <w:t>深橙黄</w:t>
            </w:r>
            <w:r>
              <w:rPr>
                <w:rFonts w:hint="eastAsia" w:ascii="宋体" w:hAnsi="宋体"/>
                <w:kern w:val="0"/>
                <w:sz w:val="18"/>
                <w:szCs w:val="18"/>
                <w:lang w:val="en-US" w:eastAsia="zh-CN"/>
              </w:rPr>
              <w:t>泛红</w:t>
            </w:r>
          </w:p>
        </w:tc>
        <w:tc>
          <w:tcPr>
            <w:tcW w:w="1170" w:type="dxa"/>
            <w:tcBorders>
              <w:top w:val="single" w:color="auto" w:sz="4" w:space="0"/>
              <w:bottom w:val="single" w:color="auto" w:sz="4" w:space="0"/>
            </w:tcBorders>
            <w:noWrap w:val="0"/>
            <w:vAlign w:val="center"/>
          </w:tcPr>
          <w:p>
            <w:pPr>
              <w:widowControl/>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粗硬</w:t>
            </w:r>
          </w:p>
        </w:tc>
      </w:tr>
    </w:tbl>
    <w:p>
      <w:pPr>
        <w:pStyle w:val="133"/>
        <w:numPr>
          <w:ilvl w:val="0"/>
          <w:numId w:val="0"/>
        </w:numPr>
        <w:rPr>
          <w:rFonts w:hint="eastAsia"/>
        </w:rPr>
      </w:pPr>
      <w:r>
        <w:rPr>
          <w:rFonts w:hint="eastAsia"/>
        </w:rPr>
        <w:t>表2 感官品质要求（</w:t>
      </w:r>
      <w:r>
        <w:rPr>
          <w:rFonts w:hint="eastAsia"/>
          <w:lang w:eastAsia="zh-CN"/>
        </w:rPr>
        <w:t>浓</w:t>
      </w:r>
      <w:r>
        <w:rPr>
          <w:rFonts w:hint="eastAsia"/>
        </w:rPr>
        <w:t>香型）</w:t>
      </w:r>
    </w:p>
    <w:tbl>
      <w:tblPr>
        <w:tblStyle w:val="28"/>
        <w:tblW w:w="10135" w:type="dxa"/>
        <w:tblInd w:w="-2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50"/>
        <w:gridCol w:w="1035"/>
        <w:gridCol w:w="1131"/>
        <w:gridCol w:w="960"/>
        <w:gridCol w:w="1749"/>
        <w:gridCol w:w="1065"/>
        <w:gridCol w:w="946"/>
        <w:gridCol w:w="1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restart"/>
            <w:tcBorders>
              <w:top w:val="single" w:color="auto" w:sz="8" w:space="0"/>
            </w:tcBorders>
            <w:noWrap w:val="0"/>
            <w:vAlign w:val="center"/>
          </w:tcPr>
          <w:p>
            <w:pPr>
              <w:jc w:val="center"/>
              <w:rPr>
                <w:rFonts w:hint="eastAsia" w:ascii="宋体"/>
                <w:sz w:val="18"/>
              </w:rPr>
            </w:pPr>
            <w:r>
              <w:rPr>
                <w:rFonts w:hint="eastAsia" w:ascii="宋体"/>
                <w:sz w:val="18"/>
              </w:rPr>
              <w:t>级别</w:t>
            </w:r>
          </w:p>
        </w:tc>
        <w:tc>
          <w:tcPr>
            <w:tcW w:w="9136" w:type="dxa"/>
            <w:gridSpan w:val="8"/>
            <w:tcBorders>
              <w:top w:val="single" w:color="auto" w:sz="8" w:space="0"/>
              <w:bottom w:val="single" w:color="auto" w:sz="8" w:space="0"/>
            </w:tcBorders>
            <w:noWrap w:val="0"/>
            <w:vAlign w:val="top"/>
          </w:tcPr>
          <w:p>
            <w:pPr>
              <w:jc w:val="center"/>
              <w:rPr>
                <w:rFonts w:hint="eastAsia" w:ascii="宋体"/>
                <w:sz w:val="18"/>
              </w:rPr>
            </w:pPr>
            <w:r>
              <w:rPr>
                <w:rFonts w:hint="eastAsia" w:ascii="宋体"/>
                <w:sz w:val="18"/>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ascii="宋体"/>
                <w:sz w:val="18"/>
              </w:rPr>
            </w:pPr>
          </w:p>
        </w:tc>
        <w:tc>
          <w:tcPr>
            <w:tcW w:w="4176" w:type="dxa"/>
            <w:gridSpan w:val="4"/>
            <w:tcBorders>
              <w:top w:val="single" w:color="auto" w:sz="8" w:space="0"/>
            </w:tcBorders>
            <w:noWrap w:val="0"/>
            <w:vAlign w:val="center"/>
          </w:tcPr>
          <w:p>
            <w:pPr>
              <w:jc w:val="center"/>
              <w:rPr>
                <w:rFonts w:hint="eastAsia" w:ascii="宋体"/>
                <w:sz w:val="18"/>
              </w:rPr>
            </w:pPr>
            <w:r>
              <w:rPr>
                <w:rFonts w:hint="eastAsia" w:ascii="宋体"/>
                <w:sz w:val="18"/>
              </w:rPr>
              <w:t>外形</w:t>
            </w:r>
          </w:p>
        </w:tc>
        <w:tc>
          <w:tcPr>
            <w:tcW w:w="4960" w:type="dxa"/>
            <w:gridSpan w:val="4"/>
            <w:tcBorders>
              <w:top w:val="single" w:color="auto" w:sz="8" w:space="0"/>
            </w:tcBorders>
            <w:noWrap w:val="0"/>
            <w:vAlign w:val="top"/>
          </w:tcPr>
          <w:p>
            <w:pPr>
              <w:jc w:val="center"/>
              <w:rPr>
                <w:rFonts w:hint="eastAsia" w:ascii="宋体"/>
                <w:sz w:val="18"/>
              </w:rPr>
            </w:pPr>
            <w:r>
              <w:rPr>
                <w:rFonts w:hint="eastAsia" w:ascii="宋体"/>
                <w:sz w:val="18"/>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tcBorders>
              <w:bottom w:val="single" w:color="auto" w:sz="4" w:space="0"/>
            </w:tcBorders>
            <w:noWrap w:val="0"/>
            <w:vAlign w:val="top"/>
          </w:tcPr>
          <w:p>
            <w:pPr>
              <w:rPr>
                <w:rFonts w:hint="eastAsia" w:ascii="宋体"/>
                <w:sz w:val="18"/>
              </w:rPr>
            </w:pPr>
          </w:p>
        </w:tc>
        <w:tc>
          <w:tcPr>
            <w:tcW w:w="1050" w:type="dxa"/>
            <w:tcBorders>
              <w:bottom w:val="single" w:color="auto" w:sz="4" w:space="0"/>
            </w:tcBorders>
            <w:noWrap w:val="0"/>
            <w:vAlign w:val="top"/>
          </w:tcPr>
          <w:p>
            <w:pPr>
              <w:jc w:val="center"/>
              <w:rPr>
                <w:rFonts w:hint="eastAsia" w:ascii="宋体"/>
                <w:sz w:val="18"/>
              </w:rPr>
            </w:pPr>
            <w:r>
              <w:rPr>
                <w:rFonts w:hint="eastAsia" w:ascii="宋体"/>
                <w:sz w:val="18"/>
              </w:rPr>
              <w:t>形状</w:t>
            </w:r>
          </w:p>
        </w:tc>
        <w:tc>
          <w:tcPr>
            <w:tcW w:w="1035" w:type="dxa"/>
            <w:tcBorders>
              <w:bottom w:val="single" w:color="auto" w:sz="4" w:space="0"/>
            </w:tcBorders>
            <w:noWrap w:val="0"/>
            <w:vAlign w:val="top"/>
          </w:tcPr>
          <w:p>
            <w:pPr>
              <w:jc w:val="center"/>
              <w:rPr>
                <w:rFonts w:hint="eastAsia" w:ascii="宋体"/>
                <w:sz w:val="18"/>
              </w:rPr>
            </w:pPr>
            <w:r>
              <w:rPr>
                <w:rFonts w:hint="eastAsia" w:ascii="宋体"/>
                <w:sz w:val="18"/>
              </w:rPr>
              <w:t>整碎</w:t>
            </w:r>
          </w:p>
        </w:tc>
        <w:tc>
          <w:tcPr>
            <w:tcW w:w="1131" w:type="dxa"/>
            <w:tcBorders>
              <w:bottom w:val="single" w:color="auto" w:sz="4" w:space="0"/>
            </w:tcBorders>
            <w:noWrap w:val="0"/>
            <w:vAlign w:val="top"/>
          </w:tcPr>
          <w:p>
            <w:pPr>
              <w:jc w:val="center"/>
              <w:rPr>
                <w:rFonts w:hint="eastAsia" w:ascii="宋体"/>
                <w:sz w:val="18"/>
              </w:rPr>
            </w:pPr>
            <w:r>
              <w:rPr>
                <w:rFonts w:hint="eastAsia" w:ascii="宋体"/>
                <w:sz w:val="18"/>
              </w:rPr>
              <w:t>净度</w:t>
            </w:r>
          </w:p>
        </w:tc>
        <w:tc>
          <w:tcPr>
            <w:tcW w:w="960" w:type="dxa"/>
            <w:tcBorders>
              <w:bottom w:val="single" w:color="auto" w:sz="4" w:space="0"/>
            </w:tcBorders>
            <w:noWrap w:val="0"/>
            <w:vAlign w:val="top"/>
          </w:tcPr>
          <w:p>
            <w:pPr>
              <w:jc w:val="center"/>
              <w:rPr>
                <w:rFonts w:hint="eastAsia" w:ascii="宋体"/>
                <w:sz w:val="18"/>
              </w:rPr>
            </w:pPr>
            <w:r>
              <w:rPr>
                <w:rFonts w:hint="eastAsia" w:ascii="宋体"/>
                <w:sz w:val="18"/>
              </w:rPr>
              <w:t>色泽</w:t>
            </w:r>
          </w:p>
        </w:tc>
        <w:tc>
          <w:tcPr>
            <w:tcW w:w="1749" w:type="dxa"/>
            <w:tcBorders>
              <w:bottom w:val="single" w:color="auto" w:sz="4" w:space="0"/>
            </w:tcBorders>
            <w:noWrap w:val="0"/>
            <w:vAlign w:val="top"/>
          </w:tcPr>
          <w:p>
            <w:pPr>
              <w:jc w:val="center"/>
              <w:rPr>
                <w:rFonts w:hint="eastAsia" w:ascii="宋体"/>
                <w:sz w:val="18"/>
              </w:rPr>
            </w:pPr>
            <w:r>
              <w:rPr>
                <w:rFonts w:hint="eastAsia" w:ascii="宋体"/>
                <w:sz w:val="18"/>
              </w:rPr>
              <w:t>香气</w:t>
            </w:r>
          </w:p>
        </w:tc>
        <w:tc>
          <w:tcPr>
            <w:tcW w:w="1065" w:type="dxa"/>
            <w:tcBorders>
              <w:bottom w:val="single" w:color="auto" w:sz="4" w:space="0"/>
            </w:tcBorders>
            <w:noWrap w:val="0"/>
            <w:vAlign w:val="top"/>
          </w:tcPr>
          <w:p>
            <w:pPr>
              <w:jc w:val="center"/>
              <w:rPr>
                <w:rFonts w:hint="eastAsia" w:ascii="宋体"/>
                <w:sz w:val="18"/>
              </w:rPr>
            </w:pPr>
            <w:r>
              <w:rPr>
                <w:rFonts w:hint="eastAsia" w:ascii="宋体"/>
                <w:sz w:val="18"/>
              </w:rPr>
              <w:t>滋味</w:t>
            </w:r>
          </w:p>
        </w:tc>
        <w:tc>
          <w:tcPr>
            <w:tcW w:w="946" w:type="dxa"/>
            <w:tcBorders>
              <w:bottom w:val="single" w:color="auto" w:sz="4" w:space="0"/>
            </w:tcBorders>
            <w:noWrap w:val="0"/>
            <w:vAlign w:val="top"/>
          </w:tcPr>
          <w:p>
            <w:pPr>
              <w:jc w:val="center"/>
              <w:rPr>
                <w:rFonts w:hint="eastAsia" w:ascii="宋体"/>
                <w:sz w:val="18"/>
              </w:rPr>
            </w:pPr>
            <w:r>
              <w:rPr>
                <w:rFonts w:hint="eastAsia" w:ascii="宋体"/>
                <w:sz w:val="18"/>
              </w:rPr>
              <w:t>汤色</w:t>
            </w:r>
          </w:p>
        </w:tc>
        <w:tc>
          <w:tcPr>
            <w:tcW w:w="1200" w:type="dxa"/>
            <w:tcBorders>
              <w:bottom w:val="single" w:color="auto" w:sz="4" w:space="0"/>
            </w:tcBorders>
            <w:noWrap w:val="0"/>
            <w:vAlign w:val="top"/>
          </w:tcPr>
          <w:p>
            <w:pPr>
              <w:jc w:val="center"/>
              <w:rPr>
                <w:rFonts w:hint="eastAsia" w:ascii="宋体"/>
                <w:sz w:val="18"/>
              </w:rPr>
            </w:pPr>
            <w:r>
              <w:rPr>
                <w:rFonts w:hint="eastAsia" w:ascii="宋体"/>
                <w:sz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dxa"/>
            <w:tcBorders>
              <w:top w:val="single" w:color="auto" w:sz="4" w:space="0"/>
            </w:tcBorders>
            <w:noWrap w:val="0"/>
            <w:vAlign w:val="center"/>
          </w:tcPr>
          <w:p>
            <w:pPr>
              <w:jc w:val="center"/>
              <w:rPr>
                <w:rFonts w:hint="eastAsia" w:ascii="宋体"/>
                <w:sz w:val="18"/>
              </w:rPr>
            </w:pPr>
            <w:r>
              <w:rPr>
                <w:rFonts w:hint="eastAsia" w:ascii="宋体"/>
                <w:sz w:val="18"/>
              </w:rPr>
              <w:t>特级</w:t>
            </w:r>
          </w:p>
        </w:tc>
        <w:tc>
          <w:tcPr>
            <w:tcW w:w="105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sz w:val="18"/>
                <w:lang w:val="en-US" w:eastAsia="zh-CN"/>
              </w:rPr>
              <w:t>壮</w:t>
            </w:r>
            <w:r>
              <w:rPr>
                <w:rFonts w:hint="eastAsia" w:ascii="宋体"/>
                <w:sz w:val="18"/>
              </w:rPr>
              <w:t>结重实</w:t>
            </w:r>
          </w:p>
        </w:tc>
        <w:tc>
          <w:tcPr>
            <w:tcW w:w="103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sz w:val="18"/>
              </w:rPr>
              <w:t>匀整</w:t>
            </w:r>
          </w:p>
        </w:tc>
        <w:tc>
          <w:tcPr>
            <w:tcW w:w="1131"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sz w:val="18"/>
              </w:rPr>
              <w:t>洁净</w:t>
            </w:r>
          </w:p>
        </w:tc>
        <w:tc>
          <w:tcPr>
            <w:tcW w:w="96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rPr>
              <w:t>乌褐油润</w:t>
            </w:r>
          </w:p>
        </w:tc>
        <w:tc>
          <w:tcPr>
            <w:tcW w:w="1749"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lang w:eastAsia="zh-CN"/>
              </w:rPr>
              <w:t>熟</w:t>
            </w:r>
            <w:r>
              <w:rPr>
                <w:rFonts w:hint="eastAsia" w:ascii="宋体" w:hAnsi="宋体"/>
                <w:kern w:val="0"/>
                <w:sz w:val="18"/>
                <w:szCs w:val="18"/>
              </w:rPr>
              <w:t>果香显、持久</w:t>
            </w:r>
          </w:p>
        </w:tc>
        <w:tc>
          <w:tcPr>
            <w:tcW w:w="106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醇厚</w:t>
            </w:r>
            <w:r>
              <w:rPr>
                <w:rFonts w:hint="eastAsia" w:ascii="宋体" w:hAnsi="宋体"/>
                <w:sz w:val="18"/>
                <w:szCs w:val="18"/>
                <w:lang w:eastAsia="zh-CN"/>
              </w:rPr>
              <w:t>回</w:t>
            </w:r>
            <w:r>
              <w:rPr>
                <w:rFonts w:hint="eastAsia" w:ascii="宋体" w:hAnsi="宋体"/>
                <w:sz w:val="18"/>
                <w:szCs w:val="18"/>
              </w:rPr>
              <w:t>甘</w:t>
            </w:r>
          </w:p>
        </w:tc>
        <w:tc>
          <w:tcPr>
            <w:tcW w:w="946" w:type="dxa"/>
            <w:tcBorders>
              <w:top w:val="single" w:color="auto" w:sz="4" w:space="0"/>
              <w:bottom w:val="single" w:color="auto" w:sz="4" w:space="0"/>
            </w:tcBorders>
            <w:noWrap w:val="0"/>
            <w:vAlign w:val="center"/>
          </w:tcPr>
          <w:p>
            <w:pPr>
              <w:widowControl/>
              <w:jc w:val="center"/>
              <w:rPr>
                <w:rFonts w:ascii="宋体" w:hAnsi="宋体"/>
                <w:sz w:val="18"/>
                <w:szCs w:val="18"/>
              </w:rPr>
            </w:pPr>
            <w:r>
              <w:rPr>
                <w:rFonts w:hint="eastAsia" w:ascii="宋体" w:hAnsi="宋体"/>
                <w:kern w:val="0"/>
                <w:sz w:val="18"/>
                <w:szCs w:val="18"/>
              </w:rPr>
              <w:t>金黄明亮</w:t>
            </w:r>
          </w:p>
        </w:tc>
        <w:tc>
          <w:tcPr>
            <w:tcW w:w="1200" w:type="dxa"/>
            <w:tcBorders>
              <w:top w:val="single" w:color="auto" w:sz="4" w:space="0"/>
              <w:bottom w:val="single" w:color="auto" w:sz="4" w:space="0"/>
            </w:tcBorders>
            <w:noWrap w:val="0"/>
            <w:vAlign w:val="center"/>
          </w:tcPr>
          <w:p>
            <w:pPr>
              <w:widowControl/>
              <w:jc w:val="center"/>
              <w:rPr>
                <w:rFonts w:hint="eastAsia" w:ascii="宋体" w:hAnsi="宋体" w:eastAsia="宋体"/>
                <w:sz w:val="18"/>
                <w:szCs w:val="18"/>
                <w:lang w:eastAsia="zh-CN"/>
              </w:rPr>
            </w:pPr>
            <w:r>
              <w:rPr>
                <w:rFonts w:hint="eastAsia" w:ascii="宋体" w:hAnsi="宋体"/>
                <w:kern w:val="0"/>
                <w:sz w:val="18"/>
                <w:szCs w:val="18"/>
              </w:rPr>
              <w:t>肥厚软亮</w:t>
            </w:r>
            <w:r>
              <w:rPr>
                <w:rFonts w:hint="eastAsia" w:ascii="宋体" w:hAnsi="宋体"/>
                <w:kern w:val="0"/>
                <w:sz w:val="18"/>
                <w:szCs w:val="18"/>
                <w:lang w:eastAsia="zh-CN"/>
              </w:rPr>
              <w:t>、叶片红点明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noWrap w:val="0"/>
            <w:vAlign w:val="center"/>
          </w:tcPr>
          <w:p>
            <w:pPr>
              <w:jc w:val="center"/>
              <w:rPr>
                <w:rFonts w:hint="eastAsia" w:ascii="宋体"/>
                <w:sz w:val="18"/>
              </w:rPr>
            </w:pPr>
            <w:r>
              <w:rPr>
                <w:rFonts w:hint="eastAsia" w:ascii="宋体"/>
                <w:sz w:val="18"/>
              </w:rPr>
              <w:t>一级</w:t>
            </w:r>
          </w:p>
        </w:tc>
        <w:tc>
          <w:tcPr>
            <w:tcW w:w="105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sz w:val="18"/>
                <w:lang w:val="en-US" w:eastAsia="zh-CN"/>
              </w:rPr>
              <w:t>紧</w:t>
            </w:r>
            <w:r>
              <w:rPr>
                <w:rFonts w:hint="eastAsia" w:ascii="宋体"/>
                <w:sz w:val="18"/>
              </w:rPr>
              <w:t>结重实</w:t>
            </w:r>
          </w:p>
        </w:tc>
        <w:tc>
          <w:tcPr>
            <w:tcW w:w="103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sz w:val="18"/>
              </w:rPr>
              <w:t>较匀整</w:t>
            </w:r>
          </w:p>
        </w:tc>
        <w:tc>
          <w:tcPr>
            <w:tcW w:w="1131"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sz w:val="18"/>
              </w:rPr>
              <w:t>较洁净</w:t>
            </w:r>
          </w:p>
        </w:tc>
        <w:tc>
          <w:tcPr>
            <w:tcW w:w="96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乌褐</w:t>
            </w:r>
            <w:r>
              <w:rPr>
                <w:rFonts w:hint="eastAsia" w:ascii="宋体" w:hAnsi="宋体"/>
                <w:kern w:val="0"/>
                <w:sz w:val="18"/>
                <w:szCs w:val="18"/>
              </w:rPr>
              <w:t>较润</w:t>
            </w:r>
          </w:p>
        </w:tc>
        <w:tc>
          <w:tcPr>
            <w:tcW w:w="1749"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lang w:eastAsia="zh-CN"/>
              </w:rPr>
              <w:t>熟</w:t>
            </w:r>
            <w:r>
              <w:rPr>
                <w:rFonts w:hint="eastAsia" w:ascii="宋体" w:hAnsi="宋体"/>
                <w:kern w:val="0"/>
                <w:sz w:val="18"/>
                <w:szCs w:val="18"/>
              </w:rPr>
              <w:t>果香较显，较持久</w:t>
            </w:r>
          </w:p>
        </w:tc>
        <w:tc>
          <w:tcPr>
            <w:tcW w:w="106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醇厚</w:t>
            </w:r>
          </w:p>
        </w:tc>
        <w:tc>
          <w:tcPr>
            <w:tcW w:w="946"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rPr>
              <w:t>橙黄明亮</w:t>
            </w:r>
          </w:p>
        </w:tc>
        <w:tc>
          <w:tcPr>
            <w:tcW w:w="1200"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rPr>
              <w:t>软、匀亮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noWrap w:val="0"/>
            <w:vAlign w:val="center"/>
          </w:tcPr>
          <w:p>
            <w:pPr>
              <w:jc w:val="center"/>
              <w:rPr>
                <w:rFonts w:hint="eastAsia" w:ascii="宋体"/>
                <w:sz w:val="18"/>
              </w:rPr>
            </w:pPr>
            <w:r>
              <w:rPr>
                <w:rFonts w:hint="eastAsia" w:ascii="宋体"/>
                <w:sz w:val="18"/>
              </w:rPr>
              <w:t>二级</w:t>
            </w:r>
          </w:p>
        </w:tc>
        <w:tc>
          <w:tcPr>
            <w:tcW w:w="105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rPr>
              <w:t>较</w:t>
            </w:r>
            <w:r>
              <w:rPr>
                <w:rFonts w:hint="eastAsia" w:ascii="宋体" w:hAnsi="宋体"/>
                <w:kern w:val="0"/>
                <w:sz w:val="18"/>
                <w:szCs w:val="18"/>
                <w:lang w:val="en-US" w:eastAsia="zh-CN"/>
              </w:rPr>
              <w:t>紧</w:t>
            </w:r>
            <w:r>
              <w:rPr>
                <w:rFonts w:hint="eastAsia" w:ascii="宋体" w:hAnsi="宋体"/>
                <w:kern w:val="0"/>
                <w:sz w:val="18"/>
                <w:szCs w:val="18"/>
                <w:lang w:eastAsia="zh-CN"/>
              </w:rPr>
              <w:t>结</w:t>
            </w:r>
          </w:p>
        </w:tc>
        <w:tc>
          <w:tcPr>
            <w:tcW w:w="103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rPr>
              <w:t>尚匀整</w:t>
            </w:r>
          </w:p>
        </w:tc>
        <w:tc>
          <w:tcPr>
            <w:tcW w:w="1131"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rPr>
              <w:t>尚净</w:t>
            </w:r>
          </w:p>
        </w:tc>
        <w:tc>
          <w:tcPr>
            <w:tcW w:w="96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rPr>
              <w:t>乌褐尚润</w:t>
            </w:r>
          </w:p>
        </w:tc>
        <w:tc>
          <w:tcPr>
            <w:tcW w:w="1749"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lang w:eastAsia="zh-CN"/>
              </w:rPr>
              <w:t>火功香</w:t>
            </w:r>
          </w:p>
        </w:tc>
        <w:tc>
          <w:tcPr>
            <w:tcW w:w="106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醇和</w:t>
            </w:r>
          </w:p>
        </w:tc>
        <w:tc>
          <w:tcPr>
            <w:tcW w:w="946"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lang w:eastAsia="zh-CN"/>
              </w:rPr>
              <w:t>深</w:t>
            </w:r>
            <w:r>
              <w:rPr>
                <w:rFonts w:hint="eastAsia" w:ascii="宋体" w:hAnsi="宋体"/>
                <w:kern w:val="0"/>
                <w:sz w:val="18"/>
                <w:szCs w:val="18"/>
              </w:rPr>
              <w:t>橙黄</w:t>
            </w:r>
          </w:p>
        </w:tc>
        <w:tc>
          <w:tcPr>
            <w:tcW w:w="1200"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rPr>
              <w:t>较软、尚匀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noWrap w:val="0"/>
            <w:vAlign w:val="center"/>
          </w:tcPr>
          <w:p>
            <w:pPr>
              <w:jc w:val="center"/>
              <w:rPr>
                <w:rFonts w:hint="eastAsia" w:ascii="宋体"/>
                <w:sz w:val="18"/>
              </w:rPr>
            </w:pPr>
            <w:r>
              <w:rPr>
                <w:rFonts w:hint="eastAsia" w:ascii="宋体"/>
                <w:sz w:val="18"/>
              </w:rPr>
              <w:t>三级</w:t>
            </w:r>
          </w:p>
        </w:tc>
        <w:tc>
          <w:tcPr>
            <w:tcW w:w="105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lang w:eastAsia="zh-CN"/>
              </w:rPr>
              <w:t>尚</w:t>
            </w:r>
            <w:r>
              <w:rPr>
                <w:rFonts w:hint="eastAsia" w:ascii="宋体" w:hAnsi="宋体"/>
                <w:sz w:val="18"/>
                <w:szCs w:val="18"/>
                <w:lang w:val="en-US" w:eastAsia="zh-CN"/>
              </w:rPr>
              <w:t>紧结</w:t>
            </w:r>
          </w:p>
        </w:tc>
        <w:tc>
          <w:tcPr>
            <w:tcW w:w="103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尚匀</w:t>
            </w:r>
          </w:p>
        </w:tc>
        <w:tc>
          <w:tcPr>
            <w:tcW w:w="1131"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lang w:eastAsia="zh-CN"/>
              </w:rPr>
              <w:t>带</w:t>
            </w:r>
            <w:r>
              <w:rPr>
                <w:rFonts w:hint="eastAsia" w:ascii="宋体" w:hAnsi="宋体"/>
                <w:kern w:val="0"/>
                <w:sz w:val="18"/>
                <w:szCs w:val="18"/>
              </w:rPr>
              <w:t>细梗</w:t>
            </w:r>
            <w:r>
              <w:rPr>
                <w:rFonts w:hint="eastAsia" w:ascii="宋体" w:hAnsi="宋体"/>
                <w:kern w:val="0"/>
                <w:sz w:val="18"/>
                <w:szCs w:val="18"/>
                <w:lang w:eastAsia="zh-CN"/>
              </w:rPr>
              <w:t>轻片</w:t>
            </w:r>
          </w:p>
        </w:tc>
        <w:tc>
          <w:tcPr>
            <w:tcW w:w="960"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乌褐</w:t>
            </w:r>
          </w:p>
        </w:tc>
        <w:tc>
          <w:tcPr>
            <w:tcW w:w="1749" w:type="dxa"/>
            <w:tcBorders>
              <w:top w:val="single" w:color="auto" w:sz="4" w:space="0"/>
              <w:bottom w:val="single" w:color="auto" w:sz="4" w:space="0"/>
            </w:tcBorders>
            <w:noWrap w:val="0"/>
            <w:vAlign w:val="center"/>
          </w:tcPr>
          <w:p>
            <w:pPr>
              <w:jc w:val="center"/>
              <w:rPr>
                <w:rFonts w:hint="eastAsia" w:ascii="宋体" w:hAnsi="宋体"/>
                <w:kern w:val="0"/>
                <w:sz w:val="18"/>
                <w:szCs w:val="18"/>
              </w:rPr>
            </w:pPr>
            <w:r>
              <w:rPr>
                <w:rFonts w:hint="eastAsia" w:ascii="宋体" w:hAnsi="宋体"/>
                <w:kern w:val="0"/>
                <w:sz w:val="18"/>
                <w:szCs w:val="18"/>
              </w:rPr>
              <w:t>纯正</w:t>
            </w:r>
          </w:p>
        </w:tc>
        <w:tc>
          <w:tcPr>
            <w:tcW w:w="106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kern w:val="0"/>
                <w:sz w:val="18"/>
                <w:szCs w:val="18"/>
              </w:rPr>
              <w:t>尚醇</w:t>
            </w:r>
          </w:p>
        </w:tc>
        <w:tc>
          <w:tcPr>
            <w:tcW w:w="946"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rPr>
              <w:t>橙红</w:t>
            </w:r>
          </w:p>
        </w:tc>
        <w:tc>
          <w:tcPr>
            <w:tcW w:w="1200" w:type="dxa"/>
            <w:tcBorders>
              <w:top w:val="single" w:color="auto" w:sz="4" w:space="0"/>
              <w:bottom w:val="single" w:color="auto" w:sz="4" w:space="0"/>
            </w:tcBorders>
            <w:noWrap w:val="0"/>
            <w:vAlign w:val="center"/>
          </w:tcPr>
          <w:p>
            <w:pPr>
              <w:widowControl/>
              <w:jc w:val="center"/>
              <w:rPr>
                <w:rFonts w:hint="eastAsia" w:ascii="宋体" w:hAnsi="宋体"/>
                <w:sz w:val="18"/>
                <w:szCs w:val="18"/>
              </w:rPr>
            </w:pPr>
            <w:r>
              <w:rPr>
                <w:rFonts w:hint="eastAsia" w:ascii="宋体" w:hAnsi="宋体"/>
                <w:kern w:val="0"/>
                <w:sz w:val="18"/>
                <w:szCs w:val="18"/>
              </w:rPr>
              <w:t>尚软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tcBorders>
              <w:bottom w:val="single" w:color="auto" w:sz="8" w:space="0"/>
            </w:tcBorders>
            <w:noWrap w:val="0"/>
            <w:vAlign w:val="center"/>
          </w:tcPr>
          <w:p>
            <w:pPr>
              <w:jc w:val="center"/>
              <w:rPr>
                <w:rFonts w:hint="default" w:ascii="宋体" w:eastAsia="宋体"/>
                <w:sz w:val="18"/>
                <w:lang w:val="en-US" w:eastAsia="zh-CN"/>
              </w:rPr>
            </w:pPr>
            <w:r>
              <w:rPr>
                <w:rFonts w:hint="eastAsia" w:ascii="宋体"/>
                <w:sz w:val="18"/>
                <w:lang w:val="en-US" w:eastAsia="zh-CN"/>
              </w:rPr>
              <w:t>四级</w:t>
            </w:r>
          </w:p>
        </w:tc>
        <w:tc>
          <w:tcPr>
            <w:tcW w:w="1050" w:type="dxa"/>
            <w:tcBorders>
              <w:top w:val="single" w:color="auto" w:sz="4" w:space="0"/>
              <w:bottom w:val="single" w:color="auto" w:sz="8" w:space="0"/>
            </w:tcBorders>
            <w:noWrap w:val="0"/>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粗松</w:t>
            </w:r>
          </w:p>
        </w:tc>
        <w:tc>
          <w:tcPr>
            <w:tcW w:w="1035" w:type="dxa"/>
            <w:tcBorders>
              <w:top w:val="single" w:color="auto" w:sz="4" w:space="0"/>
              <w:bottom w:val="single" w:color="auto" w:sz="8" w:space="0"/>
            </w:tcBorders>
            <w:noWrap w:val="0"/>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欠匀</w:t>
            </w:r>
          </w:p>
        </w:tc>
        <w:tc>
          <w:tcPr>
            <w:tcW w:w="1131" w:type="dxa"/>
            <w:tcBorders>
              <w:top w:val="single" w:color="auto" w:sz="4" w:space="0"/>
              <w:bottom w:val="single" w:color="auto" w:sz="8" w:space="0"/>
            </w:tcBorders>
            <w:noWrap w:val="0"/>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有梗片</w:t>
            </w:r>
          </w:p>
        </w:tc>
        <w:tc>
          <w:tcPr>
            <w:tcW w:w="960" w:type="dxa"/>
            <w:tcBorders>
              <w:top w:val="single" w:color="auto" w:sz="4" w:space="0"/>
              <w:bottom w:val="single" w:color="auto" w:sz="8" w:space="0"/>
            </w:tcBorders>
            <w:noWrap w:val="0"/>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乌褐略暗</w:t>
            </w:r>
          </w:p>
        </w:tc>
        <w:tc>
          <w:tcPr>
            <w:tcW w:w="1749" w:type="dxa"/>
            <w:tcBorders>
              <w:top w:val="single" w:color="auto" w:sz="4" w:space="0"/>
              <w:bottom w:val="single" w:color="auto" w:sz="8" w:space="0"/>
            </w:tcBorders>
            <w:noWrap w:val="0"/>
            <w:vAlign w:val="center"/>
          </w:tcPr>
          <w:p>
            <w:pPr>
              <w:widowControl/>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高火</w:t>
            </w:r>
          </w:p>
        </w:tc>
        <w:tc>
          <w:tcPr>
            <w:tcW w:w="1065" w:type="dxa"/>
            <w:tcBorders>
              <w:top w:val="single" w:color="auto" w:sz="4" w:space="0"/>
              <w:bottom w:val="single" w:color="auto" w:sz="8" w:space="0"/>
            </w:tcBorders>
            <w:noWrap w:val="0"/>
            <w:vAlign w:val="center"/>
          </w:tcPr>
          <w:p>
            <w:pPr>
              <w:widowControl/>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纯正</w:t>
            </w:r>
          </w:p>
        </w:tc>
        <w:tc>
          <w:tcPr>
            <w:tcW w:w="946" w:type="dxa"/>
            <w:tcBorders>
              <w:top w:val="single" w:color="auto" w:sz="4" w:space="0"/>
              <w:bottom w:val="single" w:color="auto" w:sz="8" w:space="0"/>
            </w:tcBorders>
            <w:noWrap w:val="0"/>
            <w:vAlign w:val="center"/>
          </w:tcPr>
          <w:p>
            <w:pPr>
              <w:widowControl/>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橙红略暗</w:t>
            </w:r>
          </w:p>
        </w:tc>
        <w:tc>
          <w:tcPr>
            <w:tcW w:w="1200" w:type="dxa"/>
            <w:tcBorders>
              <w:top w:val="single" w:color="auto" w:sz="4" w:space="0"/>
              <w:bottom w:val="single" w:color="auto" w:sz="8" w:space="0"/>
            </w:tcBorders>
            <w:noWrap w:val="0"/>
            <w:vAlign w:val="center"/>
          </w:tcPr>
          <w:p>
            <w:pPr>
              <w:widowControl/>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lang w:val="en-US" w:eastAsia="zh-CN"/>
              </w:rPr>
              <w:t>粗硬</w:t>
            </w:r>
          </w:p>
        </w:tc>
      </w:tr>
    </w:tbl>
    <w:p>
      <w:pPr>
        <w:pStyle w:val="56"/>
        <w:numPr>
          <w:ilvl w:val="0"/>
          <w:numId w:val="0"/>
        </w:numPr>
        <w:rPr>
          <w:rFonts w:hint="eastAsia"/>
        </w:rPr>
      </w:pPr>
      <w:r>
        <w:rPr>
          <w:rFonts w:hint="eastAsia"/>
        </w:rPr>
        <w:t>5.3</w:t>
      </w:r>
      <w:bookmarkStart w:id="3" w:name="_GoBack"/>
      <w:r>
        <w:t xml:space="preserve"> </w:t>
      </w:r>
      <w:bookmarkEnd w:id="3"/>
      <w:r>
        <w:t xml:space="preserve"> </w:t>
      </w:r>
      <w:r>
        <w:rPr>
          <w:rFonts w:hint="eastAsia"/>
        </w:rPr>
        <w:t>理化指标</w:t>
      </w:r>
    </w:p>
    <w:p>
      <w:pPr>
        <w:pStyle w:val="20"/>
        <w:rPr>
          <w:rFonts w:hint="eastAsia"/>
        </w:rPr>
      </w:pPr>
      <w:r>
        <w:rPr>
          <w:rFonts w:hint="eastAsia"/>
          <w:lang w:eastAsia="zh-CN"/>
        </w:rPr>
        <w:t>产品</w:t>
      </w:r>
      <w:r>
        <w:rPr>
          <w:rFonts w:hint="eastAsia"/>
        </w:rPr>
        <w:t>理化指标应符合表4规定。</w:t>
      </w:r>
    </w:p>
    <w:p>
      <w:pPr>
        <w:pStyle w:val="133"/>
        <w:numPr>
          <w:ilvl w:val="0"/>
          <w:numId w:val="0"/>
        </w:numPr>
        <w:rPr>
          <w:rFonts w:hint="eastAsia"/>
        </w:rPr>
      </w:pPr>
      <w:r>
        <w:rPr>
          <w:rFonts w:hint="eastAsia"/>
        </w:rPr>
        <w:t>表</w:t>
      </w:r>
      <w:r>
        <w:rPr>
          <w:rFonts w:hint="eastAsia"/>
          <w:lang w:val="en-US" w:eastAsia="zh-CN"/>
        </w:rPr>
        <w:t>3</w:t>
      </w:r>
      <w:r>
        <w:rPr>
          <w:rFonts w:hint="eastAsia"/>
        </w:rPr>
        <w:t xml:space="preserve"> 理化指标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left w:val="single" w:color="auto" w:sz="8" w:space="0"/>
              <w:bottom w:val="single" w:color="auto" w:sz="8" w:space="0"/>
              <w:right w:val="single" w:color="auto" w:sz="4" w:space="0"/>
            </w:tcBorders>
            <w:noWrap w:val="0"/>
            <w:vAlign w:val="top"/>
          </w:tcPr>
          <w:p>
            <w:pPr>
              <w:jc w:val="center"/>
              <w:rPr>
                <w:rFonts w:hint="eastAsia" w:ascii="宋体"/>
                <w:sz w:val="18"/>
              </w:rPr>
            </w:pPr>
            <w:r>
              <w:rPr>
                <w:rFonts w:hint="eastAsia" w:ascii="宋体"/>
                <w:sz w:val="18"/>
              </w:rPr>
              <w:t>项目</w:t>
            </w:r>
          </w:p>
        </w:tc>
        <w:tc>
          <w:tcPr>
            <w:tcW w:w="4785" w:type="dxa"/>
            <w:tcBorders>
              <w:top w:val="single" w:color="auto" w:sz="8" w:space="0"/>
              <w:left w:val="single" w:color="auto" w:sz="4" w:space="0"/>
              <w:bottom w:val="single" w:color="auto" w:sz="8" w:space="0"/>
              <w:right w:val="single" w:color="auto" w:sz="8" w:space="0"/>
            </w:tcBorders>
            <w:noWrap w:val="0"/>
            <w:vAlign w:val="top"/>
          </w:tcPr>
          <w:p>
            <w:pPr>
              <w:jc w:val="center"/>
              <w:rPr>
                <w:rFonts w:hint="eastAsia" w:ascii="宋体"/>
                <w:sz w:val="18"/>
              </w:rPr>
            </w:pPr>
            <w:r>
              <w:rPr>
                <w:rFonts w:hint="eastAsia" w:ascii="宋体"/>
                <w:sz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left w:val="single" w:color="auto" w:sz="8" w:space="0"/>
            </w:tcBorders>
            <w:noWrap w:val="0"/>
            <w:vAlign w:val="top"/>
          </w:tcPr>
          <w:p>
            <w:pPr>
              <w:rPr>
                <w:rFonts w:hint="eastAsia" w:ascii="宋体"/>
                <w:sz w:val="18"/>
              </w:rPr>
            </w:pPr>
            <w:r>
              <w:rPr>
                <w:rFonts w:hint="eastAsia" w:ascii="宋体" w:hAnsi="宋体"/>
                <w:sz w:val="18"/>
                <w:szCs w:val="18"/>
              </w:rPr>
              <w:t xml:space="preserve">水分g/100g                                </w:t>
            </w:r>
          </w:p>
        </w:tc>
        <w:tc>
          <w:tcPr>
            <w:tcW w:w="4785" w:type="dxa"/>
            <w:tcBorders>
              <w:top w:val="single" w:color="auto" w:sz="8" w:space="0"/>
              <w:right w:val="single" w:color="auto" w:sz="8" w:space="0"/>
            </w:tcBorders>
            <w:noWrap w:val="0"/>
            <w:vAlign w:val="top"/>
          </w:tcPr>
          <w:p>
            <w:pPr>
              <w:jc w:val="center"/>
              <w:rPr>
                <w:rFonts w:hint="eastAsia" w:ascii="宋体"/>
                <w:sz w:val="18"/>
                <w:highlight w:val="none"/>
              </w:rPr>
            </w:pPr>
            <w:r>
              <w:rPr>
                <w:rFonts w:hint="eastAsia" w:ascii="宋体" w:hAnsi="宋体"/>
                <w:sz w:val="18"/>
                <w:szCs w:val="18"/>
                <w:highlight w:val="none"/>
              </w:rPr>
              <w:t xml:space="preserve">≤ </w:t>
            </w:r>
            <w:r>
              <w:rPr>
                <w:rFonts w:hint="eastAsia" w:ascii="宋体"/>
                <w:sz w:val="18"/>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8" w:space="0"/>
            </w:tcBorders>
            <w:noWrap w:val="0"/>
            <w:vAlign w:val="top"/>
          </w:tcPr>
          <w:p>
            <w:pPr>
              <w:rPr>
                <w:rFonts w:hint="eastAsia" w:ascii="宋体"/>
                <w:sz w:val="18"/>
              </w:rPr>
            </w:pPr>
            <w:r>
              <w:rPr>
                <w:rFonts w:hint="eastAsia" w:ascii="宋体" w:hAnsi="宋体"/>
                <w:sz w:val="18"/>
                <w:szCs w:val="18"/>
              </w:rPr>
              <w:t xml:space="preserve">总灰分（以干物质计）g/100g                </w:t>
            </w:r>
          </w:p>
        </w:tc>
        <w:tc>
          <w:tcPr>
            <w:tcW w:w="4785" w:type="dxa"/>
            <w:tcBorders>
              <w:right w:val="single" w:color="auto" w:sz="8" w:space="0"/>
            </w:tcBorders>
            <w:noWrap w:val="0"/>
            <w:vAlign w:val="top"/>
          </w:tcPr>
          <w:p>
            <w:pPr>
              <w:jc w:val="center"/>
              <w:rPr>
                <w:rFonts w:hint="eastAsia" w:ascii="宋体"/>
                <w:sz w:val="18"/>
                <w:highlight w:val="none"/>
              </w:rPr>
            </w:pPr>
            <w:r>
              <w:rPr>
                <w:rFonts w:hint="eastAsia" w:ascii="宋体" w:hAnsi="宋体"/>
                <w:sz w:val="18"/>
                <w:szCs w:val="18"/>
                <w:highlight w:val="none"/>
              </w:rPr>
              <w:t xml:space="preserve"> ≤ </w:t>
            </w:r>
            <w:r>
              <w:rPr>
                <w:rFonts w:hint="eastAsia" w:ascii="宋体"/>
                <w:sz w:val="18"/>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Borders>
              <w:left w:val="single" w:color="auto" w:sz="8" w:space="0"/>
            </w:tcBorders>
            <w:noWrap w:val="0"/>
            <w:vAlign w:val="top"/>
          </w:tcPr>
          <w:p>
            <w:pPr>
              <w:rPr>
                <w:rFonts w:hint="eastAsia" w:ascii="宋体"/>
                <w:sz w:val="18"/>
              </w:rPr>
            </w:pPr>
            <w:r>
              <w:rPr>
                <w:rFonts w:hint="eastAsia" w:ascii="宋体" w:hAnsi="宋体"/>
                <w:sz w:val="18"/>
                <w:szCs w:val="18"/>
              </w:rPr>
              <w:t xml:space="preserve">水浸出物（质量分数）/%                     </w:t>
            </w:r>
          </w:p>
        </w:tc>
        <w:tc>
          <w:tcPr>
            <w:tcW w:w="4785" w:type="dxa"/>
            <w:tcBorders>
              <w:right w:val="single" w:color="auto" w:sz="8" w:space="0"/>
            </w:tcBorders>
            <w:noWrap w:val="0"/>
            <w:vAlign w:val="top"/>
          </w:tcPr>
          <w:p>
            <w:pPr>
              <w:jc w:val="center"/>
              <w:rPr>
                <w:rFonts w:hint="eastAsia" w:ascii="宋体"/>
                <w:sz w:val="18"/>
                <w:highlight w:val="none"/>
              </w:rPr>
            </w:pPr>
            <w:r>
              <w:rPr>
                <w:rFonts w:hint="eastAsia" w:ascii="宋体" w:hAnsi="宋体"/>
                <w:sz w:val="18"/>
                <w:szCs w:val="18"/>
                <w:highlight w:val="none"/>
              </w:rPr>
              <w:t xml:space="preserve">≥ </w:t>
            </w:r>
            <w:r>
              <w:rPr>
                <w:rFonts w:hint="eastAsia" w:ascii="宋体"/>
                <w:sz w:val="18"/>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8" w:space="0"/>
            </w:tcBorders>
            <w:noWrap w:val="0"/>
            <w:vAlign w:val="top"/>
          </w:tcPr>
          <w:p>
            <w:pPr>
              <w:rPr>
                <w:rFonts w:hint="eastAsia" w:ascii="宋体"/>
                <w:sz w:val="18"/>
              </w:rPr>
            </w:pPr>
            <w:r>
              <w:rPr>
                <w:rFonts w:hint="eastAsia" w:ascii="宋体" w:hAnsi="宋体"/>
                <w:sz w:val="18"/>
                <w:szCs w:val="18"/>
              </w:rPr>
              <w:t xml:space="preserve">碎茶（质量分数）/%                         </w:t>
            </w:r>
          </w:p>
        </w:tc>
        <w:tc>
          <w:tcPr>
            <w:tcW w:w="4785" w:type="dxa"/>
            <w:tcBorders>
              <w:right w:val="single" w:color="auto" w:sz="8" w:space="0"/>
            </w:tcBorders>
            <w:noWrap w:val="0"/>
            <w:vAlign w:val="top"/>
          </w:tcPr>
          <w:p>
            <w:pPr>
              <w:jc w:val="center"/>
              <w:rPr>
                <w:rFonts w:hint="eastAsia" w:ascii="宋体"/>
                <w:sz w:val="18"/>
                <w:highlight w:val="none"/>
              </w:rPr>
            </w:pPr>
            <w:r>
              <w:rPr>
                <w:rFonts w:hint="eastAsia" w:ascii="宋体" w:hAnsi="宋体"/>
                <w:sz w:val="18"/>
                <w:szCs w:val="18"/>
                <w:highlight w:val="none"/>
              </w:rPr>
              <w:t xml:space="preserve">≤ </w:t>
            </w:r>
            <w:r>
              <w:rPr>
                <w:rFonts w:hint="eastAsia" w:ascii="宋体"/>
                <w:sz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8" w:space="0"/>
              <w:bottom w:val="single" w:color="auto" w:sz="8" w:space="0"/>
            </w:tcBorders>
            <w:noWrap w:val="0"/>
            <w:vAlign w:val="top"/>
          </w:tcPr>
          <w:p>
            <w:pPr>
              <w:rPr>
                <w:rFonts w:hint="eastAsia" w:ascii="宋体"/>
                <w:sz w:val="18"/>
              </w:rPr>
            </w:pPr>
            <w:r>
              <w:rPr>
                <w:rFonts w:hint="eastAsia" w:ascii="宋体" w:hAnsi="宋体"/>
                <w:sz w:val="18"/>
                <w:szCs w:val="18"/>
              </w:rPr>
              <w:t xml:space="preserve">粉末（质量分数）/%                         </w:t>
            </w:r>
          </w:p>
        </w:tc>
        <w:tc>
          <w:tcPr>
            <w:tcW w:w="4785" w:type="dxa"/>
            <w:tcBorders>
              <w:bottom w:val="single" w:color="auto" w:sz="8" w:space="0"/>
              <w:right w:val="single" w:color="auto" w:sz="8" w:space="0"/>
            </w:tcBorders>
            <w:noWrap w:val="0"/>
            <w:vAlign w:val="top"/>
          </w:tcPr>
          <w:p>
            <w:pPr>
              <w:jc w:val="center"/>
              <w:rPr>
                <w:rFonts w:hint="eastAsia" w:ascii="宋体"/>
                <w:sz w:val="18"/>
                <w:highlight w:val="none"/>
              </w:rPr>
            </w:pPr>
            <w:r>
              <w:rPr>
                <w:rFonts w:hint="eastAsia" w:ascii="宋体" w:hAnsi="宋体"/>
                <w:sz w:val="18"/>
                <w:szCs w:val="18"/>
                <w:highlight w:val="none"/>
              </w:rPr>
              <w:t xml:space="preserve">≤ </w:t>
            </w:r>
            <w:r>
              <w:rPr>
                <w:rFonts w:hint="eastAsia" w:ascii="宋体"/>
                <w:sz w:val="18"/>
                <w:highlight w:val="none"/>
              </w:rPr>
              <w:t>1.3</w:t>
            </w:r>
          </w:p>
        </w:tc>
      </w:tr>
    </w:tbl>
    <w:p>
      <w:pPr>
        <w:pStyle w:val="56"/>
        <w:numPr>
          <w:ilvl w:val="0"/>
          <w:numId w:val="0"/>
        </w:numPr>
        <w:rPr>
          <w:rFonts w:hint="eastAsia"/>
        </w:rPr>
      </w:pPr>
      <w:r>
        <w:rPr>
          <w:rFonts w:hint="eastAsia"/>
        </w:rPr>
        <w:t>5.4</w:t>
      </w:r>
      <w:r>
        <w:t xml:space="preserve"> </w:t>
      </w:r>
      <w:r>
        <w:rPr>
          <w:rFonts w:hint="eastAsia"/>
        </w:rPr>
        <w:t>净含量</w:t>
      </w:r>
    </w:p>
    <w:p>
      <w:pPr>
        <w:ind w:firstLine="420" w:firstLineChars="200"/>
      </w:pPr>
      <w:r>
        <w:rPr>
          <w:rFonts w:hint="eastAsia" w:ascii="宋体" w:hAnsi="宋体"/>
          <w:color w:val="auto"/>
          <w:highlight w:val="none"/>
        </w:rPr>
        <w:t>净含量要求</w:t>
      </w:r>
      <w:r>
        <w:rPr>
          <w:rFonts w:hint="eastAsia" w:ascii="宋体" w:hAnsi="宋体"/>
          <w:color w:val="auto"/>
          <w:highlight w:val="none"/>
          <w:lang w:eastAsia="zh-CN"/>
        </w:rPr>
        <w:t>应符合</w:t>
      </w:r>
      <w:r>
        <w:rPr>
          <w:rFonts w:hint="eastAsia" w:ascii="宋体" w:hAnsi="宋体"/>
          <w:color w:val="auto"/>
          <w:highlight w:val="none"/>
        </w:rPr>
        <w:t>《定量包装商品计量监督管理办法》（国家质量监督检验检疫总局（2005）第75号令）的规定。</w:t>
      </w:r>
    </w:p>
    <w:p>
      <w:pPr>
        <w:pStyle w:val="57"/>
        <w:numPr>
          <w:ilvl w:val="0"/>
          <w:numId w:val="0"/>
        </w:numPr>
        <w:rPr>
          <w:rFonts w:hint="eastAsia"/>
        </w:rPr>
      </w:pPr>
      <w:r>
        <w:rPr>
          <w:rFonts w:hint="eastAsia"/>
        </w:rPr>
        <w:t>6</w:t>
      </w:r>
      <w:r>
        <w:t xml:space="preserve">  </w:t>
      </w:r>
      <w:r>
        <w:rPr>
          <w:rFonts w:hint="eastAsia"/>
        </w:rPr>
        <w:t>检验方法</w:t>
      </w:r>
    </w:p>
    <w:p>
      <w:pPr>
        <w:pStyle w:val="56"/>
        <w:numPr>
          <w:ilvl w:val="0"/>
          <w:numId w:val="0"/>
        </w:numPr>
        <w:rPr>
          <w:rFonts w:hint="eastAsia"/>
        </w:rPr>
      </w:pPr>
      <w:r>
        <w:rPr>
          <w:rFonts w:hint="eastAsia"/>
        </w:rPr>
        <w:t>6.1</w:t>
      </w:r>
      <w:r>
        <w:t xml:space="preserve"> </w:t>
      </w:r>
      <w:r>
        <w:rPr>
          <w:rFonts w:hint="eastAsia"/>
        </w:rPr>
        <w:t>感官品质</w:t>
      </w:r>
    </w:p>
    <w:p>
      <w:pPr>
        <w:ind w:firstLine="420" w:firstLineChars="200"/>
        <w:rPr>
          <w:rFonts w:hint="eastAsia" w:ascii="宋体" w:hAnsi="宋体"/>
        </w:rPr>
      </w:pPr>
      <w:r>
        <w:rPr>
          <w:rFonts w:hint="eastAsia" w:ascii="宋体" w:hAnsi="宋体"/>
        </w:rPr>
        <w:t>感官品质检验按GB/T 23776 的规定执行。</w:t>
      </w:r>
    </w:p>
    <w:p>
      <w:pPr>
        <w:pStyle w:val="56"/>
        <w:numPr>
          <w:ilvl w:val="0"/>
          <w:numId w:val="0"/>
        </w:numPr>
        <w:rPr>
          <w:rFonts w:hint="eastAsia"/>
        </w:rPr>
      </w:pPr>
      <w:r>
        <w:rPr>
          <w:rFonts w:hint="eastAsia"/>
        </w:rPr>
        <w:t>6.2</w:t>
      </w:r>
      <w:r>
        <w:t xml:space="preserve"> </w:t>
      </w:r>
      <w:r>
        <w:rPr>
          <w:rFonts w:hint="eastAsia"/>
        </w:rPr>
        <w:t>理化指标</w:t>
      </w:r>
    </w:p>
    <w:p>
      <w:pPr>
        <w:pStyle w:val="55"/>
        <w:numPr>
          <w:ilvl w:val="0"/>
          <w:numId w:val="0"/>
        </w:numPr>
        <w:spacing w:before="156" w:after="156"/>
        <w:rPr>
          <w:rFonts w:hint="eastAsia" w:ascii="宋体" w:hAnsi="宋体" w:eastAsia="宋体" w:cs="宋体"/>
        </w:rPr>
      </w:pPr>
      <w:r>
        <w:rPr>
          <w:rFonts w:hint="eastAsia" w:ascii="宋体" w:hAnsi="宋体" w:eastAsia="宋体" w:cs="宋体"/>
        </w:rPr>
        <w:t>6.2.1试样的制备按GB/T 8303 的规定执行。</w:t>
      </w:r>
    </w:p>
    <w:p>
      <w:pPr>
        <w:pStyle w:val="55"/>
        <w:numPr>
          <w:ilvl w:val="0"/>
          <w:numId w:val="0"/>
        </w:numPr>
        <w:spacing w:before="156" w:after="156"/>
        <w:rPr>
          <w:rFonts w:hint="eastAsia" w:ascii="宋体" w:hAnsi="宋体" w:eastAsia="宋体" w:cs="宋体"/>
        </w:rPr>
      </w:pPr>
      <w:r>
        <w:rPr>
          <w:rFonts w:hint="eastAsia" w:ascii="宋体" w:hAnsi="宋体" w:eastAsia="宋体" w:cs="宋体"/>
        </w:rPr>
        <w:t>6.2.2</w:t>
      </w:r>
      <w:r>
        <w:rPr>
          <w:rFonts w:ascii="宋体" w:hAnsi="宋体" w:eastAsia="宋体" w:cs="宋体"/>
        </w:rPr>
        <w:t xml:space="preserve"> </w:t>
      </w:r>
      <w:r>
        <w:rPr>
          <w:rFonts w:hint="eastAsia" w:ascii="宋体" w:hAnsi="宋体" w:eastAsia="宋体" w:cs="宋体"/>
        </w:rPr>
        <w:t>水分检验按GB 5009.3 的规定执行。</w:t>
      </w:r>
    </w:p>
    <w:p>
      <w:pPr>
        <w:pStyle w:val="55"/>
        <w:numPr>
          <w:ilvl w:val="0"/>
          <w:numId w:val="0"/>
        </w:numPr>
        <w:spacing w:before="156" w:after="156"/>
        <w:rPr>
          <w:rFonts w:hint="eastAsia" w:ascii="宋体" w:hAnsi="宋体" w:eastAsia="宋体" w:cs="宋体"/>
        </w:rPr>
      </w:pPr>
      <w:r>
        <w:rPr>
          <w:rFonts w:hint="eastAsia" w:ascii="宋体" w:hAnsi="宋体" w:eastAsia="宋体" w:cs="宋体"/>
        </w:rPr>
        <w:t>6.2.3</w:t>
      </w:r>
      <w:r>
        <w:rPr>
          <w:rFonts w:ascii="宋体" w:hAnsi="宋体" w:eastAsia="宋体" w:cs="宋体"/>
        </w:rPr>
        <w:t xml:space="preserve"> </w:t>
      </w:r>
      <w:r>
        <w:rPr>
          <w:rFonts w:hint="eastAsia" w:ascii="宋体" w:hAnsi="宋体" w:eastAsia="宋体" w:cs="宋体"/>
        </w:rPr>
        <w:t>水浸出物检验按 GB/T 8305 的规定执行。</w:t>
      </w:r>
    </w:p>
    <w:p>
      <w:pPr>
        <w:pStyle w:val="55"/>
        <w:numPr>
          <w:ilvl w:val="0"/>
          <w:numId w:val="0"/>
        </w:numPr>
        <w:spacing w:before="156" w:after="156"/>
        <w:rPr>
          <w:rFonts w:hint="eastAsia" w:ascii="宋体" w:hAnsi="宋体" w:eastAsia="宋体" w:cs="宋体"/>
        </w:rPr>
      </w:pPr>
      <w:r>
        <w:rPr>
          <w:rFonts w:hint="eastAsia" w:ascii="宋体" w:hAnsi="宋体" w:eastAsia="宋体" w:cs="宋体"/>
        </w:rPr>
        <w:t>6.2.4</w:t>
      </w:r>
      <w:r>
        <w:rPr>
          <w:rFonts w:ascii="宋体" w:hAnsi="宋体" w:eastAsia="宋体" w:cs="宋体"/>
        </w:rPr>
        <w:t xml:space="preserve"> </w:t>
      </w:r>
      <w:r>
        <w:rPr>
          <w:rFonts w:hint="eastAsia" w:ascii="宋体" w:hAnsi="宋体" w:eastAsia="宋体" w:cs="宋体"/>
        </w:rPr>
        <w:t>总灰分检验按 GB 5009.4 的规定执行。</w:t>
      </w:r>
    </w:p>
    <w:p>
      <w:pPr>
        <w:pStyle w:val="55"/>
        <w:numPr>
          <w:ilvl w:val="0"/>
          <w:numId w:val="0"/>
        </w:numPr>
        <w:spacing w:before="156" w:after="156"/>
        <w:rPr>
          <w:rFonts w:hint="eastAsia" w:ascii="宋体" w:hAnsi="宋体" w:eastAsia="宋体" w:cs="宋体"/>
        </w:rPr>
      </w:pPr>
      <w:r>
        <w:rPr>
          <w:rFonts w:hint="eastAsia" w:ascii="宋体" w:hAnsi="宋体" w:eastAsia="宋体" w:cs="宋体"/>
        </w:rPr>
        <w:t>6.2.5</w:t>
      </w:r>
      <w:r>
        <w:rPr>
          <w:rFonts w:ascii="宋体" w:hAnsi="宋体" w:eastAsia="宋体" w:cs="宋体"/>
        </w:rPr>
        <w:t xml:space="preserve"> </w:t>
      </w:r>
      <w:r>
        <w:rPr>
          <w:rFonts w:hint="eastAsia" w:ascii="宋体" w:hAnsi="宋体" w:eastAsia="宋体" w:cs="宋体"/>
        </w:rPr>
        <w:t>粉末、碎茶检验按GB/T 8311的规定执行。</w:t>
      </w:r>
    </w:p>
    <w:p>
      <w:pPr>
        <w:pStyle w:val="56"/>
        <w:numPr>
          <w:ilvl w:val="0"/>
          <w:numId w:val="0"/>
        </w:numPr>
        <w:rPr>
          <w:rFonts w:hint="eastAsia"/>
        </w:rPr>
      </w:pPr>
      <w:r>
        <w:rPr>
          <w:rFonts w:hint="eastAsia"/>
        </w:rPr>
        <w:t>6.3</w:t>
      </w:r>
      <w:r>
        <w:t xml:space="preserve"> </w:t>
      </w:r>
      <w:r>
        <w:rPr>
          <w:rFonts w:hint="eastAsia"/>
        </w:rPr>
        <w:t>净含量</w:t>
      </w:r>
    </w:p>
    <w:p>
      <w:pPr>
        <w:pStyle w:val="20"/>
        <w:rPr>
          <w:rFonts w:hint="eastAsia"/>
        </w:rPr>
      </w:pPr>
      <w:r>
        <w:rPr>
          <w:rFonts w:hint="eastAsia"/>
        </w:rPr>
        <w:t>按JJF 1070 的规定执行。</w:t>
      </w:r>
    </w:p>
    <w:p>
      <w:pPr>
        <w:pStyle w:val="57"/>
        <w:numPr>
          <w:ilvl w:val="0"/>
          <w:numId w:val="0"/>
        </w:numPr>
        <w:rPr>
          <w:rFonts w:hint="eastAsia"/>
        </w:rPr>
      </w:pPr>
      <w:r>
        <w:rPr>
          <w:rFonts w:hint="eastAsia"/>
        </w:rPr>
        <w:t>7</w:t>
      </w:r>
      <w:r>
        <w:t xml:space="preserve">  </w:t>
      </w:r>
      <w:r>
        <w:rPr>
          <w:rFonts w:hint="eastAsia"/>
        </w:rPr>
        <w:t>检验规则</w:t>
      </w:r>
    </w:p>
    <w:p>
      <w:pPr>
        <w:pStyle w:val="56"/>
        <w:numPr>
          <w:ilvl w:val="0"/>
          <w:numId w:val="0"/>
        </w:numPr>
        <w:rPr>
          <w:rFonts w:hint="eastAsia"/>
        </w:rPr>
      </w:pPr>
      <w:r>
        <w:rPr>
          <w:rFonts w:hint="eastAsia"/>
        </w:rPr>
        <w:t>7.1</w:t>
      </w:r>
      <w:r>
        <w:t xml:space="preserve">  </w:t>
      </w:r>
      <w:r>
        <w:rPr>
          <w:rFonts w:hint="eastAsia"/>
        </w:rPr>
        <w:t>取样</w:t>
      </w:r>
    </w:p>
    <w:p>
      <w:pPr>
        <w:pStyle w:val="55"/>
        <w:numPr>
          <w:ilvl w:val="0"/>
          <w:numId w:val="0"/>
        </w:numPr>
        <w:spacing w:before="156" w:after="156"/>
        <w:rPr>
          <w:rFonts w:hint="eastAsia" w:ascii="宋体" w:hAnsi="宋体" w:eastAsia="宋体" w:cs="宋体"/>
          <w:kern w:val="2"/>
          <w:szCs w:val="24"/>
        </w:rPr>
      </w:pPr>
      <w:r>
        <w:rPr>
          <w:rFonts w:hint="eastAsia" w:ascii="宋体" w:hAnsi="宋体" w:eastAsia="宋体" w:cs="宋体"/>
          <w:kern w:val="2"/>
          <w:szCs w:val="24"/>
        </w:rPr>
        <w:t>7.1.1</w:t>
      </w:r>
      <w:r>
        <w:rPr>
          <w:rFonts w:ascii="宋体" w:hAnsi="宋体" w:eastAsia="宋体" w:cs="宋体"/>
          <w:kern w:val="2"/>
          <w:szCs w:val="24"/>
        </w:rPr>
        <w:t xml:space="preserve"> </w:t>
      </w:r>
      <w:r>
        <w:rPr>
          <w:rFonts w:hint="eastAsia" w:ascii="宋体" w:hAnsi="宋体" w:eastAsia="宋体" w:cs="宋体"/>
          <w:kern w:val="2"/>
          <w:szCs w:val="24"/>
        </w:rPr>
        <w:t>取样以“批”为单位，同一批投料生产、同一条生产线、同一班次生产加工过程中形成的独立数量的产品为一个批次，同批产品的品质和规格一致。</w:t>
      </w:r>
    </w:p>
    <w:p>
      <w:pPr>
        <w:pStyle w:val="55"/>
        <w:numPr>
          <w:ilvl w:val="0"/>
          <w:numId w:val="0"/>
        </w:numPr>
        <w:spacing w:before="156" w:after="156"/>
      </w:pPr>
      <w:r>
        <w:rPr>
          <w:rFonts w:hint="eastAsia" w:ascii="宋体" w:hAnsi="宋体" w:eastAsia="宋体" w:cs="宋体"/>
        </w:rPr>
        <w:t>7.1.2</w:t>
      </w:r>
      <w:r>
        <w:rPr>
          <w:rFonts w:ascii="宋体" w:hAnsi="宋体" w:eastAsia="宋体" w:cs="宋体"/>
        </w:rPr>
        <w:t xml:space="preserve"> </w:t>
      </w:r>
      <w:r>
        <w:rPr>
          <w:rFonts w:hint="eastAsia" w:ascii="宋体" w:hAnsi="宋体" w:eastAsia="宋体" w:cs="宋体"/>
        </w:rPr>
        <w:t>取样按GB/T 8302的规定执行。</w:t>
      </w:r>
    </w:p>
    <w:p>
      <w:pPr>
        <w:pStyle w:val="56"/>
        <w:numPr>
          <w:ilvl w:val="0"/>
          <w:numId w:val="0"/>
        </w:numPr>
        <w:rPr>
          <w:rFonts w:hint="eastAsia"/>
        </w:rPr>
      </w:pPr>
      <w:r>
        <w:rPr>
          <w:rFonts w:hint="eastAsia"/>
        </w:rPr>
        <w:t>7.2</w:t>
      </w:r>
      <w:r>
        <w:t xml:space="preserve">  </w:t>
      </w:r>
      <w:r>
        <w:rPr>
          <w:rFonts w:hint="eastAsia"/>
        </w:rPr>
        <w:t>检验</w:t>
      </w:r>
    </w:p>
    <w:p>
      <w:pPr>
        <w:pStyle w:val="55"/>
        <w:numPr>
          <w:ilvl w:val="0"/>
          <w:numId w:val="0"/>
        </w:numPr>
        <w:spacing w:before="156" w:after="156"/>
        <w:rPr>
          <w:rFonts w:hint="eastAsia"/>
        </w:rPr>
      </w:pPr>
      <w:r>
        <w:rPr>
          <w:rFonts w:hint="eastAsia"/>
        </w:rPr>
        <w:t>7.2.1</w:t>
      </w:r>
      <w:r>
        <w:t xml:space="preserve">  </w:t>
      </w:r>
      <w:r>
        <w:rPr>
          <w:rFonts w:hint="eastAsia"/>
        </w:rPr>
        <w:t>出厂检验</w:t>
      </w:r>
    </w:p>
    <w:p>
      <w:pPr>
        <w:ind w:firstLine="420" w:firstLineChars="200"/>
        <w:rPr>
          <w:rFonts w:hint="eastAsia" w:ascii="宋体" w:hAnsi="宋体"/>
        </w:rPr>
      </w:pPr>
      <w:r>
        <w:rPr>
          <w:rFonts w:hint="eastAsia" w:ascii="宋体" w:hAnsi="宋体"/>
        </w:rPr>
        <w:t>每批产品均应做出厂检验，经检验合格签发合格证后，方可出厂。出厂检验项目为感官品质、水分、碎茶、粉末和净含量。</w:t>
      </w:r>
    </w:p>
    <w:p>
      <w:pPr>
        <w:pStyle w:val="55"/>
        <w:numPr>
          <w:ilvl w:val="0"/>
          <w:numId w:val="0"/>
        </w:numPr>
        <w:spacing w:before="156" w:after="156"/>
        <w:rPr>
          <w:rFonts w:hint="eastAsia"/>
        </w:rPr>
      </w:pPr>
      <w:r>
        <w:rPr>
          <w:rFonts w:hint="eastAsia"/>
        </w:rPr>
        <w:t>7.2.2</w:t>
      </w:r>
      <w:r>
        <w:t xml:space="preserve">  </w:t>
      </w:r>
      <w:r>
        <w:rPr>
          <w:rFonts w:hint="eastAsia"/>
        </w:rPr>
        <w:t>型式检验</w:t>
      </w:r>
    </w:p>
    <w:p>
      <w:pPr>
        <w:ind w:firstLine="420" w:firstLineChars="200"/>
        <w:rPr>
          <w:rFonts w:ascii="宋体" w:hAnsi="宋体"/>
        </w:rPr>
      </w:pPr>
      <w:r>
        <w:rPr>
          <w:rFonts w:hint="eastAsia" w:ascii="宋体" w:hAnsi="宋体"/>
        </w:rPr>
        <w:t>型式检验项目为</w:t>
      </w:r>
      <w:r>
        <w:rPr>
          <w:rFonts w:hint="eastAsia" w:ascii="宋体" w:hAnsi="宋体"/>
          <w:highlight w:val="none"/>
        </w:rPr>
        <w:t>第5章</w:t>
      </w:r>
      <w:r>
        <w:rPr>
          <w:rFonts w:hint="eastAsia" w:ascii="宋体" w:hAnsi="宋体"/>
        </w:rPr>
        <w:t>要求中的全部项目，检验周期每年一次。有下列情况之一时，应进行型式检验:</w:t>
      </w:r>
    </w:p>
    <w:p>
      <w:pPr>
        <w:rPr>
          <w:rFonts w:hint="eastAsia" w:ascii="宋体" w:hAnsi="宋体"/>
        </w:rPr>
      </w:pPr>
      <w:r>
        <w:rPr>
          <w:rFonts w:hint="eastAsia" w:ascii="宋体" w:hAnsi="宋体"/>
        </w:rPr>
        <w:t xml:space="preserve">    a)如原料有较大改变，可能影响产品质量时；</w:t>
      </w:r>
    </w:p>
    <w:p>
      <w:pPr>
        <w:ind w:firstLine="435"/>
        <w:rPr>
          <w:rFonts w:hint="eastAsia" w:ascii="宋体" w:hAnsi="宋体"/>
        </w:rPr>
      </w:pPr>
      <w:r>
        <w:rPr>
          <w:rFonts w:hint="eastAsia" w:ascii="宋体" w:hAnsi="宋体"/>
        </w:rPr>
        <w:t>b)生产地址、生产设备或生产工艺有较大改变，可能影响产品质量时；</w:t>
      </w:r>
    </w:p>
    <w:p>
      <w:pPr>
        <w:ind w:firstLine="435"/>
        <w:rPr>
          <w:rFonts w:hint="eastAsia" w:ascii="宋体" w:hAnsi="宋体"/>
        </w:rPr>
      </w:pPr>
      <w:r>
        <w:rPr>
          <w:rFonts w:hint="eastAsia" w:ascii="宋体" w:hAnsi="宋体"/>
        </w:rPr>
        <w:t>c)停产一年及以上恢复生产时；</w:t>
      </w:r>
    </w:p>
    <w:p>
      <w:pPr>
        <w:ind w:firstLine="435"/>
        <w:rPr>
          <w:rFonts w:hint="eastAsia" w:ascii="宋体" w:hAnsi="宋体"/>
        </w:rPr>
      </w:pPr>
      <w:r>
        <w:rPr>
          <w:rFonts w:hint="eastAsia" w:ascii="宋体" w:hAnsi="宋体"/>
        </w:rPr>
        <w:t>d)国家法定质量监督机构提出型式检验要求时。</w:t>
      </w:r>
    </w:p>
    <w:p>
      <w:pPr>
        <w:pStyle w:val="56"/>
        <w:numPr>
          <w:ilvl w:val="0"/>
          <w:numId w:val="0"/>
        </w:numPr>
        <w:rPr>
          <w:rFonts w:hint="eastAsia"/>
        </w:rPr>
      </w:pPr>
      <w:r>
        <w:rPr>
          <w:rFonts w:hint="eastAsia"/>
        </w:rPr>
        <w:t>7.3</w:t>
      </w:r>
      <w:r>
        <w:t xml:space="preserve">  </w:t>
      </w:r>
      <w:r>
        <w:rPr>
          <w:rFonts w:hint="eastAsia"/>
        </w:rPr>
        <w:t>判定规则</w:t>
      </w:r>
    </w:p>
    <w:p>
      <w:pPr>
        <w:ind w:firstLine="420" w:firstLineChars="200"/>
        <w:rPr>
          <w:rFonts w:hint="eastAsia" w:ascii="宋体" w:hAnsi="宋体"/>
        </w:rPr>
      </w:pPr>
      <w:r>
        <w:rPr>
          <w:rFonts w:hint="eastAsia" w:ascii="宋体" w:hAnsi="宋体"/>
        </w:rPr>
        <w:t>按第5章要求的项目，任一项不符合规定的产品均判为不合格产品。</w:t>
      </w:r>
    </w:p>
    <w:p>
      <w:pPr>
        <w:pStyle w:val="56"/>
        <w:numPr>
          <w:ilvl w:val="0"/>
          <w:numId w:val="0"/>
        </w:numPr>
        <w:rPr>
          <w:rFonts w:hint="eastAsia"/>
        </w:rPr>
      </w:pPr>
      <w:r>
        <w:rPr>
          <w:rFonts w:hint="eastAsia"/>
        </w:rPr>
        <w:t>7.4</w:t>
      </w:r>
      <w:r>
        <w:t xml:space="preserve">  </w:t>
      </w:r>
      <w:r>
        <w:rPr>
          <w:rFonts w:hint="eastAsia"/>
        </w:rPr>
        <w:t>复检</w:t>
      </w:r>
    </w:p>
    <w:p>
      <w:pPr>
        <w:ind w:firstLine="420" w:firstLineChars="200"/>
      </w:pPr>
      <w:r>
        <w:rPr>
          <w:rFonts w:hint="eastAsia" w:ascii="宋体" w:hAnsi="宋体"/>
        </w:rPr>
        <w:t>对检验结果有争议时，应对留存样或在同批产品中重新按GB/T 8302规定加倍取样进行不合格项目的复验，以复验结果为准。</w:t>
      </w:r>
    </w:p>
    <w:p>
      <w:pPr>
        <w:pStyle w:val="57"/>
        <w:numPr>
          <w:ilvl w:val="0"/>
          <w:numId w:val="0"/>
        </w:numPr>
        <w:rPr>
          <w:rFonts w:hint="eastAsia"/>
        </w:rPr>
      </w:pPr>
      <w:r>
        <w:rPr>
          <w:rFonts w:hint="eastAsia"/>
        </w:rPr>
        <w:t>8</w:t>
      </w:r>
      <w:r>
        <w:t xml:space="preserve">  </w:t>
      </w:r>
      <w:r>
        <w:rPr>
          <w:rFonts w:hint="eastAsia"/>
        </w:rPr>
        <w:t>标志标签、包装、运输和贮存</w:t>
      </w:r>
    </w:p>
    <w:p>
      <w:pPr>
        <w:pStyle w:val="56"/>
        <w:numPr>
          <w:ilvl w:val="0"/>
          <w:numId w:val="0"/>
        </w:numPr>
        <w:rPr>
          <w:rFonts w:hint="eastAsia"/>
        </w:rPr>
      </w:pPr>
      <w:r>
        <w:rPr>
          <w:rFonts w:hint="eastAsia"/>
        </w:rPr>
        <w:t>8.1</w:t>
      </w:r>
      <w:r>
        <w:t xml:space="preserve">  </w:t>
      </w:r>
      <w:r>
        <w:rPr>
          <w:rFonts w:hint="eastAsia"/>
        </w:rPr>
        <w:t>标志标签</w:t>
      </w:r>
    </w:p>
    <w:p>
      <w:pPr>
        <w:pStyle w:val="20"/>
        <w:rPr>
          <w:color w:val="auto"/>
          <w:szCs w:val="22"/>
          <w:highlight w:val="none"/>
        </w:rPr>
      </w:pPr>
      <w:r>
        <w:rPr>
          <w:rFonts w:hint="eastAsia" w:hAnsi="宋体"/>
          <w:color w:val="auto"/>
          <w:highlight w:val="none"/>
        </w:rPr>
        <w:t>产品的标志标签应符合GB 7718的要求。</w:t>
      </w:r>
      <w:r>
        <w:rPr>
          <w:rFonts w:hint="eastAsia"/>
          <w:color w:val="auto"/>
          <w:szCs w:val="22"/>
          <w:highlight w:val="none"/>
          <w:lang w:eastAsia="zh-CN"/>
        </w:rPr>
        <w:t>产</w:t>
      </w:r>
      <w:r>
        <w:rPr>
          <w:rFonts w:hint="eastAsia"/>
          <w:color w:val="auto"/>
          <w:szCs w:val="22"/>
          <w:highlight w:val="none"/>
        </w:rPr>
        <w:t>品标识管理</w:t>
      </w:r>
      <w:r>
        <w:rPr>
          <w:rFonts w:hint="eastAsia"/>
          <w:color w:val="auto"/>
          <w:szCs w:val="22"/>
          <w:highlight w:val="none"/>
          <w:lang w:eastAsia="zh-CN"/>
        </w:rPr>
        <w:t>应符合</w:t>
      </w:r>
      <w:r>
        <w:rPr>
          <w:rFonts w:hint="eastAsia"/>
          <w:color w:val="auto"/>
          <w:szCs w:val="22"/>
          <w:highlight w:val="none"/>
        </w:rPr>
        <w:t>《国家质量检验检疫总局关于修改〈食品标识管理规定〉的决定》（</w:t>
      </w:r>
      <w:r>
        <w:rPr>
          <w:rFonts w:hint="eastAsia" w:hAnsi="宋体"/>
          <w:color w:val="auto"/>
          <w:highlight w:val="none"/>
        </w:rPr>
        <w:t>质量监督检验检疫总局（2009）第123号令）。运输包装的储运图示标志应符合GB/T 191的规定。</w:t>
      </w:r>
    </w:p>
    <w:p>
      <w:pPr>
        <w:pStyle w:val="56"/>
        <w:numPr>
          <w:ilvl w:val="0"/>
          <w:numId w:val="0"/>
        </w:numPr>
        <w:rPr>
          <w:rFonts w:hint="eastAsia"/>
        </w:rPr>
      </w:pPr>
      <w:r>
        <w:rPr>
          <w:rFonts w:hint="eastAsia"/>
        </w:rPr>
        <w:t>8.2</w:t>
      </w:r>
      <w:r>
        <w:t xml:space="preserve">  </w:t>
      </w:r>
      <w:r>
        <w:rPr>
          <w:rFonts w:hint="eastAsia"/>
        </w:rPr>
        <w:t>包装</w:t>
      </w:r>
    </w:p>
    <w:p>
      <w:pPr>
        <w:ind w:firstLine="420" w:firstLineChars="200"/>
        <w:rPr>
          <w:rFonts w:hint="eastAsia" w:ascii="宋体" w:hAnsi="宋体"/>
        </w:rPr>
      </w:pPr>
      <w:r>
        <w:rPr>
          <w:rFonts w:hint="eastAsia" w:ascii="宋体" w:hAnsi="宋体"/>
        </w:rPr>
        <w:t>包装应符合GH/T 1070的规定。</w:t>
      </w:r>
    </w:p>
    <w:p>
      <w:pPr>
        <w:pStyle w:val="56"/>
        <w:numPr>
          <w:ilvl w:val="0"/>
          <w:numId w:val="0"/>
        </w:numPr>
        <w:rPr>
          <w:rFonts w:hint="eastAsia"/>
        </w:rPr>
      </w:pPr>
      <w:r>
        <w:rPr>
          <w:rFonts w:hint="eastAsia"/>
        </w:rPr>
        <w:t>8.3</w:t>
      </w:r>
      <w:r>
        <w:t xml:space="preserve">  </w:t>
      </w:r>
      <w:r>
        <w:rPr>
          <w:rFonts w:hint="eastAsia"/>
        </w:rPr>
        <w:t>运输</w:t>
      </w:r>
    </w:p>
    <w:p>
      <w:pPr>
        <w:ind w:firstLine="420" w:firstLineChars="200"/>
        <w:rPr>
          <w:rFonts w:hint="eastAsia" w:ascii="宋体" w:hAnsi="宋体"/>
        </w:rPr>
      </w:pPr>
      <w:r>
        <w:rPr>
          <w:rFonts w:hint="eastAsia" w:ascii="宋体" w:hAnsi="宋体"/>
        </w:rPr>
        <w:t>运输工具应清洁、干燥、无异味、无污染。运输时应有防雨、防潮、防暴晒措施。不得与有毒、有害、有异味、易污染的物品混装、混运。</w:t>
      </w:r>
    </w:p>
    <w:p>
      <w:pPr>
        <w:pStyle w:val="56"/>
        <w:numPr>
          <w:ilvl w:val="0"/>
          <w:numId w:val="0"/>
        </w:numPr>
        <w:rPr>
          <w:rFonts w:hint="eastAsia"/>
        </w:rPr>
      </w:pPr>
      <w:r>
        <w:rPr>
          <w:rFonts w:hint="eastAsia"/>
        </w:rPr>
        <w:t>8.4</w:t>
      </w:r>
      <w:r>
        <w:t xml:space="preserve">  </w:t>
      </w:r>
      <w:r>
        <w:rPr>
          <w:rFonts w:hint="eastAsia"/>
        </w:rPr>
        <w:t>贮存</w:t>
      </w:r>
    </w:p>
    <w:p>
      <w:pPr>
        <w:pStyle w:val="20"/>
        <w:ind w:left="0" w:leftChars="0" w:firstLine="0" w:firstLineChars="0"/>
      </w:pPr>
      <w:r>
        <w:rPr>
          <w:rFonts w:hint="eastAsia" w:ascii="宋体" w:hAnsi="宋体"/>
        </w:rPr>
        <w:t>应符合GB/T 30375 的规定。</w:t>
      </w:r>
    </w:p>
    <w:p>
      <w:pPr>
        <w:pStyle w:val="123"/>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t>T/CSTEA 00001—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41"/>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110"/>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18"/>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57"/>
      <w:suff w:val="nothing"/>
      <w:lvlText w:val="%1　"/>
      <w:lvlJc w:val="left"/>
      <w:rPr>
        <w:rFonts w:hint="eastAsia" w:ascii="黑体" w:hAnsi="Times New Roman" w:eastAsia="黑体" w:cs="Times New Roman"/>
        <w:b w:val="0"/>
        <w:i w:val="0"/>
        <w:sz w:val="21"/>
        <w:szCs w:val="21"/>
      </w:rPr>
    </w:lvl>
    <w:lvl w:ilvl="1" w:tentative="0">
      <w:start w:val="1"/>
      <w:numFmt w:val="decimal"/>
      <w:pStyle w:val="56"/>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7"/>
      </w:pPr>
      <w:rPr>
        <w:rFonts w:hint="eastAsia" w:ascii="黑体" w:hAnsi="Times New Roman" w:eastAsia="黑体" w:cs="Times New Roman"/>
        <w:b w:val="0"/>
        <w:i w:val="0"/>
        <w:sz w:val="21"/>
      </w:rPr>
    </w:lvl>
    <w:lvl w:ilvl="3" w:tentative="0">
      <w:start w:val="1"/>
      <w:numFmt w:val="decimal"/>
      <w:suff w:val="nothing"/>
      <w:lvlText w:val="%1.%2.%3.%4　"/>
      <w:lvlJc w:val="left"/>
      <w:pPr>
        <w:ind w:left="709"/>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53"/>
      <w:suff w:val="space"/>
      <w:lvlText w:val="%1"/>
      <w:lvlJc w:val="left"/>
      <w:pPr>
        <w:ind w:left="623" w:hanging="425"/>
      </w:pPr>
      <w:rPr>
        <w:rFonts w:hint="eastAsia" w:cs="Times New Roman"/>
      </w:rPr>
    </w:lvl>
    <w:lvl w:ilvl="1" w:tentative="0">
      <w:start w:val="1"/>
      <w:numFmt w:val="decimal"/>
      <w:pStyle w:val="127"/>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77"/>
      <w:suff w:val="nothing"/>
      <w:lvlText w:val="%1——"/>
      <w:lvlJc w:val="left"/>
      <w:pPr>
        <w:ind w:left="833" w:hanging="408"/>
      </w:pPr>
      <w:rPr>
        <w:rFonts w:hint="eastAsia" w:cs="Times New Roman"/>
      </w:rPr>
    </w:lvl>
    <w:lvl w:ilvl="1" w:tentative="0">
      <w:start w:val="1"/>
      <w:numFmt w:val="bullet"/>
      <w:pStyle w:val="86"/>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6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26"/>
      <w:lvlText w:val="%2)"/>
      <w:lvlJc w:val="left"/>
      <w:pPr>
        <w:tabs>
          <w:tab w:val="left" w:pos="1260"/>
        </w:tabs>
        <w:ind w:left="1259" w:hanging="419"/>
      </w:pPr>
      <w:rPr>
        <w:rFonts w:hint="eastAsia" w:cs="Times New Roman"/>
      </w:rPr>
    </w:lvl>
    <w:lvl w:ilvl="2" w:tentative="0">
      <w:start w:val="1"/>
      <w:numFmt w:val="decimal"/>
      <w:pStyle w:val="10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70"/>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62"/>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58"/>
      <w:lvlText w:val="%1"/>
      <w:lvlJc w:val="left"/>
      <w:pPr>
        <w:tabs>
          <w:tab w:val="left" w:pos="0"/>
        </w:tabs>
        <w:ind w:hanging="425"/>
      </w:pPr>
      <w:rPr>
        <w:rFonts w:hint="eastAsia" w:cs="Times New Roman"/>
      </w:rPr>
    </w:lvl>
    <w:lvl w:ilvl="1" w:tentative="0">
      <w:start w:val="1"/>
      <w:numFmt w:val="decimal"/>
      <w:pStyle w:val="13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13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2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A09"/>
    <w:rsid w:val="00000244"/>
    <w:rsid w:val="0000185F"/>
    <w:rsid w:val="0000586F"/>
    <w:rsid w:val="00013D86"/>
    <w:rsid w:val="00013E02"/>
    <w:rsid w:val="0002143C"/>
    <w:rsid w:val="00025A65"/>
    <w:rsid w:val="00026C31"/>
    <w:rsid w:val="00027280"/>
    <w:rsid w:val="0003147E"/>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74F7"/>
    <w:rsid w:val="000F030C"/>
    <w:rsid w:val="000F129C"/>
    <w:rsid w:val="000F1713"/>
    <w:rsid w:val="000F5F6A"/>
    <w:rsid w:val="001056DE"/>
    <w:rsid w:val="001124C0"/>
    <w:rsid w:val="001150EF"/>
    <w:rsid w:val="0013175F"/>
    <w:rsid w:val="001512B4"/>
    <w:rsid w:val="001620A5"/>
    <w:rsid w:val="00163C9A"/>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255E"/>
    <w:rsid w:val="001D406C"/>
    <w:rsid w:val="001D41EE"/>
    <w:rsid w:val="001E0380"/>
    <w:rsid w:val="001E13B1"/>
    <w:rsid w:val="001F3A19"/>
    <w:rsid w:val="00234467"/>
    <w:rsid w:val="00236B3C"/>
    <w:rsid w:val="00237D8D"/>
    <w:rsid w:val="00241DA2"/>
    <w:rsid w:val="00247FEE"/>
    <w:rsid w:val="00250E7D"/>
    <w:rsid w:val="002565D5"/>
    <w:rsid w:val="002622C0"/>
    <w:rsid w:val="002778AE"/>
    <w:rsid w:val="002779F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11501"/>
    <w:rsid w:val="00325926"/>
    <w:rsid w:val="00327A8A"/>
    <w:rsid w:val="00336610"/>
    <w:rsid w:val="00343F73"/>
    <w:rsid w:val="00345060"/>
    <w:rsid w:val="0035323B"/>
    <w:rsid w:val="003609D2"/>
    <w:rsid w:val="00363F22"/>
    <w:rsid w:val="0037014D"/>
    <w:rsid w:val="00371BBA"/>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11A62"/>
    <w:rsid w:val="00425082"/>
    <w:rsid w:val="00431DEB"/>
    <w:rsid w:val="00446B29"/>
    <w:rsid w:val="00453F9A"/>
    <w:rsid w:val="00471E91"/>
    <w:rsid w:val="00474675"/>
    <w:rsid w:val="0047470C"/>
    <w:rsid w:val="004A35F9"/>
    <w:rsid w:val="004B24C1"/>
    <w:rsid w:val="004C292F"/>
    <w:rsid w:val="00502C85"/>
    <w:rsid w:val="00510280"/>
    <w:rsid w:val="00511AC9"/>
    <w:rsid w:val="00513D73"/>
    <w:rsid w:val="00514A43"/>
    <w:rsid w:val="005174E5"/>
    <w:rsid w:val="00522393"/>
    <w:rsid w:val="00522620"/>
    <w:rsid w:val="00525656"/>
    <w:rsid w:val="00526107"/>
    <w:rsid w:val="00534C02"/>
    <w:rsid w:val="005360C6"/>
    <w:rsid w:val="0054264B"/>
    <w:rsid w:val="00543786"/>
    <w:rsid w:val="005533D7"/>
    <w:rsid w:val="005703DE"/>
    <w:rsid w:val="0058464E"/>
    <w:rsid w:val="005A01CB"/>
    <w:rsid w:val="005A58FF"/>
    <w:rsid w:val="005A5EAF"/>
    <w:rsid w:val="005A64C0"/>
    <w:rsid w:val="005B3C11"/>
    <w:rsid w:val="005C1C28"/>
    <w:rsid w:val="005C379D"/>
    <w:rsid w:val="005C6DB5"/>
    <w:rsid w:val="005E19E7"/>
    <w:rsid w:val="00604A09"/>
    <w:rsid w:val="0061716C"/>
    <w:rsid w:val="006243A1"/>
    <w:rsid w:val="0063162A"/>
    <w:rsid w:val="00632E56"/>
    <w:rsid w:val="00635CBA"/>
    <w:rsid w:val="0064338B"/>
    <w:rsid w:val="00646542"/>
    <w:rsid w:val="006504F4"/>
    <w:rsid w:val="00654BC9"/>
    <w:rsid w:val="006552FD"/>
    <w:rsid w:val="00663AF3"/>
    <w:rsid w:val="00666B6C"/>
    <w:rsid w:val="00682682"/>
    <w:rsid w:val="00682702"/>
    <w:rsid w:val="00687164"/>
    <w:rsid w:val="00692368"/>
    <w:rsid w:val="006A2EBC"/>
    <w:rsid w:val="006A5EA0"/>
    <w:rsid w:val="006A783B"/>
    <w:rsid w:val="006A7B33"/>
    <w:rsid w:val="006B1E37"/>
    <w:rsid w:val="006B4E13"/>
    <w:rsid w:val="006B75DD"/>
    <w:rsid w:val="006C67E0"/>
    <w:rsid w:val="006C7ABA"/>
    <w:rsid w:val="006D0D60"/>
    <w:rsid w:val="006D1122"/>
    <w:rsid w:val="006D3C00"/>
    <w:rsid w:val="006D4F81"/>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388D"/>
    <w:rsid w:val="00835DB3"/>
    <w:rsid w:val="0083617B"/>
    <w:rsid w:val="008371BD"/>
    <w:rsid w:val="008504A8"/>
    <w:rsid w:val="0085282E"/>
    <w:rsid w:val="0087198C"/>
    <w:rsid w:val="00872C1F"/>
    <w:rsid w:val="00873B42"/>
    <w:rsid w:val="00883F46"/>
    <w:rsid w:val="008856D8"/>
    <w:rsid w:val="00892E82"/>
    <w:rsid w:val="008A0C9E"/>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67A7B"/>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C4B7B"/>
    <w:rsid w:val="009D5362"/>
    <w:rsid w:val="009E1415"/>
    <w:rsid w:val="009E4265"/>
    <w:rsid w:val="009E6116"/>
    <w:rsid w:val="009E6A03"/>
    <w:rsid w:val="009F3ACD"/>
    <w:rsid w:val="00A02E43"/>
    <w:rsid w:val="00A065F9"/>
    <w:rsid w:val="00A07F34"/>
    <w:rsid w:val="00A22154"/>
    <w:rsid w:val="00A25C38"/>
    <w:rsid w:val="00A30003"/>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0F97"/>
    <w:rsid w:val="00AE2914"/>
    <w:rsid w:val="00AE6D15"/>
    <w:rsid w:val="00B04182"/>
    <w:rsid w:val="00B07AE3"/>
    <w:rsid w:val="00B11430"/>
    <w:rsid w:val="00B353EB"/>
    <w:rsid w:val="00B42CE8"/>
    <w:rsid w:val="00B439C4"/>
    <w:rsid w:val="00B4535E"/>
    <w:rsid w:val="00B52A8C"/>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352"/>
    <w:rsid w:val="00C24971"/>
    <w:rsid w:val="00C26BE5"/>
    <w:rsid w:val="00C26E4D"/>
    <w:rsid w:val="00C27909"/>
    <w:rsid w:val="00C27B03"/>
    <w:rsid w:val="00C314E1"/>
    <w:rsid w:val="00C34397"/>
    <w:rsid w:val="00C4095D"/>
    <w:rsid w:val="00C41FA1"/>
    <w:rsid w:val="00C601D2"/>
    <w:rsid w:val="00C657AB"/>
    <w:rsid w:val="00C65BCC"/>
    <w:rsid w:val="00C66970"/>
    <w:rsid w:val="00C718D4"/>
    <w:rsid w:val="00C8691C"/>
    <w:rsid w:val="00CA168A"/>
    <w:rsid w:val="00CA357E"/>
    <w:rsid w:val="00CA44F9"/>
    <w:rsid w:val="00CA4A69"/>
    <w:rsid w:val="00CA791E"/>
    <w:rsid w:val="00CC1233"/>
    <w:rsid w:val="00CC3E0C"/>
    <w:rsid w:val="00CC58D3"/>
    <w:rsid w:val="00CC784D"/>
    <w:rsid w:val="00D0337B"/>
    <w:rsid w:val="00D079B2"/>
    <w:rsid w:val="00D114E9"/>
    <w:rsid w:val="00D131BA"/>
    <w:rsid w:val="00D429C6"/>
    <w:rsid w:val="00D47748"/>
    <w:rsid w:val="00D54CC3"/>
    <w:rsid w:val="00D6041A"/>
    <w:rsid w:val="00D633EB"/>
    <w:rsid w:val="00D72045"/>
    <w:rsid w:val="00D82FF7"/>
    <w:rsid w:val="00D847FE"/>
    <w:rsid w:val="00D964EA"/>
    <w:rsid w:val="00D966D0"/>
    <w:rsid w:val="00DA0C59"/>
    <w:rsid w:val="00DA3991"/>
    <w:rsid w:val="00DB7E6C"/>
    <w:rsid w:val="00DD0323"/>
    <w:rsid w:val="00DD5A29"/>
    <w:rsid w:val="00DD5D9D"/>
    <w:rsid w:val="00DE35CB"/>
    <w:rsid w:val="00DF21E9"/>
    <w:rsid w:val="00E00F14"/>
    <w:rsid w:val="00E06386"/>
    <w:rsid w:val="00E24EB4"/>
    <w:rsid w:val="00E320ED"/>
    <w:rsid w:val="00E33AFB"/>
    <w:rsid w:val="00E34218"/>
    <w:rsid w:val="00E46282"/>
    <w:rsid w:val="00E5216E"/>
    <w:rsid w:val="00E72D62"/>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D6D21"/>
    <w:rsid w:val="00FE23DE"/>
    <w:rsid w:val="029E77B3"/>
    <w:rsid w:val="06AF5DC0"/>
    <w:rsid w:val="083A0649"/>
    <w:rsid w:val="10F644DB"/>
    <w:rsid w:val="110015E7"/>
    <w:rsid w:val="139C0AC2"/>
    <w:rsid w:val="177E6177"/>
    <w:rsid w:val="198030D3"/>
    <w:rsid w:val="1B820719"/>
    <w:rsid w:val="20014589"/>
    <w:rsid w:val="20630756"/>
    <w:rsid w:val="25416F3A"/>
    <w:rsid w:val="2A5B3EBB"/>
    <w:rsid w:val="2FB00D25"/>
    <w:rsid w:val="3B080251"/>
    <w:rsid w:val="3C4919B7"/>
    <w:rsid w:val="41D85749"/>
    <w:rsid w:val="4EFF7F63"/>
    <w:rsid w:val="4F237F3F"/>
    <w:rsid w:val="50203710"/>
    <w:rsid w:val="515760F7"/>
    <w:rsid w:val="52DD5254"/>
    <w:rsid w:val="53ED1346"/>
    <w:rsid w:val="5A0C1D30"/>
    <w:rsid w:val="5C3F76AC"/>
    <w:rsid w:val="5C7141E4"/>
    <w:rsid w:val="5F017043"/>
    <w:rsid w:val="5F7A7BE7"/>
    <w:rsid w:val="60E25211"/>
    <w:rsid w:val="6125351F"/>
    <w:rsid w:val="63B763FF"/>
    <w:rsid w:val="63FB2FD1"/>
    <w:rsid w:val="667D4D3F"/>
    <w:rsid w:val="698620F4"/>
    <w:rsid w:val="6AEF156C"/>
    <w:rsid w:val="73016A93"/>
    <w:rsid w:val="7459444A"/>
    <w:rsid w:val="76286CC6"/>
    <w:rsid w:val="77126C1E"/>
    <w:rsid w:val="7E5C6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unhideWhenUsed="0" w:uiPriority="99" w:semiHidden="0" w:name="index 5"/>
    <w:lsdException w:qFormat="1" w:unhideWhenUsed="0" w:uiPriority="99" w:semiHidden="0" w:name="index 6"/>
    <w:lsdException w:qFormat="1" w:unhideWhenUsed="0" w:uiPriority="99" w:semiHidden="0" w:name="index 7"/>
    <w:lsdException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semiHidden/>
    <w:uiPriority w:val="99"/>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99"/>
    <w:pPr>
      <w:tabs>
        <w:tab w:val="right" w:leader="dot" w:pos="9241"/>
      </w:tabs>
      <w:ind w:firstLine="500" w:firstLineChars="500"/>
      <w:jc w:val="left"/>
    </w:pPr>
    <w:rPr>
      <w:rFonts w:ascii="宋体"/>
      <w:szCs w:val="21"/>
    </w:rPr>
  </w:style>
  <w:style w:type="paragraph" w:styleId="3">
    <w:name w:val="index 8"/>
    <w:basedOn w:val="1"/>
    <w:next w:val="1"/>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uiPriority w:val="99"/>
    <w:pPr>
      <w:ind w:left="1050" w:hanging="210"/>
      <w:jc w:val="left"/>
    </w:pPr>
    <w:rPr>
      <w:rFonts w:ascii="Calibri" w:hAnsi="Calibri"/>
      <w:sz w:val="20"/>
      <w:szCs w:val="20"/>
    </w:rPr>
  </w:style>
  <w:style w:type="paragraph" w:styleId="6">
    <w:name w:val="Document Map"/>
    <w:basedOn w:val="1"/>
    <w:link w:val="42"/>
    <w:semiHidden/>
    <w:qFormat/>
    <w:uiPriority w:val="99"/>
    <w:pPr>
      <w:shd w:val="clear" w:color="auto" w:fill="000080"/>
    </w:pPr>
  </w:style>
  <w:style w:type="paragraph" w:styleId="7">
    <w:name w:val="index 6"/>
    <w:basedOn w:val="1"/>
    <w:next w:val="1"/>
    <w:qFormat/>
    <w:uiPriority w:val="99"/>
    <w:pPr>
      <w:ind w:left="1260" w:hanging="210"/>
      <w:jc w:val="left"/>
    </w:pPr>
    <w:rPr>
      <w:rFonts w:ascii="Calibri" w:hAnsi="Calibri"/>
      <w:sz w:val="20"/>
      <w:szCs w:val="20"/>
    </w:rPr>
  </w:style>
  <w:style w:type="paragraph" w:styleId="8">
    <w:name w:val="index 4"/>
    <w:basedOn w:val="1"/>
    <w:next w:val="1"/>
    <w:qFormat/>
    <w:uiPriority w:val="99"/>
    <w:pPr>
      <w:ind w:left="840" w:hanging="210"/>
      <w:jc w:val="left"/>
    </w:pPr>
    <w:rPr>
      <w:rFonts w:ascii="Calibri" w:hAnsi="Calibri"/>
      <w:sz w:val="20"/>
      <w:szCs w:val="20"/>
    </w:rPr>
  </w:style>
  <w:style w:type="paragraph" w:styleId="9">
    <w:name w:val="toc 5"/>
    <w:basedOn w:val="1"/>
    <w:next w:val="1"/>
    <w:semiHidden/>
    <w:qFormat/>
    <w:uiPriority w:val="99"/>
    <w:pPr>
      <w:tabs>
        <w:tab w:val="right" w:leader="dot" w:pos="9241"/>
      </w:tabs>
      <w:ind w:firstLine="300" w:firstLineChars="300"/>
      <w:jc w:val="left"/>
    </w:pPr>
    <w:rPr>
      <w:rFonts w:ascii="宋体"/>
      <w:szCs w:val="21"/>
    </w:rPr>
  </w:style>
  <w:style w:type="paragraph" w:styleId="10">
    <w:name w:val="toc 3"/>
    <w:basedOn w:val="1"/>
    <w:next w:val="1"/>
    <w:semiHidden/>
    <w:qFormat/>
    <w:uiPriority w:val="99"/>
    <w:pPr>
      <w:tabs>
        <w:tab w:val="right" w:leader="dot" w:pos="9241"/>
      </w:tabs>
      <w:ind w:firstLine="100" w:firstLineChars="100"/>
      <w:jc w:val="left"/>
    </w:pPr>
    <w:rPr>
      <w:rFonts w:ascii="宋体"/>
      <w:szCs w:val="21"/>
    </w:rPr>
  </w:style>
  <w:style w:type="paragraph" w:styleId="11">
    <w:name w:val="toc 8"/>
    <w:basedOn w:val="1"/>
    <w:next w:val="1"/>
    <w:semiHidden/>
    <w:qFormat/>
    <w:uiPriority w:val="99"/>
    <w:pPr>
      <w:tabs>
        <w:tab w:val="right" w:leader="dot" w:pos="9241"/>
      </w:tabs>
      <w:ind w:firstLine="607" w:firstLineChars="600"/>
      <w:jc w:val="left"/>
    </w:pPr>
    <w:rPr>
      <w:rFonts w:ascii="宋体"/>
      <w:szCs w:val="21"/>
    </w:rPr>
  </w:style>
  <w:style w:type="paragraph" w:styleId="12">
    <w:name w:val="index 3"/>
    <w:basedOn w:val="1"/>
    <w:next w:val="1"/>
    <w:qFormat/>
    <w:uiPriority w:val="99"/>
    <w:pPr>
      <w:ind w:left="630" w:hanging="210"/>
      <w:jc w:val="left"/>
    </w:pPr>
    <w:rPr>
      <w:rFonts w:ascii="Calibri" w:hAnsi="Calibri"/>
      <w:sz w:val="20"/>
      <w:szCs w:val="20"/>
    </w:rPr>
  </w:style>
  <w:style w:type="paragraph" w:styleId="13">
    <w:name w:val="endnote text"/>
    <w:basedOn w:val="1"/>
    <w:link w:val="44"/>
    <w:semiHidden/>
    <w:qFormat/>
    <w:uiPriority w:val="99"/>
    <w:pPr>
      <w:snapToGrid w:val="0"/>
      <w:jc w:val="left"/>
    </w:pPr>
  </w:style>
  <w:style w:type="paragraph" w:styleId="14">
    <w:name w:val="footer"/>
    <w:basedOn w:val="1"/>
    <w:link w:val="43"/>
    <w:qFormat/>
    <w:uiPriority w:val="99"/>
    <w:pPr>
      <w:snapToGrid w:val="0"/>
      <w:ind w:right="210" w:rightChars="100"/>
      <w:jc w:val="right"/>
    </w:pPr>
    <w:rPr>
      <w:sz w:val="18"/>
      <w:szCs w:val="18"/>
    </w:rPr>
  </w:style>
  <w:style w:type="paragraph" w:styleId="15">
    <w:name w:val="header"/>
    <w:basedOn w:val="1"/>
    <w:link w:val="45"/>
    <w:qFormat/>
    <w:uiPriority w:val="99"/>
    <w:pPr>
      <w:snapToGrid w:val="0"/>
      <w:jc w:val="left"/>
    </w:pPr>
    <w:rPr>
      <w:sz w:val="18"/>
      <w:szCs w:val="18"/>
    </w:rPr>
  </w:style>
  <w:style w:type="paragraph" w:styleId="16">
    <w:name w:val="toc 1"/>
    <w:basedOn w:val="1"/>
    <w:next w:val="1"/>
    <w:semiHidden/>
    <w:qFormat/>
    <w:uiPriority w:val="99"/>
    <w:pPr>
      <w:tabs>
        <w:tab w:val="right" w:leader="dot" w:pos="9242"/>
      </w:tabs>
      <w:spacing w:beforeLines="25" w:afterLines="25"/>
      <w:jc w:val="left"/>
    </w:pPr>
    <w:rPr>
      <w:rFonts w:ascii="宋体"/>
      <w:szCs w:val="21"/>
    </w:rPr>
  </w:style>
  <w:style w:type="paragraph" w:styleId="17">
    <w:name w:val="toc 4"/>
    <w:basedOn w:val="1"/>
    <w:next w:val="1"/>
    <w:semiHidden/>
    <w:qFormat/>
    <w:uiPriority w:val="99"/>
    <w:pPr>
      <w:tabs>
        <w:tab w:val="right" w:leader="dot" w:pos="9241"/>
      </w:tabs>
      <w:ind w:firstLine="200" w:firstLineChars="200"/>
      <w:jc w:val="left"/>
    </w:pPr>
    <w:rPr>
      <w:rFonts w:ascii="宋体"/>
      <w:szCs w:val="21"/>
    </w:rPr>
  </w:style>
  <w:style w:type="paragraph" w:styleId="18">
    <w:name w:val="index heading"/>
    <w:basedOn w:val="1"/>
    <w:next w:val="19"/>
    <w:qFormat/>
    <w:uiPriority w:val="99"/>
    <w:pPr>
      <w:spacing w:before="120" w:after="120"/>
      <w:jc w:val="center"/>
    </w:pPr>
    <w:rPr>
      <w:rFonts w:ascii="Calibri" w:hAnsi="Calibri"/>
      <w:b/>
      <w:bCs/>
      <w:iCs/>
      <w:szCs w:val="20"/>
    </w:rPr>
  </w:style>
  <w:style w:type="paragraph" w:styleId="19">
    <w:name w:val="index 1"/>
    <w:basedOn w:val="1"/>
    <w:next w:val="20"/>
    <w:qFormat/>
    <w:uiPriority w:val="99"/>
    <w:pPr>
      <w:tabs>
        <w:tab w:val="right" w:leader="dot" w:pos="9299"/>
      </w:tabs>
      <w:jc w:val="left"/>
    </w:pPr>
    <w:rPr>
      <w:rFonts w:ascii="宋体"/>
      <w:szCs w:val="21"/>
    </w:rPr>
  </w:style>
  <w:style w:type="paragraph" w:customStyle="1" w:styleId="20">
    <w:name w:val="段"/>
    <w:link w:val="37"/>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1">
    <w:name w:val="footnote text"/>
    <w:basedOn w:val="1"/>
    <w:link w:val="46"/>
    <w:qFormat/>
    <w:uiPriority w:val="99"/>
    <w:pPr>
      <w:numPr>
        <w:ilvl w:val="0"/>
        <w:numId w:val="1"/>
      </w:numPr>
      <w:snapToGrid w:val="0"/>
      <w:jc w:val="left"/>
    </w:pPr>
    <w:rPr>
      <w:rFonts w:ascii="宋体"/>
      <w:sz w:val="18"/>
      <w:szCs w:val="18"/>
    </w:rPr>
  </w:style>
  <w:style w:type="paragraph" w:styleId="22">
    <w:name w:val="toc 6"/>
    <w:basedOn w:val="1"/>
    <w:next w:val="1"/>
    <w:semiHidden/>
    <w:qFormat/>
    <w:uiPriority w:val="99"/>
    <w:pPr>
      <w:tabs>
        <w:tab w:val="right" w:leader="dot" w:pos="9241"/>
      </w:tabs>
      <w:ind w:firstLine="400" w:firstLineChars="400"/>
      <w:jc w:val="left"/>
    </w:pPr>
    <w:rPr>
      <w:rFonts w:ascii="宋体"/>
      <w:szCs w:val="21"/>
    </w:rPr>
  </w:style>
  <w:style w:type="paragraph" w:styleId="23">
    <w:name w:val="index 7"/>
    <w:basedOn w:val="1"/>
    <w:next w:val="1"/>
    <w:qFormat/>
    <w:uiPriority w:val="99"/>
    <w:pPr>
      <w:ind w:left="1470" w:hanging="210"/>
      <w:jc w:val="left"/>
    </w:pPr>
    <w:rPr>
      <w:rFonts w:ascii="Calibri" w:hAnsi="Calibri"/>
      <w:sz w:val="20"/>
      <w:szCs w:val="20"/>
    </w:rPr>
  </w:style>
  <w:style w:type="paragraph" w:styleId="24">
    <w:name w:val="index 9"/>
    <w:basedOn w:val="1"/>
    <w:next w:val="1"/>
    <w:qFormat/>
    <w:uiPriority w:val="99"/>
    <w:pPr>
      <w:ind w:left="1890" w:hanging="210"/>
      <w:jc w:val="left"/>
    </w:pPr>
    <w:rPr>
      <w:rFonts w:ascii="Calibri" w:hAnsi="Calibri"/>
      <w:sz w:val="20"/>
      <w:szCs w:val="20"/>
    </w:rPr>
  </w:style>
  <w:style w:type="paragraph" w:styleId="25">
    <w:name w:val="toc 2"/>
    <w:basedOn w:val="1"/>
    <w:next w:val="1"/>
    <w:semiHidden/>
    <w:qFormat/>
    <w:uiPriority w:val="99"/>
    <w:pPr>
      <w:tabs>
        <w:tab w:val="right" w:leader="dot" w:pos="9242"/>
      </w:tabs>
    </w:pPr>
    <w:rPr>
      <w:rFonts w:ascii="宋体"/>
      <w:szCs w:val="21"/>
    </w:rPr>
  </w:style>
  <w:style w:type="paragraph" w:styleId="26">
    <w:name w:val="toc 9"/>
    <w:basedOn w:val="1"/>
    <w:next w:val="1"/>
    <w:semiHidden/>
    <w:qFormat/>
    <w:uiPriority w:val="99"/>
    <w:pPr>
      <w:ind w:left="1470"/>
      <w:jc w:val="left"/>
    </w:pPr>
    <w:rPr>
      <w:sz w:val="20"/>
      <w:szCs w:val="20"/>
    </w:rPr>
  </w:style>
  <w:style w:type="paragraph" w:styleId="27">
    <w:name w:val="index 2"/>
    <w:basedOn w:val="1"/>
    <w:next w:val="1"/>
    <w:qFormat/>
    <w:uiPriority w:val="99"/>
    <w:pPr>
      <w:ind w:left="420" w:hanging="210"/>
      <w:jc w:val="left"/>
    </w:pPr>
    <w:rPr>
      <w:rFonts w:ascii="Calibri" w:hAnsi="Calibri"/>
      <w:sz w:val="20"/>
      <w:szCs w:val="20"/>
    </w:rPr>
  </w:style>
  <w:style w:type="table" w:styleId="29">
    <w:name w:val="Table Grid"/>
    <w:basedOn w:val="28"/>
    <w:qFormat/>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semiHidden/>
    <w:qFormat/>
    <w:uiPriority w:val="99"/>
    <w:rPr>
      <w:rFonts w:cs="Times New Roman"/>
      <w:vertAlign w:val="superscript"/>
    </w:rPr>
  </w:style>
  <w:style w:type="character" w:styleId="32">
    <w:name w:val="page number"/>
    <w:basedOn w:val="30"/>
    <w:qFormat/>
    <w:uiPriority w:val="99"/>
    <w:rPr>
      <w:rFonts w:ascii="Times New Roman" w:hAnsi="Times New Roman" w:eastAsia="宋体" w:cs="Times New Roman"/>
      <w:sz w:val="18"/>
    </w:rPr>
  </w:style>
  <w:style w:type="character" w:styleId="33">
    <w:name w:val="FollowedHyperlink"/>
    <w:basedOn w:val="30"/>
    <w:qFormat/>
    <w:uiPriority w:val="99"/>
    <w:rPr>
      <w:rFonts w:cs="Times New Roman"/>
      <w:color w:val="800080"/>
      <w:u w:val="single"/>
    </w:rPr>
  </w:style>
  <w:style w:type="character" w:styleId="34">
    <w:name w:val="Hyperlink"/>
    <w:basedOn w:val="30"/>
    <w:qFormat/>
    <w:uiPriority w:val="99"/>
    <w:rPr>
      <w:rFonts w:cs="Times New Roman"/>
      <w:color w:val="0000FF"/>
      <w:spacing w:val="0"/>
      <w:w w:val="100"/>
      <w:sz w:val="21"/>
      <w:szCs w:val="21"/>
      <w:u w:val="single"/>
      <w:lang w:val="en-US" w:eastAsia="zh-CN"/>
    </w:rPr>
  </w:style>
  <w:style w:type="character" w:styleId="35">
    <w:name w:val="footnote reference"/>
    <w:basedOn w:val="30"/>
    <w:semiHidden/>
    <w:qFormat/>
    <w:uiPriority w:val="99"/>
    <w:rPr>
      <w:rFonts w:cs="Times New Roman"/>
      <w:vertAlign w:val="superscript"/>
    </w:rPr>
  </w:style>
  <w:style w:type="character" w:customStyle="1" w:styleId="36">
    <w:name w:val="附录公式 Char"/>
    <w:basedOn w:val="37"/>
    <w:link w:val="38"/>
    <w:qFormat/>
    <w:locked/>
    <w:uiPriority w:val="99"/>
  </w:style>
  <w:style w:type="character" w:customStyle="1" w:styleId="37">
    <w:name w:val="段 Char"/>
    <w:basedOn w:val="30"/>
    <w:link w:val="20"/>
    <w:qFormat/>
    <w:locked/>
    <w:uiPriority w:val="99"/>
    <w:rPr>
      <w:rFonts w:ascii="宋体" w:cs="Times New Roman"/>
      <w:sz w:val="21"/>
      <w:lang w:val="en-US" w:eastAsia="zh-CN" w:bidi="ar-SA"/>
    </w:rPr>
  </w:style>
  <w:style w:type="paragraph" w:customStyle="1" w:styleId="38">
    <w:name w:val="附录公式"/>
    <w:basedOn w:val="20"/>
    <w:next w:val="20"/>
    <w:link w:val="36"/>
    <w:qFormat/>
    <w:uiPriority w:val="99"/>
  </w:style>
  <w:style w:type="character" w:customStyle="1" w:styleId="39">
    <w:name w:val="发布"/>
    <w:basedOn w:val="30"/>
    <w:qFormat/>
    <w:uiPriority w:val="99"/>
    <w:rPr>
      <w:rFonts w:ascii="黑体" w:eastAsia="黑体" w:cs="Times New Roman"/>
      <w:spacing w:val="85"/>
      <w:w w:val="100"/>
      <w:position w:val="3"/>
      <w:sz w:val="28"/>
      <w:szCs w:val="28"/>
    </w:rPr>
  </w:style>
  <w:style w:type="character" w:customStyle="1" w:styleId="40">
    <w:name w:val="首示例 Char"/>
    <w:basedOn w:val="30"/>
    <w:link w:val="41"/>
    <w:qFormat/>
    <w:locked/>
    <w:uiPriority w:val="99"/>
    <w:rPr>
      <w:rFonts w:ascii="宋体" w:eastAsia="宋体" w:cs="Times New Roman"/>
      <w:kern w:val="2"/>
      <w:sz w:val="18"/>
      <w:szCs w:val="18"/>
      <w:lang w:val="en-US" w:eastAsia="zh-CN" w:bidi="ar-SA"/>
    </w:rPr>
  </w:style>
  <w:style w:type="paragraph" w:customStyle="1" w:styleId="41">
    <w:name w:val="首示例"/>
    <w:next w:val="20"/>
    <w:link w:val="40"/>
    <w:qFormat/>
    <w:uiPriority w:val="99"/>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2">
    <w:name w:val="Document Map Char"/>
    <w:basedOn w:val="30"/>
    <w:link w:val="6"/>
    <w:semiHidden/>
    <w:qFormat/>
    <w:uiPriority w:val="99"/>
    <w:rPr>
      <w:sz w:val="0"/>
      <w:szCs w:val="0"/>
    </w:rPr>
  </w:style>
  <w:style w:type="character" w:customStyle="1" w:styleId="43">
    <w:name w:val="Footer Char"/>
    <w:basedOn w:val="30"/>
    <w:link w:val="14"/>
    <w:semiHidden/>
    <w:qFormat/>
    <w:uiPriority w:val="99"/>
    <w:rPr>
      <w:sz w:val="18"/>
      <w:szCs w:val="18"/>
    </w:rPr>
  </w:style>
  <w:style w:type="character" w:customStyle="1" w:styleId="44">
    <w:name w:val="Endnote Text Char"/>
    <w:basedOn w:val="30"/>
    <w:link w:val="13"/>
    <w:semiHidden/>
    <w:qFormat/>
    <w:uiPriority w:val="99"/>
    <w:rPr>
      <w:szCs w:val="24"/>
    </w:rPr>
  </w:style>
  <w:style w:type="character" w:customStyle="1" w:styleId="45">
    <w:name w:val="Header Char"/>
    <w:basedOn w:val="30"/>
    <w:link w:val="15"/>
    <w:semiHidden/>
    <w:qFormat/>
    <w:uiPriority w:val="99"/>
    <w:rPr>
      <w:sz w:val="18"/>
      <w:szCs w:val="18"/>
    </w:rPr>
  </w:style>
  <w:style w:type="character" w:customStyle="1" w:styleId="46">
    <w:name w:val="Footnote Text Char"/>
    <w:basedOn w:val="30"/>
    <w:link w:val="21"/>
    <w:semiHidden/>
    <w:qFormat/>
    <w:uiPriority w:val="99"/>
    <w:rPr>
      <w:sz w:val="18"/>
      <w:szCs w:val="18"/>
    </w:rPr>
  </w:style>
  <w:style w:type="paragraph" w:customStyle="1" w:styleId="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8">
    <w:name w:val="参考文献"/>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49">
    <w:name w:val="发布部门"/>
    <w:next w:val="20"/>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50">
    <w:name w:val="封面标准英文名称"/>
    <w:basedOn w:val="51"/>
    <w:qFormat/>
    <w:uiPriority w:val="99"/>
    <w:pPr>
      <w:spacing w:before="370" w:line="400" w:lineRule="exact"/>
    </w:pPr>
    <w:rPr>
      <w:rFonts w:ascii="Times New Roman"/>
      <w:sz w:val="28"/>
      <w:szCs w:val="28"/>
    </w:rPr>
  </w:style>
  <w:style w:type="paragraph" w:customStyle="1" w:styleId="5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2">
    <w:name w:val="封面标准名称2"/>
    <w:basedOn w:val="51"/>
    <w:qFormat/>
    <w:uiPriority w:val="99"/>
    <w:pPr>
      <w:framePr w:y="4469"/>
      <w:spacing w:beforeLines="630"/>
    </w:pPr>
  </w:style>
  <w:style w:type="paragraph" w:customStyle="1" w:styleId="53">
    <w:name w:val="附录图标号"/>
    <w:basedOn w:val="1"/>
    <w:qFormat/>
    <w:uiPriority w:val="99"/>
    <w:pPr>
      <w:keepNext/>
      <w:pageBreakBefore/>
      <w:widowControl/>
      <w:numPr>
        <w:ilvl w:val="0"/>
        <w:numId w:val="3"/>
      </w:numPr>
      <w:spacing w:line="14" w:lineRule="exact"/>
      <w:ind w:left="0" w:firstLine="363"/>
      <w:jc w:val="center"/>
      <w:outlineLvl w:val="0"/>
    </w:pPr>
    <w:rPr>
      <w:color w:val="FFFFFF"/>
    </w:rPr>
  </w:style>
  <w:style w:type="paragraph" w:customStyle="1" w:styleId="54">
    <w:name w:val="二级无"/>
    <w:basedOn w:val="55"/>
    <w:qFormat/>
    <w:uiPriority w:val="99"/>
    <w:pPr>
      <w:spacing w:beforeLines="0" w:afterLines="0"/>
      <w:ind w:left="0"/>
    </w:pPr>
    <w:rPr>
      <w:rFonts w:ascii="宋体" w:eastAsia="宋体"/>
    </w:rPr>
  </w:style>
  <w:style w:type="paragraph" w:customStyle="1" w:styleId="55">
    <w:name w:val="二级条标题"/>
    <w:basedOn w:val="56"/>
    <w:next w:val="20"/>
    <w:qFormat/>
    <w:uiPriority w:val="99"/>
    <w:pPr>
      <w:numPr>
        <w:ilvl w:val="0"/>
        <w:numId w:val="0"/>
      </w:numPr>
      <w:spacing w:before="50" w:after="50"/>
      <w:ind w:left="567"/>
      <w:outlineLvl w:val="3"/>
    </w:pPr>
  </w:style>
  <w:style w:type="paragraph" w:customStyle="1" w:styleId="56">
    <w:name w:val="一级条标题"/>
    <w:next w:val="20"/>
    <w:qFormat/>
    <w:uiPriority w:val="99"/>
    <w:pPr>
      <w:numPr>
        <w:ilvl w:val="1"/>
        <w:numId w:val="4"/>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57">
    <w:name w:val="章标题"/>
    <w:next w:val="20"/>
    <w:qFormat/>
    <w:uiPriority w:val="99"/>
    <w:pPr>
      <w:numPr>
        <w:ilvl w:val="0"/>
        <w:numId w:val="4"/>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8">
    <w:name w:val="附录表标号"/>
    <w:basedOn w:val="1"/>
    <w:next w:val="20"/>
    <w:qFormat/>
    <w:uiPriority w:val="99"/>
    <w:pPr>
      <w:numPr>
        <w:ilvl w:val="0"/>
        <w:numId w:val="5"/>
      </w:numPr>
      <w:tabs>
        <w:tab w:val="clear" w:pos="0"/>
      </w:tabs>
      <w:spacing w:line="14" w:lineRule="exact"/>
      <w:ind w:left="811" w:hanging="448"/>
      <w:jc w:val="center"/>
      <w:outlineLvl w:val="0"/>
    </w:pPr>
    <w:rPr>
      <w:color w:val="FFFFFF"/>
    </w:rPr>
  </w:style>
  <w:style w:type="paragraph" w:customStyle="1" w:styleId="59">
    <w:name w:val="附录二级无"/>
    <w:basedOn w:val="60"/>
    <w:qFormat/>
    <w:uiPriority w:val="99"/>
    <w:pPr>
      <w:tabs>
        <w:tab w:val="left" w:pos="360"/>
      </w:tabs>
      <w:spacing w:beforeLines="0" w:afterLines="0"/>
    </w:pPr>
    <w:rPr>
      <w:rFonts w:ascii="宋体" w:eastAsia="宋体"/>
      <w:szCs w:val="21"/>
    </w:rPr>
  </w:style>
  <w:style w:type="paragraph" w:customStyle="1" w:styleId="60">
    <w:name w:val="附录二级条标题"/>
    <w:basedOn w:val="1"/>
    <w:next w:val="20"/>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1">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62">
    <w:name w:val="正文图标题"/>
    <w:next w:val="20"/>
    <w:uiPriority w:val="99"/>
    <w:pPr>
      <w:numPr>
        <w:ilvl w:val="0"/>
        <w:numId w:val="6"/>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63">
    <w:name w:val="字母编号列项（一级）"/>
    <w:qFormat/>
    <w:uiPriority w:val="99"/>
    <w:pPr>
      <w:numPr>
        <w:ilvl w:val="0"/>
        <w:numId w:val="7"/>
      </w:numPr>
      <w:jc w:val="both"/>
    </w:pPr>
    <w:rPr>
      <w:rFonts w:ascii="宋体" w:hAnsi="Times New Roman" w:eastAsia="宋体" w:cs="Times New Roman"/>
      <w:kern w:val="0"/>
      <w:sz w:val="21"/>
      <w:szCs w:val="20"/>
      <w:lang w:val="en-US" w:eastAsia="zh-CN" w:bidi="ar-SA"/>
    </w:rPr>
  </w:style>
  <w:style w:type="paragraph" w:customStyle="1" w:styleId="64">
    <w:name w:val="标准书眉_偶数页"/>
    <w:basedOn w:val="65"/>
    <w:next w:val="1"/>
    <w:uiPriority w:val="99"/>
    <w:pPr>
      <w:tabs>
        <w:tab w:val="center" w:pos="4154"/>
        <w:tab w:val="right" w:pos="8306"/>
      </w:tabs>
      <w:jc w:val="left"/>
    </w:p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66">
    <w:name w:val="列项◆（三级）"/>
    <w:basedOn w:val="1"/>
    <w:qFormat/>
    <w:uiPriority w:val="99"/>
    <w:pPr>
      <w:numPr>
        <w:ilvl w:val="2"/>
        <w:numId w:val="8"/>
      </w:numPr>
    </w:pPr>
    <w:rPr>
      <w:rFonts w:ascii="宋体"/>
      <w:szCs w:val="21"/>
    </w:rPr>
  </w:style>
  <w:style w:type="paragraph" w:customStyle="1" w:styleId="67">
    <w:name w:val="封面标准文稿编辑信息"/>
    <w:basedOn w:val="68"/>
    <w:qFormat/>
    <w:uiPriority w:val="99"/>
    <w:pPr>
      <w:spacing w:before="180" w:line="180" w:lineRule="exact"/>
    </w:pPr>
    <w:rPr>
      <w:sz w:val="21"/>
    </w:rPr>
  </w:style>
  <w:style w:type="paragraph" w:customStyle="1" w:styleId="68">
    <w:name w:val="封面标准文稿类别"/>
    <w:basedOn w:val="69"/>
    <w:qFormat/>
    <w:uiPriority w:val="99"/>
    <w:pPr>
      <w:spacing w:after="160" w:line="240" w:lineRule="auto"/>
    </w:pPr>
    <w:rPr>
      <w:sz w:val="24"/>
    </w:rPr>
  </w:style>
  <w:style w:type="paragraph" w:customStyle="1" w:styleId="69">
    <w:name w:val="封面一致性程度标识"/>
    <w:basedOn w:val="50"/>
    <w:qFormat/>
    <w:uiPriority w:val="99"/>
    <w:pPr>
      <w:spacing w:before="440"/>
    </w:pPr>
    <w:rPr>
      <w:rFonts w:ascii="宋体" w:eastAsia="宋体"/>
    </w:rPr>
  </w:style>
  <w:style w:type="paragraph" w:customStyle="1" w:styleId="70">
    <w:name w:val="示例×："/>
    <w:basedOn w:val="57"/>
    <w:qFormat/>
    <w:uiPriority w:val="99"/>
    <w:pPr>
      <w:numPr>
        <w:numId w:val="9"/>
      </w:numPr>
      <w:spacing w:beforeLines="0" w:afterLines="0"/>
      <w:outlineLvl w:val="9"/>
    </w:pPr>
    <w:rPr>
      <w:rFonts w:ascii="宋体" w:eastAsia="宋体"/>
      <w:sz w:val="18"/>
      <w:szCs w:val="18"/>
    </w:rPr>
  </w:style>
  <w:style w:type="paragraph" w:customStyle="1" w:styleId="71">
    <w:name w:val="附录四级无"/>
    <w:basedOn w:val="72"/>
    <w:qFormat/>
    <w:uiPriority w:val="99"/>
    <w:pPr>
      <w:tabs>
        <w:tab w:val="left" w:pos="360"/>
      </w:tabs>
      <w:spacing w:beforeLines="0" w:afterLines="0"/>
    </w:pPr>
    <w:rPr>
      <w:rFonts w:ascii="宋体" w:eastAsia="宋体"/>
      <w:szCs w:val="21"/>
    </w:rPr>
  </w:style>
  <w:style w:type="paragraph" w:customStyle="1" w:styleId="72">
    <w:name w:val="附录四级条标题"/>
    <w:basedOn w:val="73"/>
    <w:next w:val="20"/>
    <w:qFormat/>
    <w:uiPriority w:val="99"/>
    <w:pPr>
      <w:tabs>
        <w:tab w:val="left" w:pos="360"/>
      </w:tabs>
      <w:outlineLvl w:val="5"/>
    </w:pPr>
  </w:style>
  <w:style w:type="paragraph" w:customStyle="1" w:styleId="73">
    <w:name w:val="附录三级条标题"/>
    <w:basedOn w:val="60"/>
    <w:next w:val="20"/>
    <w:qFormat/>
    <w:uiPriority w:val="99"/>
    <w:pPr>
      <w:outlineLvl w:val="4"/>
    </w:pPr>
  </w:style>
  <w:style w:type="paragraph" w:customStyle="1" w:styleId="74">
    <w:name w:val="注："/>
    <w:next w:val="20"/>
    <w:qFormat/>
    <w:uiPriority w:val="99"/>
    <w:pPr>
      <w:widowControl w:val="0"/>
      <w:numPr>
        <w:ilvl w:val="0"/>
        <w:numId w:val="10"/>
      </w:numPr>
      <w:autoSpaceDE w:val="0"/>
      <w:autoSpaceDN w:val="0"/>
      <w:jc w:val="both"/>
    </w:pPr>
    <w:rPr>
      <w:rFonts w:ascii="宋体" w:hAnsi="Times New Roman" w:eastAsia="宋体" w:cs="Times New Roman"/>
      <w:kern w:val="0"/>
      <w:sz w:val="18"/>
      <w:szCs w:val="18"/>
      <w:lang w:val="en-US" w:eastAsia="zh-CN" w:bidi="ar-SA"/>
    </w:rPr>
  </w:style>
  <w:style w:type="paragraph" w:customStyle="1" w:styleId="75">
    <w:name w:val="条文脚注"/>
    <w:basedOn w:val="21"/>
    <w:qFormat/>
    <w:uiPriority w:val="99"/>
    <w:pPr>
      <w:numPr>
        <w:numId w:val="0"/>
      </w:numPr>
      <w:jc w:val="both"/>
    </w:pPr>
  </w:style>
  <w:style w:type="paragraph" w:customStyle="1" w:styleId="76">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77">
    <w:name w:val="列项——（一级）"/>
    <w:qFormat/>
    <w:uiPriority w:val="99"/>
    <w:pPr>
      <w:widowControl w:val="0"/>
      <w:numPr>
        <w:ilvl w:val="0"/>
        <w:numId w:val="8"/>
      </w:numPr>
      <w:jc w:val="both"/>
    </w:pPr>
    <w:rPr>
      <w:rFonts w:ascii="宋体" w:hAnsi="Times New Roman" w:eastAsia="宋体" w:cs="Times New Roman"/>
      <w:kern w:val="0"/>
      <w:sz w:val="21"/>
      <w:szCs w:val="20"/>
      <w:lang w:val="en-US" w:eastAsia="zh-CN" w:bidi="ar-SA"/>
    </w:rPr>
  </w:style>
  <w:style w:type="paragraph" w:customStyle="1" w:styleId="78">
    <w:name w:val="图标脚注说明"/>
    <w:basedOn w:val="20"/>
    <w:qFormat/>
    <w:uiPriority w:val="99"/>
    <w:pPr>
      <w:ind w:left="840" w:hanging="420" w:firstLineChars="0"/>
    </w:pPr>
    <w:rPr>
      <w:sz w:val="18"/>
      <w:szCs w:val="18"/>
    </w:rPr>
  </w:style>
  <w:style w:type="paragraph" w:customStyle="1" w:styleId="79">
    <w:name w:val="附录五级条标题"/>
    <w:basedOn w:val="72"/>
    <w:next w:val="20"/>
    <w:qFormat/>
    <w:uiPriority w:val="99"/>
    <w:pPr>
      <w:outlineLvl w:val="6"/>
    </w:pPr>
  </w:style>
  <w:style w:type="paragraph" w:customStyle="1" w:styleId="80">
    <w:name w:val="参考文献、索引标题"/>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三级条标题"/>
    <w:basedOn w:val="55"/>
    <w:next w:val="20"/>
    <w:uiPriority w:val="99"/>
    <w:pPr>
      <w:numPr>
        <w:ilvl w:val="3"/>
      </w:numPr>
      <w:ind w:left="567"/>
      <w:outlineLvl w:val="4"/>
    </w:pPr>
  </w:style>
  <w:style w:type="paragraph" w:customStyle="1" w:styleId="82">
    <w:name w:val="注：（正文）"/>
    <w:basedOn w:val="74"/>
    <w:next w:val="20"/>
    <w:qFormat/>
    <w:uiPriority w:val="99"/>
  </w:style>
  <w:style w:type="paragraph" w:customStyle="1" w:styleId="83">
    <w:name w:val="实施日期"/>
    <w:basedOn w:val="61"/>
    <w:qFormat/>
    <w:uiPriority w:val="99"/>
    <w:pPr>
      <w:framePr w:vAnchor="page" w:hAnchor="text"/>
      <w:jc w:val="right"/>
    </w:pPr>
  </w:style>
  <w:style w:type="paragraph" w:customStyle="1" w:styleId="84">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85">
    <w:name w:val="其他实施日期"/>
    <w:basedOn w:val="83"/>
    <w:qFormat/>
    <w:uiPriority w:val="99"/>
  </w:style>
  <w:style w:type="paragraph" w:customStyle="1" w:styleId="86">
    <w:name w:val="列项●（二级）"/>
    <w:qFormat/>
    <w:uiPriority w:val="99"/>
    <w:pPr>
      <w:numPr>
        <w:ilvl w:val="1"/>
        <w:numId w:val="8"/>
      </w:numPr>
      <w:tabs>
        <w:tab w:val="left" w:pos="840"/>
      </w:tabs>
      <w:jc w:val="both"/>
    </w:pPr>
    <w:rPr>
      <w:rFonts w:ascii="宋体" w:hAnsi="Times New Roman" w:eastAsia="宋体" w:cs="Times New Roman"/>
      <w:kern w:val="0"/>
      <w:sz w:val="21"/>
      <w:szCs w:val="20"/>
      <w:lang w:val="en-US" w:eastAsia="zh-CN" w:bidi="ar-SA"/>
    </w:rPr>
  </w:style>
  <w:style w:type="paragraph" w:customStyle="1" w:styleId="87">
    <w:name w:val="三级无"/>
    <w:basedOn w:val="81"/>
    <w:qFormat/>
    <w:uiPriority w:val="99"/>
    <w:pPr>
      <w:spacing w:beforeLines="0" w:afterLines="0"/>
    </w:pPr>
    <w:rPr>
      <w:rFonts w:ascii="宋体" w:eastAsia="宋体"/>
    </w:rPr>
  </w:style>
  <w:style w:type="paragraph" w:customStyle="1" w:styleId="8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89">
    <w:name w:val="四级无"/>
    <w:basedOn w:val="90"/>
    <w:qFormat/>
    <w:uiPriority w:val="99"/>
    <w:pPr>
      <w:spacing w:beforeLines="0" w:afterLines="0"/>
    </w:pPr>
    <w:rPr>
      <w:rFonts w:ascii="宋体" w:eastAsia="宋体"/>
    </w:rPr>
  </w:style>
  <w:style w:type="paragraph" w:customStyle="1" w:styleId="90">
    <w:name w:val="四级条标题"/>
    <w:basedOn w:val="81"/>
    <w:next w:val="20"/>
    <w:qFormat/>
    <w:uiPriority w:val="99"/>
    <w:pPr>
      <w:numPr>
        <w:ilvl w:val="4"/>
      </w:numPr>
      <w:ind w:left="567"/>
      <w:outlineLvl w:val="5"/>
    </w:pPr>
  </w:style>
  <w:style w:type="paragraph" w:customStyle="1" w:styleId="91">
    <w:name w:val="图的脚注"/>
    <w:next w:val="20"/>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92">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93">
    <w:name w:val="附录五级无"/>
    <w:basedOn w:val="79"/>
    <w:qFormat/>
    <w:uiPriority w:val="99"/>
    <w:pPr>
      <w:tabs>
        <w:tab w:val="clear" w:pos="360"/>
      </w:tabs>
      <w:spacing w:beforeLines="0" w:afterLines="0"/>
    </w:pPr>
    <w:rPr>
      <w:rFonts w:ascii="宋体" w:eastAsia="宋体"/>
      <w:szCs w:val="21"/>
    </w:rPr>
  </w:style>
  <w:style w:type="paragraph" w:customStyle="1" w:styleId="94">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95">
    <w:name w:val="示例后文字"/>
    <w:basedOn w:val="20"/>
    <w:next w:val="20"/>
    <w:qFormat/>
    <w:uiPriority w:val="99"/>
    <w:pPr>
      <w:ind w:firstLine="360"/>
    </w:pPr>
    <w:rPr>
      <w:sz w:val="18"/>
    </w:rPr>
  </w:style>
  <w:style w:type="paragraph" w:customStyle="1" w:styleId="96">
    <w:name w:val="封面标准英文名称2"/>
    <w:basedOn w:val="50"/>
    <w:uiPriority w:val="99"/>
    <w:pPr>
      <w:framePr w:y="4469"/>
    </w:pPr>
  </w:style>
  <w:style w:type="paragraph" w:customStyle="1" w:styleId="97">
    <w:name w:val="标准书脚_奇数页"/>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98">
    <w:name w:val="目次、标准名称标题"/>
    <w:basedOn w:val="1"/>
    <w:next w:val="20"/>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9">
    <w:name w:val="一级无"/>
    <w:basedOn w:val="56"/>
    <w:uiPriority w:val="99"/>
    <w:pPr>
      <w:spacing w:beforeLines="0" w:afterLines="0"/>
    </w:pPr>
    <w:rPr>
      <w:rFonts w:ascii="宋体" w:eastAsia="宋体"/>
    </w:rPr>
  </w:style>
  <w:style w:type="paragraph" w:customStyle="1" w:styleId="100">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1">
    <w:name w:val="五级无"/>
    <w:basedOn w:val="102"/>
    <w:qFormat/>
    <w:uiPriority w:val="99"/>
    <w:pPr>
      <w:spacing w:beforeLines="0" w:afterLines="0"/>
    </w:pPr>
    <w:rPr>
      <w:rFonts w:ascii="宋体" w:eastAsia="宋体"/>
    </w:rPr>
  </w:style>
  <w:style w:type="paragraph" w:customStyle="1" w:styleId="102">
    <w:name w:val="五级条标题"/>
    <w:basedOn w:val="90"/>
    <w:next w:val="20"/>
    <w:qFormat/>
    <w:uiPriority w:val="99"/>
    <w:pPr>
      <w:numPr>
        <w:ilvl w:val="5"/>
      </w:numPr>
      <w:ind w:left="567"/>
      <w:outlineLvl w:val="6"/>
    </w:pPr>
  </w:style>
  <w:style w:type="paragraph" w:customStyle="1" w:styleId="103">
    <w:name w:val="编号列项（三级）"/>
    <w:qFormat/>
    <w:uiPriority w:val="99"/>
    <w:pPr>
      <w:numPr>
        <w:ilvl w:val="2"/>
        <w:numId w:val="7"/>
      </w:numPr>
    </w:pPr>
    <w:rPr>
      <w:rFonts w:ascii="宋体" w:hAnsi="Times New Roman" w:eastAsia="宋体" w:cs="Times New Roman"/>
      <w:kern w:val="0"/>
      <w:sz w:val="21"/>
      <w:szCs w:val="20"/>
      <w:lang w:val="en-US" w:eastAsia="zh-CN" w:bidi="ar-SA"/>
    </w:rPr>
  </w:style>
  <w:style w:type="paragraph" w:customStyle="1" w:styleId="104">
    <w:name w:val="注×："/>
    <w:qFormat/>
    <w:uiPriority w:val="99"/>
    <w:pPr>
      <w:widowControl w:val="0"/>
      <w:numPr>
        <w:ilvl w:val="0"/>
        <w:numId w:val="11"/>
      </w:numPr>
      <w:autoSpaceDE w:val="0"/>
      <w:autoSpaceDN w:val="0"/>
      <w:jc w:val="both"/>
    </w:pPr>
    <w:rPr>
      <w:rFonts w:ascii="宋体" w:hAnsi="Times New Roman" w:eastAsia="宋体" w:cs="Times New Roman"/>
      <w:kern w:val="0"/>
      <w:sz w:val="18"/>
      <w:szCs w:val="18"/>
      <w:lang w:val="en-US" w:eastAsia="zh-CN" w:bidi="ar-SA"/>
    </w:rPr>
  </w:style>
  <w:style w:type="paragraph" w:customStyle="1" w:styleId="105">
    <w:name w:val="附录章标题"/>
    <w:next w:val="20"/>
    <w:uiPriority w:val="99"/>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6">
    <w:name w:val="其他标准标志"/>
    <w:basedOn w:val="92"/>
    <w:qFormat/>
    <w:uiPriority w:val="99"/>
    <w:pPr>
      <w:framePr w:w="6101" w:vAnchor="page" w:hAnchor="page" w:x="4673" w:y="942"/>
    </w:pPr>
    <w:rPr>
      <w:w w:val="130"/>
    </w:rPr>
  </w:style>
  <w:style w:type="paragraph" w:customStyle="1" w:styleId="107">
    <w:name w:val="附录字母编号列项（一级）"/>
    <w:qFormat/>
    <w:uiPriority w:val="99"/>
    <w:pPr>
      <w:numPr>
        <w:ilvl w:val="0"/>
        <w:numId w:val="13"/>
      </w:numPr>
    </w:pPr>
    <w:rPr>
      <w:rFonts w:ascii="宋体" w:hAnsi="Times New Roman" w:eastAsia="宋体" w:cs="Times New Roman"/>
      <w:kern w:val="0"/>
      <w:sz w:val="21"/>
      <w:szCs w:val="20"/>
      <w:lang w:val="en-US" w:eastAsia="zh-CN" w:bidi="ar-SA"/>
    </w:rPr>
  </w:style>
  <w:style w:type="paragraph" w:customStyle="1" w:styleId="108">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09">
    <w:name w:val="封面标准文稿编辑信息2"/>
    <w:basedOn w:val="67"/>
    <w:qFormat/>
    <w:uiPriority w:val="99"/>
    <w:pPr>
      <w:framePr w:y="4469"/>
    </w:pPr>
  </w:style>
  <w:style w:type="paragraph" w:customStyle="1" w:styleId="110">
    <w:name w:val="示例"/>
    <w:next w:val="111"/>
    <w:qFormat/>
    <w:uiPriority w:val="99"/>
    <w:pPr>
      <w:widowControl w:val="0"/>
      <w:numPr>
        <w:ilvl w:val="0"/>
        <w:numId w:val="14"/>
      </w:numPr>
      <w:jc w:val="both"/>
    </w:pPr>
    <w:rPr>
      <w:rFonts w:ascii="宋体" w:hAnsi="Times New Roman" w:eastAsia="宋体" w:cs="Times New Roman"/>
      <w:kern w:val="0"/>
      <w:sz w:val="18"/>
      <w:szCs w:val="18"/>
      <w:lang w:val="en-US" w:eastAsia="zh-CN" w:bidi="ar-SA"/>
    </w:rPr>
  </w:style>
  <w:style w:type="paragraph" w:customStyle="1" w:styleId="111">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1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13">
    <w:name w:val="附录三级无"/>
    <w:basedOn w:val="73"/>
    <w:uiPriority w:val="99"/>
    <w:pPr>
      <w:tabs>
        <w:tab w:val="clear" w:pos="360"/>
      </w:tabs>
      <w:spacing w:beforeLines="0" w:afterLines="0"/>
    </w:pPr>
    <w:rPr>
      <w:rFonts w:ascii="宋体" w:eastAsia="宋体"/>
      <w:szCs w:val="21"/>
    </w:rPr>
  </w:style>
  <w:style w:type="paragraph" w:customStyle="1" w:styleId="114">
    <w:name w:val="其他发布部门"/>
    <w:basedOn w:val="49"/>
    <w:qFormat/>
    <w:uiPriority w:val="99"/>
    <w:pPr>
      <w:framePr w:y="15310"/>
      <w:spacing w:line="240" w:lineRule="atLeast"/>
    </w:pPr>
    <w:rPr>
      <w:rFonts w:ascii="黑体" w:eastAsia="黑体"/>
      <w:b w:val="0"/>
    </w:rPr>
  </w:style>
  <w:style w:type="paragraph" w:customStyle="1" w:styleId="115">
    <w:name w:val="附录公式编号制表符"/>
    <w:basedOn w:val="1"/>
    <w:next w:val="20"/>
    <w:qFormat/>
    <w:uiPriority w:val="99"/>
    <w:pPr>
      <w:widowControl/>
      <w:tabs>
        <w:tab w:val="center" w:pos="4201"/>
        <w:tab w:val="right" w:leader="dot" w:pos="9298"/>
      </w:tabs>
      <w:autoSpaceDE w:val="0"/>
      <w:autoSpaceDN w:val="0"/>
    </w:pPr>
    <w:rPr>
      <w:rFonts w:ascii="宋体"/>
      <w:kern w:val="0"/>
      <w:szCs w:val="20"/>
    </w:rPr>
  </w:style>
  <w:style w:type="paragraph" w:customStyle="1" w:styleId="11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17">
    <w:name w:val="图表脚注说明"/>
    <w:basedOn w:val="1"/>
    <w:qFormat/>
    <w:uiPriority w:val="99"/>
    <w:pPr>
      <w:numPr>
        <w:ilvl w:val="0"/>
        <w:numId w:val="15"/>
      </w:numPr>
    </w:pPr>
    <w:rPr>
      <w:rFonts w:ascii="宋体"/>
      <w:sz w:val="18"/>
      <w:szCs w:val="18"/>
    </w:rPr>
  </w:style>
  <w:style w:type="paragraph" w:customStyle="1" w:styleId="118">
    <w:name w:val="注×：（正文）"/>
    <w:uiPriority w:val="99"/>
    <w:pPr>
      <w:numPr>
        <w:ilvl w:val="0"/>
        <w:numId w:val="16"/>
      </w:numPr>
      <w:jc w:val="both"/>
    </w:pPr>
    <w:rPr>
      <w:rFonts w:ascii="宋体" w:hAnsi="Times New Roman" w:eastAsia="宋体" w:cs="Times New Roman"/>
      <w:kern w:val="0"/>
      <w:sz w:val="18"/>
      <w:szCs w:val="18"/>
      <w:lang w:val="en-US" w:eastAsia="zh-CN" w:bidi="ar-SA"/>
    </w:rPr>
  </w:style>
  <w:style w:type="paragraph" w:customStyle="1" w:styleId="119">
    <w:name w:val="附录一级无"/>
    <w:basedOn w:val="120"/>
    <w:qFormat/>
    <w:uiPriority w:val="99"/>
    <w:pPr>
      <w:tabs>
        <w:tab w:val="left" w:pos="360"/>
      </w:tabs>
      <w:spacing w:beforeLines="0" w:afterLines="0"/>
    </w:pPr>
    <w:rPr>
      <w:rFonts w:ascii="宋体" w:eastAsia="宋体"/>
      <w:szCs w:val="21"/>
    </w:rPr>
  </w:style>
  <w:style w:type="paragraph" w:customStyle="1" w:styleId="120">
    <w:name w:val="附录一级条标题"/>
    <w:basedOn w:val="105"/>
    <w:next w:val="20"/>
    <w:qFormat/>
    <w:uiPriority w:val="99"/>
    <w:pPr>
      <w:numPr>
        <w:ilvl w:val="0"/>
        <w:numId w:val="0"/>
      </w:numPr>
      <w:autoSpaceDN w:val="0"/>
      <w:spacing w:beforeLines="50" w:afterLines="50"/>
      <w:outlineLvl w:val="2"/>
    </w:pPr>
  </w:style>
  <w:style w:type="paragraph" w:customStyle="1" w:styleId="121">
    <w:name w:val="其他发布日期"/>
    <w:basedOn w:val="61"/>
    <w:qFormat/>
    <w:uiPriority w:val="99"/>
    <w:pPr>
      <w:framePr w:vAnchor="page" w:hAnchor="text" w:x="1419"/>
    </w:pPr>
  </w:style>
  <w:style w:type="paragraph" w:customStyle="1" w:styleId="122">
    <w:name w:val="附录标题"/>
    <w:basedOn w:val="20"/>
    <w:next w:val="20"/>
    <w:qFormat/>
    <w:uiPriority w:val="99"/>
    <w:pPr>
      <w:ind w:firstLine="0" w:firstLineChars="0"/>
      <w:jc w:val="center"/>
    </w:pPr>
    <w:rPr>
      <w:rFonts w:ascii="黑体" w:eastAsia="黑体"/>
    </w:rPr>
  </w:style>
  <w:style w:type="paragraph" w:customStyle="1" w:styleId="123">
    <w:name w:val="终结线"/>
    <w:basedOn w:val="1"/>
    <w:uiPriority w:val="99"/>
    <w:pPr>
      <w:framePr w:hSpace="181" w:vSpace="181" w:wrap="around" w:vAnchor="text" w:hAnchor="margin" w:xAlign="center" w:y="285"/>
    </w:pPr>
  </w:style>
  <w:style w:type="paragraph" w:customStyle="1" w:styleId="12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25">
    <w:name w:val="封面标准文稿类别2"/>
    <w:basedOn w:val="68"/>
    <w:qFormat/>
    <w:uiPriority w:val="99"/>
    <w:pPr>
      <w:framePr w:y="4469"/>
    </w:pPr>
  </w:style>
  <w:style w:type="paragraph" w:customStyle="1" w:styleId="126">
    <w:name w:val="数字编号列项（二级）"/>
    <w:qFormat/>
    <w:uiPriority w:val="99"/>
    <w:pPr>
      <w:numPr>
        <w:ilvl w:val="1"/>
        <w:numId w:val="7"/>
      </w:numPr>
      <w:jc w:val="both"/>
    </w:pPr>
    <w:rPr>
      <w:rFonts w:ascii="宋体" w:hAnsi="Times New Roman" w:eastAsia="宋体" w:cs="Times New Roman"/>
      <w:kern w:val="0"/>
      <w:sz w:val="21"/>
      <w:szCs w:val="20"/>
      <w:lang w:val="en-US" w:eastAsia="zh-CN" w:bidi="ar-SA"/>
    </w:rPr>
  </w:style>
  <w:style w:type="paragraph" w:customStyle="1" w:styleId="127">
    <w:name w:val="附录图标题"/>
    <w:basedOn w:val="1"/>
    <w:next w:val="20"/>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128">
    <w:name w:val="附录数字编号列项（二级）"/>
    <w:qFormat/>
    <w:uiPriority w:val="99"/>
    <w:pPr>
      <w:numPr>
        <w:ilvl w:val="1"/>
        <w:numId w:val="13"/>
      </w:numPr>
    </w:pPr>
    <w:rPr>
      <w:rFonts w:ascii="宋体" w:hAnsi="Times New Roman" w:eastAsia="宋体" w:cs="Times New Roman"/>
      <w:kern w:val="0"/>
      <w:sz w:val="21"/>
      <w:szCs w:val="20"/>
      <w:lang w:val="en-US" w:eastAsia="zh-CN" w:bidi="ar-SA"/>
    </w:rPr>
  </w:style>
  <w:style w:type="paragraph" w:customStyle="1" w:styleId="129">
    <w:name w:val="封面一致性程度标识2"/>
    <w:basedOn w:val="69"/>
    <w:uiPriority w:val="99"/>
    <w:pPr>
      <w:framePr w:y="4469"/>
    </w:pPr>
  </w:style>
  <w:style w:type="paragraph" w:customStyle="1" w:styleId="13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31">
    <w:name w:val="前言、引言标题"/>
    <w:next w:val="20"/>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32">
    <w:name w:val="附录标识"/>
    <w:basedOn w:val="1"/>
    <w:next w:val="20"/>
    <w:qFormat/>
    <w:uiPriority w:val="99"/>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3">
    <w:name w:val="正文表标题"/>
    <w:next w:val="20"/>
    <w:qFormat/>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34">
    <w:name w:val="标准书脚_偶数页"/>
    <w:uiPriority w:val="99"/>
    <w:pPr>
      <w:spacing w:before="120"/>
      <w:ind w:left="221"/>
    </w:pPr>
    <w:rPr>
      <w:rFonts w:ascii="宋体" w:hAnsi="Times New Roman" w:eastAsia="宋体" w:cs="Times New Roman"/>
      <w:kern w:val="0"/>
      <w:sz w:val="18"/>
      <w:szCs w:val="18"/>
      <w:lang w:val="en-US" w:eastAsia="zh-CN" w:bidi="ar-SA"/>
    </w:rPr>
  </w:style>
  <w:style w:type="paragraph" w:customStyle="1" w:styleId="135">
    <w:name w:val="正文公式编号制表符"/>
    <w:basedOn w:val="20"/>
    <w:next w:val="20"/>
    <w:qFormat/>
    <w:uiPriority w:val="99"/>
    <w:pPr>
      <w:ind w:firstLine="0" w:firstLineChars="0"/>
    </w:pPr>
  </w:style>
  <w:style w:type="paragraph" w:customStyle="1" w:styleId="136">
    <w:name w:val="附录表标题"/>
    <w:basedOn w:val="1"/>
    <w:next w:val="20"/>
    <w:uiPriority w:val="99"/>
    <w:pPr>
      <w:numPr>
        <w:ilvl w:val="1"/>
        <w:numId w:val="5"/>
      </w:numPr>
      <w:tabs>
        <w:tab w:val="left" w:pos="180"/>
      </w:tabs>
      <w:spacing w:beforeLines="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Q\Desktop\&#30333;&#33469;&#22855;&#20848;&#20914;&#27873;&#19982;&#21697;&#37492;&#26041;&#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白芽奇兰冲泡与品鉴方法.dot</Template>
  <Pages>7</Pages>
  <Words>418</Words>
  <Characters>2387</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2018-07-02T02:58:00Z</dcterms:created>
  <dcterms:modified xsi:type="dcterms:W3CDTF">2020-12-29T11:57:21Z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