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framePr w:vAnchor="page" w:hAnchor="page" w:x="1456" w:y="436"/>
        <w:rPr>
          <w:rFonts w:ascii="Times New Roman"/>
        </w:rPr>
      </w:pPr>
      <w:r>
        <w:rPr>
          <w:rFonts w:ascii="Times New Roman"/>
        </w:rPr>
        <w:t>ICS</w:t>
      </w:r>
      <w:r>
        <w:rPr>
          <w:rFonts w:hint="eastAsia" w:ascii="MS Mincho" w:hAnsi="MS Mincho" w:eastAsia="MS Mincho" w:cs="MS Mincho"/>
        </w:rPr>
        <w:t> </w:t>
      </w:r>
      <w:bookmarkStart w:id="0" w:name="ICS"/>
      <w:bookmarkStart w:id="1" w:name="WXFLH"/>
      <w:r>
        <w:rPr>
          <w:rFonts w:ascii="Times New Roman"/>
        </w:rPr>
        <w:fldChar w:fldCharType="begin">
          <w:ffData>
            <w:name w:val="ICS"/>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hint="eastAsia" w:ascii="Times New Roman"/>
        </w:rPr>
        <w:t>67.140.10</w:t>
      </w:r>
      <w:r>
        <w:rPr>
          <w:rFonts w:ascii="Times New Roman"/>
        </w:rPr>
        <w:t>    </w:t>
      </w:r>
      <w:r>
        <w:rPr>
          <w:rFonts w:ascii="Times New Roman"/>
        </w:rPr>
        <w:fldChar w:fldCharType="end"/>
      </w:r>
      <w:bookmarkEnd w:id="0"/>
    </w:p>
    <w:bookmarkEnd w:id="1"/>
    <w:p>
      <w:pPr>
        <w:pStyle w:val="92"/>
        <w:framePr w:vAnchor="page" w:hAnchor="page" w:x="1456" w:y="436"/>
        <w:rPr>
          <w:rFonts w:ascii="Times New Roman"/>
        </w:rPr>
      </w:pPr>
      <w:r>
        <w:rPr>
          <w:rFonts w:hint="eastAsia" w:ascii="Times New Roman"/>
          <w:b/>
          <w:bCs/>
        </w:rPr>
        <w:t>X</w:t>
      </w:r>
      <w:r>
        <w:rPr>
          <w:rFonts w:hint="eastAsia" w:ascii="Times New Roman"/>
        </w:rPr>
        <w:t xml:space="preserve"> 55</w:t>
      </w:r>
    </w:p>
    <w:p>
      <w:pPr>
        <w:pStyle w:val="92"/>
        <w:framePr w:vAnchor="page" w:hAnchor="page" w:x="1456" w:y="436"/>
      </w:pPr>
      <w:r>
        <w:rPr>
          <w:rFonts w:hint="eastAsia" w:hAnsi="黑体"/>
        </w:rPr>
        <w:t> </w:t>
      </w:r>
    </w:p>
    <w:p>
      <w:pPr>
        <w:pStyle w:val="120"/>
        <w:framePr w:w="9600" w:x="938" w:y="3162"/>
        <w:jc w:val="center"/>
        <w:rPr>
          <w:rFonts w:ascii="Times New Roman" w:hAnsi="Times New Roman"/>
        </w:rPr>
      </w:pPr>
      <w:r>
        <w:rPr>
          <w:rFonts w:hint="eastAsia" w:ascii="Times New Roman" w:hAnsi="Times New Roman"/>
        </w:rPr>
        <w:t xml:space="preserve"> </w:t>
      </w:r>
      <w:r>
        <w:rPr>
          <w:rFonts w:hint="eastAsia" w:ascii="Times New Roman" w:hAnsi="Times New Roman"/>
          <w:sz w:val="72"/>
          <w:szCs w:val="72"/>
        </w:rPr>
        <w:t>团   体   标  准</w:t>
      </w:r>
      <w:r>
        <w:rPr>
          <w:rFonts w:hint="eastAsia" w:ascii="Times New Roman" w:hAnsi="Times New Roman"/>
        </w:rPr>
        <w:t xml:space="preserve">           </w:t>
      </w:r>
    </w:p>
    <w:p>
      <w:pPr>
        <w:pStyle w:val="128"/>
        <w:framePr w:h="804" w:hRule="exact" w:x="1660" w:y="4140"/>
        <w:rPr>
          <w:rFonts w:hAnsi="黑体"/>
        </w:rPr>
      </w:pPr>
      <w:r>
        <w:rPr>
          <w:rFonts w:ascii="Times New Roman"/>
        </w:rPr>
        <w:t>T/CSTEA</w:t>
      </w:r>
      <w:r>
        <w:rPr>
          <w:rFonts w:hAnsi="黑体"/>
        </w:rPr>
        <w:t xml:space="preserve"> </w:t>
      </w:r>
    </w:p>
    <w:p>
      <w:pPr>
        <w:pStyle w:val="128"/>
        <w:framePr w:h="804" w:hRule="exact" w:x="1660" w:y="4140"/>
        <w:rPr>
          <w:rFonts w:hAnsi="黑体"/>
        </w:rPr>
      </w:pPr>
      <w:r>
        <mc:AlternateContent>
          <mc:Choice Requires="wps">
            <w:drawing>
              <wp:anchor distT="0" distB="0" distL="114300" distR="114300" simplePos="0" relativeHeight="251669504" behindDoc="0" locked="0" layoutInCell="1" allowOverlap="1">
                <wp:simplePos x="0" y="0"/>
                <wp:positionH relativeFrom="page">
                  <wp:posOffset>969645</wp:posOffset>
                </wp:positionH>
                <wp:positionV relativeFrom="page">
                  <wp:posOffset>3253105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6.35pt;margin-top:256.15pt;height:0pt;width:481.9pt;mso-position-horizontal-relative:page;mso-position-vertical-relative:page;z-index:251669504;mso-width-relative:page;mso-height-relative:page;" filled="f" stroked="t" coordsize="21600,21600" o:gfxdata="UEsDBAoAAAAAAIdO4kAAAAAAAAAAAAAAAAAEAAAAZHJzL1BLAwQUAAAACACHTuJARCNWgdcAAAAM&#10;AQAADwAAAGRycy9kb3ducmV2LnhtbE2PTU/DMAyG70j8h8hIXCaWpFMHKk13AHrjwgbi6jWmrWic&#10;rsk+4NeTSUhwfO1Hrx+Xq5MbxIGm0Hs2oOcKBHHjbc+tgddNfXMHIkRki4NnMvBFAVbV5UWJhfVH&#10;fqHDOrYilXAo0EAX41hIGZqOHIa5H4nT7sNPDmOKUyvthMdU7gaZKbWUDntOFzoc6aGj5nO9dwZC&#10;/Ua7+nvWzNT7ovWU7R6fn9CY6yut7kFEOsU/GM76SR2q5LT1e7ZBDCnn2W1CDeQ6W4A4E1ovcxDb&#10;35GsSvn/ieoHUEsDBBQAAAAIAIdO4kAt7X/j6wEAANgDAAAOAAAAZHJzL2Uyb0RvYy54bWytU81u&#10;EzEQviPxDpbvZJNFrWCVTQ8N5YIgEvAAE9ubteQ/edxs8hK8ABI3OHHkztvQPgZjb5pCe8mhe/CO&#10;xzPfzPd5PL/YWcO2KqL2ruWzyZQz5YSX2m1a/vnT1YtXnGECJ8F4p1q+V8gvFs+fzYfQqNr33kgV&#10;GYE4bIbQ8j6l0FQVil5ZwIkPytFh56OFRNu4qWSEgdCtqerp9LwafJQheqEQybscD/kBMZ4C6LtO&#10;C7X04toql0bUqAwkooS9DsgXpduuUyJ96DpUiZmWE9NUVipC9jqv1WIOzSZC6LU4tACntPCAkwXt&#10;qOgRagkJ2HXUj6CsFtGj79JEeFuNRIoixGI2faDNxx6CKlxIagxH0fHpYMX77SoyLVtec+bA0oXf&#10;fP3158v329/faL35+YPVWaQhYEOxl24VDzsMq5gZ77po85+4sF0Rdn8UVu0SE+Q8nxG7l6S5uDur&#10;7hNDxPRWecuy0XKjXeYMDWzfYaJiFHoXkt3GsaHlr8/qM4IDGsCOLp5MG4gEuk3JRW+0vNLG5AyM&#10;m/WliWwLeQjKlykR7n9hucgSsB/jytE4Hr0C+cZJlvaB5HH0KnhuwSrJmVH0iLJFgNAk0OaUSCpt&#10;HHWQVR11zNbay32Rt/jpwkuPh+HME/XvvmTfP8jF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Qj&#10;VoHXAAAADAEAAA8AAAAAAAAAAQAgAAAAIgAAAGRycy9kb3ducmV2LnhtbFBLAQIUABQAAAAIAIdO&#10;4kAt7X/j6wEAANgDAAAOAAAAAAAAAAEAIAAAACYBAABkcnMvZTJvRG9jLnhtbFBLBQYAAAAABgAG&#10;AFkBAACDBQAAAAA=&#10;">
                <v:fill on="f" focussize="0,0"/>
                <v:stroke color="#000000" joinstyle="round"/>
                <v:imagedata o:title=""/>
                <o:lock v:ext="edit" aspectratio="f"/>
              </v:line>
            </w:pict>
          </mc:Fallback>
        </mc:AlternateContent>
      </w:r>
    </w:p>
    <w:p>
      <w:pPr>
        <w:pStyle w:val="128"/>
        <w:framePr w:h="804" w:hRule="exact" w:x="1660" w:y="4140"/>
        <w:rPr>
          <w:rFonts w:hAnsi="黑体"/>
        </w:rPr>
      </w:pPr>
    </w:p>
    <w:p>
      <w:pPr>
        <w:pStyle w:val="55"/>
      </w:pPr>
      <w:r>
        <w:rPr>
          <w:rFonts w:hint="eastAsia"/>
        </w:rPr>
        <w:t>陈年武夷岩茶</w:t>
      </w:r>
    </w:p>
    <w:p>
      <w:pPr>
        <w:pStyle w:val="54"/>
      </w:pPr>
    </w:p>
    <w:p>
      <w:pPr>
        <w:pStyle w:val="125"/>
        <w:framePr w:hAnchor="page" w:x="1456" w:y="14071"/>
      </w:pPr>
      <w:r>
        <w:rPr>
          <w:rFonts w:hint="eastAsia" w:ascii="黑体"/>
        </w:rPr>
        <w:t>2020</w:t>
      </w:r>
      <w:r>
        <w:t xml:space="preserve"> </w:t>
      </w:r>
      <w:r>
        <w:rPr>
          <w:rFonts w:ascii="黑体"/>
        </w:rPr>
        <w:t>-</w:t>
      </w:r>
      <w:r>
        <w:t xml:space="preserve"> </w:t>
      </w:r>
      <w:r>
        <w:rPr>
          <w:rFonts w:hint="eastAsia" w:ascii="黑体"/>
        </w:rPr>
        <w:t>××</w:t>
      </w:r>
      <w:r>
        <w:rPr>
          <w:rFonts w:ascii="黑体"/>
        </w:rPr>
        <w:t>-</w:t>
      </w:r>
      <w:r>
        <w:t xml:space="preserve"> </w:t>
      </w:r>
      <w:r>
        <w:rPr>
          <w:rFonts w:hint="eastAsia" w:ascii="黑体"/>
        </w:rPr>
        <w:t>××</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YUqoffAQAAzwMAAA4AAABkcnMvZTJvRG9jLnhtbK1TS24b&#10;MQzdF+gdBO3rsZ0maAceZxE33RStgaYHoPXxCNAPouKxz9JrdNVNj5NrlNI4TptsvMgsNBRFPvI9&#10;UYvrvbNspxKa4Ds+m0w5U14Eafy24z/ubt994AwzeAk2eNXxg0J+vXz7ZjHEVs1DH6xUiRGIx3aI&#10;He9zjm3ToOiVA5yEqDwd6pAcZNqmbSMTDITubDOfTq+aISQZUxAKkbyr8ZAfEdM5gEFrI9QqiHun&#10;fB5Rk7KQiRL2JiJf1m61ViJ/0xpVZrbjxDTXlYqQvSlrs1xAu00QeyOOLcA5LTzj5MB4KnqCWkEG&#10;dp/MCyhnRAoYdJ6I4JqRSFWEWMymz7T53kNUlQtJjfEkOr4erPi6WydmZMcvOPPg6MIffv56+P2H&#10;vS/aDBFbCrnx63TcYVynQnSvkyt/osD2Vc/DSU+1z0yQ82pGpC5IavF41jwlxoT5swqOFaPj1vhC&#10;FVrYfcFMxSj0MaS4rWdDxz9ezi8JDmjuNN03mS5S7+i3NReDNfLWWFsyMG03NzaxHZS7r1+hRLj/&#10;hZUiK8B+jKtH41T0CuQnL1k+RFLF02PgpQWnJGdW0dspFgFCm8HYcyKptPXUQVF11LFYmyAPVd7q&#10;p3uuPR5nsgzSv/ua/fQOl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YdrPNYAAAALAQAADwAA&#10;AAAAAAABACAAAAAiAAAAZHJzL2Rvd25yZXYueG1sUEsBAhQAFAAAAAgAh07iQDYUqoffAQAAzwMA&#10;AA4AAAAAAAAAAQAgAAAAJQEAAGRycy9lMm9Eb2MueG1sUEsFBgAAAAAGAAYAWQEAAHYFAAAAAA==&#10;">
                <v:fill on="f" focussize="0,0"/>
                <v:stroke color="#000000" joinstyle="round"/>
                <v:imagedata o:title=""/>
                <o:lock v:ext="edit" aspectratio="f"/>
                <w10:anchorlock/>
              </v:line>
            </w:pict>
          </mc:Fallback>
        </mc:AlternateContent>
      </w:r>
    </w:p>
    <w:p>
      <w:pPr>
        <w:pStyle w:val="125"/>
        <w:framePr w:hAnchor="page" w:x="1456" w:y="14071"/>
      </w:pPr>
      <w:r>
        <mc:AlternateContent>
          <mc:Choice Requires="wps">
            <w:drawing>
              <wp:anchor distT="0" distB="0" distL="114300" distR="114300" simplePos="0" relativeHeight="251656192"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5619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TU/KfdAQAA0AMAAA4AAABkcnMvZTJvRG9jLnhtbK1TS24b&#10;MQzdF+gdBO3rsR0kaAceZxEn3RStgTYHoPXxCNAPouKxz9JrdNVNj5NrlNI4dptuvOgsNJREPvI9&#10;UovbvbNspxKa4Ds+m0w5U14Eafy244/fHt695wwzeAk2eNXxg0J+u3z7ZjHEVs1DH6xUiRGIx3aI&#10;He9zjm3ToOiVA5yEqDxd6pAcZNqmbSMTDITubDOfTm+aISQZUxAKkU5X4yU/IqZLAIPWRqhVEE9O&#10;+TyiJmUhEyXsTUS+rNVqrUT+ojWqzGzHiWmuKyUhe1PWZrmAdpsg9kYcS4BLSnjFyYHxlPQEtYIM&#10;7CmZf6CcESlg0HkigmtGIlURYjGbvtLmaw9RVS4kNcaT6Pj/YMXn3ToxI2kSOPPgqOHP3388//zF&#10;ZlWcIWJLPnd+nUiqssO4ToXpXidX/sSB7augh5Ogap+ZoMObGbG6Iq3Fy11zDowJ80cVHCtGx63x&#10;hSu0sPuEmZKR64tLObaeDR3/cD2/JjigwdPUcDJdpOLRb2ssBmvkg7G2RGDabu5sYjsoza9f6Tfh&#10;/uVWkqwA+9GvXo1j0SuQ916yfIgki6fXwEsJTknOrKLHU6w6QBmMvcSTUltPFZx1LNYmyEOVt55T&#10;o2uNx6Esk/TnvkafH+L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Dk1Pyn3QEAANADAAAO&#10;AAAAAAAAAAEAIAAAACUBAABkcnMvZTJvRG9jLnhtbFBLBQYAAAAABgAGAFkBAAB0BQAAAAA=&#10;">
                <v:fill on="f" focussize="0,0"/>
                <v:stroke color="#000000" joinstyle="round"/>
                <v:imagedata o:title=""/>
                <o:lock v:ext="edit" aspectratio="f"/>
                <w10:anchorlock/>
              </v:line>
            </w:pict>
          </mc:Fallback>
        </mc:AlternateContent>
      </w:r>
    </w:p>
    <w:p>
      <w:pPr>
        <w:pStyle w:val="89"/>
        <w:framePr w:hAnchor="page" w:x="7066" w:y="14131"/>
      </w:pPr>
      <w:r>
        <w:rPr>
          <w:rFonts w:hint="eastAsia" w:ascii="黑体"/>
        </w:rPr>
        <w:t>2020</w:t>
      </w:r>
      <w:r>
        <w:rPr>
          <w:rFonts w:ascii="黑体"/>
        </w:rPr>
        <w:t>-</w:t>
      </w:r>
      <w:r>
        <w:t xml:space="preserve"> </w:t>
      </w:r>
      <w:r>
        <w:rPr>
          <w:rFonts w:hint="eastAsia" w:ascii="黑体"/>
        </w:rPr>
        <w:t>××</w:t>
      </w:r>
      <w:r>
        <w:t xml:space="preserve"> </w:t>
      </w:r>
      <w:r>
        <w:rPr>
          <w:rFonts w:ascii="黑体"/>
        </w:rPr>
        <w:t>-</w:t>
      </w:r>
      <w:r>
        <w:t xml:space="preserve"> </w:t>
      </w:r>
      <w:r>
        <w:rPr>
          <w:rFonts w:hint="eastAsia" w:ascii="黑体"/>
        </w:rPr>
        <w:t>××</w:t>
      </w:r>
      <w:r>
        <w:rPr>
          <w:rFonts w:hint="eastAsia"/>
        </w:rPr>
        <w:t>实施</w:t>
      </w:r>
    </w:p>
    <w:p>
      <w:pPr>
        <w:pStyle w:val="118"/>
        <w:framePr w:h="706" w:hRule="exact" w:x="2426" w:y="14926"/>
      </w:pPr>
      <w:r>
        <w:rPr>
          <w:rFonts w:hint="eastAsia"/>
        </w:rPr>
        <w:t>海峡两岸茶业交流协会</w:t>
      </w:r>
      <w:r>
        <w:rPr>
          <w:rFonts w:hint="eastAsia" w:hAnsi="黑体"/>
        </w:rPr>
        <w:t>   </w:t>
      </w:r>
      <w:r>
        <w:rPr>
          <w:rStyle w:val="48"/>
          <w:rFonts w:hint="eastAsia"/>
          <w:szCs w:val="28"/>
        </w:rPr>
        <w:t>发布</w:t>
      </w:r>
    </w:p>
    <w:p>
      <w:pPr>
        <w:pStyle w:val="135"/>
      </w:pPr>
      <w:r>
        <w:rPr>
          <w:rFonts w:hint="eastAsia"/>
        </w:rPr>
        <w:t>前</w:t>
      </w:r>
      <w:bookmarkStart w:id="2" w:name="BKQY"/>
      <w:r>
        <w:rPr>
          <w:rFonts w:hint="eastAsia"/>
        </w:rPr>
        <w:t>  言</w:t>
      </w:r>
      <w:bookmarkEnd w:id="2"/>
    </w:p>
    <w:p>
      <w:pPr>
        <w:ind w:firstLine="420" w:firstLineChars="200"/>
      </w:pPr>
      <w:r>
        <w:rPr>
          <w:rFonts w:hint="eastAsia"/>
        </w:rPr>
        <w:t>本标准按照</w:t>
      </w:r>
      <w:r>
        <w:t>GB/T 1.1-20</w:t>
      </w:r>
      <w:r>
        <w:rPr>
          <w:rFonts w:hint="eastAsia"/>
        </w:rPr>
        <w:t>20《标准化工作导则</w:t>
      </w:r>
      <w:r>
        <w:t xml:space="preserve"> </w:t>
      </w:r>
      <w:r>
        <w:rPr>
          <w:rFonts w:hint="eastAsia"/>
        </w:rPr>
        <w:t>第</w:t>
      </w:r>
      <w:r>
        <w:t>1</w:t>
      </w:r>
      <w:r>
        <w:rPr>
          <w:rFonts w:hint="eastAsia"/>
        </w:rPr>
        <w:t>部分：标准化文件的结构和起草规则》的规定起草。</w:t>
      </w:r>
    </w:p>
    <w:p>
      <w:pPr>
        <w:pStyle w:val="23"/>
      </w:pPr>
      <w:r>
        <w:rPr>
          <w:rFonts w:hint="eastAsia" w:hAnsi="宋体"/>
        </w:rPr>
        <w:t>本标准由六禾（武夷山）茶业有限公司提出。</w:t>
      </w:r>
    </w:p>
    <w:p>
      <w:pPr>
        <w:pStyle w:val="23"/>
      </w:pPr>
      <w:r>
        <w:rPr>
          <w:rFonts w:hint="eastAsia" w:hAnsi="宋体"/>
        </w:rPr>
        <w:t>本标准由</w:t>
      </w:r>
      <w:r>
        <w:rPr>
          <w:rFonts w:hint="eastAsia"/>
        </w:rPr>
        <w:t>海峡两岸茶业交流协会归口</w:t>
      </w:r>
      <w:r>
        <w:rPr>
          <w:rFonts w:hint="eastAsia" w:hAnsi="宋体"/>
        </w:rPr>
        <w:t>。</w:t>
      </w:r>
    </w:p>
    <w:p>
      <w:pPr>
        <w:spacing w:after="7"/>
        <w:ind w:left="2" w:leftChars="1" w:firstLine="420" w:firstLineChars="200"/>
      </w:pPr>
      <w:r>
        <w:rPr>
          <w:rFonts w:hint="eastAsia"/>
        </w:rPr>
        <w:t>本标准起草单位：</w:t>
      </w:r>
      <w:r>
        <w:rPr>
          <w:rFonts w:hint="eastAsia" w:hAnsi="宋体"/>
        </w:rPr>
        <w:t>六禾（武夷山）茶业有限公司、福建农林大学。</w:t>
      </w:r>
    </w:p>
    <w:p>
      <w:pPr>
        <w:pStyle w:val="23"/>
        <w:sectPr>
          <w:headerReference r:id="rId4" w:type="first"/>
          <w:headerReference r:id="rId3" w:type="default"/>
          <w:footerReference r:id="rId5" w:type="default"/>
          <w:pgSz w:w="11906" w:h="16838"/>
          <w:pgMar w:top="567" w:right="1134" w:bottom="1134" w:left="1418" w:header="1418" w:footer="1134" w:gutter="0"/>
          <w:pgNumType w:fmt="upperRoman" w:start="1"/>
          <w:cols w:space="720" w:num="1"/>
          <w:formProt w:val="0"/>
          <w:titlePg/>
          <w:docGrid w:type="lines" w:linePitch="312" w:charSpace="0"/>
        </w:sectPr>
      </w:pPr>
      <w:r>
        <w:rPr>
          <w:rFonts w:hint="eastAsia"/>
        </w:rPr>
        <w:t>本标准主要起</w:t>
      </w:r>
      <w:r>
        <w:rPr>
          <w:rFonts w:hint="eastAsia" w:ascii="Times New Roman"/>
          <w:kern w:val="2"/>
          <w:szCs w:val="24"/>
        </w:rPr>
        <w:t>草人</w:t>
      </w:r>
      <w:r>
        <w:rPr>
          <w:rFonts w:hint="eastAsia" w:ascii="Times New Roman" w:hAnsi="宋体"/>
          <w:kern w:val="2"/>
          <w:szCs w:val="24"/>
        </w:rPr>
        <w:t>：</w:t>
      </w:r>
    </w:p>
    <w:p>
      <w:pPr>
        <w:pStyle w:val="102"/>
      </w:pPr>
      <w:bookmarkStart w:id="3" w:name="_GoBack"/>
      <w:bookmarkEnd w:id="3"/>
      <w:r>
        <w:rPr>
          <w:rFonts w:hint="eastAsia"/>
        </w:rPr>
        <w:t>陈年武夷岩茶</w:t>
      </w:r>
    </w:p>
    <w:p>
      <w:pPr>
        <w:pStyle w:val="61"/>
        <w:spacing w:before="312" w:after="312"/>
      </w:pPr>
      <w:r>
        <w:rPr>
          <w:rFonts w:hint="eastAsia"/>
        </w:rPr>
        <w:t>范围</w:t>
      </w:r>
    </w:p>
    <w:p>
      <w:pPr>
        <w:pStyle w:val="23"/>
      </w:pPr>
      <w:r>
        <w:rPr>
          <w:rFonts w:hint="eastAsia"/>
        </w:rPr>
        <w:t>本标准规定了陈年武夷岩茶的术语和定义、分类、要求、试验方法、检验规则、标志标签、包装、运输和贮存。</w:t>
      </w:r>
    </w:p>
    <w:p>
      <w:pPr>
        <w:pStyle w:val="23"/>
      </w:pPr>
      <w:r>
        <w:rPr>
          <w:rFonts w:hint="eastAsia"/>
        </w:rPr>
        <w:t>本标准适用于存放5年以上的陈年武夷岩茶。</w:t>
      </w:r>
    </w:p>
    <w:p>
      <w:pPr>
        <w:pStyle w:val="61"/>
        <w:spacing w:before="312" w:after="312"/>
      </w:pPr>
      <w:r>
        <w:rPr>
          <w:rFonts w:hint="eastAsia"/>
        </w:rPr>
        <w:t>规范性引用文件</w:t>
      </w:r>
    </w:p>
    <w:p>
      <w:pPr>
        <w:pStyle w:val="23"/>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
      </w:pPr>
      <w:r>
        <w:rPr>
          <w:rFonts w:hint="eastAsia"/>
        </w:rPr>
        <w:t>GB/T 191  包装储运图示标志</w:t>
      </w:r>
    </w:p>
    <w:p>
      <w:pPr>
        <w:pStyle w:val="23"/>
      </w:pPr>
      <w:r>
        <w:rPr>
          <w:rFonts w:hint="eastAsia"/>
        </w:rPr>
        <w:t>GB 4806.7  食品安全国家标准 食品接触用塑料材料及制品</w:t>
      </w:r>
    </w:p>
    <w:p>
      <w:pPr>
        <w:pStyle w:val="23"/>
      </w:pPr>
      <w:r>
        <w:rPr>
          <w:rFonts w:hint="eastAsia"/>
        </w:rPr>
        <w:t>GB 4806.8  食品安全国家标准 食品接触用纸和纸板材料及制品</w:t>
      </w:r>
    </w:p>
    <w:p>
      <w:pPr>
        <w:pStyle w:val="23"/>
      </w:pPr>
      <w:r>
        <w:rPr>
          <w:rFonts w:hint="eastAsia"/>
        </w:rPr>
        <w:t>GB 4806.9  食品安全国家标准 食品接触用金属材料及制品</w:t>
      </w:r>
    </w:p>
    <w:p>
      <w:pPr>
        <w:pStyle w:val="23"/>
      </w:pPr>
      <w:r>
        <w:rPr>
          <w:rFonts w:hint="eastAsia"/>
        </w:rPr>
        <w:t>GB 5009.3  食品安全国家标准 食品中水分的测定</w:t>
      </w:r>
    </w:p>
    <w:p>
      <w:pPr>
        <w:pStyle w:val="23"/>
      </w:pPr>
      <w:r>
        <w:rPr>
          <w:rFonts w:hint="eastAsia"/>
        </w:rPr>
        <w:t>GB 5009.4  食品安全国家标准 食品中灰分的测定</w:t>
      </w:r>
    </w:p>
    <w:p>
      <w:pPr>
        <w:pStyle w:val="23"/>
      </w:pPr>
      <w:r>
        <w:rPr>
          <w:rFonts w:hint="eastAsia"/>
        </w:rPr>
        <w:t>GB 7718  食品安全国家标准 预包装食品标签通则</w:t>
      </w:r>
    </w:p>
    <w:p>
      <w:pPr>
        <w:pStyle w:val="23"/>
      </w:pPr>
      <w:r>
        <w:rPr>
          <w:rFonts w:hint="eastAsia"/>
        </w:rPr>
        <w:t>GB/T 8302  茶 取样</w:t>
      </w:r>
    </w:p>
    <w:p>
      <w:pPr>
        <w:pStyle w:val="23"/>
      </w:pPr>
      <w:r>
        <w:rPr>
          <w:rFonts w:hint="eastAsia"/>
        </w:rPr>
        <w:t>GB/T 8303  茶 磨碎试样的制备及其干物质含量测定</w:t>
      </w:r>
    </w:p>
    <w:p>
      <w:pPr>
        <w:pStyle w:val="23"/>
      </w:pPr>
      <w:r>
        <w:rPr>
          <w:rFonts w:hint="eastAsia"/>
        </w:rPr>
        <w:t>GB/T 8305  茶 水浸出物测定</w:t>
      </w:r>
    </w:p>
    <w:p>
      <w:pPr>
        <w:pStyle w:val="23"/>
      </w:pPr>
      <w:r>
        <w:rPr>
          <w:rFonts w:hint="eastAsia"/>
        </w:rPr>
        <w:t>GB/T 8311  茶 粉末和碎茶含量测定</w:t>
      </w:r>
    </w:p>
    <w:p>
      <w:pPr>
        <w:pStyle w:val="23"/>
      </w:pPr>
      <w:r>
        <w:rPr>
          <w:rFonts w:hint="eastAsia"/>
        </w:rPr>
        <w:t>GB 23350  限制商品过度包装要求 食品和化妆品</w:t>
      </w:r>
    </w:p>
    <w:p>
      <w:pPr>
        <w:pStyle w:val="23"/>
      </w:pPr>
      <w:r>
        <w:rPr>
          <w:rFonts w:hint="eastAsia"/>
        </w:rPr>
        <w:t>GB/T 23776  茶叶感官审评方法</w:t>
      </w:r>
    </w:p>
    <w:p>
      <w:pPr>
        <w:pStyle w:val="23"/>
      </w:pPr>
      <w:r>
        <w:rPr>
          <w:rFonts w:hint="eastAsia"/>
        </w:rPr>
        <w:t>GB/T 30375  茶叶贮存</w:t>
      </w:r>
    </w:p>
    <w:p>
      <w:pPr>
        <w:pStyle w:val="23"/>
      </w:pPr>
      <w:r>
        <w:rPr>
          <w:rFonts w:hint="eastAsia"/>
        </w:rPr>
        <w:t>GH/T 1070  茶叶包装通则</w:t>
      </w:r>
    </w:p>
    <w:p>
      <w:pPr>
        <w:pStyle w:val="23"/>
      </w:pPr>
      <w:r>
        <w:rPr>
          <w:rFonts w:hint="eastAsia"/>
        </w:rPr>
        <w:t>JJF 1070 定量包装商品净含量计量检验规则</w:t>
      </w:r>
    </w:p>
    <w:p>
      <w:pPr>
        <w:pStyle w:val="23"/>
      </w:pPr>
      <w:r>
        <w:rPr>
          <w:rFonts w:hint="eastAsia"/>
        </w:rPr>
        <w:t>国家质量监督检验检疫总局令 [2005］第75号《定量包装商品计量监督管理办法》</w:t>
      </w:r>
    </w:p>
    <w:p>
      <w:pPr>
        <w:pStyle w:val="23"/>
      </w:pPr>
      <w:r>
        <w:rPr>
          <w:rFonts w:hint="eastAsia"/>
        </w:rPr>
        <w:t>国家质量监督检验检疫总局令 [2009］第123号  国家质量监督检验检疫总局关于修改《食品标识管理规定》的决定</w:t>
      </w:r>
    </w:p>
    <w:p>
      <w:pPr>
        <w:pStyle w:val="61"/>
        <w:spacing w:before="312" w:after="312"/>
        <w:rPr>
          <w:szCs w:val="22"/>
        </w:rPr>
      </w:pPr>
      <w:r>
        <w:rPr>
          <w:rFonts w:hint="eastAsia"/>
          <w:szCs w:val="22"/>
        </w:rPr>
        <w:t>术语和定义</w:t>
      </w:r>
    </w:p>
    <w:p>
      <w:pPr>
        <w:pStyle w:val="23"/>
      </w:pPr>
      <w:r>
        <w:rPr>
          <w:rFonts w:hint="eastAsia"/>
        </w:rPr>
        <w:t>下列术语和定义适用于本文件。</w:t>
      </w:r>
    </w:p>
    <w:p>
      <w:pPr>
        <w:pStyle w:val="60"/>
        <w:spacing w:before="156" w:after="156"/>
      </w:pPr>
    </w:p>
    <w:p>
      <w:pPr>
        <w:pStyle w:val="60"/>
        <w:numPr>
          <w:ilvl w:val="0"/>
          <w:numId w:val="0"/>
        </w:numPr>
        <w:spacing w:before="156" w:after="156"/>
        <w:ind w:firstLine="420" w:firstLineChars="200"/>
      </w:pPr>
      <w:r>
        <w:rPr>
          <w:rFonts w:hint="eastAsia"/>
        </w:rPr>
        <w:t>陈年武夷岩茶</w:t>
      </w:r>
    </w:p>
    <w:p>
      <w:pPr>
        <w:pStyle w:val="16"/>
        <w:spacing w:before="120" w:after="120"/>
        <w:ind w:firstLine="420" w:firstLineChars="200"/>
        <w:rPr>
          <w:rFonts w:hint="eastAsia" w:ascii="宋体" w:hAnsi="Times New Roman" w:eastAsia="宋体" w:cs="Times New Roman"/>
          <w:sz w:val="21"/>
          <w:szCs w:val="20"/>
          <w:lang w:val="en-US" w:eastAsia="zh-CN" w:bidi="ar-SA"/>
        </w:rPr>
      </w:pPr>
      <w:r>
        <w:rPr>
          <w:rFonts w:hint="eastAsia" w:ascii="宋体" w:hAnsi="Times New Roman" w:eastAsia="宋体" w:cs="Times New Roman"/>
          <w:sz w:val="21"/>
          <w:szCs w:val="20"/>
          <w:lang w:val="en-US" w:eastAsia="zh-CN" w:bidi="ar-SA"/>
        </w:rPr>
        <w:t>在适宜的贮存环境条件下，储存时间超过7年，无霉变劣变，具备“陈醇润活”之陈香陈韵的茶品。</w:t>
      </w:r>
    </w:p>
    <w:p>
      <w:pPr>
        <w:pStyle w:val="23"/>
        <w:ind w:firstLine="0" w:firstLineChars="0"/>
        <w:rPr>
          <w:rFonts w:ascii="黑体" w:eastAsia="黑体"/>
          <w:szCs w:val="21"/>
        </w:rPr>
      </w:pPr>
      <w:r>
        <w:rPr>
          <w:rFonts w:hint="eastAsia" w:ascii="黑体" w:eastAsia="黑体"/>
          <w:szCs w:val="21"/>
        </w:rPr>
        <w:t>3.2</w:t>
      </w:r>
    </w:p>
    <w:p>
      <w:pPr>
        <w:pStyle w:val="23"/>
        <w:spacing w:before="156" w:beforeLines="50" w:after="156" w:afterLines="50"/>
        <w:rPr>
          <w:rFonts w:ascii="黑体" w:eastAsia="黑体"/>
          <w:szCs w:val="21"/>
        </w:rPr>
      </w:pPr>
      <w:r>
        <w:rPr>
          <w:rFonts w:hint="eastAsia" w:ascii="黑体" w:eastAsia="黑体"/>
          <w:szCs w:val="21"/>
        </w:rPr>
        <w:t>初期陈茶</w:t>
      </w:r>
    </w:p>
    <w:p>
      <w:pPr>
        <w:pStyle w:val="23"/>
        <w:spacing w:before="156" w:beforeLines="50" w:after="156" w:afterLines="50"/>
        <w:rPr>
          <w:rFonts w:ascii="黑体" w:eastAsia="黑体"/>
          <w:szCs w:val="21"/>
        </w:rPr>
      </w:pPr>
      <w:r>
        <w:rPr>
          <w:rFonts w:hint="eastAsia"/>
          <w:szCs w:val="20"/>
        </w:rPr>
        <w:t>在适宜的贮存环境条件下，储存时间在七年以上，十</w:t>
      </w:r>
      <w:r>
        <w:rPr>
          <w:rFonts w:hint="eastAsia"/>
          <w:szCs w:val="20"/>
          <w:lang w:val="en-US" w:eastAsia="zh-CN"/>
        </w:rPr>
        <w:t>三</w:t>
      </w:r>
      <w:r>
        <w:rPr>
          <w:szCs w:val="20"/>
        </w:rPr>
        <w:t>年</w:t>
      </w:r>
      <w:r>
        <w:rPr>
          <w:rFonts w:hint="eastAsia"/>
          <w:szCs w:val="20"/>
        </w:rPr>
        <w:t>以下的陈年武夷岩茶。</w:t>
      </w:r>
    </w:p>
    <w:p>
      <w:pPr>
        <w:pStyle w:val="23"/>
        <w:ind w:firstLine="0" w:firstLineChars="0"/>
        <w:rPr>
          <w:rFonts w:ascii="黑体" w:eastAsia="黑体"/>
          <w:szCs w:val="21"/>
        </w:rPr>
      </w:pPr>
      <w:r>
        <w:rPr>
          <w:rFonts w:hint="eastAsia" w:ascii="黑体" w:eastAsia="黑体"/>
          <w:szCs w:val="21"/>
        </w:rPr>
        <w:t>3.3</w:t>
      </w:r>
    </w:p>
    <w:p>
      <w:pPr>
        <w:pStyle w:val="23"/>
        <w:spacing w:before="156" w:beforeLines="50" w:after="156" w:afterLines="50"/>
        <w:rPr>
          <w:rFonts w:ascii="黑体" w:eastAsia="黑体"/>
          <w:szCs w:val="21"/>
        </w:rPr>
      </w:pPr>
      <w:r>
        <w:rPr>
          <w:rFonts w:hint="eastAsia" w:ascii="黑体" w:eastAsia="黑体"/>
          <w:szCs w:val="21"/>
        </w:rPr>
        <w:t>中期陈茶</w:t>
      </w:r>
    </w:p>
    <w:p>
      <w:pPr>
        <w:pStyle w:val="23"/>
        <w:spacing w:before="156" w:beforeLines="50" w:after="156" w:afterLines="50"/>
        <w:rPr>
          <w:rFonts w:ascii="黑体" w:eastAsia="黑体"/>
          <w:szCs w:val="21"/>
        </w:rPr>
      </w:pPr>
      <w:r>
        <w:rPr>
          <w:rFonts w:hint="eastAsia"/>
          <w:szCs w:val="20"/>
        </w:rPr>
        <w:t>在适宜的贮存环境条件下，储存时间在十四年以上，二十年以下的陈年武夷岩茶。</w:t>
      </w:r>
    </w:p>
    <w:p>
      <w:pPr>
        <w:pStyle w:val="23"/>
        <w:ind w:firstLine="0" w:firstLineChars="0"/>
        <w:rPr>
          <w:rFonts w:ascii="黑体" w:eastAsia="黑体"/>
          <w:szCs w:val="21"/>
        </w:rPr>
      </w:pPr>
      <w:r>
        <w:rPr>
          <w:rFonts w:hint="eastAsia" w:ascii="黑体" w:eastAsia="黑体"/>
          <w:szCs w:val="21"/>
        </w:rPr>
        <w:t>3.4</w:t>
      </w:r>
    </w:p>
    <w:p>
      <w:pPr>
        <w:pStyle w:val="23"/>
        <w:spacing w:before="156" w:beforeLines="50" w:after="156" w:afterLines="50"/>
        <w:rPr>
          <w:rFonts w:ascii="黑体" w:eastAsia="黑体"/>
          <w:szCs w:val="21"/>
        </w:rPr>
      </w:pPr>
      <w:r>
        <w:rPr>
          <w:rFonts w:hint="eastAsia" w:ascii="黑体" w:eastAsia="黑体"/>
          <w:szCs w:val="21"/>
        </w:rPr>
        <w:t>后期陈茶</w:t>
      </w:r>
    </w:p>
    <w:p>
      <w:pPr>
        <w:pStyle w:val="23"/>
        <w:spacing w:before="156" w:beforeLines="50" w:after="156" w:afterLines="50"/>
        <w:rPr>
          <w:szCs w:val="20"/>
        </w:rPr>
      </w:pPr>
      <w:r>
        <w:rPr>
          <w:rFonts w:hint="eastAsia"/>
          <w:szCs w:val="20"/>
        </w:rPr>
        <w:t>在适宜的贮存环境条件下，储存时间在二十一年以上，三十年以下的陈年武夷岩茶。</w:t>
      </w:r>
    </w:p>
    <w:p>
      <w:pPr>
        <w:pStyle w:val="23"/>
        <w:ind w:firstLine="0" w:firstLineChars="0"/>
        <w:rPr>
          <w:rFonts w:ascii="黑体" w:eastAsia="黑体"/>
          <w:szCs w:val="21"/>
        </w:rPr>
      </w:pPr>
      <w:r>
        <w:rPr>
          <w:rFonts w:hint="eastAsia" w:ascii="黑体" w:eastAsia="黑体"/>
          <w:szCs w:val="21"/>
        </w:rPr>
        <w:t>3.</w:t>
      </w:r>
      <w:r>
        <w:rPr>
          <w:rFonts w:ascii="黑体" w:eastAsia="黑体"/>
          <w:szCs w:val="21"/>
        </w:rPr>
        <w:t>5</w:t>
      </w:r>
    </w:p>
    <w:p>
      <w:pPr>
        <w:pStyle w:val="23"/>
        <w:spacing w:before="156" w:beforeLines="50" w:after="156" w:afterLines="50"/>
        <w:rPr>
          <w:rFonts w:ascii="黑体" w:eastAsia="黑体"/>
          <w:szCs w:val="21"/>
        </w:rPr>
      </w:pPr>
      <w:r>
        <w:rPr>
          <w:rFonts w:hint="eastAsia" w:ascii="黑体" w:eastAsia="黑体"/>
          <w:szCs w:val="21"/>
        </w:rPr>
        <w:t>老茶</w:t>
      </w:r>
    </w:p>
    <w:p>
      <w:pPr>
        <w:pStyle w:val="23"/>
        <w:spacing w:before="156" w:beforeLines="50" w:after="156" w:afterLines="50"/>
        <w:rPr>
          <w:szCs w:val="20"/>
        </w:rPr>
      </w:pPr>
      <w:r>
        <w:rPr>
          <w:rFonts w:hint="eastAsia"/>
          <w:szCs w:val="20"/>
        </w:rPr>
        <w:t>在适宜的贮存环境条件下，储存时间在三十</w:t>
      </w:r>
      <w:r>
        <w:rPr>
          <w:rFonts w:hint="eastAsia"/>
          <w:szCs w:val="20"/>
          <w:lang w:val="en-US" w:eastAsia="zh-CN"/>
        </w:rPr>
        <w:t>一</w:t>
      </w:r>
      <w:r>
        <w:rPr>
          <w:rFonts w:hint="eastAsia"/>
          <w:szCs w:val="20"/>
        </w:rPr>
        <w:t>年以上的陈年武夷岩茶。</w:t>
      </w:r>
    </w:p>
    <w:p>
      <w:pPr>
        <w:pStyle w:val="17"/>
        <w:widowControl/>
        <w:numPr>
          <w:ilvl w:val="0"/>
          <w:numId w:val="4"/>
        </w:numPr>
        <w:snapToGrid/>
        <w:spacing w:before="312" w:beforeLines="100" w:after="312" w:afterLines="100"/>
        <w:ind w:right="0" w:rightChars="0"/>
        <w:jc w:val="both"/>
        <w:outlineLvl w:val="1"/>
        <w:rPr>
          <w:rFonts w:hint="eastAsia" w:ascii="黑体" w:hAnsi="Times New Roman" w:eastAsia="黑体" w:cs="Times New Roman"/>
          <w:kern w:val="0"/>
          <w:sz w:val="21"/>
          <w:szCs w:val="22"/>
          <w:lang w:val="en-US" w:eastAsia="zh-CN" w:bidi="ar-SA"/>
        </w:rPr>
      </w:pPr>
      <w:r>
        <w:rPr>
          <w:rFonts w:hint="eastAsia" w:ascii="黑体" w:hAnsi="Times New Roman" w:eastAsia="黑体" w:cs="Times New Roman"/>
          <w:kern w:val="0"/>
          <w:sz w:val="21"/>
          <w:szCs w:val="22"/>
          <w:lang w:val="en-US" w:eastAsia="zh-CN" w:bidi="ar-SA"/>
        </w:rPr>
        <w:t>分类</w:t>
      </w:r>
    </w:p>
    <w:p>
      <w:pPr>
        <w:pStyle w:val="23"/>
        <w:spacing w:line="360" w:lineRule="auto"/>
      </w:pPr>
      <w:r>
        <w:rPr>
          <w:rFonts w:hint="eastAsia"/>
        </w:rPr>
        <w:t>按贮存时间的不同分为初期陈茶、中期陈茶、后期陈茶和老茶。</w:t>
      </w:r>
    </w:p>
    <w:p>
      <w:pPr>
        <w:pStyle w:val="17"/>
        <w:widowControl/>
        <w:numPr>
          <w:ilvl w:val="0"/>
          <w:numId w:val="4"/>
        </w:numPr>
        <w:snapToGrid/>
        <w:spacing w:before="312" w:beforeLines="100" w:after="312" w:afterLines="100"/>
        <w:ind w:right="0" w:rightChars="0"/>
        <w:jc w:val="both"/>
        <w:outlineLvl w:val="1"/>
        <w:rPr>
          <w:rFonts w:hint="eastAsia" w:ascii="黑体" w:hAnsi="Times New Roman" w:eastAsia="黑体" w:cs="Times New Roman"/>
          <w:kern w:val="0"/>
          <w:sz w:val="21"/>
          <w:szCs w:val="22"/>
          <w:lang w:val="en-US" w:eastAsia="zh-CN" w:bidi="ar-SA"/>
        </w:rPr>
      </w:pPr>
      <w:r>
        <w:rPr>
          <w:rFonts w:hint="eastAsia" w:ascii="黑体" w:hAnsi="Times New Roman" w:eastAsia="黑体" w:cs="Times New Roman"/>
          <w:kern w:val="0"/>
          <w:sz w:val="21"/>
          <w:szCs w:val="22"/>
          <w:lang w:val="en-US" w:eastAsia="zh-CN" w:bidi="ar-SA"/>
        </w:rPr>
        <w:t>要求</w:t>
      </w:r>
    </w:p>
    <w:p>
      <w:pPr>
        <w:pStyle w:val="60"/>
        <w:spacing w:before="156" w:after="156"/>
        <w:rPr>
          <w:rFonts w:hint="eastAsia"/>
          <w:lang w:val="zh-CN"/>
        </w:rPr>
      </w:pPr>
      <w:r>
        <w:rPr>
          <w:rFonts w:hint="eastAsia"/>
          <w:lang w:val="zh-CN"/>
        </w:rPr>
        <w:t>基本要求</w:t>
      </w:r>
    </w:p>
    <w:p>
      <w:pPr>
        <w:pStyle w:val="23"/>
      </w:pPr>
      <w:r>
        <w:rPr>
          <w:rFonts w:hint="eastAsia"/>
        </w:rPr>
        <w:t>无异味、无霉变、无劣变，不添加任何添加剂。</w:t>
      </w:r>
    </w:p>
    <w:p>
      <w:pPr>
        <w:pStyle w:val="60"/>
        <w:spacing w:before="156" w:after="156"/>
        <w:rPr>
          <w:rFonts w:hint="eastAsia"/>
          <w:lang w:val="zh-CN"/>
        </w:rPr>
      </w:pPr>
      <w:r>
        <w:rPr>
          <w:rFonts w:hint="eastAsia"/>
          <w:lang w:val="zh-CN"/>
        </w:rPr>
        <w:t>感官指标</w:t>
      </w:r>
    </w:p>
    <w:p>
      <w:pPr>
        <w:pStyle w:val="23"/>
        <w:rPr>
          <w:rFonts w:hint="eastAsia" w:eastAsia="宋体"/>
          <w:lang w:eastAsia="zh-CN"/>
        </w:rPr>
      </w:pPr>
      <w:r>
        <w:rPr>
          <w:rFonts w:hint="eastAsia"/>
          <w:lang w:val="en-US" w:eastAsia="zh-CN"/>
        </w:rPr>
        <w:t>陈年武夷岩茶</w:t>
      </w:r>
      <w:r>
        <w:rPr>
          <w:rFonts w:hint="eastAsia"/>
        </w:rPr>
        <w:t>感官品质应符合表1的规定</w:t>
      </w:r>
      <w:r>
        <w:rPr>
          <w:rFonts w:hint="eastAsia"/>
          <w:lang w:eastAsia="zh-CN"/>
        </w:rPr>
        <w:t>。</w:t>
      </w:r>
    </w:p>
    <w:p>
      <w:pPr>
        <w:pStyle w:val="9"/>
        <w:widowControl/>
        <w:numPr>
          <w:ilvl w:val="0"/>
          <w:numId w:val="17"/>
        </w:numPr>
        <w:tabs>
          <w:tab w:val="left" w:pos="360"/>
        </w:tabs>
        <w:spacing w:before="156" w:beforeLines="50" w:after="156" w:afterLines="50"/>
        <w:ind w:left="0" w:firstLine="0"/>
        <w:jc w:val="center"/>
        <w:rPr>
          <w:rFonts w:hint="eastAsia" w:ascii="黑体" w:hAnsi="Times New Roman" w:eastAsia="黑体" w:cs="Times New Roman"/>
          <w:kern w:val="2"/>
          <w:sz w:val="21"/>
          <w:szCs w:val="22"/>
          <w:lang w:val="en-US" w:eastAsia="zh-CN" w:bidi="ar-SA"/>
        </w:rPr>
      </w:pPr>
      <w:r>
        <w:rPr>
          <w:rFonts w:hint="eastAsia" w:ascii="黑体" w:hAnsi="Times New Roman" w:eastAsia="黑体" w:cs="Times New Roman"/>
          <w:kern w:val="2"/>
          <w:sz w:val="21"/>
          <w:szCs w:val="22"/>
          <w:lang w:val="en-US" w:eastAsia="zh-CN" w:bidi="ar-SA"/>
        </w:rPr>
        <w:t>陈年武夷岩茶（散茶）</w:t>
      </w:r>
      <w:r>
        <w:rPr>
          <w:rFonts w:hint="eastAsia" w:ascii="黑体" w:hAnsi="Times New Roman" w:eastAsia="黑体" w:cs="Times New Roman"/>
          <w:kern w:val="2"/>
          <w:sz w:val="21"/>
          <w:szCs w:val="22"/>
          <w:lang w:val="zh-CN" w:eastAsia="zh-CN" w:bidi="ar-SA"/>
        </w:rPr>
        <w:t>感官</w:t>
      </w:r>
      <w:r>
        <w:rPr>
          <w:rFonts w:hint="eastAsia" w:ascii="黑体" w:hAnsi="Times New Roman" w:eastAsia="黑体" w:cs="Times New Roman"/>
          <w:kern w:val="2"/>
          <w:sz w:val="21"/>
          <w:szCs w:val="22"/>
          <w:lang w:val="en-US" w:eastAsia="zh-CN" w:bidi="ar-SA"/>
        </w:rPr>
        <w:t>品质要求</w:t>
      </w:r>
    </w:p>
    <w:tbl>
      <w:tblPr>
        <w:tblStyle w:val="31"/>
        <w:tblW w:w="92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6"/>
        <w:gridCol w:w="705"/>
        <w:gridCol w:w="840"/>
        <w:gridCol w:w="855"/>
        <w:gridCol w:w="1224"/>
        <w:gridCol w:w="1312"/>
        <w:gridCol w:w="1073"/>
        <w:gridCol w:w="1125"/>
        <w:gridCol w:w="1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restart"/>
            <w:tcBorders>
              <w:top w:val="single" w:color="auto" w:sz="8" w:space="0"/>
            </w:tcBorders>
            <w:vAlign w:val="center"/>
          </w:tcPr>
          <w:p>
            <w:pPr>
              <w:jc w:val="center"/>
              <w:rPr>
                <w:rFonts w:ascii="宋体"/>
                <w:sz w:val="18"/>
              </w:rPr>
            </w:pPr>
            <w:r>
              <w:rPr>
                <w:rFonts w:hint="eastAsia" w:ascii="宋体"/>
                <w:sz w:val="18"/>
              </w:rPr>
              <w:t>类</w:t>
            </w:r>
            <w:r>
              <w:rPr>
                <w:rFonts w:hint="eastAsia" w:ascii="宋体"/>
                <w:sz w:val="18"/>
                <w:lang w:val="en-US" w:eastAsia="zh-CN"/>
              </w:rPr>
              <w:t xml:space="preserve">  </w:t>
            </w:r>
            <w:r>
              <w:rPr>
                <w:rFonts w:hint="eastAsia" w:ascii="宋体"/>
                <w:sz w:val="18"/>
              </w:rPr>
              <w:t>别</w:t>
            </w:r>
          </w:p>
        </w:tc>
        <w:tc>
          <w:tcPr>
            <w:tcW w:w="8284" w:type="dxa"/>
            <w:gridSpan w:val="8"/>
            <w:tcBorders>
              <w:top w:val="single" w:color="auto" w:sz="8" w:space="0"/>
              <w:bottom w:val="single" w:color="auto" w:sz="8" w:space="0"/>
            </w:tcBorders>
          </w:tcPr>
          <w:p>
            <w:pPr>
              <w:jc w:val="center"/>
              <w:rPr>
                <w:rFonts w:ascii="宋体"/>
                <w:sz w:val="18"/>
              </w:rPr>
            </w:pPr>
            <w:r>
              <w:rPr>
                <w:rFonts w:hint="eastAsia" w:ascii="宋体"/>
                <w:sz w:val="18"/>
              </w:rPr>
              <w:t>项</w:t>
            </w:r>
            <w:r>
              <w:rPr>
                <w:rFonts w:hint="eastAsia" w:ascii="宋体"/>
                <w:sz w:val="18"/>
                <w:lang w:val="en-US" w:eastAsia="zh-CN"/>
              </w:rPr>
              <w:t xml:space="preserve">  </w:t>
            </w:r>
            <w:r>
              <w:rPr>
                <w:rFonts w:hint="eastAsia" w:ascii="宋体"/>
                <w:sz w:val="18"/>
              </w:rPr>
              <w:t>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Pr>
          <w:p>
            <w:pPr>
              <w:rPr>
                <w:rFonts w:ascii="宋体"/>
                <w:sz w:val="18"/>
              </w:rPr>
            </w:pPr>
          </w:p>
        </w:tc>
        <w:tc>
          <w:tcPr>
            <w:tcW w:w="3624" w:type="dxa"/>
            <w:gridSpan w:val="4"/>
            <w:tcBorders>
              <w:top w:val="single" w:color="auto" w:sz="8" w:space="0"/>
            </w:tcBorders>
            <w:vAlign w:val="center"/>
          </w:tcPr>
          <w:p>
            <w:pPr>
              <w:jc w:val="center"/>
              <w:rPr>
                <w:rFonts w:ascii="宋体"/>
                <w:sz w:val="18"/>
              </w:rPr>
            </w:pPr>
            <w:r>
              <w:rPr>
                <w:rFonts w:hint="eastAsia" w:ascii="宋体"/>
                <w:sz w:val="18"/>
              </w:rPr>
              <w:t>外</w:t>
            </w:r>
            <w:r>
              <w:rPr>
                <w:rFonts w:hint="eastAsia" w:ascii="宋体"/>
                <w:sz w:val="18"/>
                <w:lang w:val="en-US" w:eastAsia="zh-CN"/>
              </w:rPr>
              <w:t xml:space="preserve">  </w:t>
            </w:r>
            <w:r>
              <w:rPr>
                <w:rFonts w:hint="eastAsia" w:ascii="宋体"/>
                <w:sz w:val="18"/>
              </w:rPr>
              <w:t>形</w:t>
            </w:r>
          </w:p>
        </w:tc>
        <w:tc>
          <w:tcPr>
            <w:tcW w:w="4660" w:type="dxa"/>
            <w:gridSpan w:val="4"/>
            <w:tcBorders>
              <w:top w:val="single" w:color="auto" w:sz="8" w:space="0"/>
            </w:tcBorders>
          </w:tcPr>
          <w:p>
            <w:pPr>
              <w:jc w:val="center"/>
              <w:rPr>
                <w:rFonts w:ascii="宋体"/>
                <w:sz w:val="18"/>
              </w:rPr>
            </w:pPr>
            <w:r>
              <w:rPr>
                <w:rFonts w:hint="eastAsia" w:ascii="宋体"/>
                <w:sz w:val="18"/>
              </w:rPr>
              <w:t>内</w:t>
            </w:r>
            <w:r>
              <w:rPr>
                <w:rFonts w:hint="eastAsia" w:ascii="宋体"/>
                <w:sz w:val="18"/>
                <w:lang w:val="en-US" w:eastAsia="zh-CN"/>
              </w:rPr>
              <w:t xml:space="preserve">  </w:t>
            </w:r>
            <w:r>
              <w:rPr>
                <w:rFonts w:hint="eastAsia" w:ascii="宋体"/>
                <w:sz w:val="18"/>
              </w:rPr>
              <w:t>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66" w:type="dxa"/>
            <w:vMerge w:val="continue"/>
            <w:tcBorders>
              <w:bottom w:val="single" w:color="auto" w:sz="4" w:space="0"/>
            </w:tcBorders>
          </w:tcPr>
          <w:p>
            <w:pPr>
              <w:rPr>
                <w:rFonts w:ascii="宋体"/>
                <w:sz w:val="18"/>
              </w:rPr>
            </w:pPr>
          </w:p>
        </w:tc>
        <w:tc>
          <w:tcPr>
            <w:tcW w:w="705" w:type="dxa"/>
            <w:tcBorders>
              <w:bottom w:val="single" w:color="auto" w:sz="4" w:space="0"/>
            </w:tcBorders>
            <w:vAlign w:val="center"/>
          </w:tcPr>
          <w:p>
            <w:pPr>
              <w:jc w:val="center"/>
              <w:rPr>
                <w:rFonts w:ascii="宋体"/>
                <w:sz w:val="18"/>
              </w:rPr>
            </w:pPr>
            <w:r>
              <w:rPr>
                <w:rFonts w:hint="eastAsia" w:ascii="宋体"/>
                <w:sz w:val="18"/>
              </w:rPr>
              <w:t>条索</w:t>
            </w:r>
          </w:p>
        </w:tc>
        <w:tc>
          <w:tcPr>
            <w:tcW w:w="840" w:type="dxa"/>
            <w:tcBorders>
              <w:bottom w:val="single" w:color="auto" w:sz="4" w:space="0"/>
            </w:tcBorders>
            <w:vAlign w:val="center"/>
          </w:tcPr>
          <w:p>
            <w:pPr>
              <w:jc w:val="center"/>
              <w:rPr>
                <w:rFonts w:ascii="宋体"/>
                <w:sz w:val="18"/>
              </w:rPr>
            </w:pPr>
            <w:r>
              <w:rPr>
                <w:rFonts w:hint="eastAsia" w:ascii="宋体"/>
                <w:sz w:val="18"/>
              </w:rPr>
              <w:t>整碎</w:t>
            </w:r>
          </w:p>
        </w:tc>
        <w:tc>
          <w:tcPr>
            <w:tcW w:w="855" w:type="dxa"/>
            <w:tcBorders>
              <w:bottom w:val="single" w:color="auto" w:sz="4" w:space="0"/>
            </w:tcBorders>
            <w:vAlign w:val="center"/>
          </w:tcPr>
          <w:p>
            <w:pPr>
              <w:jc w:val="center"/>
              <w:rPr>
                <w:rFonts w:ascii="宋体"/>
                <w:sz w:val="18"/>
              </w:rPr>
            </w:pPr>
            <w:r>
              <w:rPr>
                <w:rFonts w:hint="eastAsia" w:ascii="宋体"/>
                <w:sz w:val="18"/>
              </w:rPr>
              <w:t>净度</w:t>
            </w:r>
          </w:p>
        </w:tc>
        <w:tc>
          <w:tcPr>
            <w:tcW w:w="1224" w:type="dxa"/>
            <w:tcBorders>
              <w:bottom w:val="single" w:color="auto" w:sz="4" w:space="0"/>
            </w:tcBorders>
            <w:vAlign w:val="center"/>
          </w:tcPr>
          <w:p>
            <w:pPr>
              <w:jc w:val="center"/>
              <w:rPr>
                <w:rFonts w:ascii="宋体"/>
                <w:sz w:val="18"/>
              </w:rPr>
            </w:pPr>
            <w:r>
              <w:rPr>
                <w:rFonts w:hint="eastAsia" w:ascii="宋体"/>
                <w:sz w:val="18"/>
              </w:rPr>
              <w:t>色泽</w:t>
            </w:r>
          </w:p>
        </w:tc>
        <w:tc>
          <w:tcPr>
            <w:tcW w:w="1312" w:type="dxa"/>
            <w:tcBorders>
              <w:bottom w:val="single" w:color="auto" w:sz="4" w:space="0"/>
            </w:tcBorders>
            <w:vAlign w:val="center"/>
          </w:tcPr>
          <w:p>
            <w:pPr>
              <w:jc w:val="center"/>
              <w:rPr>
                <w:rFonts w:ascii="宋体"/>
                <w:sz w:val="18"/>
              </w:rPr>
            </w:pPr>
            <w:r>
              <w:rPr>
                <w:rFonts w:hint="eastAsia" w:ascii="宋体"/>
                <w:sz w:val="18"/>
              </w:rPr>
              <w:t>香气</w:t>
            </w:r>
          </w:p>
        </w:tc>
        <w:tc>
          <w:tcPr>
            <w:tcW w:w="1073" w:type="dxa"/>
            <w:tcBorders>
              <w:bottom w:val="single" w:color="auto" w:sz="4" w:space="0"/>
            </w:tcBorders>
            <w:vAlign w:val="center"/>
          </w:tcPr>
          <w:p>
            <w:pPr>
              <w:jc w:val="center"/>
              <w:rPr>
                <w:rFonts w:ascii="宋体"/>
                <w:sz w:val="18"/>
              </w:rPr>
            </w:pPr>
            <w:r>
              <w:rPr>
                <w:rFonts w:hint="eastAsia" w:ascii="宋体"/>
                <w:sz w:val="18"/>
              </w:rPr>
              <w:t>滋味</w:t>
            </w:r>
          </w:p>
        </w:tc>
        <w:tc>
          <w:tcPr>
            <w:tcW w:w="1125" w:type="dxa"/>
            <w:tcBorders>
              <w:bottom w:val="single" w:color="auto" w:sz="4" w:space="0"/>
            </w:tcBorders>
            <w:vAlign w:val="center"/>
          </w:tcPr>
          <w:p>
            <w:pPr>
              <w:jc w:val="center"/>
              <w:rPr>
                <w:rFonts w:ascii="宋体"/>
                <w:sz w:val="18"/>
              </w:rPr>
            </w:pPr>
            <w:r>
              <w:rPr>
                <w:rFonts w:hint="eastAsia" w:ascii="宋体"/>
                <w:sz w:val="18"/>
              </w:rPr>
              <w:t>汤色</w:t>
            </w:r>
          </w:p>
        </w:tc>
        <w:tc>
          <w:tcPr>
            <w:tcW w:w="1150" w:type="dxa"/>
            <w:tcBorders>
              <w:bottom w:val="single" w:color="auto" w:sz="4" w:space="0"/>
            </w:tcBorders>
            <w:vAlign w:val="center"/>
          </w:tcPr>
          <w:p>
            <w:pPr>
              <w:jc w:val="center"/>
              <w:rPr>
                <w:rFonts w:ascii="宋体"/>
                <w:sz w:val="18"/>
              </w:rPr>
            </w:pPr>
            <w:r>
              <w:rPr>
                <w:rFonts w:hint="eastAsia" w:ascii="宋体"/>
                <w:sz w:val="18"/>
              </w:rPr>
              <w:t>叶底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66" w:type="dxa"/>
            <w:tcBorders>
              <w:top w:val="single" w:color="auto" w:sz="4" w:space="0"/>
              <w:bottom w:val="single" w:color="auto" w:sz="4" w:space="0"/>
            </w:tcBorders>
            <w:vAlign w:val="center"/>
          </w:tcPr>
          <w:p>
            <w:pPr>
              <w:jc w:val="center"/>
              <w:rPr>
                <w:rFonts w:ascii="宋体"/>
                <w:sz w:val="18"/>
              </w:rPr>
            </w:pPr>
            <w:r>
              <w:rPr>
                <w:rFonts w:hint="eastAsia" w:ascii="宋体"/>
                <w:sz w:val="18"/>
              </w:rPr>
              <w:t>初期陈茶</w:t>
            </w:r>
          </w:p>
        </w:tc>
        <w:tc>
          <w:tcPr>
            <w:tcW w:w="705" w:type="dxa"/>
            <w:tcBorders>
              <w:top w:val="single" w:color="auto" w:sz="4" w:space="0"/>
              <w:bottom w:val="single" w:color="auto" w:sz="4" w:space="0"/>
            </w:tcBorders>
            <w:vAlign w:val="center"/>
          </w:tcPr>
          <w:p>
            <w:pPr>
              <w:jc w:val="center"/>
              <w:rPr>
                <w:rFonts w:ascii="宋体"/>
                <w:sz w:val="18"/>
              </w:rPr>
            </w:pPr>
            <w:r>
              <w:rPr>
                <w:rFonts w:hint="eastAsia" w:ascii="宋体"/>
                <w:sz w:val="18"/>
              </w:rPr>
              <w:t>紧结</w:t>
            </w:r>
          </w:p>
        </w:tc>
        <w:tc>
          <w:tcPr>
            <w:tcW w:w="840" w:type="dxa"/>
            <w:tcBorders>
              <w:top w:val="single" w:color="auto" w:sz="4" w:space="0"/>
              <w:bottom w:val="single" w:color="auto" w:sz="4" w:space="0"/>
            </w:tcBorders>
            <w:vAlign w:val="center"/>
          </w:tcPr>
          <w:p>
            <w:pPr>
              <w:jc w:val="center"/>
              <w:rPr>
                <w:rFonts w:ascii="宋体"/>
                <w:sz w:val="18"/>
              </w:rPr>
            </w:pPr>
            <w:r>
              <w:rPr>
                <w:rFonts w:hint="eastAsia" w:ascii="宋体"/>
                <w:sz w:val="18"/>
              </w:rPr>
              <w:t>匀整</w:t>
            </w:r>
          </w:p>
        </w:tc>
        <w:tc>
          <w:tcPr>
            <w:tcW w:w="855" w:type="dxa"/>
            <w:tcBorders>
              <w:top w:val="single" w:color="auto" w:sz="4" w:space="0"/>
              <w:bottom w:val="single" w:color="auto" w:sz="4" w:space="0"/>
            </w:tcBorders>
            <w:vAlign w:val="center"/>
          </w:tcPr>
          <w:p>
            <w:pPr>
              <w:jc w:val="center"/>
              <w:rPr>
                <w:rFonts w:ascii="宋体"/>
                <w:sz w:val="18"/>
              </w:rPr>
            </w:pPr>
            <w:r>
              <w:rPr>
                <w:rFonts w:hint="eastAsia" w:ascii="宋体"/>
                <w:sz w:val="18"/>
              </w:rPr>
              <w:t>洁净</w:t>
            </w:r>
          </w:p>
        </w:tc>
        <w:tc>
          <w:tcPr>
            <w:tcW w:w="1224" w:type="dxa"/>
            <w:tcBorders>
              <w:top w:val="single" w:color="auto" w:sz="4" w:space="0"/>
              <w:bottom w:val="single" w:color="auto" w:sz="4" w:space="0"/>
            </w:tcBorders>
            <w:vAlign w:val="center"/>
          </w:tcPr>
          <w:p>
            <w:pPr>
              <w:jc w:val="center"/>
              <w:rPr>
                <w:rFonts w:ascii="宋体"/>
                <w:sz w:val="18"/>
              </w:rPr>
            </w:pPr>
            <w:r>
              <w:rPr>
                <w:rFonts w:hint="eastAsia" w:ascii="宋体"/>
                <w:sz w:val="18"/>
              </w:rPr>
              <w:t>乌褐有光泽</w:t>
            </w:r>
          </w:p>
        </w:tc>
        <w:tc>
          <w:tcPr>
            <w:tcW w:w="1312" w:type="dxa"/>
            <w:tcBorders>
              <w:top w:val="single" w:color="auto" w:sz="4" w:space="0"/>
              <w:bottom w:val="single" w:color="auto" w:sz="4" w:space="0"/>
            </w:tcBorders>
            <w:vAlign w:val="center"/>
          </w:tcPr>
          <w:p>
            <w:pPr>
              <w:jc w:val="center"/>
              <w:rPr>
                <w:rFonts w:ascii="宋体" w:hAnsi="宋体"/>
                <w:kern w:val="0"/>
                <w:sz w:val="18"/>
                <w:szCs w:val="18"/>
              </w:rPr>
            </w:pPr>
            <w:r>
              <w:rPr>
                <w:rFonts w:hint="eastAsia" w:ascii="宋体" w:hAnsi="宋体"/>
                <w:kern w:val="0"/>
                <w:sz w:val="18"/>
                <w:szCs w:val="18"/>
              </w:rPr>
              <w:t>有陈香</w:t>
            </w:r>
          </w:p>
        </w:tc>
        <w:tc>
          <w:tcPr>
            <w:tcW w:w="1073" w:type="dxa"/>
            <w:tcBorders>
              <w:top w:val="single" w:color="auto" w:sz="4" w:space="0"/>
              <w:bottom w:val="single" w:color="auto" w:sz="4" w:space="0"/>
            </w:tcBorders>
            <w:vAlign w:val="center"/>
          </w:tcPr>
          <w:p>
            <w:pPr>
              <w:widowControl/>
              <w:jc w:val="center"/>
              <w:rPr>
                <w:rFonts w:ascii="宋体" w:hAnsi="宋体"/>
                <w:sz w:val="18"/>
                <w:szCs w:val="18"/>
              </w:rPr>
            </w:pPr>
            <w:r>
              <w:rPr>
                <w:rFonts w:hint="eastAsia" w:ascii="宋体" w:hAnsi="宋体"/>
                <w:sz w:val="18"/>
                <w:szCs w:val="18"/>
              </w:rPr>
              <w:t>醇和较酸</w:t>
            </w:r>
          </w:p>
        </w:tc>
        <w:tc>
          <w:tcPr>
            <w:tcW w:w="1125" w:type="dxa"/>
            <w:tcBorders>
              <w:top w:val="single" w:color="auto" w:sz="4" w:space="0"/>
              <w:bottom w:val="single" w:color="auto" w:sz="4" w:space="0"/>
            </w:tcBorders>
            <w:vAlign w:val="center"/>
          </w:tcPr>
          <w:p>
            <w:pPr>
              <w:widowControl/>
              <w:jc w:val="center"/>
              <w:rPr>
                <w:rFonts w:ascii="宋体" w:hAnsi="宋体"/>
                <w:sz w:val="18"/>
                <w:szCs w:val="18"/>
              </w:rPr>
            </w:pPr>
            <w:r>
              <w:rPr>
                <w:rFonts w:hint="eastAsia" w:ascii="宋体" w:hAnsi="宋体"/>
                <w:kern w:val="0"/>
                <w:sz w:val="18"/>
                <w:szCs w:val="18"/>
              </w:rPr>
              <w:t>橙红、清澈</w:t>
            </w:r>
          </w:p>
        </w:tc>
        <w:tc>
          <w:tcPr>
            <w:tcW w:w="1150" w:type="dxa"/>
            <w:tcBorders>
              <w:top w:val="single" w:color="auto" w:sz="4" w:space="0"/>
              <w:bottom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匀整、柔软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66" w:type="dxa"/>
            <w:tcBorders>
              <w:top w:val="single" w:color="auto" w:sz="4" w:space="0"/>
              <w:bottom w:val="single" w:color="auto" w:sz="4" w:space="0"/>
            </w:tcBorders>
            <w:vAlign w:val="center"/>
          </w:tcPr>
          <w:p>
            <w:pPr>
              <w:jc w:val="center"/>
              <w:rPr>
                <w:rFonts w:ascii="宋体"/>
                <w:sz w:val="18"/>
              </w:rPr>
            </w:pPr>
            <w:r>
              <w:rPr>
                <w:rFonts w:hint="eastAsia" w:ascii="宋体"/>
                <w:sz w:val="18"/>
              </w:rPr>
              <w:t>中期陈茶</w:t>
            </w:r>
          </w:p>
        </w:tc>
        <w:tc>
          <w:tcPr>
            <w:tcW w:w="705" w:type="dxa"/>
            <w:tcBorders>
              <w:top w:val="single" w:color="auto" w:sz="4" w:space="0"/>
              <w:bottom w:val="single" w:color="auto" w:sz="4" w:space="0"/>
            </w:tcBorders>
            <w:vAlign w:val="center"/>
          </w:tcPr>
          <w:p>
            <w:pPr>
              <w:jc w:val="center"/>
              <w:rPr>
                <w:rFonts w:ascii="宋体"/>
                <w:sz w:val="18"/>
              </w:rPr>
            </w:pPr>
            <w:r>
              <w:rPr>
                <w:rFonts w:hint="eastAsia" w:ascii="宋体"/>
                <w:sz w:val="18"/>
              </w:rPr>
              <w:t>紧结</w:t>
            </w:r>
          </w:p>
        </w:tc>
        <w:tc>
          <w:tcPr>
            <w:tcW w:w="840" w:type="dxa"/>
            <w:tcBorders>
              <w:top w:val="single" w:color="auto" w:sz="4" w:space="0"/>
              <w:bottom w:val="single" w:color="auto" w:sz="4" w:space="0"/>
            </w:tcBorders>
            <w:vAlign w:val="center"/>
          </w:tcPr>
          <w:p>
            <w:pPr>
              <w:jc w:val="center"/>
              <w:rPr>
                <w:rFonts w:ascii="宋体"/>
                <w:sz w:val="18"/>
              </w:rPr>
            </w:pPr>
            <w:r>
              <w:rPr>
                <w:rFonts w:hint="eastAsia" w:ascii="宋体"/>
                <w:sz w:val="18"/>
              </w:rPr>
              <w:t>匀整</w:t>
            </w:r>
          </w:p>
        </w:tc>
        <w:tc>
          <w:tcPr>
            <w:tcW w:w="855" w:type="dxa"/>
            <w:tcBorders>
              <w:top w:val="single" w:color="auto" w:sz="4" w:space="0"/>
              <w:bottom w:val="single" w:color="auto" w:sz="4" w:space="0"/>
            </w:tcBorders>
            <w:vAlign w:val="center"/>
          </w:tcPr>
          <w:p>
            <w:pPr>
              <w:jc w:val="center"/>
              <w:rPr>
                <w:rFonts w:ascii="宋体"/>
                <w:sz w:val="18"/>
              </w:rPr>
            </w:pPr>
            <w:r>
              <w:rPr>
                <w:rFonts w:hint="eastAsia" w:ascii="宋体"/>
                <w:sz w:val="18"/>
              </w:rPr>
              <w:t>洁净</w:t>
            </w:r>
          </w:p>
        </w:tc>
        <w:tc>
          <w:tcPr>
            <w:tcW w:w="1224" w:type="dxa"/>
            <w:tcBorders>
              <w:top w:val="single" w:color="auto" w:sz="4" w:space="0"/>
              <w:bottom w:val="single" w:color="auto" w:sz="4" w:space="0"/>
            </w:tcBorders>
            <w:vAlign w:val="center"/>
          </w:tcPr>
          <w:p>
            <w:pPr>
              <w:jc w:val="center"/>
              <w:rPr>
                <w:rFonts w:ascii="宋体"/>
                <w:sz w:val="18"/>
              </w:rPr>
            </w:pPr>
            <w:r>
              <w:rPr>
                <w:rFonts w:hint="eastAsia" w:ascii="宋体"/>
                <w:sz w:val="18"/>
              </w:rPr>
              <w:t>乌褐</w:t>
            </w:r>
          </w:p>
        </w:tc>
        <w:tc>
          <w:tcPr>
            <w:tcW w:w="1312" w:type="dxa"/>
            <w:tcBorders>
              <w:top w:val="single" w:color="auto" w:sz="4" w:space="0"/>
              <w:bottom w:val="single" w:color="auto" w:sz="4" w:space="0"/>
            </w:tcBorders>
            <w:vAlign w:val="center"/>
          </w:tcPr>
          <w:p>
            <w:pPr>
              <w:widowControl/>
              <w:jc w:val="center"/>
              <w:rPr>
                <w:rFonts w:ascii="宋体" w:hAnsi="宋体"/>
                <w:sz w:val="18"/>
                <w:szCs w:val="18"/>
              </w:rPr>
            </w:pPr>
            <w:r>
              <w:rPr>
                <w:rFonts w:hint="eastAsia" w:ascii="宋体" w:hAnsi="宋体"/>
                <w:sz w:val="18"/>
                <w:szCs w:val="18"/>
              </w:rPr>
              <w:t>陈香显</w:t>
            </w:r>
            <w:r>
              <w:rPr>
                <w:rFonts w:ascii="宋体" w:hAnsi="宋体"/>
                <w:sz w:val="18"/>
                <w:szCs w:val="18"/>
              </w:rPr>
              <w:t xml:space="preserve"> </w:t>
            </w:r>
          </w:p>
        </w:tc>
        <w:tc>
          <w:tcPr>
            <w:tcW w:w="1073" w:type="dxa"/>
            <w:tcBorders>
              <w:top w:val="single" w:color="auto" w:sz="4" w:space="0"/>
              <w:bottom w:val="single" w:color="auto" w:sz="4" w:space="0"/>
            </w:tcBorders>
            <w:vAlign w:val="center"/>
          </w:tcPr>
          <w:p>
            <w:pPr>
              <w:widowControl/>
              <w:jc w:val="center"/>
              <w:rPr>
                <w:rFonts w:ascii="宋体" w:hAnsi="宋体"/>
                <w:sz w:val="18"/>
                <w:szCs w:val="18"/>
              </w:rPr>
            </w:pPr>
            <w:r>
              <w:rPr>
                <w:rFonts w:hint="eastAsia" w:ascii="宋体" w:hAnsi="宋体"/>
                <w:sz w:val="18"/>
                <w:szCs w:val="18"/>
              </w:rPr>
              <w:t>醇和带酸</w:t>
            </w:r>
          </w:p>
        </w:tc>
        <w:tc>
          <w:tcPr>
            <w:tcW w:w="1125" w:type="dxa"/>
            <w:tcBorders>
              <w:top w:val="single" w:color="auto" w:sz="4" w:space="0"/>
              <w:bottom w:val="single" w:color="auto" w:sz="4" w:space="0"/>
            </w:tcBorders>
            <w:vAlign w:val="center"/>
          </w:tcPr>
          <w:p>
            <w:pPr>
              <w:widowControl/>
              <w:jc w:val="center"/>
              <w:rPr>
                <w:rFonts w:ascii="宋体" w:hAnsi="宋体"/>
                <w:sz w:val="18"/>
                <w:szCs w:val="18"/>
              </w:rPr>
            </w:pPr>
            <w:r>
              <w:rPr>
                <w:rFonts w:hint="eastAsia" w:ascii="宋体" w:hAnsi="宋体"/>
                <w:kern w:val="0"/>
                <w:sz w:val="18"/>
                <w:szCs w:val="18"/>
              </w:rPr>
              <w:t>深红、清澈</w:t>
            </w:r>
          </w:p>
        </w:tc>
        <w:tc>
          <w:tcPr>
            <w:tcW w:w="1150" w:type="dxa"/>
            <w:tcBorders>
              <w:top w:val="single" w:color="auto" w:sz="4" w:space="0"/>
              <w:bottom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匀整、柔软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tcBorders>
              <w:top w:val="single" w:color="auto" w:sz="4" w:space="0"/>
              <w:bottom w:val="single" w:color="auto" w:sz="4" w:space="0"/>
            </w:tcBorders>
            <w:vAlign w:val="center"/>
          </w:tcPr>
          <w:p>
            <w:pPr>
              <w:jc w:val="center"/>
              <w:rPr>
                <w:rFonts w:ascii="宋体"/>
                <w:sz w:val="18"/>
              </w:rPr>
            </w:pPr>
            <w:r>
              <w:rPr>
                <w:rFonts w:hint="eastAsia" w:ascii="宋体"/>
                <w:sz w:val="18"/>
              </w:rPr>
              <w:t>后期陈茶</w:t>
            </w:r>
          </w:p>
        </w:tc>
        <w:tc>
          <w:tcPr>
            <w:tcW w:w="705" w:type="dxa"/>
            <w:tcBorders>
              <w:top w:val="single" w:color="auto" w:sz="4" w:space="0"/>
              <w:bottom w:val="single" w:color="auto" w:sz="4" w:space="0"/>
            </w:tcBorders>
            <w:vAlign w:val="center"/>
          </w:tcPr>
          <w:p>
            <w:pPr>
              <w:jc w:val="center"/>
              <w:rPr>
                <w:rFonts w:ascii="宋体"/>
                <w:sz w:val="18"/>
              </w:rPr>
            </w:pPr>
            <w:r>
              <w:rPr>
                <w:rFonts w:hint="eastAsia" w:ascii="宋体"/>
                <w:sz w:val="18"/>
              </w:rPr>
              <w:t>紧结</w:t>
            </w:r>
          </w:p>
        </w:tc>
        <w:tc>
          <w:tcPr>
            <w:tcW w:w="840" w:type="dxa"/>
            <w:tcBorders>
              <w:top w:val="single" w:color="auto" w:sz="4" w:space="0"/>
              <w:bottom w:val="single" w:color="auto" w:sz="4" w:space="0"/>
            </w:tcBorders>
            <w:vAlign w:val="center"/>
          </w:tcPr>
          <w:p>
            <w:pPr>
              <w:jc w:val="center"/>
              <w:rPr>
                <w:rFonts w:ascii="宋体"/>
                <w:sz w:val="18"/>
              </w:rPr>
            </w:pPr>
            <w:r>
              <w:rPr>
                <w:rFonts w:hint="eastAsia" w:ascii="宋体"/>
                <w:sz w:val="18"/>
              </w:rPr>
              <w:t>匀整</w:t>
            </w:r>
          </w:p>
        </w:tc>
        <w:tc>
          <w:tcPr>
            <w:tcW w:w="855" w:type="dxa"/>
            <w:tcBorders>
              <w:top w:val="single" w:color="auto" w:sz="4" w:space="0"/>
              <w:bottom w:val="single" w:color="auto" w:sz="4" w:space="0"/>
            </w:tcBorders>
            <w:vAlign w:val="center"/>
          </w:tcPr>
          <w:p>
            <w:pPr>
              <w:jc w:val="center"/>
              <w:rPr>
                <w:rFonts w:ascii="宋体"/>
                <w:sz w:val="18"/>
              </w:rPr>
            </w:pPr>
            <w:r>
              <w:rPr>
                <w:rFonts w:hint="eastAsia" w:ascii="宋体"/>
                <w:sz w:val="18"/>
              </w:rPr>
              <w:t>洁净</w:t>
            </w:r>
          </w:p>
        </w:tc>
        <w:tc>
          <w:tcPr>
            <w:tcW w:w="1224" w:type="dxa"/>
            <w:tcBorders>
              <w:top w:val="single" w:color="auto" w:sz="4" w:space="0"/>
              <w:bottom w:val="single" w:color="auto" w:sz="4" w:space="0"/>
            </w:tcBorders>
            <w:vAlign w:val="center"/>
          </w:tcPr>
          <w:p>
            <w:pPr>
              <w:rPr>
                <w:rFonts w:ascii="宋体"/>
                <w:sz w:val="18"/>
              </w:rPr>
            </w:pPr>
            <w:r>
              <w:rPr>
                <w:rFonts w:hint="eastAsia" w:ascii="宋体"/>
                <w:sz w:val="18"/>
              </w:rPr>
              <w:t>乌褐、较润</w:t>
            </w:r>
          </w:p>
        </w:tc>
        <w:tc>
          <w:tcPr>
            <w:tcW w:w="1312" w:type="dxa"/>
            <w:tcBorders>
              <w:top w:val="single" w:color="auto" w:sz="4" w:space="0"/>
              <w:bottom w:val="single" w:color="auto" w:sz="4" w:space="0"/>
            </w:tcBorders>
            <w:vAlign w:val="center"/>
          </w:tcPr>
          <w:p>
            <w:pPr>
              <w:widowControl/>
              <w:jc w:val="center"/>
              <w:rPr>
                <w:rFonts w:ascii="宋体" w:hAnsi="宋体"/>
                <w:sz w:val="18"/>
                <w:szCs w:val="18"/>
              </w:rPr>
            </w:pPr>
            <w:r>
              <w:rPr>
                <w:rFonts w:hint="eastAsia" w:ascii="宋体" w:hAnsi="宋体"/>
                <w:sz w:val="18"/>
                <w:szCs w:val="18"/>
              </w:rPr>
              <w:t>陈香显，带草蜜香或五谷香</w:t>
            </w:r>
          </w:p>
        </w:tc>
        <w:tc>
          <w:tcPr>
            <w:tcW w:w="1073" w:type="dxa"/>
            <w:tcBorders>
              <w:top w:val="single" w:color="auto" w:sz="4" w:space="0"/>
              <w:bottom w:val="single" w:color="auto" w:sz="4" w:space="0"/>
            </w:tcBorders>
            <w:vAlign w:val="center"/>
          </w:tcPr>
          <w:p>
            <w:pPr>
              <w:widowControl/>
              <w:jc w:val="center"/>
              <w:rPr>
                <w:rFonts w:ascii="宋体" w:hAnsi="宋体"/>
                <w:sz w:val="18"/>
                <w:szCs w:val="18"/>
              </w:rPr>
            </w:pPr>
            <w:r>
              <w:rPr>
                <w:rFonts w:hint="eastAsia" w:ascii="宋体" w:hAnsi="宋体"/>
                <w:sz w:val="18"/>
                <w:szCs w:val="18"/>
              </w:rPr>
              <w:t>陈醇浓厚</w:t>
            </w:r>
          </w:p>
        </w:tc>
        <w:tc>
          <w:tcPr>
            <w:tcW w:w="1125" w:type="dxa"/>
            <w:tcBorders>
              <w:top w:val="single" w:color="auto" w:sz="4" w:space="0"/>
              <w:bottom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暗红</w:t>
            </w:r>
          </w:p>
        </w:tc>
        <w:tc>
          <w:tcPr>
            <w:tcW w:w="1150" w:type="dxa"/>
            <w:tcBorders>
              <w:top w:val="single" w:color="auto" w:sz="4" w:space="0"/>
              <w:bottom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匀整、柔软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tcBorders>
              <w:top w:val="single" w:color="auto" w:sz="4" w:space="0"/>
              <w:bottom w:val="single" w:color="auto" w:sz="4" w:space="0"/>
            </w:tcBorders>
            <w:vAlign w:val="center"/>
          </w:tcPr>
          <w:p>
            <w:pPr>
              <w:jc w:val="center"/>
              <w:rPr>
                <w:rFonts w:ascii="宋体"/>
                <w:sz w:val="18"/>
              </w:rPr>
            </w:pPr>
            <w:r>
              <w:rPr>
                <w:rFonts w:hint="eastAsia" w:ascii="宋体"/>
                <w:sz w:val="18"/>
              </w:rPr>
              <w:t>老</w:t>
            </w:r>
            <w:r>
              <w:rPr>
                <w:rFonts w:hint="eastAsia" w:ascii="宋体"/>
                <w:sz w:val="18"/>
                <w:lang w:val="en-US" w:eastAsia="zh-CN"/>
              </w:rPr>
              <w:t xml:space="preserve">  </w:t>
            </w:r>
            <w:r>
              <w:rPr>
                <w:rFonts w:hint="eastAsia" w:ascii="宋体"/>
                <w:sz w:val="18"/>
              </w:rPr>
              <w:t>茶</w:t>
            </w:r>
          </w:p>
        </w:tc>
        <w:tc>
          <w:tcPr>
            <w:tcW w:w="705" w:type="dxa"/>
            <w:tcBorders>
              <w:top w:val="single" w:color="auto" w:sz="4" w:space="0"/>
              <w:bottom w:val="single" w:color="auto" w:sz="4" w:space="0"/>
            </w:tcBorders>
            <w:vAlign w:val="center"/>
          </w:tcPr>
          <w:p>
            <w:pPr>
              <w:jc w:val="center"/>
              <w:rPr>
                <w:rFonts w:ascii="宋体"/>
                <w:sz w:val="18"/>
              </w:rPr>
            </w:pPr>
            <w:r>
              <w:rPr>
                <w:rFonts w:hint="eastAsia" w:ascii="宋体"/>
                <w:sz w:val="18"/>
              </w:rPr>
              <w:t>紧结</w:t>
            </w:r>
          </w:p>
        </w:tc>
        <w:tc>
          <w:tcPr>
            <w:tcW w:w="840" w:type="dxa"/>
            <w:tcBorders>
              <w:top w:val="single" w:color="auto" w:sz="4" w:space="0"/>
              <w:bottom w:val="single" w:color="auto" w:sz="4" w:space="0"/>
            </w:tcBorders>
            <w:vAlign w:val="center"/>
          </w:tcPr>
          <w:p>
            <w:pPr>
              <w:jc w:val="center"/>
              <w:rPr>
                <w:rFonts w:ascii="宋体"/>
                <w:sz w:val="18"/>
              </w:rPr>
            </w:pPr>
            <w:r>
              <w:rPr>
                <w:rFonts w:hint="eastAsia" w:ascii="宋体"/>
                <w:sz w:val="18"/>
              </w:rPr>
              <w:t>匀整</w:t>
            </w:r>
          </w:p>
        </w:tc>
        <w:tc>
          <w:tcPr>
            <w:tcW w:w="855" w:type="dxa"/>
            <w:tcBorders>
              <w:top w:val="single" w:color="auto" w:sz="4" w:space="0"/>
              <w:bottom w:val="single" w:color="auto" w:sz="4" w:space="0"/>
            </w:tcBorders>
            <w:vAlign w:val="center"/>
          </w:tcPr>
          <w:p>
            <w:pPr>
              <w:jc w:val="center"/>
              <w:rPr>
                <w:rFonts w:ascii="宋体"/>
                <w:sz w:val="18"/>
              </w:rPr>
            </w:pPr>
            <w:r>
              <w:rPr>
                <w:rFonts w:hint="eastAsia" w:ascii="宋体"/>
                <w:sz w:val="18"/>
              </w:rPr>
              <w:t>洁净</w:t>
            </w:r>
          </w:p>
        </w:tc>
        <w:tc>
          <w:tcPr>
            <w:tcW w:w="1224" w:type="dxa"/>
            <w:tcBorders>
              <w:top w:val="single" w:color="auto" w:sz="4" w:space="0"/>
              <w:bottom w:val="single" w:color="auto" w:sz="4" w:space="0"/>
            </w:tcBorders>
            <w:vAlign w:val="center"/>
          </w:tcPr>
          <w:p>
            <w:pPr>
              <w:rPr>
                <w:rFonts w:ascii="宋体"/>
                <w:sz w:val="18"/>
              </w:rPr>
            </w:pPr>
            <w:r>
              <w:rPr>
                <w:rFonts w:hint="eastAsia" w:ascii="宋体"/>
                <w:sz w:val="18"/>
              </w:rPr>
              <w:t>灰褐、较润</w:t>
            </w:r>
          </w:p>
        </w:tc>
        <w:tc>
          <w:tcPr>
            <w:tcW w:w="1312" w:type="dxa"/>
            <w:tcBorders>
              <w:top w:val="single" w:color="auto" w:sz="4" w:space="0"/>
              <w:bottom w:val="single" w:color="auto" w:sz="4" w:space="0"/>
            </w:tcBorders>
            <w:vAlign w:val="center"/>
          </w:tcPr>
          <w:p>
            <w:pPr>
              <w:widowControl/>
              <w:jc w:val="center"/>
              <w:rPr>
                <w:rFonts w:ascii="宋体" w:hAnsi="宋体"/>
                <w:sz w:val="18"/>
                <w:szCs w:val="18"/>
              </w:rPr>
            </w:pPr>
            <w:r>
              <w:rPr>
                <w:rFonts w:hint="eastAsia" w:ascii="宋体"/>
                <w:sz w:val="18"/>
              </w:rPr>
              <w:t>陈香浓郁，带参香</w:t>
            </w:r>
          </w:p>
        </w:tc>
        <w:tc>
          <w:tcPr>
            <w:tcW w:w="1073" w:type="dxa"/>
            <w:tcBorders>
              <w:top w:val="single" w:color="auto" w:sz="4" w:space="0"/>
              <w:bottom w:val="single" w:color="auto" w:sz="4" w:space="0"/>
            </w:tcBorders>
            <w:vAlign w:val="center"/>
          </w:tcPr>
          <w:p>
            <w:pPr>
              <w:widowControl/>
              <w:jc w:val="center"/>
              <w:rPr>
                <w:rFonts w:ascii="宋体" w:hAnsi="宋体"/>
                <w:sz w:val="18"/>
                <w:szCs w:val="18"/>
              </w:rPr>
            </w:pPr>
            <w:r>
              <w:rPr>
                <w:rFonts w:hint="eastAsia" w:ascii="宋体" w:hAnsi="宋体"/>
                <w:sz w:val="18"/>
                <w:szCs w:val="18"/>
              </w:rPr>
              <w:t>陈醇浓厚、顺滑</w:t>
            </w:r>
          </w:p>
        </w:tc>
        <w:tc>
          <w:tcPr>
            <w:tcW w:w="1125" w:type="dxa"/>
            <w:tcBorders>
              <w:top w:val="single" w:color="auto" w:sz="4" w:space="0"/>
              <w:bottom w:val="single" w:color="auto" w:sz="4" w:space="0"/>
            </w:tcBorders>
            <w:vAlign w:val="center"/>
          </w:tcPr>
          <w:p>
            <w:pPr>
              <w:widowControl/>
              <w:jc w:val="center"/>
              <w:rPr>
                <w:rFonts w:ascii="宋体" w:hAnsi="宋体"/>
                <w:sz w:val="18"/>
                <w:szCs w:val="18"/>
              </w:rPr>
            </w:pPr>
            <w:r>
              <w:rPr>
                <w:rFonts w:hint="eastAsia" w:ascii="宋体" w:hAnsi="宋体"/>
                <w:kern w:val="0"/>
                <w:sz w:val="18"/>
                <w:szCs w:val="18"/>
              </w:rPr>
              <w:t>暗红</w:t>
            </w:r>
          </w:p>
        </w:tc>
        <w:tc>
          <w:tcPr>
            <w:tcW w:w="1150" w:type="dxa"/>
            <w:tcBorders>
              <w:top w:val="single" w:color="auto" w:sz="4" w:space="0"/>
              <w:bottom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匀整、柔软</w:t>
            </w:r>
          </w:p>
        </w:tc>
      </w:tr>
    </w:tbl>
    <w:p>
      <w:pPr>
        <w:pStyle w:val="60"/>
        <w:numPr>
          <w:ilvl w:val="1"/>
          <w:numId w:val="0"/>
        </w:numPr>
        <w:spacing w:before="156" w:after="156"/>
      </w:pPr>
    </w:p>
    <w:p>
      <w:pPr>
        <w:pStyle w:val="60"/>
        <w:spacing w:before="156" w:after="156"/>
      </w:pPr>
      <w:r>
        <w:rPr>
          <w:rFonts w:hint="eastAsia"/>
          <w:lang w:val="zh-CN"/>
        </w:rPr>
        <w:t>理化指标</w:t>
      </w:r>
    </w:p>
    <w:p>
      <w:pPr>
        <w:pStyle w:val="142"/>
        <w:spacing w:after="80" w:line="240" w:lineRule="auto"/>
        <w:ind w:firstLine="420"/>
        <w:jc w:val="left"/>
        <w:rPr>
          <w:rFonts w:hAnsi="Times New Roman" w:cs="Times New Roman"/>
          <w:sz w:val="21"/>
          <w:szCs w:val="22"/>
          <w:lang w:val="en-US" w:bidi="ar-SA"/>
        </w:rPr>
      </w:pPr>
      <w:r>
        <w:rPr>
          <w:rFonts w:hint="eastAsia" w:hAnsi="Times New Roman" w:cs="Times New Roman"/>
          <w:sz w:val="21"/>
          <w:szCs w:val="22"/>
          <w:lang w:val="en-US" w:bidi="ar-SA"/>
        </w:rPr>
        <w:t>理化指标应符合表2的规定。</w:t>
      </w:r>
    </w:p>
    <w:p>
      <w:pPr>
        <w:pStyle w:val="142"/>
        <w:spacing w:after="80" w:line="240" w:lineRule="auto"/>
        <w:jc w:val="center"/>
        <w:rPr>
          <w:rFonts w:ascii="黑体" w:hAnsi="Times New Roman" w:eastAsia="黑体" w:cs="Times New Roman"/>
          <w:sz w:val="21"/>
          <w:szCs w:val="22"/>
          <w:lang w:val="en-US" w:bidi="ar-SA"/>
        </w:rPr>
      </w:pPr>
      <w:r>
        <w:rPr>
          <w:rFonts w:hint="eastAsia" w:ascii="黑体" w:hAnsi="Times New Roman" w:eastAsia="黑体" w:cs="Times New Roman"/>
          <w:sz w:val="21"/>
          <w:szCs w:val="22"/>
          <w:lang w:val="en-US" w:bidi="ar-SA"/>
        </w:rPr>
        <w:t>表2</w:t>
      </w:r>
      <w:r>
        <w:rPr>
          <w:rFonts w:hint="eastAsia" w:ascii="黑体" w:hAnsi="Times New Roman" w:eastAsia="黑体" w:cs="Times New Roman"/>
          <w:sz w:val="21"/>
          <w:szCs w:val="22"/>
          <w:lang w:val="en-US" w:eastAsia="zh-CN" w:bidi="ar-SA"/>
        </w:rPr>
        <w:t xml:space="preserve"> </w:t>
      </w:r>
      <w:r>
        <w:rPr>
          <w:rFonts w:hint="eastAsia" w:ascii="黑体" w:hAnsi="Times New Roman" w:eastAsia="黑体" w:cs="Times New Roman"/>
          <w:sz w:val="21"/>
          <w:szCs w:val="22"/>
          <w:lang w:val="en-US" w:bidi="ar-SA"/>
        </w:rPr>
        <w:t>理化指标</w:t>
      </w:r>
    </w:p>
    <w:tbl>
      <w:tblPr>
        <w:tblStyle w:val="31"/>
        <w:tblW w:w="9225" w:type="dxa"/>
        <w:jc w:val="center"/>
        <w:tblLayout w:type="fixed"/>
        <w:tblCellMar>
          <w:top w:w="0" w:type="dxa"/>
          <w:left w:w="10" w:type="dxa"/>
          <w:bottom w:w="0" w:type="dxa"/>
          <w:right w:w="10" w:type="dxa"/>
        </w:tblCellMar>
      </w:tblPr>
      <w:tblGrid>
        <w:gridCol w:w="4699"/>
        <w:gridCol w:w="4526"/>
      </w:tblGrid>
      <w:tr>
        <w:tblPrEx>
          <w:tblCellMar>
            <w:top w:w="0" w:type="dxa"/>
            <w:left w:w="10" w:type="dxa"/>
            <w:bottom w:w="0" w:type="dxa"/>
            <w:right w:w="10" w:type="dxa"/>
          </w:tblCellMar>
        </w:tblPrEx>
        <w:trPr>
          <w:trHeight w:val="322" w:hRule="exact"/>
          <w:jc w:val="center"/>
        </w:trPr>
        <w:tc>
          <w:tcPr>
            <w:tcW w:w="4699" w:type="dxa"/>
            <w:tcBorders>
              <w:top w:val="single" w:color="auto" w:sz="4" w:space="0"/>
              <w:left w:val="single" w:color="auto" w:sz="4" w:space="0"/>
            </w:tcBorders>
            <w:shd w:val="clear" w:color="auto" w:fill="FFFFFF"/>
            <w:vAlign w:val="bottom"/>
          </w:tcPr>
          <w:p>
            <w:pPr>
              <w:pStyle w:val="144"/>
              <w:spacing w:line="240" w:lineRule="auto"/>
              <w:jc w:val="center"/>
            </w:pPr>
            <w:r>
              <w:t>项目</w:t>
            </w:r>
          </w:p>
        </w:tc>
        <w:tc>
          <w:tcPr>
            <w:tcW w:w="4526" w:type="dxa"/>
            <w:tcBorders>
              <w:top w:val="single" w:color="auto" w:sz="4" w:space="0"/>
              <w:left w:val="single" w:color="auto" w:sz="4" w:space="0"/>
              <w:right w:val="single" w:color="auto" w:sz="4" w:space="0"/>
            </w:tcBorders>
            <w:shd w:val="clear" w:color="auto" w:fill="FFFFFF"/>
            <w:vAlign w:val="bottom"/>
          </w:tcPr>
          <w:p>
            <w:pPr>
              <w:pStyle w:val="144"/>
              <w:spacing w:line="240" w:lineRule="auto"/>
              <w:jc w:val="center"/>
            </w:pPr>
            <w:r>
              <w:t>指标</w:t>
            </w:r>
          </w:p>
        </w:tc>
      </w:tr>
      <w:tr>
        <w:tblPrEx>
          <w:tblCellMar>
            <w:top w:w="0" w:type="dxa"/>
            <w:left w:w="10" w:type="dxa"/>
            <w:bottom w:w="0" w:type="dxa"/>
            <w:right w:w="10" w:type="dxa"/>
          </w:tblCellMar>
        </w:tblPrEx>
        <w:trPr>
          <w:trHeight w:val="317" w:hRule="exact"/>
          <w:jc w:val="center"/>
        </w:trPr>
        <w:tc>
          <w:tcPr>
            <w:tcW w:w="4699" w:type="dxa"/>
            <w:tcBorders>
              <w:top w:val="single" w:color="auto" w:sz="4" w:space="0"/>
              <w:left w:val="single" w:color="auto" w:sz="4" w:space="0"/>
            </w:tcBorders>
            <w:shd w:val="clear" w:color="auto" w:fill="FFFFFF"/>
            <w:vAlign w:val="bottom"/>
          </w:tcPr>
          <w:p>
            <w:pPr>
              <w:pStyle w:val="144"/>
              <w:tabs>
                <w:tab w:val="left" w:pos="4243"/>
              </w:tabs>
              <w:spacing w:line="240" w:lineRule="auto"/>
              <w:jc w:val="left"/>
            </w:pPr>
            <w:r>
              <w:t>水分</w:t>
            </w:r>
            <w:r>
              <w:rPr>
                <w:rFonts w:hint="eastAsia"/>
              </w:rPr>
              <w:t>（质量分数）</w:t>
            </w:r>
            <w:r>
              <w:t>/%</w:t>
            </w:r>
            <w:r>
              <w:tab/>
            </w:r>
            <w:r>
              <w:rPr>
                <w:rFonts w:hint="eastAsia"/>
                <w:lang w:val="en-US"/>
              </w:rPr>
              <w:t xml:space="preserve"> ≤</w:t>
            </w:r>
          </w:p>
        </w:tc>
        <w:tc>
          <w:tcPr>
            <w:tcW w:w="4526" w:type="dxa"/>
            <w:tcBorders>
              <w:top w:val="single" w:color="auto" w:sz="4" w:space="0"/>
              <w:left w:val="single" w:color="auto" w:sz="4" w:space="0"/>
              <w:right w:val="single" w:color="auto" w:sz="4" w:space="0"/>
            </w:tcBorders>
            <w:shd w:val="clear" w:color="auto" w:fill="FFFFFF"/>
            <w:vAlign w:val="bottom"/>
          </w:tcPr>
          <w:p>
            <w:pPr>
              <w:pStyle w:val="144"/>
              <w:spacing w:line="240" w:lineRule="auto"/>
              <w:jc w:val="center"/>
              <w:rPr>
                <w:lang w:val="en-US"/>
              </w:rPr>
            </w:pPr>
            <w:r>
              <w:rPr>
                <w:rFonts w:hint="eastAsia"/>
                <w:lang w:val="en-US" w:bidi="en-US"/>
              </w:rPr>
              <w:t>7.0</w:t>
            </w:r>
          </w:p>
        </w:tc>
      </w:tr>
      <w:tr>
        <w:tblPrEx>
          <w:tblCellMar>
            <w:top w:w="0" w:type="dxa"/>
            <w:left w:w="10" w:type="dxa"/>
            <w:bottom w:w="0" w:type="dxa"/>
            <w:right w:w="10" w:type="dxa"/>
          </w:tblCellMar>
        </w:tblPrEx>
        <w:trPr>
          <w:trHeight w:val="312" w:hRule="exact"/>
          <w:jc w:val="center"/>
        </w:trPr>
        <w:tc>
          <w:tcPr>
            <w:tcW w:w="4699" w:type="dxa"/>
            <w:tcBorders>
              <w:top w:val="single" w:color="auto" w:sz="4" w:space="0"/>
              <w:left w:val="single" w:color="auto" w:sz="4" w:space="0"/>
            </w:tcBorders>
            <w:shd w:val="clear" w:color="auto" w:fill="FFFFFF"/>
            <w:vAlign w:val="bottom"/>
          </w:tcPr>
          <w:p>
            <w:pPr>
              <w:pStyle w:val="144"/>
              <w:tabs>
                <w:tab w:val="left" w:pos="4291"/>
              </w:tabs>
              <w:spacing w:line="240" w:lineRule="auto"/>
              <w:jc w:val="left"/>
            </w:pPr>
            <w:r>
              <w:t>粉末</w:t>
            </w:r>
            <w:r>
              <w:rPr>
                <w:rFonts w:hint="eastAsia"/>
              </w:rPr>
              <w:t>（质量分数）</w:t>
            </w:r>
            <w:r>
              <w:t>/%</w:t>
            </w:r>
            <w:r>
              <w:tab/>
            </w:r>
            <w:r>
              <w:rPr>
                <w:rFonts w:hint="eastAsia"/>
                <w:lang w:val="en-US"/>
              </w:rPr>
              <w:t>≤</w:t>
            </w:r>
          </w:p>
        </w:tc>
        <w:tc>
          <w:tcPr>
            <w:tcW w:w="4526" w:type="dxa"/>
            <w:tcBorders>
              <w:top w:val="single" w:color="auto" w:sz="4" w:space="0"/>
              <w:left w:val="single" w:color="auto" w:sz="4" w:space="0"/>
              <w:right w:val="single" w:color="auto" w:sz="4" w:space="0"/>
            </w:tcBorders>
            <w:shd w:val="clear" w:color="auto" w:fill="FFFFFF"/>
            <w:vAlign w:val="bottom"/>
          </w:tcPr>
          <w:p>
            <w:pPr>
              <w:pStyle w:val="144"/>
              <w:spacing w:line="240" w:lineRule="auto"/>
              <w:jc w:val="center"/>
              <w:rPr>
                <w:lang w:val="en-US"/>
              </w:rPr>
            </w:pPr>
            <w:r>
              <w:rPr>
                <w:rFonts w:hint="eastAsia"/>
                <w:lang w:val="en-US"/>
              </w:rPr>
              <w:t>1.3</w:t>
            </w:r>
          </w:p>
        </w:tc>
      </w:tr>
      <w:tr>
        <w:tblPrEx>
          <w:tblCellMar>
            <w:top w:w="0" w:type="dxa"/>
            <w:left w:w="10" w:type="dxa"/>
            <w:bottom w:w="0" w:type="dxa"/>
            <w:right w:w="10" w:type="dxa"/>
          </w:tblCellMar>
        </w:tblPrEx>
        <w:trPr>
          <w:trHeight w:val="312" w:hRule="exact"/>
          <w:jc w:val="center"/>
        </w:trPr>
        <w:tc>
          <w:tcPr>
            <w:tcW w:w="4699" w:type="dxa"/>
            <w:tcBorders>
              <w:top w:val="single" w:color="auto" w:sz="4" w:space="0"/>
              <w:left w:val="single" w:color="auto" w:sz="4" w:space="0"/>
            </w:tcBorders>
            <w:shd w:val="clear" w:color="auto" w:fill="FFFFFF"/>
            <w:vAlign w:val="bottom"/>
          </w:tcPr>
          <w:p>
            <w:pPr>
              <w:pStyle w:val="144"/>
              <w:tabs>
                <w:tab w:val="left" w:pos="4291"/>
              </w:tabs>
              <w:spacing w:line="240" w:lineRule="auto"/>
              <w:jc w:val="left"/>
            </w:pPr>
            <w:r>
              <w:rPr>
                <w:rFonts w:hint="eastAsia"/>
              </w:rPr>
              <w:t>碎茶（质量分数）</w:t>
            </w:r>
            <w:r>
              <w:t>/%</w:t>
            </w:r>
            <w:r>
              <w:tab/>
            </w:r>
            <w:r>
              <w:rPr>
                <w:rFonts w:hint="eastAsia"/>
                <w:lang w:val="en-US"/>
              </w:rPr>
              <w:t>≤</w:t>
            </w:r>
          </w:p>
        </w:tc>
        <w:tc>
          <w:tcPr>
            <w:tcW w:w="4526" w:type="dxa"/>
            <w:tcBorders>
              <w:top w:val="single" w:color="auto" w:sz="4" w:space="0"/>
              <w:left w:val="single" w:color="auto" w:sz="4" w:space="0"/>
              <w:right w:val="single" w:color="auto" w:sz="4" w:space="0"/>
            </w:tcBorders>
            <w:shd w:val="clear" w:color="auto" w:fill="FFFFFF"/>
            <w:vAlign w:val="bottom"/>
          </w:tcPr>
          <w:p>
            <w:pPr>
              <w:pStyle w:val="144"/>
              <w:spacing w:line="240" w:lineRule="auto"/>
              <w:jc w:val="center"/>
              <w:rPr>
                <w:lang w:val="en-US"/>
              </w:rPr>
            </w:pPr>
            <w:r>
              <w:rPr>
                <w:rFonts w:hint="eastAsia"/>
                <w:lang w:val="en-US"/>
              </w:rPr>
              <w:t>16</w:t>
            </w:r>
          </w:p>
        </w:tc>
      </w:tr>
      <w:tr>
        <w:tblPrEx>
          <w:tblCellMar>
            <w:top w:w="0" w:type="dxa"/>
            <w:left w:w="10" w:type="dxa"/>
            <w:bottom w:w="0" w:type="dxa"/>
            <w:right w:w="10" w:type="dxa"/>
          </w:tblCellMar>
        </w:tblPrEx>
        <w:trPr>
          <w:trHeight w:val="312" w:hRule="exact"/>
          <w:jc w:val="center"/>
        </w:trPr>
        <w:tc>
          <w:tcPr>
            <w:tcW w:w="4699" w:type="dxa"/>
            <w:tcBorders>
              <w:top w:val="single" w:color="auto" w:sz="4" w:space="0"/>
              <w:left w:val="single" w:color="auto" w:sz="4" w:space="0"/>
            </w:tcBorders>
            <w:shd w:val="clear" w:color="auto" w:fill="FFFFFF"/>
            <w:vAlign w:val="bottom"/>
          </w:tcPr>
          <w:p>
            <w:pPr>
              <w:pStyle w:val="144"/>
              <w:tabs>
                <w:tab w:val="left" w:pos="4234"/>
              </w:tabs>
              <w:spacing w:line="240" w:lineRule="auto"/>
              <w:jc w:val="left"/>
            </w:pPr>
            <w:r>
              <w:t>灰分</w:t>
            </w:r>
            <w:r>
              <w:rPr>
                <w:rFonts w:hint="eastAsia"/>
              </w:rPr>
              <w:t>（质量分数）</w:t>
            </w:r>
            <w:r>
              <w:t>/%</w:t>
            </w:r>
            <w:r>
              <w:tab/>
            </w:r>
            <w:r>
              <w:rPr>
                <w:rFonts w:hint="eastAsia"/>
                <w:lang w:val="en-US"/>
              </w:rPr>
              <w:t xml:space="preserve"> ≤</w:t>
            </w:r>
          </w:p>
        </w:tc>
        <w:tc>
          <w:tcPr>
            <w:tcW w:w="4526" w:type="dxa"/>
            <w:tcBorders>
              <w:top w:val="single" w:color="auto" w:sz="4" w:space="0"/>
              <w:left w:val="single" w:color="auto" w:sz="4" w:space="0"/>
              <w:right w:val="single" w:color="auto" w:sz="4" w:space="0"/>
            </w:tcBorders>
            <w:shd w:val="clear" w:color="auto" w:fill="FFFFFF"/>
            <w:vAlign w:val="bottom"/>
          </w:tcPr>
          <w:p>
            <w:pPr>
              <w:pStyle w:val="144"/>
              <w:spacing w:line="240" w:lineRule="auto"/>
              <w:jc w:val="center"/>
              <w:rPr>
                <w:lang w:val="en-US"/>
              </w:rPr>
            </w:pPr>
            <w:r>
              <w:rPr>
                <w:rFonts w:hint="eastAsia"/>
                <w:lang w:val="en-US" w:bidi="en-US"/>
              </w:rPr>
              <w:t>6.5</w:t>
            </w:r>
          </w:p>
        </w:tc>
      </w:tr>
      <w:tr>
        <w:tblPrEx>
          <w:tblCellMar>
            <w:top w:w="0" w:type="dxa"/>
            <w:left w:w="10" w:type="dxa"/>
            <w:bottom w:w="0" w:type="dxa"/>
            <w:right w:w="10" w:type="dxa"/>
          </w:tblCellMar>
        </w:tblPrEx>
        <w:trPr>
          <w:trHeight w:val="331" w:hRule="exact"/>
          <w:jc w:val="center"/>
        </w:trPr>
        <w:tc>
          <w:tcPr>
            <w:tcW w:w="4699" w:type="dxa"/>
            <w:tcBorders>
              <w:top w:val="single" w:color="auto" w:sz="4" w:space="0"/>
              <w:left w:val="single" w:color="auto" w:sz="4" w:space="0"/>
              <w:bottom w:val="single" w:color="auto" w:sz="4" w:space="0"/>
            </w:tcBorders>
            <w:shd w:val="clear" w:color="auto" w:fill="FFFFFF"/>
          </w:tcPr>
          <w:p>
            <w:pPr>
              <w:pStyle w:val="144"/>
              <w:tabs>
                <w:tab w:val="left" w:pos="4296"/>
              </w:tabs>
              <w:spacing w:line="240" w:lineRule="auto"/>
              <w:jc w:val="left"/>
            </w:pPr>
            <w:r>
              <w:t>水浸出物</w:t>
            </w:r>
            <w:r>
              <w:rPr>
                <w:rFonts w:hint="eastAsia"/>
              </w:rPr>
              <w:t>（质量分数）</w:t>
            </w:r>
            <w:r>
              <w:t>/%</w:t>
            </w:r>
            <w:r>
              <w:tab/>
            </w:r>
            <w:r>
              <w:rPr>
                <w:rFonts w:hint="eastAsia" w:ascii="Arial" w:hAnsi="Arial" w:cs="Arial"/>
                <w:i/>
                <w:iCs/>
              </w:rPr>
              <w:t>≥</w:t>
            </w:r>
          </w:p>
        </w:tc>
        <w:tc>
          <w:tcPr>
            <w:tcW w:w="4526" w:type="dxa"/>
            <w:tcBorders>
              <w:top w:val="single" w:color="auto" w:sz="4" w:space="0"/>
              <w:left w:val="single" w:color="auto" w:sz="4" w:space="0"/>
              <w:bottom w:val="single" w:color="auto" w:sz="4" w:space="0"/>
              <w:right w:val="single" w:color="auto" w:sz="4" w:space="0"/>
            </w:tcBorders>
            <w:shd w:val="clear" w:color="auto" w:fill="FFFFFF"/>
          </w:tcPr>
          <w:p>
            <w:pPr>
              <w:pStyle w:val="144"/>
              <w:spacing w:line="240" w:lineRule="auto"/>
              <w:jc w:val="center"/>
            </w:pPr>
            <w:r>
              <w:rPr>
                <w:lang w:val="en-US" w:eastAsia="en-US" w:bidi="en-US"/>
              </w:rPr>
              <w:t>3</w:t>
            </w:r>
            <w:r>
              <w:rPr>
                <w:rFonts w:hint="eastAsia"/>
                <w:lang w:val="en-US" w:bidi="en-US"/>
              </w:rPr>
              <w:t>2</w:t>
            </w:r>
            <w:r>
              <w:rPr>
                <w:lang w:val="en-US" w:eastAsia="en-US" w:bidi="en-US"/>
              </w:rPr>
              <w:t>.</w:t>
            </w:r>
            <w:r>
              <w:t>0</w:t>
            </w:r>
          </w:p>
        </w:tc>
      </w:tr>
    </w:tbl>
    <w:p>
      <w:pPr>
        <w:pStyle w:val="60"/>
        <w:spacing w:before="156" w:after="156"/>
      </w:pPr>
      <w:r>
        <w:rPr>
          <w:rFonts w:hint="eastAsia"/>
        </w:rPr>
        <w:t>净含量</w:t>
      </w:r>
    </w:p>
    <w:p>
      <w:pPr>
        <w:ind w:firstLine="420" w:firstLineChars="200"/>
        <w:jc w:val="left"/>
        <w:rPr>
          <w:rFonts w:ascii="宋体"/>
          <w:kern w:val="0"/>
          <w:szCs w:val="22"/>
        </w:rPr>
      </w:pPr>
      <w:r>
        <w:rPr>
          <w:rFonts w:hint="eastAsia" w:ascii="宋体"/>
          <w:kern w:val="0"/>
          <w:szCs w:val="22"/>
        </w:rPr>
        <w:t>净含量应符合《定量包装商品计量监督管理办法》的规定。</w:t>
      </w:r>
    </w:p>
    <w:p>
      <w:pPr>
        <w:pStyle w:val="17"/>
        <w:widowControl/>
        <w:numPr>
          <w:ilvl w:val="0"/>
          <w:numId w:val="4"/>
        </w:numPr>
        <w:snapToGrid/>
        <w:spacing w:before="312" w:beforeLines="100" w:after="312" w:afterLines="100"/>
        <w:ind w:right="0" w:rightChars="0"/>
        <w:jc w:val="both"/>
        <w:outlineLvl w:val="1"/>
        <w:rPr>
          <w:rFonts w:hint="eastAsia" w:ascii="黑体" w:hAnsi="Times New Roman" w:eastAsia="黑体" w:cs="Times New Roman"/>
          <w:kern w:val="0"/>
          <w:sz w:val="21"/>
          <w:szCs w:val="22"/>
          <w:lang w:val="en-US" w:eastAsia="zh-CN" w:bidi="ar-SA"/>
        </w:rPr>
      </w:pPr>
      <w:r>
        <w:rPr>
          <w:rFonts w:hint="eastAsia" w:ascii="黑体" w:hAnsi="Times New Roman" w:eastAsia="黑体" w:cs="Times New Roman"/>
          <w:kern w:val="0"/>
          <w:sz w:val="21"/>
          <w:szCs w:val="22"/>
          <w:lang w:val="en-US" w:eastAsia="zh-CN" w:bidi="ar-SA"/>
        </w:rPr>
        <w:t>试验方法</w:t>
      </w:r>
    </w:p>
    <w:p>
      <w:pPr>
        <w:pStyle w:val="60"/>
        <w:spacing w:before="156" w:after="156"/>
      </w:pPr>
      <w:r>
        <w:rPr>
          <w:rFonts w:hint="eastAsia"/>
        </w:rPr>
        <w:t>感官品质</w:t>
      </w:r>
    </w:p>
    <w:p>
      <w:pPr>
        <w:pStyle w:val="23"/>
      </w:pPr>
      <w:r>
        <w:rPr>
          <w:rFonts w:hint="eastAsia"/>
        </w:rPr>
        <w:t>按GB/T 23776的规定执行。</w:t>
      </w:r>
    </w:p>
    <w:p>
      <w:pPr>
        <w:pStyle w:val="60"/>
        <w:spacing w:before="156" w:after="156"/>
      </w:pPr>
      <w:r>
        <w:rPr>
          <w:lang w:val="zh-CN"/>
        </w:rPr>
        <w:t>理化指标</w:t>
      </w:r>
    </w:p>
    <w:p>
      <w:pPr>
        <w:pStyle w:val="59"/>
        <w:spacing w:before="156" w:after="156"/>
        <w:ind w:left="0"/>
        <w:rPr>
          <w:rFonts w:ascii="宋体" w:eastAsia="宋体" w:cs="宋体"/>
        </w:rPr>
      </w:pPr>
      <w:r>
        <w:rPr>
          <w:rFonts w:hint="eastAsia" w:ascii="宋体" w:eastAsia="宋体" w:cs="宋体"/>
        </w:rPr>
        <w:t>6.2.1试样的制备按GB/T 8303的规定执行。</w:t>
      </w:r>
    </w:p>
    <w:p>
      <w:pPr>
        <w:pStyle w:val="59"/>
        <w:spacing w:before="156" w:after="156"/>
        <w:ind w:left="0"/>
        <w:rPr>
          <w:rFonts w:ascii="宋体" w:eastAsia="宋体" w:cs="宋体"/>
        </w:rPr>
      </w:pPr>
      <w:r>
        <w:rPr>
          <w:rFonts w:hint="eastAsia" w:ascii="宋体" w:eastAsia="宋体" w:cs="宋体"/>
        </w:rPr>
        <w:t>6.2.2水分按GB 5009.3的规定执行。</w:t>
      </w:r>
    </w:p>
    <w:p>
      <w:pPr>
        <w:pStyle w:val="59"/>
        <w:spacing w:before="156" w:after="156"/>
        <w:ind w:left="0"/>
        <w:rPr>
          <w:rFonts w:ascii="宋体" w:eastAsia="宋体" w:cs="宋体"/>
        </w:rPr>
      </w:pPr>
      <w:r>
        <w:rPr>
          <w:rFonts w:hint="eastAsia" w:ascii="宋体" w:eastAsia="宋体" w:cs="宋体"/>
        </w:rPr>
        <w:t>6.2.3总灰分按GB 5009.4的规定执行。</w:t>
      </w:r>
    </w:p>
    <w:p>
      <w:pPr>
        <w:pStyle w:val="59"/>
        <w:spacing w:before="156" w:after="156"/>
        <w:ind w:left="0"/>
        <w:rPr>
          <w:rFonts w:ascii="宋体" w:eastAsia="宋体" w:cs="宋体"/>
        </w:rPr>
      </w:pPr>
      <w:r>
        <w:rPr>
          <w:rFonts w:hint="eastAsia" w:ascii="宋体" w:eastAsia="宋体" w:cs="宋体"/>
        </w:rPr>
        <w:t>6.2.4粉末按GB/T 8311的规定执行。</w:t>
      </w:r>
    </w:p>
    <w:p>
      <w:pPr>
        <w:pStyle w:val="59"/>
        <w:spacing w:before="156" w:after="156"/>
        <w:ind w:left="0"/>
        <w:rPr>
          <w:rFonts w:ascii="宋体" w:eastAsia="宋体" w:cs="宋体"/>
        </w:rPr>
      </w:pPr>
      <w:r>
        <w:rPr>
          <w:rFonts w:hint="eastAsia" w:ascii="宋体" w:eastAsia="宋体" w:cs="宋体"/>
        </w:rPr>
        <w:t>6.2.5水浸出物测定按GB/T 8305的规定执行。</w:t>
      </w:r>
    </w:p>
    <w:p>
      <w:pPr>
        <w:pStyle w:val="60"/>
        <w:spacing w:before="156" w:after="156"/>
      </w:pPr>
      <w:r>
        <w:rPr>
          <w:rFonts w:hint="eastAsia"/>
        </w:rPr>
        <w:t>净含量</w:t>
      </w:r>
    </w:p>
    <w:p>
      <w:pPr>
        <w:pStyle w:val="142"/>
        <w:spacing w:after="140" w:line="341" w:lineRule="auto"/>
        <w:ind w:firstLine="420" w:firstLineChars="200"/>
        <w:jc w:val="left"/>
        <w:rPr>
          <w:rFonts w:hAnsi="Times New Roman" w:cs="Times New Roman"/>
          <w:kern w:val="0"/>
          <w:sz w:val="21"/>
          <w:szCs w:val="22"/>
          <w:lang w:val="en-US" w:bidi="ar-SA"/>
        </w:rPr>
      </w:pPr>
      <w:r>
        <w:rPr>
          <w:rFonts w:hint="eastAsia" w:hAnsi="Times New Roman"/>
          <w:kern w:val="0"/>
          <w:sz w:val="21"/>
          <w:szCs w:val="21"/>
          <w:lang w:val="en-US"/>
        </w:rPr>
        <w:t>按</w:t>
      </w:r>
      <w:r>
        <w:rPr>
          <w:rFonts w:hAnsi="Times New Roman"/>
          <w:kern w:val="0"/>
          <w:sz w:val="21"/>
          <w:szCs w:val="21"/>
          <w:lang w:val="en-US"/>
        </w:rPr>
        <w:t>JJF 1070</w:t>
      </w:r>
      <w:r>
        <w:rPr>
          <w:rFonts w:hint="eastAsia" w:hAnsi="Times New Roman"/>
          <w:kern w:val="0"/>
          <w:sz w:val="21"/>
          <w:szCs w:val="21"/>
          <w:lang w:val="en-US"/>
        </w:rPr>
        <w:t>的规定执行</w:t>
      </w:r>
      <w:r>
        <w:rPr>
          <w:rFonts w:hint="eastAsia" w:hAnsi="Times New Roman" w:cs="Times New Roman"/>
          <w:kern w:val="0"/>
          <w:sz w:val="21"/>
          <w:szCs w:val="22"/>
          <w:lang w:val="en-US" w:bidi="ar-SA"/>
        </w:rPr>
        <w:t>。</w:t>
      </w:r>
    </w:p>
    <w:p>
      <w:pPr>
        <w:pStyle w:val="61"/>
        <w:spacing w:before="312" w:after="312"/>
      </w:pPr>
      <w:r>
        <w:rPr>
          <w:rFonts w:hint="eastAsia"/>
        </w:rPr>
        <w:t>检验规则</w:t>
      </w:r>
    </w:p>
    <w:p>
      <w:pPr>
        <w:pStyle w:val="60"/>
        <w:spacing w:before="156" w:after="156"/>
      </w:pPr>
      <w:r>
        <w:rPr>
          <w:rFonts w:hint="eastAsia"/>
        </w:rPr>
        <w:t>取样</w:t>
      </w:r>
    </w:p>
    <w:p>
      <w:pPr>
        <w:pStyle w:val="59"/>
        <w:spacing w:beforeLines="0" w:afterLines="0"/>
        <w:ind w:left="0"/>
      </w:pPr>
      <w:r>
        <w:t xml:space="preserve">7.1.1  </w:t>
      </w:r>
      <w:r>
        <w:rPr>
          <w:rFonts w:hint="eastAsia" w:ascii="宋体" w:eastAsia="宋体" w:cs="宋体"/>
        </w:rPr>
        <w:t>取样以“批”为单位，同一批投料生产、同一班次加工过程中形成的独立数量的产品为一个批次，同批产品的品质和规格一致。</w:t>
      </w:r>
    </w:p>
    <w:p>
      <w:pPr>
        <w:pStyle w:val="59"/>
        <w:spacing w:before="156" w:after="156"/>
        <w:ind w:left="0"/>
        <w:rPr>
          <w:rFonts w:ascii="宋体" w:eastAsia="宋体"/>
        </w:rPr>
      </w:pPr>
      <w:r>
        <w:t xml:space="preserve">7.1.2  </w:t>
      </w:r>
      <w:r>
        <w:rPr>
          <w:rFonts w:hint="eastAsia" w:ascii="宋体" w:eastAsia="宋体" w:cs="宋体"/>
        </w:rPr>
        <w:t>取样按</w:t>
      </w:r>
      <w:r>
        <w:rPr>
          <w:rFonts w:ascii="宋体" w:eastAsia="宋体" w:cs="宋体"/>
        </w:rPr>
        <w:t xml:space="preserve"> GB/T 8302 </w:t>
      </w:r>
      <w:r>
        <w:rPr>
          <w:rFonts w:hint="eastAsia" w:ascii="宋体" w:eastAsia="宋体" w:cs="宋体"/>
        </w:rPr>
        <w:t>的规定执行。</w:t>
      </w:r>
    </w:p>
    <w:p>
      <w:pPr>
        <w:pStyle w:val="60"/>
        <w:spacing w:before="156" w:after="156"/>
      </w:pPr>
      <w:r>
        <w:rPr>
          <w:rFonts w:hint="eastAsia"/>
        </w:rPr>
        <w:t>检验</w:t>
      </w:r>
    </w:p>
    <w:p>
      <w:pPr>
        <w:pStyle w:val="59"/>
        <w:spacing w:before="156" w:after="156"/>
        <w:ind w:left="0"/>
      </w:pPr>
      <w:r>
        <w:t xml:space="preserve">7.2.1  </w:t>
      </w:r>
      <w:r>
        <w:rPr>
          <w:rFonts w:hint="eastAsia"/>
        </w:rPr>
        <w:t>出厂检验</w:t>
      </w:r>
    </w:p>
    <w:p>
      <w:pPr>
        <w:ind w:firstLine="420" w:firstLineChars="200"/>
        <w:jc w:val="left"/>
        <w:rPr>
          <w:rFonts w:ascii="宋体"/>
          <w:kern w:val="0"/>
        </w:rPr>
      </w:pPr>
      <w:r>
        <w:rPr>
          <w:rFonts w:hint="eastAsia" w:ascii="宋体" w:cs="宋体"/>
          <w:kern w:val="0"/>
        </w:rPr>
        <w:t>每批产品均应做出厂检验，经检验合格签发合格证后，方可出厂。出厂检验项目为感官品质、水分、粉末和净含量。</w:t>
      </w:r>
    </w:p>
    <w:p>
      <w:pPr>
        <w:pStyle w:val="59"/>
        <w:spacing w:before="156" w:after="156"/>
        <w:ind w:left="0"/>
      </w:pPr>
      <w:r>
        <w:t xml:space="preserve">7.2.2  </w:t>
      </w:r>
      <w:r>
        <w:rPr>
          <w:rFonts w:hint="eastAsia"/>
        </w:rPr>
        <w:t>型式检验</w:t>
      </w:r>
    </w:p>
    <w:p>
      <w:pPr>
        <w:pStyle w:val="23"/>
      </w:pPr>
      <w:r>
        <w:rPr>
          <w:rFonts w:hint="eastAsia"/>
        </w:rPr>
        <w:t>型式检验项目为本文件第</w:t>
      </w:r>
      <w:r>
        <w:t>5</w:t>
      </w:r>
      <w:r>
        <w:rPr>
          <w:rFonts w:hint="eastAsia"/>
        </w:rPr>
        <w:t>章规定的项目，检验周期每年一次。有下列情况之一时，</w:t>
      </w:r>
      <w:r>
        <w:t xml:space="preserve"> </w:t>
      </w:r>
      <w:r>
        <w:rPr>
          <w:rFonts w:hint="eastAsia"/>
        </w:rPr>
        <w:t>应进行型式检验：</w:t>
      </w:r>
    </w:p>
    <w:p>
      <w:pPr>
        <w:pStyle w:val="23"/>
      </w:pPr>
      <w:r>
        <w:t>a)</w:t>
      </w:r>
      <w:r>
        <w:rPr>
          <w:rFonts w:hint="eastAsia"/>
        </w:rPr>
        <w:t>如原料有较大改变，可能影响产品质量时；</w:t>
      </w:r>
    </w:p>
    <w:p>
      <w:pPr>
        <w:pStyle w:val="23"/>
      </w:pPr>
      <w:r>
        <w:t>b)</w:t>
      </w:r>
      <w:r>
        <w:rPr>
          <w:rFonts w:hint="eastAsia"/>
        </w:rPr>
        <w:t>出厂检验结果与上一次型式检验结果有较大出入时；</w:t>
      </w:r>
    </w:p>
    <w:p>
      <w:pPr>
        <w:pStyle w:val="23"/>
      </w:pPr>
      <w:r>
        <w:t>c)</w:t>
      </w:r>
      <w:r>
        <w:rPr>
          <w:rFonts w:hint="eastAsia"/>
        </w:rPr>
        <w:t>国家法定质量监督机构提出型式检验要求时。</w:t>
      </w:r>
    </w:p>
    <w:p>
      <w:pPr>
        <w:pStyle w:val="60"/>
        <w:spacing w:before="156" w:after="156"/>
      </w:pPr>
      <w:r>
        <w:rPr>
          <w:rFonts w:hint="eastAsia"/>
        </w:rPr>
        <w:t>判定规则</w:t>
      </w:r>
    </w:p>
    <w:p>
      <w:pPr>
        <w:pStyle w:val="23"/>
      </w:pPr>
      <w:r>
        <w:rPr>
          <w:rFonts w:hint="eastAsia"/>
        </w:rPr>
        <w:t>按本文件第</w:t>
      </w:r>
      <w:r>
        <w:t>5</w:t>
      </w:r>
      <w:r>
        <w:rPr>
          <w:rFonts w:hint="eastAsia"/>
        </w:rPr>
        <w:t>章规定的项目，任一项目不符合规定，均判定该批产品不合格。</w:t>
      </w:r>
    </w:p>
    <w:p>
      <w:pPr>
        <w:pStyle w:val="60"/>
        <w:spacing w:before="156" w:after="156"/>
      </w:pPr>
      <w:r>
        <w:rPr>
          <w:rFonts w:hint="eastAsia"/>
        </w:rPr>
        <w:t>复检</w:t>
      </w:r>
    </w:p>
    <w:p>
      <w:pPr>
        <w:pStyle w:val="23"/>
      </w:pPr>
      <w:r>
        <w:rPr>
          <w:rFonts w:hint="eastAsia"/>
        </w:rPr>
        <w:t>对检验结果有争议时，应对留存样或在同批产品中重新按</w:t>
      </w:r>
      <w:r>
        <w:t xml:space="preserve"> GB/T 8302 </w:t>
      </w:r>
      <w:r>
        <w:rPr>
          <w:rFonts w:hint="eastAsia"/>
        </w:rPr>
        <w:t>的规定加倍取样对所争议的项目进行复检，以复检结果为准。</w:t>
      </w:r>
    </w:p>
    <w:p>
      <w:pPr>
        <w:pStyle w:val="61"/>
        <w:spacing w:before="312" w:after="312"/>
      </w:pPr>
      <w:r>
        <w:rPr>
          <w:rFonts w:hint="eastAsia"/>
        </w:rPr>
        <w:t>标志、标签、包装、运输和贮存</w:t>
      </w:r>
    </w:p>
    <w:p>
      <w:pPr>
        <w:pStyle w:val="60"/>
        <w:spacing w:before="156" w:after="156"/>
      </w:pPr>
      <w:r>
        <w:rPr>
          <w:rFonts w:hint="eastAsia"/>
        </w:rPr>
        <w:t>标志、标签</w:t>
      </w:r>
    </w:p>
    <w:p>
      <w:pPr>
        <w:pStyle w:val="59"/>
        <w:spacing w:before="156" w:after="156"/>
        <w:ind w:left="0" w:firstLine="420" w:firstLineChars="200"/>
        <w:rPr>
          <w:rFonts w:ascii="宋体" w:hAnsi="宋体" w:eastAsia="宋体"/>
        </w:rPr>
      </w:pPr>
      <w:r>
        <w:rPr>
          <w:rFonts w:hint="eastAsia" w:ascii="宋体" w:hAnsi="宋体" w:eastAsia="宋体" w:cs="宋体"/>
        </w:rPr>
        <w:t>产品包装储运</w:t>
      </w:r>
      <w:r>
        <w:rPr>
          <w:rFonts w:hint="eastAsia" w:hAnsi="宋体" w:eastAsia="宋体" w:cs="宋体"/>
        </w:rPr>
        <w:t>图示</w:t>
      </w:r>
      <w:r>
        <w:rPr>
          <w:rFonts w:hint="eastAsia" w:ascii="宋体" w:hAnsi="宋体" w:eastAsia="宋体" w:cs="宋体"/>
        </w:rPr>
        <w:t>标志应符合</w:t>
      </w:r>
      <w:r>
        <w:rPr>
          <w:rFonts w:ascii="宋体" w:hAnsi="宋体" w:eastAsia="宋体" w:cs="宋体"/>
        </w:rPr>
        <w:t xml:space="preserve">GB/T 191 </w:t>
      </w:r>
      <w:r>
        <w:rPr>
          <w:rFonts w:hint="eastAsia" w:ascii="宋体" w:hAnsi="宋体" w:eastAsia="宋体" w:cs="宋体"/>
        </w:rPr>
        <w:t>的规定，</w:t>
      </w:r>
      <w:r>
        <w:rPr>
          <w:rFonts w:hint="eastAsia" w:hAnsi="宋体" w:eastAsia="宋体" w:cs="宋体"/>
        </w:rPr>
        <w:t>产品的</w:t>
      </w:r>
      <w:r>
        <w:rPr>
          <w:rFonts w:hint="eastAsia" w:ascii="宋体" w:hAnsi="宋体" w:eastAsia="宋体" w:cs="宋体"/>
        </w:rPr>
        <w:t>标签应符合</w:t>
      </w:r>
      <w:r>
        <w:rPr>
          <w:rFonts w:ascii="宋体" w:hAnsi="宋体" w:eastAsia="宋体" w:cs="宋体"/>
        </w:rPr>
        <w:t xml:space="preserve">GB 7718 </w:t>
      </w:r>
      <w:r>
        <w:rPr>
          <w:rFonts w:hint="eastAsia" w:ascii="宋体" w:hAnsi="宋体" w:eastAsia="宋体" w:cs="宋体"/>
        </w:rPr>
        <w:t>和《国家质量监督检验检疫总局关于修改（食品标识管理规定）的决定》的规定。</w:t>
      </w:r>
    </w:p>
    <w:p>
      <w:pPr>
        <w:pStyle w:val="60"/>
        <w:spacing w:before="156" w:after="156"/>
      </w:pPr>
      <w:r>
        <w:rPr>
          <w:rFonts w:hint="eastAsia"/>
        </w:rPr>
        <w:t>包装</w:t>
      </w:r>
    </w:p>
    <w:p>
      <w:pPr>
        <w:ind w:firstLine="420" w:firstLineChars="200"/>
        <w:jc w:val="left"/>
        <w:rPr>
          <w:rFonts w:ascii="宋体"/>
          <w:kern w:val="0"/>
        </w:rPr>
      </w:pPr>
      <w:r>
        <w:rPr>
          <w:rFonts w:hint="eastAsia" w:ascii="宋体" w:cs="宋体"/>
          <w:kern w:val="0"/>
        </w:rPr>
        <w:t>应符合</w:t>
      </w:r>
      <w:r>
        <w:rPr>
          <w:rFonts w:ascii="宋体" w:cs="宋体"/>
          <w:kern w:val="0"/>
        </w:rPr>
        <w:t>GH/T 1070</w:t>
      </w:r>
      <w:r>
        <w:rPr>
          <w:rFonts w:hint="eastAsia" w:ascii="宋体" w:cs="宋体"/>
          <w:kern w:val="0"/>
        </w:rPr>
        <w:t>的规定。包装容器应用干燥、清洁、卫生、无异味、便于运输的材料制成，接触茶叶的包装材料应符合</w:t>
      </w:r>
      <w:r>
        <w:rPr>
          <w:rFonts w:ascii="宋体" w:cs="宋体"/>
          <w:kern w:val="0"/>
        </w:rPr>
        <w:t>GB 9683</w:t>
      </w:r>
      <w:r>
        <w:rPr>
          <w:rFonts w:hint="eastAsia" w:ascii="宋体" w:cs="宋体"/>
          <w:kern w:val="0"/>
        </w:rPr>
        <w:t>、</w:t>
      </w:r>
      <w:r>
        <w:rPr>
          <w:rFonts w:ascii="宋体" w:cs="宋体"/>
          <w:kern w:val="0"/>
        </w:rPr>
        <w:t>GB 4806.7</w:t>
      </w:r>
      <w:r>
        <w:rPr>
          <w:rFonts w:hint="eastAsia" w:ascii="宋体" w:cs="宋体"/>
          <w:kern w:val="0"/>
        </w:rPr>
        <w:t>、</w:t>
      </w:r>
      <w:r>
        <w:rPr>
          <w:rFonts w:ascii="宋体" w:cs="宋体"/>
          <w:kern w:val="0"/>
        </w:rPr>
        <w:t>GB 4806.8</w:t>
      </w:r>
      <w:r>
        <w:rPr>
          <w:rFonts w:hint="eastAsia" w:ascii="宋体" w:cs="宋体"/>
          <w:kern w:val="0"/>
        </w:rPr>
        <w:t>、</w:t>
      </w:r>
      <w:r>
        <w:rPr>
          <w:rFonts w:ascii="宋体" w:cs="宋体"/>
          <w:kern w:val="0"/>
        </w:rPr>
        <w:t>GB4806.9</w:t>
      </w:r>
      <w:r>
        <w:rPr>
          <w:rFonts w:hint="eastAsia" w:ascii="宋体" w:cs="宋体"/>
          <w:kern w:val="0"/>
        </w:rPr>
        <w:t>等标准的规定。</w:t>
      </w:r>
    </w:p>
    <w:p>
      <w:pPr>
        <w:pStyle w:val="60"/>
        <w:spacing w:before="156" w:after="156"/>
      </w:pPr>
      <w:r>
        <w:rPr>
          <w:rFonts w:hint="eastAsia"/>
        </w:rPr>
        <w:t>运输</w:t>
      </w:r>
    </w:p>
    <w:p>
      <w:pPr>
        <w:ind w:firstLine="420" w:firstLineChars="200"/>
        <w:jc w:val="left"/>
        <w:rPr>
          <w:rFonts w:ascii="宋体"/>
          <w:kern w:val="0"/>
        </w:rPr>
      </w:pPr>
      <w:r>
        <w:rPr>
          <w:rFonts w:hint="eastAsia" w:ascii="宋体" w:cs="宋体"/>
          <w:kern w:val="0"/>
        </w:rPr>
        <w:t>运输工具必须清洁、干燥、无异味、无污染。运输时必须有防雨、防潮、防暴晒措施。严禁与有毒、有害、有异味、易污染的物品混装、混运。</w:t>
      </w:r>
    </w:p>
    <w:p>
      <w:pPr>
        <w:pStyle w:val="60"/>
        <w:spacing w:before="156" w:after="156"/>
      </w:pPr>
      <w:r>
        <w:rPr>
          <w:rFonts w:hint="eastAsia"/>
        </w:rPr>
        <w:t>贮存</w:t>
      </w:r>
    </w:p>
    <w:p>
      <w:pPr>
        <w:ind w:firstLine="420" w:firstLineChars="200"/>
        <w:jc w:val="left"/>
        <w:rPr>
          <w:rFonts w:ascii="宋体"/>
          <w:kern w:val="0"/>
          <w:szCs w:val="22"/>
        </w:rPr>
      </w:pPr>
      <w:r>
        <w:rPr>
          <w:rFonts w:hint="eastAsia" w:ascii="宋体"/>
          <w:kern w:val="0"/>
          <w:szCs w:val="22"/>
        </w:rPr>
        <w:t>应符合GB/T 30375 的规定。产品可长期保存。</w:t>
      </w:r>
    </w:p>
    <w:p>
      <w:pPr>
        <w:pStyle w:val="23"/>
      </w:pPr>
    </w:p>
    <w:p>
      <w:pPr>
        <w:pStyle w:val="23"/>
        <w:ind w:firstLine="0" w:firstLineChars="0"/>
      </w:pPr>
    </w:p>
    <w:p>
      <w:pPr>
        <w:pStyle w:val="127"/>
      </w:pPr>
      <w:r>
        <w:t>_________________________________</w:t>
      </w:r>
    </w:p>
    <w:sectPr>
      <w:headerReference r:id="rId6" w:type="default"/>
      <w:footerReference r:id="rId7" w:type="default"/>
      <w:pgSz w:w="11906" w:h="16838"/>
      <w:pgMar w:top="567" w:right="1134" w:bottom="1134" w:left="1418" w:header="1418" w:footer="1134" w:gutter="0"/>
      <w:pgNumType w:start="1"/>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62927872" behindDoc="1" locked="0" layoutInCell="1" allowOverlap="1">
              <wp:simplePos x="0" y="0"/>
              <wp:positionH relativeFrom="page">
                <wp:posOffset>6517005</wp:posOffset>
              </wp:positionH>
              <wp:positionV relativeFrom="page">
                <wp:posOffset>9833610</wp:posOffset>
              </wp:positionV>
              <wp:extent cx="94615" cy="76200"/>
              <wp:effectExtent l="0" t="0" r="0" b="0"/>
              <wp:wrapNone/>
              <wp:docPr id="33" name="Shape 33"/>
              <wp:cNvGraphicFramePr/>
              <a:graphic xmlns:a="http://schemas.openxmlformats.org/drawingml/2006/main">
                <a:graphicData uri="http://schemas.microsoft.com/office/word/2010/wordprocessingShape">
                  <wps:wsp>
                    <wps:cNvSpPr txBox="1"/>
                    <wps:spPr>
                      <a:xfrm>
                        <a:off x="0" y="0"/>
                        <a:ext cx="94615" cy="76200"/>
                      </a:xfrm>
                      <a:prstGeom prst="rect">
                        <a:avLst/>
                      </a:prstGeom>
                      <a:noFill/>
                    </wps:spPr>
                    <wps:txbx>
                      <w:txbxContent>
                        <w:p>
                          <w:pPr>
                            <w:pStyle w:val="146"/>
                            <w:jc w:val="left"/>
                            <w:rPr>
                              <w:sz w:val="17"/>
                              <w:szCs w:val="17"/>
                            </w:rPr>
                          </w:pPr>
                          <w:r>
                            <w:fldChar w:fldCharType="begin"/>
                          </w:r>
                          <w:r>
                            <w:instrText xml:space="preserve"> PAGE \* MERGEFORMAT </w:instrText>
                          </w:r>
                          <w:r>
                            <w:fldChar w:fldCharType="separate"/>
                          </w:r>
                          <w:r>
                            <w:rPr>
                              <w:rFonts w:ascii="宋体" w:hAnsi="宋体" w:cs="宋体"/>
                              <w:color w:val="000000"/>
                              <w:sz w:val="17"/>
                              <w:szCs w:val="17"/>
                              <w:lang w:val="zh-CN" w:bidi="zh-CN"/>
                            </w:rPr>
                            <w:t>#</w:t>
                          </w:r>
                          <w:r>
                            <w:rPr>
                              <w:rFonts w:ascii="宋体" w:hAnsi="宋体" w:cs="宋体"/>
                              <w:color w:val="000000"/>
                              <w:sz w:val="17"/>
                              <w:szCs w:val="17"/>
                              <w:lang w:val="zh-CN" w:bidi="zh-CN"/>
                            </w:rPr>
                            <w:fldChar w:fldCharType="end"/>
                          </w:r>
                        </w:p>
                      </w:txbxContent>
                    </wps:txbx>
                    <wps:bodyPr wrap="none" lIns="0" tIns="0" rIns="0" bIns="0">
                      <a:spAutoFit/>
                    </wps:bodyPr>
                  </wps:wsp>
                </a:graphicData>
              </a:graphic>
            </wp:anchor>
          </w:drawing>
        </mc:Choice>
        <mc:Fallback>
          <w:pict>
            <v:shape id="Shape 33" o:spid="_x0000_s1026" o:spt="202" type="#_x0000_t202" style="position:absolute;left:0pt;margin-left:513.15pt;margin-top:774.3pt;height:6pt;width:7.45pt;mso-position-horizontal-relative:page;mso-position-vertical-relative:page;mso-wrap-style:none;z-index:-440388608;mso-width-relative:page;mso-height-relative:page;" filled="f" stroked="f" coordsize="21600,21600" o:gfxdata="UEsDBAoAAAAAAIdO4kAAAAAAAAAAAAAAAAAEAAAAZHJzL1BLAwQUAAAACACHTuJA5P3W59kAAAAP&#10;AQAADwAAAGRycy9kb3ducmV2LnhtbE2PzU7DMBCE70i8g7WVuFE7oZgoxOmhEhduFITEzY23cVT/&#10;RLabJm+Pc4Lbzu5o9ptmP1tDJgxx8E5AsWVA0HVeDa4X8PX59lgBiUk6JY13KGDBCPv2/q6RtfI3&#10;94HTMfUkh7hYSwE6pbGmNHYarYxbP6LLt7MPVqYsQ09VkLccbg0tGePUysHlD1qOeNDYXY5XK+Bl&#10;/vY4Rjzgz3nqgh6WyrwvQjxsCvYKJOGc/syw4md0aDPTyV+disRkzUr+lL15et5VHMjqYbuiBHJa&#10;d5xxoG1D//dofwFQSwMEFAAAAAgAh07iQCtKKLqsAQAAbwMAAA4AAABkcnMvZTJvRG9jLnhtbK1T&#10;wW7bMAy9F+g/CLo3TtotXY04RYegw4BhK9D1AxRZigVIoiAqsfP3o2QnLbpLD73YFEU/vvdIr+4H&#10;Z9lBRTTgG76YzTlTXkJr/K7hL38fr75xhkn4VljwquFHhfx+fXmx6kOtrqED26rICMRj3YeGdymF&#10;uqpQdsoJnEFQni41RCcSHeOuaqPoCd3Z6no+X1Y9xDZEkAqRspvxkk+I8SOAoLWRagNy75RPI2pU&#10;ViSShJ0JyNeFrdZKpj9ao0rMNpyUpvKkJhRv87Nar0S9iyJ0Rk4UxEcovNPkhPHU9Ay1EUmwfTT/&#10;QTkjIyDoNJPgqlFIcYRULObvvHnuRFBFC1mN4Ww6fh6s/H14isy0Db+54cwLRxMvbRmdyZw+YE01&#10;z4Gq0vAdBlqZUx4pmTUPOrr8JjWM7sna49laNSQmKXn3Zbn4ypmkm9slrUHGqF4/DRHTDwWO5aDh&#10;keZW7BSHX5jG0lNJ7uTh0Vib85nfyCNHadgOE+kttEfi3NNoG+5pkzmzPz05l7fgFMRTsJ2CDI7h&#10;YZ+oQembUUeoqRnNoTCfdiYP+u25VL3+J+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P3W59kA&#10;AAAPAQAADwAAAAAAAAABACAAAAAiAAAAZHJzL2Rvd25yZXYueG1sUEsBAhQAFAAAAAgAh07iQCtK&#10;KLqsAQAAbwMAAA4AAAAAAAAAAQAgAAAAKAEAAGRycy9lMm9Eb2MueG1sUEsFBgAAAAAGAAYAWQEA&#10;AEYFAAAAAA==&#10;">
              <v:fill on="f" focussize="0,0"/>
              <v:stroke on="f"/>
              <v:imagedata o:title=""/>
              <o:lock v:ext="edit" aspectratio="f"/>
              <v:textbox inset="0mm,0mm,0mm,0mm" style="mso-fit-shape-to-text:t;">
                <w:txbxContent>
                  <w:p>
                    <w:pPr>
                      <w:pStyle w:val="146"/>
                      <w:jc w:val="left"/>
                      <w:rPr>
                        <w:sz w:val="17"/>
                        <w:szCs w:val="17"/>
                      </w:rPr>
                    </w:pPr>
                    <w:r>
                      <w:fldChar w:fldCharType="begin"/>
                    </w:r>
                    <w:r>
                      <w:instrText xml:space="preserve"> PAGE \* MERGEFORMAT </w:instrText>
                    </w:r>
                    <w:r>
                      <w:fldChar w:fldCharType="separate"/>
                    </w:r>
                    <w:r>
                      <w:rPr>
                        <w:rFonts w:ascii="宋体" w:hAnsi="宋体" w:cs="宋体"/>
                        <w:color w:val="000000"/>
                        <w:sz w:val="17"/>
                        <w:szCs w:val="17"/>
                        <w:lang w:val="zh-CN" w:bidi="zh-CN"/>
                      </w:rPr>
                      <w:t>#</w:t>
                    </w:r>
                    <w:r>
                      <w:rPr>
                        <w:rFonts w:ascii="宋体" w:hAnsi="宋体" w:cs="宋体"/>
                        <w:color w:val="000000"/>
                        <w:sz w:val="17"/>
                        <w:szCs w:val="17"/>
                        <w:lang w:val="zh-CN" w:bidi="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ind w:firstLine="1050"/>
    </w:pPr>
    <w:r>
      <w:t xml:space="preserve">T/CSTEA </w:t>
    </w:r>
    <w:r>
      <w:rPr>
        <w:rFonts w:hint="eastAsia"/>
      </w:rPr>
      <w:t>XXXX</w:t>
    </w:r>
    <w:r>
      <w:t>--20</w:t>
    </w:r>
    <w:r>
      <w:rPr>
        <w:rFonts w:hint="eastAsia"/>
      </w:rPr>
      <w:t>20</w:t>
    </w: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ind w:firstLine="10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108"/>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50"/>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114"/>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0DDE2B46"/>
    <w:multiLevelType w:val="multilevel"/>
    <w:tmpl w:val="0DDE2B46"/>
    <w:lvl w:ilvl="0" w:tentative="0">
      <w:start w:val="1"/>
      <w:numFmt w:val="lowerLetter"/>
      <w:pStyle w:val="121"/>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122"/>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5">
    <w:nsid w:val="1FC91163"/>
    <w:multiLevelType w:val="multilevel"/>
    <w:tmpl w:val="1FC91163"/>
    <w:lvl w:ilvl="0" w:tentative="0">
      <w:start w:val="1"/>
      <w:numFmt w:val="decimal"/>
      <w:pStyle w:val="61"/>
      <w:suff w:val="nothing"/>
      <w:lvlText w:val="%1　"/>
      <w:lvlJc w:val="left"/>
      <w:rPr>
        <w:rFonts w:hint="eastAsia" w:ascii="黑体" w:hAnsi="Times New Roman" w:eastAsia="黑体" w:cs="Times New Roman"/>
        <w:b w:val="0"/>
        <w:i w:val="0"/>
        <w:sz w:val="21"/>
        <w:szCs w:val="21"/>
      </w:rPr>
    </w:lvl>
    <w:lvl w:ilvl="1" w:tentative="0">
      <w:start w:val="1"/>
      <w:numFmt w:val="decimal"/>
      <w:pStyle w:val="60"/>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567"/>
      </w:pPr>
      <w:rPr>
        <w:rFonts w:hint="eastAsia" w:ascii="黑体" w:hAnsi="Times New Roman" w:eastAsia="黑体" w:cs="Times New Roman"/>
        <w:b w:val="0"/>
        <w:i w:val="0"/>
        <w:sz w:val="21"/>
      </w:rPr>
    </w:lvl>
    <w:lvl w:ilvl="3" w:tentative="0">
      <w:start w:val="1"/>
      <w:numFmt w:val="decimal"/>
      <w:suff w:val="nothing"/>
      <w:lvlText w:val="%1.%2.%3.%4　"/>
      <w:lvlJc w:val="left"/>
      <w:pPr>
        <w:ind w:left="709"/>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57"/>
      <w:suff w:val="space"/>
      <w:lvlText w:val="%1"/>
      <w:lvlJc w:val="left"/>
      <w:pPr>
        <w:ind w:left="623" w:hanging="425"/>
      </w:pPr>
      <w:rPr>
        <w:rFonts w:hint="eastAsia" w:cs="Times New Roman"/>
      </w:rPr>
    </w:lvl>
    <w:lvl w:ilvl="1" w:tentative="0">
      <w:start w:val="1"/>
      <w:numFmt w:val="decimal"/>
      <w:pStyle w:val="131"/>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81"/>
      <w:suff w:val="nothing"/>
      <w:lvlText w:val="%1——"/>
      <w:lvlJc w:val="left"/>
      <w:pPr>
        <w:ind w:left="833" w:hanging="408"/>
      </w:pPr>
      <w:rPr>
        <w:rFonts w:hint="eastAsia" w:cs="Times New Roman"/>
      </w:rPr>
    </w:lvl>
    <w:lvl w:ilvl="1" w:tentative="0">
      <w:start w:val="1"/>
      <w:numFmt w:val="bullet"/>
      <w:pStyle w:val="90"/>
      <w:lvlText w:val=""/>
      <w:lvlJc w:val="left"/>
      <w:pPr>
        <w:tabs>
          <w:tab w:val="left" w:pos="760"/>
        </w:tabs>
        <w:ind w:left="1264" w:hanging="413"/>
      </w:pPr>
      <w:rPr>
        <w:rFonts w:hint="default" w:ascii="Symbol" w:hAnsi="Symbol"/>
        <w:color w:val="auto"/>
      </w:rPr>
    </w:lvl>
    <w:lvl w:ilvl="2" w:tentative="0">
      <w:start w:val="1"/>
      <w:numFmt w:val="bullet"/>
      <w:pStyle w:val="7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9">
    <w:nsid w:val="44C50F90"/>
    <w:multiLevelType w:val="multilevel"/>
    <w:tmpl w:val="44C50F90"/>
    <w:lvl w:ilvl="0" w:tentative="0">
      <w:start w:val="1"/>
      <w:numFmt w:val="lowerLetter"/>
      <w:pStyle w:val="67"/>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130"/>
      <w:lvlText w:val="%2)"/>
      <w:lvlJc w:val="left"/>
      <w:pPr>
        <w:tabs>
          <w:tab w:val="left" w:pos="1260"/>
        </w:tabs>
        <w:ind w:left="1259" w:hanging="419"/>
      </w:pPr>
      <w:rPr>
        <w:rFonts w:hint="eastAsia" w:cs="Times New Roman"/>
      </w:rPr>
    </w:lvl>
    <w:lvl w:ilvl="2" w:tentative="0">
      <w:start w:val="1"/>
      <w:numFmt w:val="decimal"/>
      <w:pStyle w:val="107"/>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0">
    <w:nsid w:val="4B733A5F"/>
    <w:multiLevelType w:val="multilevel"/>
    <w:tmpl w:val="4B733A5F"/>
    <w:lvl w:ilvl="0" w:tentative="0">
      <w:start w:val="1"/>
      <w:numFmt w:val="decimal"/>
      <w:pStyle w:val="74"/>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57C2AF5"/>
    <w:multiLevelType w:val="multilevel"/>
    <w:tmpl w:val="557C2AF5"/>
    <w:lvl w:ilvl="0" w:tentative="0">
      <w:start w:val="1"/>
      <w:numFmt w:val="decimal"/>
      <w:pStyle w:val="66"/>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0B55DC2"/>
    <w:multiLevelType w:val="multilevel"/>
    <w:tmpl w:val="60B55DC2"/>
    <w:lvl w:ilvl="0" w:tentative="0">
      <w:start w:val="1"/>
      <w:numFmt w:val="upperLetter"/>
      <w:pStyle w:val="62"/>
      <w:lvlText w:val="%1"/>
      <w:lvlJc w:val="left"/>
      <w:pPr>
        <w:tabs>
          <w:tab w:val="left" w:pos="0"/>
        </w:tabs>
        <w:ind w:hanging="425"/>
      </w:pPr>
      <w:rPr>
        <w:rFonts w:hint="eastAsia" w:cs="Times New Roman"/>
      </w:rPr>
    </w:lvl>
    <w:lvl w:ilvl="1" w:tentative="0">
      <w:start w:val="1"/>
      <w:numFmt w:val="decimal"/>
      <w:pStyle w:val="140"/>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3">
    <w:nsid w:val="646260FA"/>
    <w:multiLevelType w:val="multilevel"/>
    <w:tmpl w:val="646260FA"/>
    <w:lvl w:ilvl="0" w:tentative="0">
      <w:start w:val="1"/>
      <w:numFmt w:val="decimal"/>
      <w:pStyle w:val="137"/>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4457"/>
        </w:tabs>
        <w:ind w:left="4457" w:hanging="567"/>
      </w:pPr>
      <w:rPr>
        <w:rFonts w:hint="eastAsia" w:cs="Times New Roman"/>
      </w:rPr>
    </w:lvl>
    <w:lvl w:ilvl="2" w:tentative="0">
      <w:start w:val="1"/>
      <w:numFmt w:val="decimal"/>
      <w:lvlText w:val="%1.%2.%3"/>
      <w:lvlJc w:val="left"/>
      <w:pPr>
        <w:tabs>
          <w:tab w:val="left" w:pos="4883"/>
        </w:tabs>
        <w:ind w:left="4883" w:hanging="567"/>
      </w:pPr>
      <w:rPr>
        <w:rFonts w:hint="eastAsia" w:cs="Times New Roman"/>
      </w:rPr>
    </w:lvl>
    <w:lvl w:ilvl="3" w:tentative="0">
      <w:start w:val="1"/>
      <w:numFmt w:val="decimal"/>
      <w:lvlText w:val="%1.%2.%3.%4"/>
      <w:lvlJc w:val="left"/>
      <w:pPr>
        <w:tabs>
          <w:tab w:val="left" w:pos="5449"/>
        </w:tabs>
        <w:ind w:left="5449" w:hanging="708"/>
      </w:pPr>
      <w:rPr>
        <w:rFonts w:hint="eastAsia" w:cs="Times New Roman"/>
      </w:rPr>
    </w:lvl>
    <w:lvl w:ilvl="4" w:tentative="0">
      <w:start w:val="1"/>
      <w:numFmt w:val="decimal"/>
      <w:lvlText w:val="%1.%2.%3.%4.%5"/>
      <w:lvlJc w:val="left"/>
      <w:pPr>
        <w:tabs>
          <w:tab w:val="left" w:pos="6016"/>
        </w:tabs>
        <w:ind w:left="6016" w:hanging="850"/>
      </w:pPr>
      <w:rPr>
        <w:rFonts w:hint="eastAsia" w:cs="Times New Roman"/>
      </w:rPr>
    </w:lvl>
    <w:lvl w:ilvl="5" w:tentative="0">
      <w:start w:val="1"/>
      <w:numFmt w:val="decimal"/>
      <w:lvlText w:val="%1.%2.%3.%4.%5.%6"/>
      <w:lvlJc w:val="left"/>
      <w:pPr>
        <w:tabs>
          <w:tab w:val="left" w:pos="6725"/>
        </w:tabs>
        <w:ind w:left="6725" w:hanging="1134"/>
      </w:pPr>
      <w:rPr>
        <w:rFonts w:hint="eastAsia" w:cs="Times New Roman"/>
      </w:rPr>
    </w:lvl>
    <w:lvl w:ilvl="6" w:tentative="0">
      <w:start w:val="1"/>
      <w:numFmt w:val="decimal"/>
      <w:lvlText w:val="%1.%2.%3.%4.%5.%6.%7"/>
      <w:lvlJc w:val="left"/>
      <w:pPr>
        <w:tabs>
          <w:tab w:val="left" w:pos="7292"/>
        </w:tabs>
        <w:ind w:left="7292" w:hanging="1276"/>
      </w:pPr>
      <w:rPr>
        <w:rFonts w:hint="eastAsia" w:cs="Times New Roman"/>
      </w:rPr>
    </w:lvl>
    <w:lvl w:ilvl="7" w:tentative="0">
      <w:start w:val="1"/>
      <w:numFmt w:val="decimal"/>
      <w:lvlText w:val="%1.%2.%3.%4.%5.%6.%7.%8"/>
      <w:lvlJc w:val="left"/>
      <w:pPr>
        <w:tabs>
          <w:tab w:val="left" w:pos="7859"/>
        </w:tabs>
        <w:ind w:left="7859" w:hanging="1418"/>
      </w:pPr>
      <w:rPr>
        <w:rFonts w:hint="eastAsia" w:cs="Times New Roman"/>
      </w:rPr>
    </w:lvl>
    <w:lvl w:ilvl="8" w:tentative="0">
      <w:start w:val="1"/>
      <w:numFmt w:val="decimal"/>
      <w:lvlText w:val="%1.%2.%3.%4.%5.%6.%7.%8.%9"/>
      <w:lvlJc w:val="left"/>
      <w:pPr>
        <w:tabs>
          <w:tab w:val="left" w:pos="8567"/>
        </w:tabs>
        <w:ind w:left="8567" w:hanging="1700"/>
      </w:pPr>
      <w:rPr>
        <w:rFonts w:hint="eastAsia" w:cs="Times New Roman"/>
      </w:rPr>
    </w:lvl>
  </w:abstractNum>
  <w:abstractNum w:abstractNumId="14">
    <w:nsid w:val="657D3FBC"/>
    <w:multiLevelType w:val="multilevel"/>
    <w:tmpl w:val="657D3FBC"/>
    <w:lvl w:ilvl="0" w:tentative="0">
      <w:start w:val="1"/>
      <w:numFmt w:val="upperLetter"/>
      <w:pStyle w:val="136"/>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09"/>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D6C07CD"/>
    <w:multiLevelType w:val="multilevel"/>
    <w:tmpl w:val="6D6C07CD"/>
    <w:lvl w:ilvl="0" w:tentative="0">
      <w:start w:val="1"/>
      <w:numFmt w:val="lowerLetter"/>
      <w:pStyle w:val="111"/>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32"/>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6">
    <w:nsid w:val="6DBF04F4"/>
    <w:multiLevelType w:val="multilevel"/>
    <w:tmpl w:val="6DBF04F4"/>
    <w:lvl w:ilvl="0" w:tentative="0">
      <w:start w:val="1"/>
      <w:numFmt w:val="none"/>
      <w:pStyle w:val="78"/>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8"/>
  </w:num>
  <w:num w:numId="2">
    <w:abstractNumId w:val="1"/>
  </w:num>
  <w:num w:numId="3">
    <w:abstractNumId w:val="6"/>
  </w:num>
  <w:num w:numId="4">
    <w:abstractNumId w:val="5"/>
  </w:num>
  <w:num w:numId="5">
    <w:abstractNumId w:val="12"/>
  </w:num>
  <w:num w:numId="6">
    <w:abstractNumId w:val="11"/>
  </w:num>
  <w:num w:numId="7">
    <w:abstractNumId w:val="9"/>
  </w:num>
  <w:num w:numId="8">
    <w:abstractNumId w:val="7"/>
  </w:num>
  <w:num w:numId="9">
    <w:abstractNumId w:val="10"/>
  </w:num>
  <w:num w:numId="10">
    <w:abstractNumId w:val="16"/>
  </w:num>
  <w:num w:numId="11">
    <w:abstractNumId w:val="0"/>
  </w:num>
  <w:num w:numId="12">
    <w:abstractNumId w:val="14"/>
  </w:num>
  <w:num w:numId="13">
    <w:abstractNumId w:val="15"/>
  </w:num>
  <w:num w:numId="14">
    <w:abstractNumId w:val="2"/>
  </w:num>
  <w:num w:numId="15">
    <w:abstractNumId w:val="3"/>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val="1"/>
  <w:bordersDoNotSurroundHeader w:val="1"/>
  <w:bordersDoNotSurroundFooter w:val="1"/>
  <w:attachedTemplate r:id="rId1"/>
  <w:documentProtection w:edit="forms"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09"/>
    <w:rsid w:val="00000244"/>
    <w:rsid w:val="0000185F"/>
    <w:rsid w:val="00004CDE"/>
    <w:rsid w:val="0000586F"/>
    <w:rsid w:val="00013D86"/>
    <w:rsid w:val="00013E02"/>
    <w:rsid w:val="0002143C"/>
    <w:rsid w:val="00025A65"/>
    <w:rsid w:val="00026C31"/>
    <w:rsid w:val="00027280"/>
    <w:rsid w:val="0003147E"/>
    <w:rsid w:val="000320A7"/>
    <w:rsid w:val="00035925"/>
    <w:rsid w:val="00036DBF"/>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E270C"/>
    <w:rsid w:val="000E74F7"/>
    <w:rsid w:val="000F030C"/>
    <w:rsid w:val="000F129C"/>
    <w:rsid w:val="000F1713"/>
    <w:rsid w:val="000F53A2"/>
    <w:rsid w:val="000F5F6A"/>
    <w:rsid w:val="001056DE"/>
    <w:rsid w:val="001124C0"/>
    <w:rsid w:val="001150EF"/>
    <w:rsid w:val="001271E7"/>
    <w:rsid w:val="0013175F"/>
    <w:rsid w:val="001512B4"/>
    <w:rsid w:val="001526CD"/>
    <w:rsid w:val="00157173"/>
    <w:rsid w:val="00161001"/>
    <w:rsid w:val="001620A5"/>
    <w:rsid w:val="00163B24"/>
    <w:rsid w:val="00163C9A"/>
    <w:rsid w:val="00164E53"/>
    <w:rsid w:val="0016699D"/>
    <w:rsid w:val="00175159"/>
    <w:rsid w:val="001759AE"/>
    <w:rsid w:val="00176208"/>
    <w:rsid w:val="00181AAF"/>
    <w:rsid w:val="0018211B"/>
    <w:rsid w:val="001838AD"/>
    <w:rsid w:val="001840D3"/>
    <w:rsid w:val="001900F8"/>
    <w:rsid w:val="00191258"/>
    <w:rsid w:val="00192680"/>
    <w:rsid w:val="00193037"/>
    <w:rsid w:val="00193A2C"/>
    <w:rsid w:val="001A288E"/>
    <w:rsid w:val="001B6DC2"/>
    <w:rsid w:val="001C149C"/>
    <w:rsid w:val="001C21AC"/>
    <w:rsid w:val="001C47BA"/>
    <w:rsid w:val="001C59EA"/>
    <w:rsid w:val="001D255E"/>
    <w:rsid w:val="001D406C"/>
    <w:rsid w:val="001D41EE"/>
    <w:rsid w:val="001E0380"/>
    <w:rsid w:val="001E13B1"/>
    <w:rsid w:val="001F3A19"/>
    <w:rsid w:val="001F3D42"/>
    <w:rsid w:val="002075C7"/>
    <w:rsid w:val="002206E1"/>
    <w:rsid w:val="00234467"/>
    <w:rsid w:val="00236B3C"/>
    <w:rsid w:val="00237D8D"/>
    <w:rsid w:val="00241DA2"/>
    <w:rsid w:val="00247FEE"/>
    <w:rsid w:val="00250E7D"/>
    <w:rsid w:val="002564FC"/>
    <w:rsid w:val="002565D5"/>
    <w:rsid w:val="002622C0"/>
    <w:rsid w:val="00274B26"/>
    <w:rsid w:val="002778AE"/>
    <w:rsid w:val="002779FE"/>
    <w:rsid w:val="0028269A"/>
    <w:rsid w:val="00283590"/>
    <w:rsid w:val="00286973"/>
    <w:rsid w:val="002938D4"/>
    <w:rsid w:val="00294E70"/>
    <w:rsid w:val="002A04C8"/>
    <w:rsid w:val="002A1924"/>
    <w:rsid w:val="002A4863"/>
    <w:rsid w:val="002A58C7"/>
    <w:rsid w:val="002A7420"/>
    <w:rsid w:val="002A797D"/>
    <w:rsid w:val="002B0F12"/>
    <w:rsid w:val="002B1308"/>
    <w:rsid w:val="002B4554"/>
    <w:rsid w:val="002C27D8"/>
    <w:rsid w:val="002C72D8"/>
    <w:rsid w:val="002D11FA"/>
    <w:rsid w:val="002E0DDF"/>
    <w:rsid w:val="002E2906"/>
    <w:rsid w:val="002E5635"/>
    <w:rsid w:val="002E64C3"/>
    <w:rsid w:val="002E6844"/>
    <w:rsid w:val="002E6A2C"/>
    <w:rsid w:val="002F1D8C"/>
    <w:rsid w:val="002F21DA"/>
    <w:rsid w:val="002F5C0E"/>
    <w:rsid w:val="00301F39"/>
    <w:rsid w:val="00311501"/>
    <w:rsid w:val="0031324D"/>
    <w:rsid w:val="00325926"/>
    <w:rsid w:val="00327A8A"/>
    <w:rsid w:val="00336610"/>
    <w:rsid w:val="00343F73"/>
    <w:rsid w:val="00345060"/>
    <w:rsid w:val="0035323B"/>
    <w:rsid w:val="00353A0C"/>
    <w:rsid w:val="003609D2"/>
    <w:rsid w:val="00363F22"/>
    <w:rsid w:val="0037014D"/>
    <w:rsid w:val="00371BBA"/>
    <w:rsid w:val="003730E3"/>
    <w:rsid w:val="00375564"/>
    <w:rsid w:val="00383191"/>
    <w:rsid w:val="003852E4"/>
    <w:rsid w:val="00386DED"/>
    <w:rsid w:val="003912E7"/>
    <w:rsid w:val="00393947"/>
    <w:rsid w:val="003A2275"/>
    <w:rsid w:val="003A6A4F"/>
    <w:rsid w:val="003A7088"/>
    <w:rsid w:val="003B00DF"/>
    <w:rsid w:val="003B1275"/>
    <w:rsid w:val="003B1778"/>
    <w:rsid w:val="003C0B3B"/>
    <w:rsid w:val="003C11CB"/>
    <w:rsid w:val="003C5B6A"/>
    <w:rsid w:val="003C75F3"/>
    <w:rsid w:val="003C78A3"/>
    <w:rsid w:val="003E1867"/>
    <w:rsid w:val="003E5729"/>
    <w:rsid w:val="003F4EE0"/>
    <w:rsid w:val="00402153"/>
    <w:rsid w:val="00402FC1"/>
    <w:rsid w:val="0040495E"/>
    <w:rsid w:val="00411A62"/>
    <w:rsid w:val="00425082"/>
    <w:rsid w:val="00425B57"/>
    <w:rsid w:val="00431148"/>
    <w:rsid w:val="00431DEB"/>
    <w:rsid w:val="0044150B"/>
    <w:rsid w:val="00446B29"/>
    <w:rsid w:val="00453F9A"/>
    <w:rsid w:val="0047094B"/>
    <w:rsid w:val="00471E91"/>
    <w:rsid w:val="00474675"/>
    <w:rsid w:val="0047470C"/>
    <w:rsid w:val="004A35F9"/>
    <w:rsid w:val="004A5F6A"/>
    <w:rsid w:val="004B24C1"/>
    <w:rsid w:val="004C292F"/>
    <w:rsid w:val="0050223A"/>
    <w:rsid w:val="00502C85"/>
    <w:rsid w:val="00510280"/>
    <w:rsid w:val="00511AC9"/>
    <w:rsid w:val="00513D73"/>
    <w:rsid w:val="00514A43"/>
    <w:rsid w:val="005174AC"/>
    <w:rsid w:val="005174E5"/>
    <w:rsid w:val="00520BC8"/>
    <w:rsid w:val="00521856"/>
    <w:rsid w:val="005219DC"/>
    <w:rsid w:val="00522393"/>
    <w:rsid w:val="00522620"/>
    <w:rsid w:val="00525656"/>
    <w:rsid w:val="00526107"/>
    <w:rsid w:val="00534C02"/>
    <w:rsid w:val="005360C6"/>
    <w:rsid w:val="0054264B"/>
    <w:rsid w:val="00543786"/>
    <w:rsid w:val="005533D7"/>
    <w:rsid w:val="00566A78"/>
    <w:rsid w:val="005703DE"/>
    <w:rsid w:val="00573971"/>
    <w:rsid w:val="0058464E"/>
    <w:rsid w:val="00591E12"/>
    <w:rsid w:val="005A01CB"/>
    <w:rsid w:val="005A58FF"/>
    <w:rsid w:val="005A5EAF"/>
    <w:rsid w:val="005A64C0"/>
    <w:rsid w:val="005B3C11"/>
    <w:rsid w:val="005C1C28"/>
    <w:rsid w:val="005C379D"/>
    <w:rsid w:val="005C6DB5"/>
    <w:rsid w:val="005D36DD"/>
    <w:rsid w:val="005E19E7"/>
    <w:rsid w:val="00604A00"/>
    <w:rsid w:val="00604A09"/>
    <w:rsid w:val="00614233"/>
    <w:rsid w:val="0061716C"/>
    <w:rsid w:val="00617FF8"/>
    <w:rsid w:val="006243A1"/>
    <w:rsid w:val="0063162A"/>
    <w:rsid w:val="00632E56"/>
    <w:rsid w:val="00635CBA"/>
    <w:rsid w:val="0064338B"/>
    <w:rsid w:val="00646542"/>
    <w:rsid w:val="006504F4"/>
    <w:rsid w:val="00654BC9"/>
    <w:rsid w:val="006552FD"/>
    <w:rsid w:val="00663AF3"/>
    <w:rsid w:val="006647E1"/>
    <w:rsid w:val="00666B6C"/>
    <w:rsid w:val="00681F13"/>
    <w:rsid w:val="00682682"/>
    <w:rsid w:val="00682702"/>
    <w:rsid w:val="00687164"/>
    <w:rsid w:val="00692368"/>
    <w:rsid w:val="006A2EBC"/>
    <w:rsid w:val="006A5EA0"/>
    <w:rsid w:val="006A783B"/>
    <w:rsid w:val="006A7B33"/>
    <w:rsid w:val="006B1E37"/>
    <w:rsid w:val="006B2F28"/>
    <w:rsid w:val="006B4E13"/>
    <w:rsid w:val="006B75DD"/>
    <w:rsid w:val="006C594F"/>
    <w:rsid w:val="006C67E0"/>
    <w:rsid w:val="006C7ABA"/>
    <w:rsid w:val="006D0D60"/>
    <w:rsid w:val="006D1122"/>
    <w:rsid w:val="006D3C00"/>
    <w:rsid w:val="006D4F81"/>
    <w:rsid w:val="006D6E21"/>
    <w:rsid w:val="006E3675"/>
    <w:rsid w:val="006E4A7F"/>
    <w:rsid w:val="00704DF6"/>
    <w:rsid w:val="0070651C"/>
    <w:rsid w:val="00712935"/>
    <w:rsid w:val="007132A3"/>
    <w:rsid w:val="00716421"/>
    <w:rsid w:val="00724EFB"/>
    <w:rsid w:val="007327D9"/>
    <w:rsid w:val="007419C3"/>
    <w:rsid w:val="007467A7"/>
    <w:rsid w:val="007469DD"/>
    <w:rsid w:val="0074741B"/>
    <w:rsid w:val="0074759E"/>
    <w:rsid w:val="007478EA"/>
    <w:rsid w:val="0075299F"/>
    <w:rsid w:val="0075415C"/>
    <w:rsid w:val="00763502"/>
    <w:rsid w:val="00781EFA"/>
    <w:rsid w:val="007913AB"/>
    <w:rsid w:val="007914F7"/>
    <w:rsid w:val="00797A2E"/>
    <w:rsid w:val="007A4CFE"/>
    <w:rsid w:val="007B1625"/>
    <w:rsid w:val="007B706E"/>
    <w:rsid w:val="007B71EB"/>
    <w:rsid w:val="007C6205"/>
    <w:rsid w:val="007C686A"/>
    <w:rsid w:val="007C728E"/>
    <w:rsid w:val="007D2C53"/>
    <w:rsid w:val="007D3D60"/>
    <w:rsid w:val="007D5474"/>
    <w:rsid w:val="007E18D5"/>
    <w:rsid w:val="007E1980"/>
    <w:rsid w:val="007E35FA"/>
    <w:rsid w:val="007E4B76"/>
    <w:rsid w:val="007E5EA8"/>
    <w:rsid w:val="007E6F63"/>
    <w:rsid w:val="007F0CF1"/>
    <w:rsid w:val="007F12A5"/>
    <w:rsid w:val="007F4CF1"/>
    <w:rsid w:val="007F758D"/>
    <w:rsid w:val="007F7D52"/>
    <w:rsid w:val="0080654C"/>
    <w:rsid w:val="008071C6"/>
    <w:rsid w:val="00817A00"/>
    <w:rsid w:val="0082388D"/>
    <w:rsid w:val="00835DB3"/>
    <w:rsid w:val="0083617B"/>
    <w:rsid w:val="008371BD"/>
    <w:rsid w:val="00847DC5"/>
    <w:rsid w:val="008504A8"/>
    <w:rsid w:val="0085282E"/>
    <w:rsid w:val="0087198C"/>
    <w:rsid w:val="00872C1F"/>
    <w:rsid w:val="00873B42"/>
    <w:rsid w:val="00883F46"/>
    <w:rsid w:val="008856D8"/>
    <w:rsid w:val="00885F1B"/>
    <w:rsid w:val="00892E82"/>
    <w:rsid w:val="00897C62"/>
    <w:rsid w:val="008A0C9E"/>
    <w:rsid w:val="008C1B58"/>
    <w:rsid w:val="008C39AE"/>
    <w:rsid w:val="008C51E2"/>
    <w:rsid w:val="008C590D"/>
    <w:rsid w:val="008E031B"/>
    <w:rsid w:val="008E7029"/>
    <w:rsid w:val="008E7EF6"/>
    <w:rsid w:val="008F0F98"/>
    <w:rsid w:val="008F1F98"/>
    <w:rsid w:val="008F6758"/>
    <w:rsid w:val="0090209E"/>
    <w:rsid w:val="009040DD"/>
    <w:rsid w:val="00905B47"/>
    <w:rsid w:val="00906430"/>
    <w:rsid w:val="0091331C"/>
    <w:rsid w:val="00920B23"/>
    <w:rsid w:val="009262E4"/>
    <w:rsid w:val="009279DE"/>
    <w:rsid w:val="00930116"/>
    <w:rsid w:val="0094212C"/>
    <w:rsid w:val="00952B20"/>
    <w:rsid w:val="00954689"/>
    <w:rsid w:val="009617C9"/>
    <w:rsid w:val="00961C93"/>
    <w:rsid w:val="00963120"/>
    <w:rsid w:val="00965324"/>
    <w:rsid w:val="00967A7B"/>
    <w:rsid w:val="0097091E"/>
    <w:rsid w:val="009760D3"/>
    <w:rsid w:val="00977132"/>
    <w:rsid w:val="00981A4B"/>
    <w:rsid w:val="00982501"/>
    <w:rsid w:val="009877D3"/>
    <w:rsid w:val="00990504"/>
    <w:rsid w:val="00993200"/>
    <w:rsid w:val="00994E8F"/>
    <w:rsid w:val="009951DC"/>
    <w:rsid w:val="009959BB"/>
    <w:rsid w:val="00997158"/>
    <w:rsid w:val="009A0C91"/>
    <w:rsid w:val="009A3A7C"/>
    <w:rsid w:val="009B2ADB"/>
    <w:rsid w:val="009B603A"/>
    <w:rsid w:val="009C2D0E"/>
    <w:rsid w:val="009C3DAC"/>
    <w:rsid w:val="009C42E0"/>
    <w:rsid w:val="009C4B7B"/>
    <w:rsid w:val="009D5362"/>
    <w:rsid w:val="009E1415"/>
    <w:rsid w:val="009E3F5D"/>
    <w:rsid w:val="009E4265"/>
    <w:rsid w:val="009E6116"/>
    <w:rsid w:val="009E6A03"/>
    <w:rsid w:val="009F3ACD"/>
    <w:rsid w:val="00A02E43"/>
    <w:rsid w:val="00A065F9"/>
    <w:rsid w:val="00A07F34"/>
    <w:rsid w:val="00A22154"/>
    <w:rsid w:val="00A25C38"/>
    <w:rsid w:val="00A270A5"/>
    <w:rsid w:val="00A30003"/>
    <w:rsid w:val="00A36BBE"/>
    <w:rsid w:val="00A4307A"/>
    <w:rsid w:val="00A47EBB"/>
    <w:rsid w:val="00A51CDD"/>
    <w:rsid w:val="00A6730D"/>
    <w:rsid w:val="00A71625"/>
    <w:rsid w:val="00A71B9B"/>
    <w:rsid w:val="00A751C7"/>
    <w:rsid w:val="00A87844"/>
    <w:rsid w:val="00AA038C"/>
    <w:rsid w:val="00AA6A9B"/>
    <w:rsid w:val="00AA7A09"/>
    <w:rsid w:val="00AB199F"/>
    <w:rsid w:val="00AB3729"/>
    <w:rsid w:val="00AB3B50"/>
    <w:rsid w:val="00AC05B1"/>
    <w:rsid w:val="00AD356C"/>
    <w:rsid w:val="00AD6BB2"/>
    <w:rsid w:val="00AD7021"/>
    <w:rsid w:val="00AE0F97"/>
    <w:rsid w:val="00AE199D"/>
    <w:rsid w:val="00AE2914"/>
    <w:rsid w:val="00AE6D15"/>
    <w:rsid w:val="00B04182"/>
    <w:rsid w:val="00B07AE3"/>
    <w:rsid w:val="00B11430"/>
    <w:rsid w:val="00B20602"/>
    <w:rsid w:val="00B353EB"/>
    <w:rsid w:val="00B35CF8"/>
    <w:rsid w:val="00B42CE8"/>
    <w:rsid w:val="00B439C4"/>
    <w:rsid w:val="00B4535E"/>
    <w:rsid w:val="00B5095D"/>
    <w:rsid w:val="00B52A8C"/>
    <w:rsid w:val="00B636A8"/>
    <w:rsid w:val="00B65932"/>
    <w:rsid w:val="00B665C6"/>
    <w:rsid w:val="00B77A04"/>
    <w:rsid w:val="00B805AF"/>
    <w:rsid w:val="00B869EC"/>
    <w:rsid w:val="00B9397A"/>
    <w:rsid w:val="00B9633D"/>
    <w:rsid w:val="00BA2EBE"/>
    <w:rsid w:val="00BB0F28"/>
    <w:rsid w:val="00BB458A"/>
    <w:rsid w:val="00BD00D3"/>
    <w:rsid w:val="00BD1659"/>
    <w:rsid w:val="00BD3AA9"/>
    <w:rsid w:val="00BD4A18"/>
    <w:rsid w:val="00BD4E02"/>
    <w:rsid w:val="00BD6DB2"/>
    <w:rsid w:val="00BE11CF"/>
    <w:rsid w:val="00BE21AB"/>
    <w:rsid w:val="00BE55CB"/>
    <w:rsid w:val="00BF617A"/>
    <w:rsid w:val="00C01170"/>
    <w:rsid w:val="00C0379D"/>
    <w:rsid w:val="00C03931"/>
    <w:rsid w:val="00C05FE3"/>
    <w:rsid w:val="00C12A86"/>
    <w:rsid w:val="00C2136D"/>
    <w:rsid w:val="00C214EE"/>
    <w:rsid w:val="00C2314B"/>
    <w:rsid w:val="00C24352"/>
    <w:rsid w:val="00C24971"/>
    <w:rsid w:val="00C26BE5"/>
    <w:rsid w:val="00C26E4D"/>
    <w:rsid w:val="00C27909"/>
    <w:rsid w:val="00C27B03"/>
    <w:rsid w:val="00C314E1"/>
    <w:rsid w:val="00C3292F"/>
    <w:rsid w:val="00C34397"/>
    <w:rsid w:val="00C4095D"/>
    <w:rsid w:val="00C41FA1"/>
    <w:rsid w:val="00C601D2"/>
    <w:rsid w:val="00C657AB"/>
    <w:rsid w:val="00C65BCC"/>
    <w:rsid w:val="00C65E62"/>
    <w:rsid w:val="00C66970"/>
    <w:rsid w:val="00C718D4"/>
    <w:rsid w:val="00C721C6"/>
    <w:rsid w:val="00C80230"/>
    <w:rsid w:val="00C8691C"/>
    <w:rsid w:val="00C9436B"/>
    <w:rsid w:val="00C955BA"/>
    <w:rsid w:val="00CA168A"/>
    <w:rsid w:val="00CA357E"/>
    <w:rsid w:val="00CA44F9"/>
    <w:rsid w:val="00CA4A69"/>
    <w:rsid w:val="00CA791E"/>
    <w:rsid w:val="00CB0861"/>
    <w:rsid w:val="00CC1233"/>
    <w:rsid w:val="00CC3E0C"/>
    <w:rsid w:val="00CC58D3"/>
    <w:rsid w:val="00CC760D"/>
    <w:rsid w:val="00CC784D"/>
    <w:rsid w:val="00CF7221"/>
    <w:rsid w:val="00D0337B"/>
    <w:rsid w:val="00D03A12"/>
    <w:rsid w:val="00D06508"/>
    <w:rsid w:val="00D079B2"/>
    <w:rsid w:val="00D114E9"/>
    <w:rsid w:val="00D131BA"/>
    <w:rsid w:val="00D163F7"/>
    <w:rsid w:val="00D26582"/>
    <w:rsid w:val="00D427C5"/>
    <w:rsid w:val="00D429C6"/>
    <w:rsid w:val="00D47748"/>
    <w:rsid w:val="00D54CC3"/>
    <w:rsid w:val="00D6041A"/>
    <w:rsid w:val="00D633EB"/>
    <w:rsid w:val="00D72045"/>
    <w:rsid w:val="00D82FF7"/>
    <w:rsid w:val="00D847FE"/>
    <w:rsid w:val="00D86737"/>
    <w:rsid w:val="00D9194C"/>
    <w:rsid w:val="00D964EA"/>
    <w:rsid w:val="00D966D0"/>
    <w:rsid w:val="00DA0C59"/>
    <w:rsid w:val="00DA3991"/>
    <w:rsid w:val="00DB7E6C"/>
    <w:rsid w:val="00DC37BB"/>
    <w:rsid w:val="00DC4378"/>
    <w:rsid w:val="00DD0323"/>
    <w:rsid w:val="00DD5A29"/>
    <w:rsid w:val="00DD5D9D"/>
    <w:rsid w:val="00DE35CB"/>
    <w:rsid w:val="00DF21E9"/>
    <w:rsid w:val="00DF5EA4"/>
    <w:rsid w:val="00E00F14"/>
    <w:rsid w:val="00E06386"/>
    <w:rsid w:val="00E13CFF"/>
    <w:rsid w:val="00E24EB4"/>
    <w:rsid w:val="00E260DB"/>
    <w:rsid w:val="00E320ED"/>
    <w:rsid w:val="00E33AFB"/>
    <w:rsid w:val="00E34218"/>
    <w:rsid w:val="00E46282"/>
    <w:rsid w:val="00E5216E"/>
    <w:rsid w:val="00E54EDE"/>
    <w:rsid w:val="00E575F7"/>
    <w:rsid w:val="00E61BAC"/>
    <w:rsid w:val="00E6371B"/>
    <w:rsid w:val="00E72D62"/>
    <w:rsid w:val="00E82344"/>
    <w:rsid w:val="00E84C82"/>
    <w:rsid w:val="00E84D64"/>
    <w:rsid w:val="00E87408"/>
    <w:rsid w:val="00E90012"/>
    <w:rsid w:val="00E914C4"/>
    <w:rsid w:val="00E9225D"/>
    <w:rsid w:val="00E92634"/>
    <w:rsid w:val="00E934F5"/>
    <w:rsid w:val="00E96961"/>
    <w:rsid w:val="00E970A3"/>
    <w:rsid w:val="00EA2570"/>
    <w:rsid w:val="00EA72EC"/>
    <w:rsid w:val="00EB0E68"/>
    <w:rsid w:val="00EB11CB"/>
    <w:rsid w:val="00EB275A"/>
    <w:rsid w:val="00EB786A"/>
    <w:rsid w:val="00EC1578"/>
    <w:rsid w:val="00EC1C72"/>
    <w:rsid w:val="00EC3CC9"/>
    <w:rsid w:val="00EC4BD4"/>
    <w:rsid w:val="00EC680A"/>
    <w:rsid w:val="00ED4F29"/>
    <w:rsid w:val="00EE2BED"/>
    <w:rsid w:val="00EE374B"/>
    <w:rsid w:val="00EE3B95"/>
    <w:rsid w:val="00EF0AE5"/>
    <w:rsid w:val="00EF1CCC"/>
    <w:rsid w:val="00EF6CFC"/>
    <w:rsid w:val="00EF7FDE"/>
    <w:rsid w:val="00F11BB5"/>
    <w:rsid w:val="00F1417B"/>
    <w:rsid w:val="00F2316E"/>
    <w:rsid w:val="00F25CAA"/>
    <w:rsid w:val="00F34B99"/>
    <w:rsid w:val="00F354DE"/>
    <w:rsid w:val="00F52DAB"/>
    <w:rsid w:val="00F543F0"/>
    <w:rsid w:val="00F81D29"/>
    <w:rsid w:val="00F825FA"/>
    <w:rsid w:val="00F91C4D"/>
    <w:rsid w:val="00F92FD9"/>
    <w:rsid w:val="00FA5F35"/>
    <w:rsid w:val="00FA6684"/>
    <w:rsid w:val="00FA731E"/>
    <w:rsid w:val="00FB2B38"/>
    <w:rsid w:val="00FC0BFC"/>
    <w:rsid w:val="00FC6358"/>
    <w:rsid w:val="00FD320D"/>
    <w:rsid w:val="00FD6D21"/>
    <w:rsid w:val="00FE23DE"/>
    <w:rsid w:val="00FE7D5C"/>
    <w:rsid w:val="01AF44FC"/>
    <w:rsid w:val="01ED575B"/>
    <w:rsid w:val="01F66A0E"/>
    <w:rsid w:val="02197C8C"/>
    <w:rsid w:val="02995CFA"/>
    <w:rsid w:val="039B4DC4"/>
    <w:rsid w:val="03A249EC"/>
    <w:rsid w:val="04424D9A"/>
    <w:rsid w:val="044367B6"/>
    <w:rsid w:val="04E94B46"/>
    <w:rsid w:val="04F45288"/>
    <w:rsid w:val="051C0F59"/>
    <w:rsid w:val="05F15679"/>
    <w:rsid w:val="061C5901"/>
    <w:rsid w:val="061E63FE"/>
    <w:rsid w:val="063A35CB"/>
    <w:rsid w:val="06485CE3"/>
    <w:rsid w:val="06DB126F"/>
    <w:rsid w:val="07507A7E"/>
    <w:rsid w:val="07960021"/>
    <w:rsid w:val="08323E03"/>
    <w:rsid w:val="08332244"/>
    <w:rsid w:val="083A0649"/>
    <w:rsid w:val="086E1E0B"/>
    <w:rsid w:val="08823557"/>
    <w:rsid w:val="08D44E79"/>
    <w:rsid w:val="093D1B88"/>
    <w:rsid w:val="096A25C8"/>
    <w:rsid w:val="0988708A"/>
    <w:rsid w:val="09C95773"/>
    <w:rsid w:val="0A0E50B1"/>
    <w:rsid w:val="0AFB7F04"/>
    <w:rsid w:val="0B557A09"/>
    <w:rsid w:val="0B5613BF"/>
    <w:rsid w:val="0C7222CD"/>
    <w:rsid w:val="0C73685B"/>
    <w:rsid w:val="0C9B0AEE"/>
    <w:rsid w:val="0CAC5E3F"/>
    <w:rsid w:val="0CC2547E"/>
    <w:rsid w:val="0D061069"/>
    <w:rsid w:val="0D134F2C"/>
    <w:rsid w:val="0D3D7E36"/>
    <w:rsid w:val="0D8B4F89"/>
    <w:rsid w:val="0DC55794"/>
    <w:rsid w:val="0DD81C7F"/>
    <w:rsid w:val="0E0253AB"/>
    <w:rsid w:val="0E430E52"/>
    <w:rsid w:val="0E696318"/>
    <w:rsid w:val="0F1745BA"/>
    <w:rsid w:val="0FA80F5E"/>
    <w:rsid w:val="0FB30F0F"/>
    <w:rsid w:val="0FC648C0"/>
    <w:rsid w:val="0FF3126E"/>
    <w:rsid w:val="103062B2"/>
    <w:rsid w:val="10A06412"/>
    <w:rsid w:val="110015E7"/>
    <w:rsid w:val="11331D85"/>
    <w:rsid w:val="116E5D52"/>
    <w:rsid w:val="118C7FD0"/>
    <w:rsid w:val="11D343F3"/>
    <w:rsid w:val="11E1117C"/>
    <w:rsid w:val="11E65CF6"/>
    <w:rsid w:val="12E863A0"/>
    <w:rsid w:val="130D4E4F"/>
    <w:rsid w:val="130E4158"/>
    <w:rsid w:val="1332483D"/>
    <w:rsid w:val="13421710"/>
    <w:rsid w:val="139C0AC2"/>
    <w:rsid w:val="139C285A"/>
    <w:rsid w:val="141E26F1"/>
    <w:rsid w:val="149D5AED"/>
    <w:rsid w:val="14B65614"/>
    <w:rsid w:val="14B90728"/>
    <w:rsid w:val="14D16087"/>
    <w:rsid w:val="14E604FA"/>
    <w:rsid w:val="152F5EC6"/>
    <w:rsid w:val="15F07945"/>
    <w:rsid w:val="16C642E6"/>
    <w:rsid w:val="16EF011D"/>
    <w:rsid w:val="16EF1449"/>
    <w:rsid w:val="16FF24EF"/>
    <w:rsid w:val="175C1447"/>
    <w:rsid w:val="177419D5"/>
    <w:rsid w:val="17A23423"/>
    <w:rsid w:val="185B1FD2"/>
    <w:rsid w:val="18785435"/>
    <w:rsid w:val="18A625A6"/>
    <w:rsid w:val="19951D6F"/>
    <w:rsid w:val="19AA1CCA"/>
    <w:rsid w:val="19D33D6A"/>
    <w:rsid w:val="19E625C2"/>
    <w:rsid w:val="19F06251"/>
    <w:rsid w:val="1A460495"/>
    <w:rsid w:val="1A542F0D"/>
    <w:rsid w:val="1A9316DB"/>
    <w:rsid w:val="1B091F37"/>
    <w:rsid w:val="1B200F53"/>
    <w:rsid w:val="1B361CC4"/>
    <w:rsid w:val="1B3E32E2"/>
    <w:rsid w:val="1D0613A6"/>
    <w:rsid w:val="1D405813"/>
    <w:rsid w:val="1DAA1260"/>
    <w:rsid w:val="1DCB540A"/>
    <w:rsid w:val="1DF350A2"/>
    <w:rsid w:val="1DF47405"/>
    <w:rsid w:val="1E634925"/>
    <w:rsid w:val="1E6662FD"/>
    <w:rsid w:val="1ECE2241"/>
    <w:rsid w:val="1FA45952"/>
    <w:rsid w:val="1FA96031"/>
    <w:rsid w:val="1FAF19DE"/>
    <w:rsid w:val="1FC433C1"/>
    <w:rsid w:val="1FC763F5"/>
    <w:rsid w:val="20111BFD"/>
    <w:rsid w:val="201C085D"/>
    <w:rsid w:val="204F0D29"/>
    <w:rsid w:val="20771912"/>
    <w:rsid w:val="20DC133F"/>
    <w:rsid w:val="21427698"/>
    <w:rsid w:val="21645027"/>
    <w:rsid w:val="218D011C"/>
    <w:rsid w:val="21A752B7"/>
    <w:rsid w:val="22170591"/>
    <w:rsid w:val="223E4211"/>
    <w:rsid w:val="224550FD"/>
    <w:rsid w:val="224E12D7"/>
    <w:rsid w:val="227B4441"/>
    <w:rsid w:val="22B4278B"/>
    <w:rsid w:val="22C9593F"/>
    <w:rsid w:val="23094EDD"/>
    <w:rsid w:val="233F07B3"/>
    <w:rsid w:val="2340482B"/>
    <w:rsid w:val="23644A2F"/>
    <w:rsid w:val="238409DA"/>
    <w:rsid w:val="23A51498"/>
    <w:rsid w:val="23A75AB7"/>
    <w:rsid w:val="23CB4427"/>
    <w:rsid w:val="24596CD5"/>
    <w:rsid w:val="247B771C"/>
    <w:rsid w:val="252924F6"/>
    <w:rsid w:val="25331785"/>
    <w:rsid w:val="2539786D"/>
    <w:rsid w:val="25447D76"/>
    <w:rsid w:val="255917BA"/>
    <w:rsid w:val="25647B62"/>
    <w:rsid w:val="258621DF"/>
    <w:rsid w:val="25D77BCD"/>
    <w:rsid w:val="25FE1885"/>
    <w:rsid w:val="26325312"/>
    <w:rsid w:val="27AC4883"/>
    <w:rsid w:val="27D45F6F"/>
    <w:rsid w:val="27F603F8"/>
    <w:rsid w:val="283736DF"/>
    <w:rsid w:val="289C71CE"/>
    <w:rsid w:val="28B72C3C"/>
    <w:rsid w:val="28E70E92"/>
    <w:rsid w:val="291F47E9"/>
    <w:rsid w:val="29276EDF"/>
    <w:rsid w:val="295465A5"/>
    <w:rsid w:val="29570841"/>
    <w:rsid w:val="297B4E5C"/>
    <w:rsid w:val="2A81561C"/>
    <w:rsid w:val="2AC94D61"/>
    <w:rsid w:val="2B63415A"/>
    <w:rsid w:val="2B957994"/>
    <w:rsid w:val="2BB5418A"/>
    <w:rsid w:val="2C223662"/>
    <w:rsid w:val="2C346311"/>
    <w:rsid w:val="2C5B5F7A"/>
    <w:rsid w:val="2C973540"/>
    <w:rsid w:val="2CC020A3"/>
    <w:rsid w:val="2CC50A49"/>
    <w:rsid w:val="2D1A28D1"/>
    <w:rsid w:val="2DA950A7"/>
    <w:rsid w:val="2DB93FE6"/>
    <w:rsid w:val="2DF65EA0"/>
    <w:rsid w:val="2E086534"/>
    <w:rsid w:val="2E0F7D46"/>
    <w:rsid w:val="2E4D6343"/>
    <w:rsid w:val="2E881EFF"/>
    <w:rsid w:val="2EE165C9"/>
    <w:rsid w:val="2EF44502"/>
    <w:rsid w:val="2F3A0077"/>
    <w:rsid w:val="2F76402D"/>
    <w:rsid w:val="2F7A713E"/>
    <w:rsid w:val="2F88295E"/>
    <w:rsid w:val="2FEA6BB7"/>
    <w:rsid w:val="3079135A"/>
    <w:rsid w:val="30940461"/>
    <w:rsid w:val="30BA15BF"/>
    <w:rsid w:val="30D4669E"/>
    <w:rsid w:val="30E12FBF"/>
    <w:rsid w:val="31B108E4"/>
    <w:rsid w:val="31E6251D"/>
    <w:rsid w:val="323E7E5E"/>
    <w:rsid w:val="32F77799"/>
    <w:rsid w:val="336B3881"/>
    <w:rsid w:val="338F465A"/>
    <w:rsid w:val="35921445"/>
    <w:rsid w:val="36024A54"/>
    <w:rsid w:val="36470B55"/>
    <w:rsid w:val="366E4AB1"/>
    <w:rsid w:val="36BD7726"/>
    <w:rsid w:val="36D46106"/>
    <w:rsid w:val="370324FD"/>
    <w:rsid w:val="37846AB8"/>
    <w:rsid w:val="37B43D23"/>
    <w:rsid w:val="37F02060"/>
    <w:rsid w:val="383E5D28"/>
    <w:rsid w:val="38512AB3"/>
    <w:rsid w:val="389D3F17"/>
    <w:rsid w:val="393C6D1F"/>
    <w:rsid w:val="3A4C24E3"/>
    <w:rsid w:val="3B0D105C"/>
    <w:rsid w:val="3B130E07"/>
    <w:rsid w:val="3B3369BE"/>
    <w:rsid w:val="3BC77756"/>
    <w:rsid w:val="3C090C98"/>
    <w:rsid w:val="3C4919B7"/>
    <w:rsid w:val="3C522840"/>
    <w:rsid w:val="3C7A0C43"/>
    <w:rsid w:val="3CB70AB2"/>
    <w:rsid w:val="3CE85845"/>
    <w:rsid w:val="3D743389"/>
    <w:rsid w:val="3E5877AE"/>
    <w:rsid w:val="3E5E1EEE"/>
    <w:rsid w:val="3E83423A"/>
    <w:rsid w:val="3F2431D0"/>
    <w:rsid w:val="3F4579B9"/>
    <w:rsid w:val="3FAB279D"/>
    <w:rsid w:val="3FAF6466"/>
    <w:rsid w:val="4008725E"/>
    <w:rsid w:val="406B5AB2"/>
    <w:rsid w:val="410D6BF9"/>
    <w:rsid w:val="41760BBD"/>
    <w:rsid w:val="41B6452F"/>
    <w:rsid w:val="41CA785C"/>
    <w:rsid w:val="41D85749"/>
    <w:rsid w:val="41EA7B02"/>
    <w:rsid w:val="41FE231A"/>
    <w:rsid w:val="42386AD8"/>
    <w:rsid w:val="428A5BDC"/>
    <w:rsid w:val="4308535F"/>
    <w:rsid w:val="430E7B24"/>
    <w:rsid w:val="433A4E8D"/>
    <w:rsid w:val="434D2EA5"/>
    <w:rsid w:val="43E5359C"/>
    <w:rsid w:val="43F20B40"/>
    <w:rsid w:val="45232071"/>
    <w:rsid w:val="455E254D"/>
    <w:rsid w:val="45D70ED0"/>
    <w:rsid w:val="46132E0E"/>
    <w:rsid w:val="4699619F"/>
    <w:rsid w:val="46AA0B02"/>
    <w:rsid w:val="46B6343F"/>
    <w:rsid w:val="46D9339A"/>
    <w:rsid w:val="46DF6FF3"/>
    <w:rsid w:val="47302871"/>
    <w:rsid w:val="47371B76"/>
    <w:rsid w:val="474A0A15"/>
    <w:rsid w:val="4758780C"/>
    <w:rsid w:val="47A7103C"/>
    <w:rsid w:val="47DA57F3"/>
    <w:rsid w:val="47EB5203"/>
    <w:rsid w:val="48612A8C"/>
    <w:rsid w:val="489C7965"/>
    <w:rsid w:val="493747EB"/>
    <w:rsid w:val="49BF4543"/>
    <w:rsid w:val="4A035E2F"/>
    <w:rsid w:val="4A3F3F9B"/>
    <w:rsid w:val="4A570992"/>
    <w:rsid w:val="4A766AE3"/>
    <w:rsid w:val="4AC50054"/>
    <w:rsid w:val="4AC517F1"/>
    <w:rsid w:val="4AFE39DA"/>
    <w:rsid w:val="4C482025"/>
    <w:rsid w:val="4C721CE3"/>
    <w:rsid w:val="4CF941EF"/>
    <w:rsid w:val="4CFA7242"/>
    <w:rsid w:val="4D143496"/>
    <w:rsid w:val="4D2766A0"/>
    <w:rsid w:val="4D5E3B15"/>
    <w:rsid w:val="4D66033F"/>
    <w:rsid w:val="4D714469"/>
    <w:rsid w:val="4DAF72B7"/>
    <w:rsid w:val="4DC13A78"/>
    <w:rsid w:val="4E2E591F"/>
    <w:rsid w:val="4E7608B0"/>
    <w:rsid w:val="4F270DD4"/>
    <w:rsid w:val="4F5A7157"/>
    <w:rsid w:val="4FD57F54"/>
    <w:rsid w:val="501429BE"/>
    <w:rsid w:val="504F228E"/>
    <w:rsid w:val="505406C6"/>
    <w:rsid w:val="50C95A4A"/>
    <w:rsid w:val="512255BA"/>
    <w:rsid w:val="51692F6D"/>
    <w:rsid w:val="5177397B"/>
    <w:rsid w:val="51C379EC"/>
    <w:rsid w:val="51CD1F35"/>
    <w:rsid w:val="51E26694"/>
    <w:rsid w:val="522C5F86"/>
    <w:rsid w:val="5293642E"/>
    <w:rsid w:val="52A21430"/>
    <w:rsid w:val="52C534C5"/>
    <w:rsid w:val="52CE48AA"/>
    <w:rsid w:val="53677D31"/>
    <w:rsid w:val="543116A7"/>
    <w:rsid w:val="548D4B41"/>
    <w:rsid w:val="54D658BF"/>
    <w:rsid w:val="54E67E9A"/>
    <w:rsid w:val="55901311"/>
    <w:rsid w:val="55972AF9"/>
    <w:rsid w:val="55A654C3"/>
    <w:rsid w:val="55AA0EFB"/>
    <w:rsid w:val="563726AA"/>
    <w:rsid w:val="56643E62"/>
    <w:rsid w:val="56711E31"/>
    <w:rsid w:val="56C932D5"/>
    <w:rsid w:val="56DC1AB1"/>
    <w:rsid w:val="57322C8A"/>
    <w:rsid w:val="577C2CDB"/>
    <w:rsid w:val="5829377F"/>
    <w:rsid w:val="58BC10BF"/>
    <w:rsid w:val="58D9720B"/>
    <w:rsid w:val="58DE4CCA"/>
    <w:rsid w:val="59046620"/>
    <w:rsid w:val="59122A70"/>
    <w:rsid w:val="59224986"/>
    <w:rsid w:val="598928E8"/>
    <w:rsid w:val="59AA1E7A"/>
    <w:rsid w:val="59B3076E"/>
    <w:rsid w:val="59B63A81"/>
    <w:rsid w:val="59DB1766"/>
    <w:rsid w:val="5A02702E"/>
    <w:rsid w:val="5A4D37F7"/>
    <w:rsid w:val="5AC271BB"/>
    <w:rsid w:val="5B3445BA"/>
    <w:rsid w:val="5B44014C"/>
    <w:rsid w:val="5BE51959"/>
    <w:rsid w:val="5BEE646B"/>
    <w:rsid w:val="5C156558"/>
    <w:rsid w:val="5C3F76AC"/>
    <w:rsid w:val="5C5A1B74"/>
    <w:rsid w:val="5D7370C3"/>
    <w:rsid w:val="5D75255E"/>
    <w:rsid w:val="5D964342"/>
    <w:rsid w:val="5DA53E56"/>
    <w:rsid w:val="5E657EF0"/>
    <w:rsid w:val="5E843A47"/>
    <w:rsid w:val="5ED445B3"/>
    <w:rsid w:val="5F025CE7"/>
    <w:rsid w:val="5F17402F"/>
    <w:rsid w:val="5F592431"/>
    <w:rsid w:val="5F810E03"/>
    <w:rsid w:val="5FC20BA2"/>
    <w:rsid w:val="5FF33F7F"/>
    <w:rsid w:val="5FFD5F73"/>
    <w:rsid w:val="60E25211"/>
    <w:rsid w:val="60E33340"/>
    <w:rsid w:val="60F8047A"/>
    <w:rsid w:val="60FE7971"/>
    <w:rsid w:val="610F7765"/>
    <w:rsid w:val="612D5A34"/>
    <w:rsid w:val="61724CBB"/>
    <w:rsid w:val="61DC2CCA"/>
    <w:rsid w:val="623B7431"/>
    <w:rsid w:val="62BB33EA"/>
    <w:rsid w:val="62CC40B7"/>
    <w:rsid w:val="635C11DF"/>
    <w:rsid w:val="63A9355C"/>
    <w:rsid w:val="64030243"/>
    <w:rsid w:val="64606F11"/>
    <w:rsid w:val="647E7787"/>
    <w:rsid w:val="64826F6A"/>
    <w:rsid w:val="648515FD"/>
    <w:rsid w:val="64B01D1D"/>
    <w:rsid w:val="65227CA7"/>
    <w:rsid w:val="65376BF9"/>
    <w:rsid w:val="655B6DE4"/>
    <w:rsid w:val="65DB50E7"/>
    <w:rsid w:val="6627470D"/>
    <w:rsid w:val="6633018A"/>
    <w:rsid w:val="66AD7F79"/>
    <w:rsid w:val="66AE64C3"/>
    <w:rsid w:val="67924F2A"/>
    <w:rsid w:val="67C211CA"/>
    <w:rsid w:val="68390EA7"/>
    <w:rsid w:val="68411014"/>
    <w:rsid w:val="687642F9"/>
    <w:rsid w:val="687D290E"/>
    <w:rsid w:val="689D5312"/>
    <w:rsid w:val="69403A10"/>
    <w:rsid w:val="698620F4"/>
    <w:rsid w:val="69C23205"/>
    <w:rsid w:val="6ACD0CB1"/>
    <w:rsid w:val="6BE267CE"/>
    <w:rsid w:val="6C3170F8"/>
    <w:rsid w:val="6C7A6661"/>
    <w:rsid w:val="6D51661E"/>
    <w:rsid w:val="6D7145E0"/>
    <w:rsid w:val="6E0214EF"/>
    <w:rsid w:val="6E501C36"/>
    <w:rsid w:val="6E5201CC"/>
    <w:rsid w:val="6E636F68"/>
    <w:rsid w:val="6E7F1A4D"/>
    <w:rsid w:val="6ED36D1E"/>
    <w:rsid w:val="6EDE1C0F"/>
    <w:rsid w:val="6FD70D1B"/>
    <w:rsid w:val="700F5481"/>
    <w:rsid w:val="700F574C"/>
    <w:rsid w:val="70336CB1"/>
    <w:rsid w:val="705C2076"/>
    <w:rsid w:val="705F5E1D"/>
    <w:rsid w:val="706639D2"/>
    <w:rsid w:val="70B45C32"/>
    <w:rsid w:val="70BD620D"/>
    <w:rsid w:val="714B6C87"/>
    <w:rsid w:val="71AD0E62"/>
    <w:rsid w:val="71E76B93"/>
    <w:rsid w:val="71F04F06"/>
    <w:rsid w:val="728750DB"/>
    <w:rsid w:val="729C0B99"/>
    <w:rsid w:val="72BD280B"/>
    <w:rsid w:val="73016A93"/>
    <w:rsid w:val="73390351"/>
    <w:rsid w:val="73DE3679"/>
    <w:rsid w:val="73ED0004"/>
    <w:rsid w:val="74156F71"/>
    <w:rsid w:val="74277377"/>
    <w:rsid w:val="743F55BE"/>
    <w:rsid w:val="746A131B"/>
    <w:rsid w:val="7493096D"/>
    <w:rsid w:val="74D849F8"/>
    <w:rsid w:val="74DF049A"/>
    <w:rsid w:val="75A40EBF"/>
    <w:rsid w:val="75C613AA"/>
    <w:rsid w:val="76343EEE"/>
    <w:rsid w:val="76447020"/>
    <w:rsid w:val="7667457E"/>
    <w:rsid w:val="7679799F"/>
    <w:rsid w:val="767D31EB"/>
    <w:rsid w:val="76820AE9"/>
    <w:rsid w:val="76C70D60"/>
    <w:rsid w:val="76E007E3"/>
    <w:rsid w:val="7718598A"/>
    <w:rsid w:val="774566CA"/>
    <w:rsid w:val="774A0E72"/>
    <w:rsid w:val="774D0849"/>
    <w:rsid w:val="774E536B"/>
    <w:rsid w:val="776C3A09"/>
    <w:rsid w:val="77C07AD3"/>
    <w:rsid w:val="77CC57E5"/>
    <w:rsid w:val="780A4635"/>
    <w:rsid w:val="782B7D92"/>
    <w:rsid w:val="78372343"/>
    <w:rsid w:val="78E26055"/>
    <w:rsid w:val="79187CB1"/>
    <w:rsid w:val="79250C03"/>
    <w:rsid w:val="7A243031"/>
    <w:rsid w:val="7A9B51FD"/>
    <w:rsid w:val="7AF0680D"/>
    <w:rsid w:val="7BDE4154"/>
    <w:rsid w:val="7BE665C0"/>
    <w:rsid w:val="7C3131D5"/>
    <w:rsid w:val="7C452DA3"/>
    <w:rsid w:val="7C4A276F"/>
    <w:rsid w:val="7CA9136E"/>
    <w:rsid w:val="7D3B2FF7"/>
    <w:rsid w:val="7D555A69"/>
    <w:rsid w:val="7DB551A0"/>
    <w:rsid w:val="7E5C6747"/>
    <w:rsid w:val="7F5E3F82"/>
    <w:rsid w:val="7FD935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qFormat="1"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uiPriority w:val="99"/>
    <w:pPr>
      <w:tabs>
        <w:tab w:val="right" w:leader="dot" w:pos="9241"/>
      </w:tabs>
      <w:ind w:firstLine="500" w:firstLineChars="500"/>
      <w:jc w:val="left"/>
    </w:pPr>
    <w:rPr>
      <w:rFonts w:ascii="宋体"/>
      <w:szCs w:val="21"/>
    </w:rPr>
  </w:style>
  <w:style w:type="paragraph" w:styleId="3">
    <w:name w:val="index 8"/>
    <w:basedOn w:val="1"/>
    <w:next w:val="1"/>
    <w:qFormat/>
    <w:uiPriority w:val="99"/>
    <w:pPr>
      <w:ind w:left="1680" w:hanging="210"/>
      <w:jc w:val="left"/>
    </w:pPr>
    <w:rPr>
      <w:rFonts w:ascii="Calibri" w:hAnsi="Calibri"/>
      <w:sz w:val="20"/>
      <w:szCs w:val="20"/>
    </w:rPr>
  </w:style>
  <w:style w:type="paragraph" w:styleId="4">
    <w:name w:val="caption"/>
    <w:basedOn w:val="1"/>
    <w:next w:val="1"/>
    <w:qFormat/>
    <w:uiPriority w:val="99"/>
    <w:pPr>
      <w:spacing w:before="152" w:after="160"/>
    </w:pPr>
    <w:rPr>
      <w:rFonts w:ascii="Arial" w:hAnsi="Arial" w:eastAsia="黑体" w:cs="Arial"/>
      <w:sz w:val="20"/>
      <w:szCs w:val="20"/>
    </w:rPr>
  </w:style>
  <w:style w:type="paragraph" w:styleId="5">
    <w:name w:val="index 5"/>
    <w:basedOn w:val="1"/>
    <w:next w:val="1"/>
    <w:qFormat/>
    <w:uiPriority w:val="99"/>
    <w:pPr>
      <w:ind w:left="1050" w:hanging="210"/>
      <w:jc w:val="left"/>
    </w:pPr>
    <w:rPr>
      <w:rFonts w:ascii="Calibri" w:hAnsi="Calibri"/>
      <w:sz w:val="20"/>
      <w:szCs w:val="20"/>
    </w:rPr>
  </w:style>
  <w:style w:type="paragraph" w:styleId="6">
    <w:name w:val="Document Map"/>
    <w:basedOn w:val="1"/>
    <w:link w:val="39"/>
    <w:semiHidden/>
    <w:qFormat/>
    <w:uiPriority w:val="99"/>
    <w:pPr>
      <w:shd w:val="clear" w:color="auto" w:fill="000080"/>
    </w:pPr>
    <w:rPr>
      <w:kern w:val="0"/>
      <w:sz w:val="2"/>
    </w:rPr>
  </w:style>
  <w:style w:type="paragraph" w:styleId="7">
    <w:name w:val="annotation text"/>
    <w:basedOn w:val="1"/>
    <w:semiHidden/>
    <w:unhideWhenUsed/>
    <w:qFormat/>
    <w:locked/>
    <w:uiPriority w:val="99"/>
    <w:pPr>
      <w:jc w:val="left"/>
    </w:pPr>
  </w:style>
  <w:style w:type="paragraph" w:styleId="8">
    <w:name w:val="index 6"/>
    <w:basedOn w:val="1"/>
    <w:next w:val="1"/>
    <w:qFormat/>
    <w:uiPriority w:val="99"/>
    <w:pPr>
      <w:ind w:left="1260" w:hanging="210"/>
      <w:jc w:val="left"/>
    </w:pPr>
    <w:rPr>
      <w:rFonts w:ascii="Calibri" w:hAnsi="Calibri"/>
      <w:sz w:val="20"/>
      <w:szCs w:val="20"/>
    </w:rPr>
  </w:style>
  <w:style w:type="paragraph" w:styleId="9">
    <w:name w:val="index 4"/>
    <w:basedOn w:val="1"/>
    <w:next w:val="1"/>
    <w:qFormat/>
    <w:uiPriority w:val="99"/>
    <w:pPr>
      <w:ind w:left="840" w:hanging="210"/>
      <w:jc w:val="left"/>
    </w:pPr>
    <w:rPr>
      <w:rFonts w:ascii="Calibri" w:hAnsi="Calibri"/>
      <w:sz w:val="20"/>
      <w:szCs w:val="20"/>
    </w:rPr>
  </w:style>
  <w:style w:type="paragraph" w:styleId="10">
    <w:name w:val="toc 5"/>
    <w:basedOn w:val="1"/>
    <w:next w:val="1"/>
    <w:semiHidden/>
    <w:qFormat/>
    <w:uiPriority w:val="99"/>
    <w:pPr>
      <w:tabs>
        <w:tab w:val="right" w:leader="dot" w:pos="9241"/>
      </w:tabs>
      <w:ind w:firstLine="300" w:firstLineChars="300"/>
      <w:jc w:val="left"/>
    </w:pPr>
    <w:rPr>
      <w:rFonts w:ascii="宋体"/>
      <w:szCs w:val="21"/>
    </w:rPr>
  </w:style>
  <w:style w:type="paragraph" w:styleId="11">
    <w:name w:val="toc 3"/>
    <w:basedOn w:val="1"/>
    <w:next w:val="1"/>
    <w:semiHidden/>
    <w:qFormat/>
    <w:uiPriority w:val="99"/>
    <w:pPr>
      <w:tabs>
        <w:tab w:val="right" w:leader="dot" w:pos="9241"/>
      </w:tabs>
      <w:ind w:firstLine="100" w:firstLineChars="100"/>
      <w:jc w:val="left"/>
    </w:pPr>
    <w:rPr>
      <w:rFonts w:ascii="宋体"/>
      <w:szCs w:val="21"/>
    </w:rPr>
  </w:style>
  <w:style w:type="paragraph" w:styleId="12">
    <w:name w:val="toc 8"/>
    <w:basedOn w:val="1"/>
    <w:next w:val="1"/>
    <w:semiHidden/>
    <w:qFormat/>
    <w:uiPriority w:val="99"/>
    <w:pPr>
      <w:tabs>
        <w:tab w:val="right" w:leader="dot" w:pos="9241"/>
      </w:tabs>
      <w:ind w:firstLine="607" w:firstLineChars="600"/>
      <w:jc w:val="left"/>
    </w:pPr>
    <w:rPr>
      <w:rFonts w:ascii="宋体"/>
      <w:szCs w:val="21"/>
    </w:rPr>
  </w:style>
  <w:style w:type="paragraph" w:styleId="13">
    <w:name w:val="index 3"/>
    <w:basedOn w:val="1"/>
    <w:next w:val="1"/>
    <w:qFormat/>
    <w:uiPriority w:val="99"/>
    <w:pPr>
      <w:ind w:left="630" w:hanging="210"/>
      <w:jc w:val="left"/>
    </w:pPr>
    <w:rPr>
      <w:rFonts w:ascii="Calibri" w:hAnsi="Calibri"/>
      <w:sz w:val="20"/>
      <w:szCs w:val="20"/>
    </w:rPr>
  </w:style>
  <w:style w:type="paragraph" w:styleId="14">
    <w:name w:val="Date"/>
    <w:basedOn w:val="1"/>
    <w:next w:val="1"/>
    <w:link w:val="40"/>
    <w:qFormat/>
    <w:locked/>
    <w:uiPriority w:val="99"/>
    <w:pPr>
      <w:ind w:left="100" w:leftChars="2500"/>
    </w:pPr>
  </w:style>
  <w:style w:type="paragraph" w:styleId="15">
    <w:name w:val="endnote text"/>
    <w:basedOn w:val="1"/>
    <w:link w:val="41"/>
    <w:semiHidden/>
    <w:qFormat/>
    <w:uiPriority w:val="99"/>
    <w:pPr>
      <w:snapToGrid w:val="0"/>
      <w:jc w:val="left"/>
    </w:pPr>
    <w:rPr>
      <w:kern w:val="0"/>
      <w:sz w:val="20"/>
    </w:rPr>
  </w:style>
  <w:style w:type="paragraph" w:styleId="16">
    <w:name w:val="Balloon Text"/>
    <w:basedOn w:val="1"/>
    <w:link w:val="141"/>
    <w:semiHidden/>
    <w:qFormat/>
    <w:locked/>
    <w:uiPriority w:val="99"/>
    <w:rPr>
      <w:sz w:val="18"/>
      <w:szCs w:val="18"/>
    </w:rPr>
  </w:style>
  <w:style w:type="paragraph" w:styleId="17">
    <w:name w:val="footer"/>
    <w:basedOn w:val="1"/>
    <w:link w:val="42"/>
    <w:qFormat/>
    <w:uiPriority w:val="99"/>
    <w:pPr>
      <w:snapToGrid w:val="0"/>
      <w:ind w:right="210" w:rightChars="100"/>
      <w:jc w:val="right"/>
    </w:pPr>
    <w:rPr>
      <w:kern w:val="0"/>
      <w:sz w:val="18"/>
      <w:szCs w:val="18"/>
    </w:rPr>
  </w:style>
  <w:style w:type="paragraph" w:styleId="18">
    <w:name w:val="header"/>
    <w:basedOn w:val="1"/>
    <w:link w:val="43"/>
    <w:qFormat/>
    <w:uiPriority w:val="99"/>
    <w:pPr>
      <w:snapToGrid w:val="0"/>
      <w:jc w:val="left"/>
    </w:pPr>
    <w:rPr>
      <w:kern w:val="0"/>
      <w:sz w:val="18"/>
      <w:szCs w:val="18"/>
    </w:rPr>
  </w:style>
  <w:style w:type="paragraph" w:styleId="19">
    <w:name w:val="toc 1"/>
    <w:basedOn w:val="1"/>
    <w:next w:val="1"/>
    <w:semiHidden/>
    <w:qFormat/>
    <w:uiPriority w:val="99"/>
    <w:pPr>
      <w:tabs>
        <w:tab w:val="right" w:leader="dot" w:pos="9242"/>
      </w:tabs>
      <w:spacing w:beforeLines="25" w:afterLines="25"/>
      <w:jc w:val="left"/>
    </w:pPr>
    <w:rPr>
      <w:rFonts w:ascii="宋体"/>
      <w:szCs w:val="21"/>
    </w:rPr>
  </w:style>
  <w:style w:type="paragraph" w:styleId="20">
    <w:name w:val="toc 4"/>
    <w:basedOn w:val="1"/>
    <w:next w:val="1"/>
    <w:semiHidden/>
    <w:qFormat/>
    <w:uiPriority w:val="99"/>
    <w:pPr>
      <w:tabs>
        <w:tab w:val="right" w:leader="dot" w:pos="9241"/>
      </w:tabs>
      <w:ind w:firstLine="200" w:firstLineChars="200"/>
      <w:jc w:val="left"/>
    </w:pPr>
    <w:rPr>
      <w:rFonts w:ascii="宋体"/>
      <w:szCs w:val="21"/>
    </w:rPr>
  </w:style>
  <w:style w:type="paragraph" w:styleId="21">
    <w:name w:val="index heading"/>
    <w:basedOn w:val="1"/>
    <w:next w:val="22"/>
    <w:qFormat/>
    <w:uiPriority w:val="99"/>
    <w:pPr>
      <w:spacing w:before="120" w:after="120"/>
      <w:jc w:val="center"/>
    </w:pPr>
    <w:rPr>
      <w:rFonts w:ascii="Calibri" w:hAnsi="Calibri"/>
      <w:b/>
      <w:bCs/>
      <w:iCs/>
      <w:szCs w:val="20"/>
    </w:rPr>
  </w:style>
  <w:style w:type="paragraph" w:styleId="22">
    <w:name w:val="index 1"/>
    <w:basedOn w:val="1"/>
    <w:next w:val="23"/>
    <w:qFormat/>
    <w:uiPriority w:val="99"/>
    <w:pPr>
      <w:tabs>
        <w:tab w:val="right" w:leader="dot" w:pos="9299"/>
      </w:tabs>
      <w:jc w:val="left"/>
    </w:pPr>
    <w:rPr>
      <w:rFonts w:ascii="宋体"/>
      <w:szCs w:val="21"/>
    </w:rPr>
  </w:style>
  <w:style w:type="paragraph" w:customStyle="1" w:styleId="23">
    <w:name w:val="段"/>
    <w:link w:val="4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styleId="24">
    <w:name w:val="footnote text"/>
    <w:basedOn w:val="1"/>
    <w:link w:val="44"/>
    <w:qFormat/>
    <w:uiPriority w:val="99"/>
    <w:pPr>
      <w:numPr>
        <w:ilvl w:val="0"/>
        <w:numId w:val="1"/>
      </w:numPr>
      <w:snapToGrid w:val="0"/>
      <w:jc w:val="left"/>
    </w:pPr>
    <w:rPr>
      <w:kern w:val="0"/>
      <w:sz w:val="18"/>
      <w:szCs w:val="18"/>
    </w:rPr>
  </w:style>
  <w:style w:type="paragraph" w:styleId="25">
    <w:name w:val="toc 6"/>
    <w:basedOn w:val="1"/>
    <w:next w:val="1"/>
    <w:semiHidden/>
    <w:qFormat/>
    <w:uiPriority w:val="99"/>
    <w:pPr>
      <w:tabs>
        <w:tab w:val="right" w:leader="dot" w:pos="9241"/>
      </w:tabs>
      <w:ind w:firstLine="400" w:firstLineChars="400"/>
      <w:jc w:val="left"/>
    </w:pPr>
    <w:rPr>
      <w:rFonts w:ascii="宋体"/>
      <w:szCs w:val="21"/>
    </w:rPr>
  </w:style>
  <w:style w:type="paragraph" w:styleId="26">
    <w:name w:val="index 7"/>
    <w:basedOn w:val="1"/>
    <w:next w:val="1"/>
    <w:qFormat/>
    <w:uiPriority w:val="99"/>
    <w:pPr>
      <w:ind w:left="1470" w:hanging="210"/>
      <w:jc w:val="left"/>
    </w:pPr>
    <w:rPr>
      <w:rFonts w:ascii="Calibri" w:hAnsi="Calibri"/>
      <w:sz w:val="20"/>
      <w:szCs w:val="20"/>
    </w:rPr>
  </w:style>
  <w:style w:type="paragraph" w:styleId="27">
    <w:name w:val="index 9"/>
    <w:basedOn w:val="1"/>
    <w:next w:val="1"/>
    <w:qFormat/>
    <w:uiPriority w:val="99"/>
    <w:pPr>
      <w:ind w:left="1890" w:hanging="210"/>
      <w:jc w:val="left"/>
    </w:pPr>
    <w:rPr>
      <w:rFonts w:ascii="Calibri" w:hAnsi="Calibri"/>
      <w:sz w:val="20"/>
      <w:szCs w:val="20"/>
    </w:rPr>
  </w:style>
  <w:style w:type="paragraph" w:styleId="28">
    <w:name w:val="toc 2"/>
    <w:basedOn w:val="1"/>
    <w:next w:val="1"/>
    <w:semiHidden/>
    <w:qFormat/>
    <w:uiPriority w:val="99"/>
    <w:pPr>
      <w:tabs>
        <w:tab w:val="right" w:leader="dot" w:pos="9242"/>
      </w:tabs>
    </w:pPr>
    <w:rPr>
      <w:rFonts w:ascii="宋体"/>
      <w:szCs w:val="21"/>
    </w:rPr>
  </w:style>
  <w:style w:type="paragraph" w:styleId="29">
    <w:name w:val="toc 9"/>
    <w:basedOn w:val="1"/>
    <w:next w:val="1"/>
    <w:semiHidden/>
    <w:qFormat/>
    <w:uiPriority w:val="99"/>
    <w:pPr>
      <w:ind w:left="1470"/>
      <w:jc w:val="left"/>
    </w:pPr>
    <w:rPr>
      <w:sz w:val="20"/>
      <w:szCs w:val="20"/>
    </w:rPr>
  </w:style>
  <w:style w:type="paragraph" w:styleId="30">
    <w:name w:val="index 2"/>
    <w:basedOn w:val="1"/>
    <w:next w:val="1"/>
    <w:qFormat/>
    <w:uiPriority w:val="99"/>
    <w:pPr>
      <w:ind w:left="420" w:hanging="210"/>
      <w:jc w:val="left"/>
    </w:pPr>
    <w:rPr>
      <w:rFonts w:ascii="Calibri" w:hAnsi="Calibri"/>
      <w:sz w:val="20"/>
      <w:szCs w:val="20"/>
    </w:rPr>
  </w:style>
  <w:style w:type="table" w:styleId="32">
    <w:name w:val="Table Grid"/>
    <w:basedOn w:val="31"/>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basedOn w:val="33"/>
    <w:semiHidden/>
    <w:qFormat/>
    <w:uiPriority w:val="99"/>
    <w:rPr>
      <w:rFonts w:cs="Times New Roman"/>
      <w:vertAlign w:val="superscript"/>
    </w:rPr>
  </w:style>
  <w:style w:type="character" w:styleId="35">
    <w:name w:val="page number"/>
    <w:basedOn w:val="33"/>
    <w:qFormat/>
    <w:uiPriority w:val="99"/>
    <w:rPr>
      <w:rFonts w:ascii="Times New Roman" w:hAnsi="Times New Roman" w:eastAsia="宋体" w:cs="Times New Roman"/>
      <w:sz w:val="18"/>
    </w:rPr>
  </w:style>
  <w:style w:type="character" w:styleId="36">
    <w:name w:val="FollowedHyperlink"/>
    <w:basedOn w:val="33"/>
    <w:qFormat/>
    <w:uiPriority w:val="99"/>
    <w:rPr>
      <w:rFonts w:cs="Times New Roman"/>
      <w:color w:val="800080"/>
      <w:u w:val="single"/>
    </w:rPr>
  </w:style>
  <w:style w:type="character" w:styleId="37">
    <w:name w:val="Hyperlink"/>
    <w:basedOn w:val="33"/>
    <w:qFormat/>
    <w:uiPriority w:val="99"/>
    <w:rPr>
      <w:rFonts w:cs="Times New Roman"/>
      <w:color w:val="0000FF"/>
      <w:spacing w:val="0"/>
      <w:w w:val="100"/>
      <w:sz w:val="21"/>
      <w:u w:val="single"/>
      <w:lang w:val="en-US" w:eastAsia="zh-CN"/>
    </w:rPr>
  </w:style>
  <w:style w:type="character" w:styleId="38">
    <w:name w:val="footnote reference"/>
    <w:basedOn w:val="33"/>
    <w:semiHidden/>
    <w:qFormat/>
    <w:uiPriority w:val="99"/>
    <w:rPr>
      <w:rFonts w:cs="Times New Roman"/>
      <w:vertAlign w:val="superscript"/>
    </w:rPr>
  </w:style>
  <w:style w:type="character" w:customStyle="1" w:styleId="39">
    <w:name w:val="文档结构图 字符"/>
    <w:basedOn w:val="33"/>
    <w:link w:val="6"/>
    <w:semiHidden/>
    <w:qFormat/>
    <w:locked/>
    <w:uiPriority w:val="99"/>
    <w:rPr>
      <w:rFonts w:cs="Times New Roman"/>
      <w:sz w:val="2"/>
    </w:rPr>
  </w:style>
  <w:style w:type="character" w:customStyle="1" w:styleId="40">
    <w:name w:val="日期 字符"/>
    <w:basedOn w:val="33"/>
    <w:link w:val="14"/>
    <w:semiHidden/>
    <w:qFormat/>
    <w:locked/>
    <w:uiPriority w:val="99"/>
    <w:rPr>
      <w:rFonts w:cs="Times New Roman"/>
      <w:sz w:val="24"/>
      <w:szCs w:val="24"/>
    </w:rPr>
  </w:style>
  <w:style w:type="character" w:customStyle="1" w:styleId="41">
    <w:name w:val="尾注文本 字符"/>
    <w:basedOn w:val="33"/>
    <w:link w:val="15"/>
    <w:semiHidden/>
    <w:qFormat/>
    <w:locked/>
    <w:uiPriority w:val="99"/>
    <w:rPr>
      <w:rFonts w:cs="Times New Roman"/>
      <w:sz w:val="24"/>
    </w:rPr>
  </w:style>
  <w:style w:type="character" w:customStyle="1" w:styleId="42">
    <w:name w:val="页脚 字符"/>
    <w:basedOn w:val="33"/>
    <w:link w:val="17"/>
    <w:semiHidden/>
    <w:qFormat/>
    <w:locked/>
    <w:uiPriority w:val="99"/>
    <w:rPr>
      <w:rFonts w:cs="Times New Roman"/>
      <w:sz w:val="18"/>
    </w:rPr>
  </w:style>
  <w:style w:type="character" w:customStyle="1" w:styleId="43">
    <w:name w:val="页眉 字符"/>
    <w:basedOn w:val="33"/>
    <w:link w:val="18"/>
    <w:semiHidden/>
    <w:qFormat/>
    <w:locked/>
    <w:uiPriority w:val="99"/>
    <w:rPr>
      <w:rFonts w:cs="Times New Roman"/>
      <w:sz w:val="18"/>
    </w:rPr>
  </w:style>
  <w:style w:type="character" w:customStyle="1" w:styleId="44">
    <w:name w:val="脚注文本 字符"/>
    <w:basedOn w:val="33"/>
    <w:link w:val="24"/>
    <w:semiHidden/>
    <w:qFormat/>
    <w:locked/>
    <w:uiPriority w:val="99"/>
    <w:rPr>
      <w:rFonts w:cs="Times New Roman"/>
      <w:sz w:val="18"/>
    </w:rPr>
  </w:style>
  <w:style w:type="character" w:customStyle="1" w:styleId="45">
    <w:name w:val="附录公式 Char"/>
    <w:basedOn w:val="46"/>
    <w:link w:val="47"/>
    <w:qFormat/>
    <w:locked/>
    <w:uiPriority w:val="99"/>
    <w:rPr>
      <w:rFonts w:ascii="宋体" w:cs="Times New Roman"/>
      <w:sz w:val="22"/>
      <w:szCs w:val="22"/>
      <w:lang w:val="en-US" w:eastAsia="zh-CN" w:bidi="ar-SA"/>
    </w:rPr>
  </w:style>
  <w:style w:type="character" w:customStyle="1" w:styleId="46">
    <w:name w:val="段 Char"/>
    <w:link w:val="23"/>
    <w:qFormat/>
    <w:locked/>
    <w:uiPriority w:val="99"/>
    <w:rPr>
      <w:rFonts w:ascii="宋体"/>
      <w:sz w:val="22"/>
      <w:lang w:val="en-US" w:eastAsia="zh-CN"/>
    </w:rPr>
  </w:style>
  <w:style w:type="paragraph" w:customStyle="1" w:styleId="47">
    <w:name w:val="附录公式"/>
    <w:basedOn w:val="23"/>
    <w:next w:val="23"/>
    <w:link w:val="45"/>
    <w:qFormat/>
    <w:uiPriority w:val="99"/>
  </w:style>
  <w:style w:type="character" w:customStyle="1" w:styleId="48">
    <w:name w:val="发布"/>
    <w:qFormat/>
    <w:uiPriority w:val="99"/>
    <w:rPr>
      <w:rFonts w:ascii="黑体" w:eastAsia="黑体"/>
      <w:spacing w:val="85"/>
      <w:w w:val="100"/>
      <w:position w:val="3"/>
      <w:sz w:val="28"/>
    </w:rPr>
  </w:style>
  <w:style w:type="character" w:customStyle="1" w:styleId="49">
    <w:name w:val="首示例 Char"/>
    <w:link w:val="50"/>
    <w:qFormat/>
    <w:locked/>
    <w:uiPriority w:val="99"/>
    <w:rPr>
      <w:rFonts w:ascii="宋体" w:eastAsia="宋体"/>
      <w:kern w:val="2"/>
      <w:sz w:val="18"/>
      <w:lang w:val="en-US" w:eastAsia="zh-CN"/>
    </w:rPr>
  </w:style>
  <w:style w:type="paragraph" w:customStyle="1" w:styleId="50">
    <w:name w:val="首示例"/>
    <w:next w:val="23"/>
    <w:link w:val="49"/>
    <w:qFormat/>
    <w:uiPriority w:val="99"/>
    <w:pPr>
      <w:numPr>
        <w:ilvl w:val="0"/>
        <w:numId w:val="2"/>
      </w:numPr>
      <w:tabs>
        <w:tab w:val="left" w:pos="360"/>
      </w:tabs>
    </w:pPr>
    <w:rPr>
      <w:rFonts w:ascii="宋体" w:hAnsi="宋体" w:eastAsia="宋体" w:cs="Times New Roman"/>
      <w:kern w:val="2"/>
      <w:sz w:val="18"/>
      <w:szCs w:val="18"/>
      <w:lang w:val="en-US" w:eastAsia="zh-CN" w:bidi="ar-SA"/>
    </w:rPr>
  </w:style>
  <w:style w:type="paragraph" w:customStyle="1" w:styleId="51">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2">
    <w:name w:val="参考文献"/>
    <w:basedOn w:val="1"/>
    <w:next w:val="23"/>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53">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4">
    <w:name w:val="封面标准英文名称"/>
    <w:basedOn w:val="55"/>
    <w:qFormat/>
    <w:uiPriority w:val="99"/>
    <w:pPr>
      <w:spacing w:before="370" w:line="400" w:lineRule="exact"/>
    </w:pPr>
    <w:rPr>
      <w:rFonts w:ascii="Times New Roman"/>
      <w:sz w:val="28"/>
      <w:szCs w:val="28"/>
    </w:rPr>
  </w:style>
  <w:style w:type="paragraph" w:customStyle="1" w:styleId="55">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6">
    <w:name w:val="封面标准名称2"/>
    <w:basedOn w:val="55"/>
    <w:qFormat/>
    <w:uiPriority w:val="99"/>
    <w:pPr>
      <w:framePr w:y="4469"/>
      <w:spacing w:beforeLines="630"/>
    </w:pPr>
  </w:style>
  <w:style w:type="paragraph" w:customStyle="1" w:styleId="57">
    <w:name w:val="附录图标号"/>
    <w:basedOn w:val="1"/>
    <w:qFormat/>
    <w:uiPriority w:val="99"/>
    <w:pPr>
      <w:keepNext/>
      <w:pageBreakBefore/>
      <w:widowControl/>
      <w:numPr>
        <w:ilvl w:val="0"/>
        <w:numId w:val="3"/>
      </w:numPr>
      <w:spacing w:line="14" w:lineRule="exact"/>
      <w:ind w:firstLine="363"/>
      <w:jc w:val="center"/>
      <w:outlineLvl w:val="0"/>
    </w:pPr>
    <w:rPr>
      <w:color w:val="FFFFFF"/>
    </w:rPr>
  </w:style>
  <w:style w:type="paragraph" w:customStyle="1" w:styleId="58">
    <w:name w:val="二级无"/>
    <w:basedOn w:val="59"/>
    <w:qFormat/>
    <w:uiPriority w:val="99"/>
    <w:pPr>
      <w:spacing w:beforeLines="0" w:afterLines="0"/>
      <w:ind w:left="0"/>
    </w:pPr>
    <w:rPr>
      <w:rFonts w:ascii="宋体" w:eastAsia="宋体"/>
    </w:rPr>
  </w:style>
  <w:style w:type="paragraph" w:customStyle="1" w:styleId="59">
    <w:name w:val="二级条标题"/>
    <w:basedOn w:val="60"/>
    <w:next w:val="23"/>
    <w:qFormat/>
    <w:uiPriority w:val="99"/>
    <w:pPr>
      <w:numPr>
        <w:ilvl w:val="0"/>
        <w:numId w:val="0"/>
      </w:numPr>
      <w:spacing w:before="50" w:after="50"/>
      <w:ind w:left="567"/>
      <w:outlineLvl w:val="3"/>
    </w:pPr>
  </w:style>
  <w:style w:type="paragraph" w:customStyle="1" w:styleId="60">
    <w:name w:val="一级条标题"/>
    <w:next w:val="23"/>
    <w:qFormat/>
    <w:uiPriority w:val="99"/>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61">
    <w:name w:val="章标题"/>
    <w:next w:val="23"/>
    <w:qFormat/>
    <w:uiPriority w:val="99"/>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62">
    <w:name w:val="附录表标号"/>
    <w:basedOn w:val="1"/>
    <w:next w:val="23"/>
    <w:qFormat/>
    <w:uiPriority w:val="99"/>
    <w:pPr>
      <w:numPr>
        <w:ilvl w:val="0"/>
        <w:numId w:val="5"/>
      </w:numPr>
      <w:spacing w:line="14" w:lineRule="exact"/>
      <w:ind w:left="811" w:hanging="448"/>
      <w:jc w:val="center"/>
      <w:outlineLvl w:val="0"/>
    </w:pPr>
    <w:rPr>
      <w:color w:val="FFFFFF"/>
    </w:rPr>
  </w:style>
  <w:style w:type="paragraph" w:customStyle="1" w:styleId="63">
    <w:name w:val="附录二级无"/>
    <w:basedOn w:val="64"/>
    <w:qFormat/>
    <w:uiPriority w:val="99"/>
    <w:pPr>
      <w:tabs>
        <w:tab w:val="left" w:pos="360"/>
      </w:tabs>
      <w:spacing w:beforeLines="0" w:afterLines="0"/>
    </w:pPr>
    <w:rPr>
      <w:rFonts w:ascii="宋体" w:eastAsia="宋体"/>
      <w:szCs w:val="21"/>
    </w:rPr>
  </w:style>
  <w:style w:type="paragraph" w:customStyle="1" w:styleId="64">
    <w:name w:val="附录二级条标题"/>
    <w:basedOn w:val="1"/>
    <w:next w:val="23"/>
    <w:qFormat/>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5">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6">
    <w:name w:val="正文图标题"/>
    <w:next w:val="23"/>
    <w:qFormat/>
    <w:uiPriority w:val="99"/>
    <w:pPr>
      <w:numPr>
        <w:ilvl w:val="0"/>
        <w:numId w:val="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7">
    <w:name w:val="字母编号列项（一级）"/>
    <w:qFormat/>
    <w:uiPriority w:val="99"/>
    <w:pPr>
      <w:numPr>
        <w:ilvl w:val="0"/>
        <w:numId w:val="7"/>
      </w:numPr>
      <w:jc w:val="both"/>
    </w:pPr>
    <w:rPr>
      <w:rFonts w:ascii="宋体" w:hAnsi="Times New Roman" w:eastAsia="宋体" w:cs="Times New Roman"/>
      <w:sz w:val="21"/>
      <w:lang w:val="en-US" w:eastAsia="zh-CN" w:bidi="ar-SA"/>
    </w:rPr>
  </w:style>
  <w:style w:type="paragraph" w:customStyle="1" w:styleId="68">
    <w:name w:val="标准书眉_偶数页"/>
    <w:basedOn w:val="69"/>
    <w:next w:val="1"/>
    <w:qFormat/>
    <w:uiPriority w:val="99"/>
    <w:pPr>
      <w:tabs>
        <w:tab w:val="center" w:pos="4154"/>
        <w:tab w:val="right" w:pos="8306"/>
      </w:tabs>
      <w:jc w:val="left"/>
    </w:pPr>
  </w:style>
  <w:style w:type="paragraph" w:customStyle="1" w:styleId="6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0">
    <w:name w:val="列项◆（三级）"/>
    <w:basedOn w:val="1"/>
    <w:qFormat/>
    <w:uiPriority w:val="99"/>
    <w:pPr>
      <w:numPr>
        <w:ilvl w:val="2"/>
        <w:numId w:val="8"/>
      </w:numPr>
    </w:pPr>
    <w:rPr>
      <w:rFonts w:ascii="宋体"/>
      <w:szCs w:val="21"/>
    </w:rPr>
  </w:style>
  <w:style w:type="paragraph" w:customStyle="1" w:styleId="71">
    <w:name w:val="封面标准文稿编辑信息"/>
    <w:basedOn w:val="72"/>
    <w:qFormat/>
    <w:uiPriority w:val="99"/>
    <w:pPr>
      <w:spacing w:before="180" w:line="180" w:lineRule="exact"/>
    </w:pPr>
    <w:rPr>
      <w:sz w:val="21"/>
    </w:rPr>
  </w:style>
  <w:style w:type="paragraph" w:customStyle="1" w:styleId="72">
    <w:name w:val="封面标准文稿类别"/>
    <w:basedOn w:val="73"/>
    <w:qFormat/>
    <w:uiPriority w:val="99"/>
    <w:pPr>
      <w:spacing w:after="160" w:line="240" w:lineRule="auto"/>
    </w:pPr>
    <w:rPr>
      <w:sz w:val="24"/>
    </w:rPr>
  </w:style>
  <w:style w:type="paragraph" w:customStyle="1" w:styleId="73">
    <w:name w:val="封面一致性程度标识"/>
    <w:basedOn w:val="54"/>
    <w:qFormat/>
    <w:uiPriority w:val="99"/>
    <w:pPr>
      <w:spacing w:before="440"/>
    </w:pPr>
    <w:rPr>
      <w:rFonts w:ascii="宋体" w:eastAsia="宋体"/>
    </w:rPr>
  </w:style>
  <w:style w:type="paragraph" w:customStyle="1" w:styleId="74">
    <w:name w:val="示例×："/>
    <w:basedOn w:val="61"/>
    <w:qFormat/>
    <w:uiPriority w:val="99"/>
    <w:pPr>
      <w:numPr>
        <w:numId w:val="9"/>
      </w:numPr>
      <w:spacing w:beforeLines="0" w:afterLines="0"/>
      <w:outlineLvl w:val="9"/>
    </w:pPr>
    <w:rPr>
      <w:rFonts w:ascii="宋体" w:eastAsia="宋体"/>
      <w:sz w:val="18"/>
      <w:szCs w:val="18"/>
    </w:rPr>
  </w:style>
  <w:style w:type="paragraph" w:customStyle="1" w:styleId="75">
    <w:name w:val="附录四级无"/>
    <w:basedOn w:val="76"/>
    <w:qFormat/>
    <w:uiPriority w:val="99"/>
    <w:pPr>
      <w:tabs>
        <w:tab w:val="left" w:pos="360"/>
      </w:tabs>
      <w:spacing w:beforeLines="0" w:afterLines="0"/>
    </w:pPr>
    <w:rPr>
      <w:rFonts w:ascii="宋体" w:eastAsia="宋体"/>
      <w:szCs w:val="21"/>
    </w:rPr>
  </w:style>
  <w:style w:type="paragraph" w:customStyle="1" w:styleId="76">
    <w:name w:val="附录四级条标题"/>
    <w:basedOn w:val="77"/>
    <w:next w:val="23"/>
    <w:qFormat/>
    <w:uiPriority w:val="99"/>
    <w:pPr>
      <w:tabs>
        <w:tab w:val="left" w:pos="360"/>
      </w:tabs>
      <w:outlineLvl w:val="5"/>
    </w:pPr>
  </w:style>
  <w:style w:type="paragraph" w:customStyle="1" w:styleId="77">
    <w:name w:val="附录三级条标题"/>
    <w:basedOn w:val="64"/>
    <w:next w:val="23"/>
    <w:qFormat/>
    <w:uiPriority w:val="99"/>
    <w:pPr>
      <w:outlineLvl w:val="4"/>
    </w:pPr>
  </w:style>
  <w:style w:type="paragraph" w:customStyle="1" w:styleId="78">
    <w:name w:val="注："/>
    <w:next w:val="23"/>
    <w:qFormat/>
    <w:uiPriority w:val="99"/>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79">
    <w:name w:val="条文脚注"/>
    <w:basedOn w:val="24"/>
    <w:qFormat/>
    <w:uiPriority w:val="99"/>
    <w:pPr>
      <w:numPr>
        <w:numId w:val="0"/>
      </w:numPr>
      <w:jc w:val="both"/>
    </w:pPr>
  </w:style>
  <w:style w:type="paragraph" w:customStyle="1" w:styleId="80">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81">
    <w:name w:val="列项——（一级）"/>
    <w:qFormat/>
    <w:uiPriority w:val="99"/>
    <w:pPr>
      <w:widowControl w:val="0"/>
      <w:numPr>
        <w:ilvl w:val="0"/>
        <w:numId w:val="8"/>
      </w:numPr>
      <w:jc w:val="both"/>
    </w:pPr>
    <w:rPr>
      <w:rFonts w:ascii="宋体" w:hAnsi="Times New Roman" w:eastAsia="宋体" w:cs="Times New Roman"/>
      <w:sz w:val="21"/>
      <w:lang w:val="en-US" w:eastAsia="zh-CN" w:bidi="ar-SA"/>
    </w:rPr>
  </w:style>
  <w:style w:type="paragraph" w:customStyle="1" w:styleId="82">
    <w:name w:val="图标脚注说明"/>
    <w:basedOn w:val="23"/>
    <w:qFormat/>
    <w:uiPriority w:val="99"/>
    <w:pPr>
      <w:ind w:left="840" w:hanging="420" w:firstLineChars="0"/>
    </w:pPr>
    <w:rPr>
      <w:sz w:val="18"/>
      <w:szCs w:val="18"/>
    </w:rPr>
  </w:style>
  <w:style w:type="paragraph" w:customStyle="1" w:styleId="83">
    <w:name w:val="附录五级条标题"/>
    <w:basedOn w:val="76"/>
    <w:next w:val="23"/>
    <w:qFormat/>
    <w:uiPriority w:val="99"/>
    <w:pPr>
      <w:outlineLvl w:val="6"/>
    </w:pPr>
  </w:style>
  <w:style w:type="paragraph" w:customStyle="1" w:styleId="84">
    <w:name w:val="参考文献、索引标题"/>
    <w:basedOn w:val="1"/>
    <w:next w:val="23"/>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85">
    <w:name w:val="三级条标题"/>
    <w:basedOn w:val="59"/>
    <w:next w:val="23"/>
    <w:qFormat/>
    <w:uiPriority w:val="99"/>
    <w:pPr>
      <w:numPr>
        <w:ilvl w:val="3"/>
      </w:numPr>
      <w:ind w:left="567"/>
      <w:outlineLvl w:val="4"/>
    </w:pPr>
  </w:style>
  <w:style w:type="paragraph" w:customStyle="1" w:styleId="86">
    <w:name w:val="注：（正文）"/>
    <w:basedOn w:val="78"/>
    <w:next w:val="23"/>
    <w:qFormat/>
    <w:uiPriority w:val="99"/>
  </w:style>
  <w:style w:type="paragraph" w:customStyle="1" w:styleId="87">
    <w:name w:val="实施日期"/>
    <w:basedOn w:val="65"/>
    <w:qFormat/>
    <w:uiPriority w:val="99"/>
    <w:pPr>
      <w:framePr w:vAnchor="page" w:hAnchor="text"/>
      <w:jc w:val="right"/>
    </w:pPr>
  </w:style>
  <w:style w:type="paragraph" w:customStyle="1" w:styleId="88">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89">
    <w:name w:val="其他实施日期"/>
    <w:basedOn w:val="87"/>
    <w:qFormat/>
    <w:uiPriority w:val="99"/>
  </w:style>
  <w:style w:type="paragraph" w:customStyle="1" w:styleId="90">
    <w:name w:val="列项●（二级）"/>
    <w:qFormat/>
    <w:uiPriority w:val="99"/>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91">
    <w:name w:val="三级无"/>
    <w:basedOn w:val="85"/>
    <w:qFormat/>
    <w:uiPriority w:val="99"/>
    <w:pPr>
      <w:spacing w:beforeLines="0" w:afterLines="0"/>
    </w:pPr>
    <w:rPr>
      <w:rFonts w:ascii="宋体" w:eastAsia="宋体"/>
    </w:rPr>
  </w:style>
  <w:style w:type="paragraph" w:customStyle="1" w:styleId="92">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93">
    <w:name w:val="四级无"/>
    <w:basedOn w:val="94"/>
    <w:qFormat/>
    <w:uiPriority w:val="99"/>
    <w:pPr>
      <w:spacing w:beforeLines="0" w:afterLines="0"/>
    </w:pPr>
    <w:rPr>
      <w:rFonts w:ascii="宋体" w:eastAsia="宋体"/>
    </w:rPr>
  </w:style>
  <w:style w:type="paragraph" w:customStyle="1" w:styleId="94">
    <w:name w:val="四级条标题"/>
    <w:basedOn w:val="85"/>
    <w:next w:val="23"/>
    <w:qFormat/>
    <w:uiPriority w:val="99"/>
    <w:pPr>
      <w:numPr>
        <w:ilvl w:val="4"/>
      </w:numPr>
      <w:ind w:left="567"/>
      <w:outlineLvl w:val="5"/>
    </w:pPr>
  </w:style>
  <w:style w:type="paragraph" w:customStyle="1" w:styleId="95">
    <w:name w:val="图的脚注"/>
    <w:next w:val="23"/>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6">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97">
    <w:name w:val="附录五级无"/>
    <w:basedOn w:val="83"/>
    <w:qFormat/>
    <w:uiPriority w:val="99"/>
    <w:pPr>
      <w:tabs>
        <w:tab w:val="clear" w:pos="360"/>
      </w:tabs>
      <w:spacing w:beforeLines="0" w:afterLines="0"/>
    </w:pPr>
    <w:rPr>
      <w:rFonts w:ascii="宋体" w:eastAsia="宋体"/>
      <w:szCs w:val="21"/>
    </w:rPr>
  </w:style>
  <w:style w:type="paragraph" w:customStyle="1" w:styleId="98">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9">
    <w:name w:val="示例后文字"/>
    <w:basedOn w:val="23"/>
    <w:next w:val="23"/>
    <w:qFormat/>
    <w:uiPriority w:val="99"/>
    <w:pPr>
      <w:ind w:firstLine="360"/>
    </w:pPr>
    <w:rPr>
      <w:sz w:val="18"/>
    </w:rPr>
  </w:style>
  <w:style w:type="paragraph" w:customStyle="1" w:styleId="100">
    <w:name w:val="封面标准英文名称2"/>
    <w:basedOn w:val="54"/>
    <w:qFormat/>
    <w:uiPriority w:val="99"/>
    <w:pPr>
      <w:framePr w:y="4469"/>
    </w:pPr>
  </w:style>
  <w:style w:type="paragraph" w:customStyle="1" w:styleId="101">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102">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3">
    <w:name w:val="一级无"/>
    <w:basedOn w:val="60"/>
    <w:qFormat/>
    <w:uiPriority w:val="99"/>
    <w:pPr>
      <w:spacing w:beforeLines="0" w:afterLines="0"/>
    </w:pPr>
    <w:rPr>
      <w:rFonts w:ascii="宋体" w:eastAsia="宋体"/>
    </w:rPr>
  </w:style>
  <w:style w:type="paragraph" w:customStyle="1" w:styleId="104">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05">
    <w:name w:val="五级无"/>
    <w:basedOn w:val="106"/>
    <w:qFormat/>
    <w:uiPriority w:val="99"/>
    <w:pPr>
      <w:spacing w:beforeLines="0" w:afterLines="0"/>
    </w:pPr>
    <w:rPr>
      <w:rFonts w:ascii="宋体" w:eastAsia="宋体"/>
    </w:rPr>
  </w:style>
  <w:style w:type="paragraph" w:customStyle="1" w:styleId="106">
    <w:name w:val="五级条标题"/>
    <w:basedOn w:val="94"/>
    <w:next w:val="23"/>
    <w:qFormat/>
    <w:uiPriority w:val="99"/>
    <w:pPr>
      <w:numPr>
        <w:ilvl w:val="5"/>
      </w:numPr>
      <w:ind w:left="567"/>
      <w:outlineLvl w:val="6"/>
    </w:pPr>
  </w:style>
  <w:style w:type="paragraph" w:customStyle="1" w:styleId="107">
    <w:name w:val="编号列项（三级）"/>
    <w:qFormat/>
    <w:uiPriority w:val="99"/>
    <w:pPr>
      <w:numPr>
        <w:ilvl w:val="2"/>
        <w:numId w:val="7"/>
      </w:numPr>
    </w:pPr>
    <w:rPr>
      <w:rFonts w:ascii="宋体" w:hAnsi="Times New Roman" w:eastAsia="宋体" w:cs="Times New Roman"/>
      <w:sz w:val="21"/>
      <w:lang w:val="en-US" w:eastAsia="zh-CN" w:bidi="ar-SA"/>
    </w:rPr>
  </w:style>
  <w:style w:type="paragraph" w:customStyle="1" w:styleId="108">
    <w:name w:val="注×："/>
    <w:qFormat/>
    <w:uiPriority w:val="99"/>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09">
    <w:name w:val="附录章标题"/>
    <w:next w:val="23"/>
    <w:qFormat/>
    <w:uiPriority w:val="99"/>
    <w:pPr>
      <w:numPr>
        <w:ilvl w:val="1"/>
        <w:numId w:val="1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其他标准标志"/>
    <w:basedOn w:val="96"/>
    <w:qFormat/>
    <w:uiPriority w:val="99"/>
    <w:pPr>
      <w:framePr w:w="6101" w:vAnchor="page" w:hAnchor="page" w:x="4673" w:y="942"/>
    </w:pPr>
    <w:rPr>
      <w:w w:val="130"/>
    </w:rPr>
  </w:style>
  <w:style w:type="paragraph" w:customStyle="1" w:styleId="111">
    <w:name w:val="附录字母编号列项（一级）"/>
    <w:qFormat/>
    <w:uiPriority w:val="99"/>
    <w:pPr>
      <w:numPr>
        <w:ilvl w:val="0"/>
        <w:numId w:val="13"/>
      </w:numPr>
    </w:pPr>
    <w:rPr>
      <w:rFonts w:ascii="宋体" w:hAnsi="Times New Roman" w:eastAsia="宋体" w:cs="Times New Roman"/>
      <w:sz w:val="21"/>
      <w:lang w:val="en-US" w:eastAsia="zh-CN" w:bidi="ar-SA"/>
    </w:rPr>
  </w:style>
  <w:style w:type="paragraph" w:customStyle="1" w:styleId="112">
    <w:name w:val="标准书眉一"/>
    <w:qFormat/>
    <w:uiPriority w:val="99"/>
    <w:pPr>
      <w:jc w:val="both"/>
    </w:pPr>
    <w:rPr>
      <w:rFonts w:ascii="Times New Roman" w:hAnsi="Times New Roman" w:eastAsia="宋体" w:cs="Times New Roman"/>
      <w:lang w:val="en-US" w:eastAsia="zh-CN" w:bidi="ar-SA"/>
    </w:rPr>
  </w:style>
  <w:style w:type="paragraph" w:customStyle="1" w:styleId="113">
    <w:name w:val="封面标准文稿编辑信息2"/>
    <w:basedOn w:val="71"/>
    <w:qFormat/>
    <w:uiPriority w:val="99"/>
    <w:pPr>
      <w:framePr w:y="4469"/>
    </w:pPr>
  </w:style>
  <w:style w:type="paragraph" w:customStyle="1" w:styleId="114">
    <w:name w:val="示例"/>
    <w:next w:val="115"/>
    <w:qFormat/>
    <w:uiPriority w:val="99"/>
    <w:pPr>
      <w:widowControl w:val="0"/>
      <w:numPr>
        <w:ilvl w:val="0"/>
        <w:numId w:val="14"/>
      </w:numPr>
      <w:jc w:val="both"/>
    </w:pPr>
    <w:rPr>
      <w:rFonts w:ascii="宋体" w:hAnsi="Times New Roman" w:eastAsia="宋体" w:cs="Times New Roman"/>
      <w:sz w:val="18"/>
      <w:szCs w:val="18"/>
      <w:lang w:val="en-US" w:eastAsia="zh-CN" w:bidi="ar-SA"/>
    </w:rPr>
  </w:style>
  <w:style w:type="paragraph" w:customStyle="1" w:styleId="115">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116">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117">
    <w:name w:val="附录三级无"/>
    <w:basedOn w:val="77"/>
    <w:qFormat/>
    <w:uiPriority w:val="99"/>
    <w:pPr>
      <w:tabs>
        <w:tab w:val="clear" w:pos="360"/>
      </w:tabs>
      <w:spacing w:beforeLines="0" w:afterLines="0"/>
    </w:pPr>
    <w:rPr>
      <w:rFonts w:ascii="宋体" w:eastAsia="宋体"/>
      <w:szCs w:val="21"/>
    </w:rPr>
  </w:style>
  <w:style w:type="paragraph" w:customStyle="1" w:styleId="118">
    <w:name w:val="其他发布部门"/>
    <w:basedOn w:val="53"/>
    <w:qFormat/>
    <w:uiPriority w:val="99"/>
    <w:pPr>
      <w:framePr w:y="15310"/>
      <w:spacing w:line="240" w:lineRule="atLeast"/>
    </w:pPr>
    <w:rPr>
      <w:rFonts w:ascii="黑体" w:eastAsia="黑体"/>
      <w:b w:val="0"/>
    </w:rPr>
  </w:style>
  <w:style w:type="paragraph" w:customStyle="1" w:styleId="119">
    <w:name w:val="附录公式编号制表符"/>
    <w:basedOn w:val="1"/>
    <w:next w:val="23"/>
    <w:qFormat/>
    <w:uiPriority w:val="99"/>
    <w:pPr>
      <w:widowControl/>
      <w:tabs>
        <w:tab w:val="center" w:pos="4201"/>
        <w:tab w:val="right" w:leader="dot" w:pos="9298"/>
      </w:tabs>
      <w:autoSpaceDE w:val="0"/>
      <w:autoSpaceDN w:val="0"/>
    </w:pPr>
    <w:rPr>
      <w:rFonts w:ascii="宋体"/>
      <w:kern w:val="0"/>
      <w:szCs w:val="20"/>
    </w:rPr>
  </w:style>
  <w:style w:type="paragraph" w:customStyle="1" w:styleId="120">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21">
    <w:name w:val="图表脚注说明"/>
    <w:basedOn w:val="1"/>
    <w:qFormat/>
    <w:uiPriority w:val="99"/>
    <w:pPr>
      <w:numPr>
        <w:ilvl w:val="0"/>
        <w:numId w:val="15"/>
      </w:numPr>
    </w:pPr>
    <w:rPr>
      <w:rFonts w:ascii="宋体"/>
      <w:sz w:val="18"/>
      <w:szCs w:val="18"/>
    </w:rPr>
  </w:style>
  <w:style w:type="paragraph" w:customStyle="1" w:styleId="122">
    <w:name w:val="注×：（正文）"/>
    <w:qFormat/>
    <w:uiPriority w:val="99"/>
    <w:pPr>
      <w:numPr>
        <w:ilvl w:val="0"/>
        <w:numId w:val="16"/>
      </w:numPr>
      <w:jc w:val="both"/>
    </w:pPr>
    <w:rPr>
      <w:rFonts w:ascii="宋体" w:hAnsi="Times New Roman" w:eastAsia="宋体" w:cs="Times New Roman"/>
      <w:sz w:val="18"/>
      <w:szCs w:val="18"/>
      <w:lang w:val="en-US" w:eastAsia="zh-CN" w:bidi="ar-SA"/>
    </w:rPr>
  </w:style>
  <w:style w:type="paragraph" w:customStyle="1" w:styleId="123">
    <w:name w:val="附录一级无"/>
    <w:basedOn w:val="124"/>
    <w:qFormat/>
    <w:uiPriority w:val="99"/>
    <w:pPr>
      <w:tabs>
        <w:tab w:val="left" w:pos="360"/>
      </w:tabs>
      <w:spacing w:beforeLines="0" w:afterLines="0"/>
    </w:pPr>
    <w:rPr>
      <w:rFonts w:ascii="宋体" w:eastAsia="宋体"/>
      <w:szCs w:val="21"/>
    </w:rPr>
  </w:style>
  <w:style w:type="paragraph" w:customStyle="1" w:styleId="124">
    <w:name w:val="附录一级条标题"/>
    <w:basedOn w:val="109"/>
    <w:next w:val="23"/>
    <w:qFormat/>
    <w:uiPriority w:val="99"/>
    <w:pPr>
      <w:numPr>
        <w:ilvl w:val="0"/>
        <w:numId w:val="0"/>
      </w:numPr>
      <w:autoSpaceDN w:val="0"/>
      <w:spacing w:beforeLines="50" w:afterLines="50"/>
      <w:outlineLvl w:val="2"/>
    </w:pPr>
  </w:style>
  <w:style w:type="paragraph" w:customStyle="1" w:styleId="125">
    <w:name w:val="其他发布日期"/>
    <w:basedOn w:val="65"/>
    <w:qFormat/>
    <w:uiPriority w:val="99"/>
    <w:pPr>
      <w:framePr w:vAnchor="page" w:hAnchor="text" w:x="1419"/>
    </w:pPr>
  </w:style>
  <w:style w:type="paragraph" w:customStyle="1" w:styleId="126">
    <w:name w:val="附录标题"/>
    <w:basedOn w:val="23"/>
    <w:next w:val="23"/>
    <w:qFormat/>
    <w:uiPriority w:val="99"/>
    <w:pPr>
      <w:ind w:firstLine="0" w:firstLineChars="0"/>
      <w:jc w:val="center"/>
    </w:pPr>
    <w:rPr>
      <w:rFonts w:ascii="黑体" w:eastAsia="黑体"/>
    </w:rPr>
  </w:style>
  <w:style w:type="paragraph" w:customStyle="1" w:styleId="127">
    <w:name w:val="终结线"/>
    <w:basedOn w:val="1"/>
    <w:qFormat/>
    <w:uiPriority w:val="99"/>
    <w:pPr>
      <w:framePr w:hSpace="181" w:vSpace="181" w:wrap="around" w:vAnchor="text" w:hAnchor="margin" w:xAlign="center" w:y="285"/>
    </w:pPr>
  </w:style>
  <w:style w:type="paragraph" w:customStyle="1" w:styleId="12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9">
    <w:name w:val="封面标准文稿类别2"/>
    <w:basedOn w:val="72"/>
    <w:qFormat/>
    <w:uiPriority w:val="99"/>
    <w:pPr>
      <w:framePr w:y="4469"/>
    </w:pPr>
  </w:style>
  <w:style w:type="paragraph" w:customStyle="1" w:styleId="130">
    <w:name w:val="数字编号列项（二级）"/>
    <w:qFormat/>
    <w:uiPriority w:val="99"/>
    <w:pPr>
      <w:numPr>
        <w:ilvl w:val="1"/>
        <w:numId w:val="7"/>
      </w:numPr>
      <w:jc w:val="both"/>
    </w:pPr>
    <w:rPr>
      <w:rFonts w:ascii="宋体" w:hAnsi="Times New Roman" w:eastAsia="宋体" w:cs="Times New Roman"/>
      <w:sz w:val="21"/>
      <w:lang w:val="en-US" w:eastAsia="zh-CN" w:bidi="ar-SA"/>
    </w:rPr>
  </w:style>
  <w:style w:type="paragraph" w:customStyle="1" w:styleId="131">
    <w:name w:val="附录图标题"/>
    <w:basedOn w:val="1"/>
    <w:next w:val="23"/>
    <w:qFormat/>
    <w:uiPriority w:val="99"/>
    <w:pPr>
      <w:numPr>
        <w:ilvl w:val="1"/>
        <w:numId w:val="3"/>
      </w:numPr>
      <w:tabs>
        <w:tab w:val="left" w:pos="363"/>
      </w:tabs>
      <w:spacing w:beforeLines="50" w:afterLines="50"/>
      <w:jc w:val="center"/>
    </w:pPr>
    <w:rPr>
      <w:rFonts w:ascii="黑体" w:eastAsia="黑体"/>
      <w:szCs w:val="21"/>
    </w:rPr>
  </w:style>
  <w:style w:type="paragraph" w:customStyle="1" w:styleId="132">
    <w:name w:val="附录数字编号列项（二级）"/>
    <w:qFormat/>
    <w:uiPriority w:val="99"/>
    <w:pPr>
      <w:numPr>
        <w:ilvl w:val="1"/>
        <w:numId w:val="13"/>
      </w:numPr>
    </w:pPr>
    <w:rPr>
      <w:rFonts w:ascii="宋体" w:hAnsi="Times New Roman" w:eastAsia="宋体" w:cs="Times New Roman"/>
      <w:sz w:val="21"/>
      <w:lang w:val="en-US" w:eastAsia="zh-CN" w:bidi="ar-SA"/>
    </w:rPr>
  </w:style>
  <w:style w:type="paragraph" w:customStyle="1" w:styleId="133">
    <w:name w:val="封面一致性程度标识2"/>
    <w:basedOn w:val="73"/>
    <w:qFormat/>
    <w:uiPriority w:val="99"/>
    <w:pPr>
      <w:framePr w:y="4469"/>
    </w:pPr>
  </w:style>
  <w:style w:type="paragraph" w:customStyle="1" w:styleId="134">
    <w:name w:val="封面正文"/>
    <w:qFormat/>
    <w:uiPriority w:val="99"/>
    <w:pPr>
      <w:jc w:val="both"/>
    </w:pPr>
    <w:rPr>
      <w:rFonts w:ascii="Times New Roman" w:hAnsi="Times New Roman" w:eastAsia="宋体" w:cs="Times New Roman"/>
      <w:lang w:val="en-US" w:eastAsia="zh-CN" w:bidi="ar-SA"/>
    </w:rPr>
  </w:style>
  <w:style w:type="paragraph" w:customStyle="1" w:styleId="135">
    <w:name w:val="前言、引言标题"/>
    <w:next w:val="23"/>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6">
    <w:name w:val="附录标识"/>
    <w:basedOn w:val="1"/>
    <w:next w:val="23"/>
    <w:qFormat/>
    <w:uiPriority w:val="99"/>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7">
    <w:name w:val="正文表标题"/>
    <w:next w:val="23"/>
    <w:qFormat/>
    <w:uiPriority w:val="99"/>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8">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139">
    <w:name w:val="正文公式编号制表符"/>
    <w:basedOn w:val="23"/>
    <w:next w:val="23"/>
    <w:qFormat/>
    <w:uiPriority w:val="99"/>
    <w:pPr>
      <w:ind w:firstLine="0" w:firstLineChars="0"/>
    </w:pPr>
  </w:style>
  <w:style w:type="paragraph" w:customStyle="1" w:styleId="140">
    <w:name w:val="附录表标题"/>
    <w:basedOn w:val="1"/>
    <w:next w:val="23"/>
    <w:qFormat/>
    <w:uiPriority w:val="99"/>
    <w:pPr>
      <w:numPr>
        <w:ilvl w:val="1"/>
        <w:numId w:val="5"/>
      </w:numPr>
      <w:tabs>
        <w:tab w:val="left" w:pos="180"/>
      </w:tabs>
      <w:spacing w:beforeLines="50" w:afterLines="50"/>
      <w:jc w:val="center"/>
    </w:pPr>
    <w:rPr>
      <w:rFonts w:ascii="黑体" w:eastAsia="黑体"/>
      <w:szCs w:val="21"/>
    </w:rPr>
  </w:style>
  <w:style w:type="character" w:customStyle="1" w:styleId="141">
    <w:name w:val="批注框文本 字符"/>
    <w:basedOn w:val="33"/>
    <w:link w:val="16"/>
    <w:semiHidden/>
    <w:qFormat/>
    <w:locked/>
    <w:uiPriority w:val="99"/>
    <w:rPr>
      <w:rFonts w:cs="Times New Roman"/>
      <w:kern w:val="2"/>
      <w:sz w:val="18"/>
      <w:szCs w:val="18"/>
    </w:rPr>
  </w:style>
  <w:style w:type="paragraph" w:customStyle="1" w:styleId="142">
    <w:name w:val="Body text|1"/>
    <w:basedOn w:val="1"/>
    <w:qFormat/>
    <w:uiPriority w:val="0"/>
    <w:pPr>
      <w:spacing w:line="329" w:lineRule="auto"/>
    </w:pPr>
    <w:rPr>
      <w:rFonts w:ascii="宋体" w:hAnsi="宋体" w:cs="宋体"/>
      <w:sz w:val="20"/>
      <w:szCs w:val="20"/>
      <w:lang w:val="zh-CN" w:bidi="zh-CN"/>
    </w:rPr>
  </w:style>
  <w:style w:type="paragraph" w:customStyle="1" w:styleId="143">
    <w:name w:val="Body text|2"/>
    <w:basedOn w:val="1"/>
    <w:qFormat/>
    <w:uiPriority w:val="0"/>
    <w:pPr>
      <w:spacing w:line="338" w:lineRule="auto"/>
    </w:pPr>
    <w:rPr>
      <w:sz w:val="20"/>
      <w:szCs w:val="20"/>
    </w:rPr>
  </w:style>
  <w:style w:type="paragraph" w:customStyle="1" w:styleId="144">
    <w:name w:val="Other|1"/>
    <w:basedOn w:val="1"/>
    <w:qFormat/>
    <w:uiPriority w:val="0"/>
    <w:pPr>
      <w:spacing w:line="329" w:lineRule="auto"/>
    </w:pPr>
    <w:rPr>
      <w:rFonts w:ascii="宋体" w:hAnsi="宋体" w:cs="宋体"/>
      <w:sz w:val="20"/>
      <w:szCs w:val="20"/>
      <w:lang w:val="zh-CN" w:bidi="zh-CN"/>
    </w:rPr>
  </w:style>
  <w:style w:type="paragraph" w:customStyle="1" w:styleId="145">
    <w:name w:val="Table caption|1"/>
    <w:basedOn w:val="1"/>
    <w:qFormat/>
    <w:uiPriority w:val="0"/>
    <w:rPr>
      <w:rFonts w:ascii="宋体" w:hAnsi="宋体" w:cs="宋体"/>
      <w:sz w:val="20"/>
      <w:szCs w:val="20"/>
      <w:lang w:val="zh-CN" w:bidi="zh-CN"/>
    </w:rPr>
  </w:style>
  <w:style w:type="paragraph" w:customStyle="1" w:styleId="146">
    <w:name w:val="Header or footer|2"/>
    <w:basedOn w:val="1"/>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Q\Desktop\&#30333;&#33469;&#22855;&#20848;&#20914;&#27873;&#19982;&#21697;&#37492;&#26041;&#2786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白芽奇兰冲泡与品鉴方法</Template>
  <Pages>6</Pages>
  <Words>388</Words>
  <Characters>2216</Characters>
  <Lines>18</Lines>
  <Paragraphs>5</Paragraphs>
  <TotalTime>1</TotalTime>
  <ScaleCrop>false</ScaleCrop>
  <LinksUpToDate>false</LinksUpToDate>
  <CharactersWithSpaces>2599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2018-07-02T02:58:00Z</dcterms:created>
  <cp:lastPrinted>2019-09-23T03:08:00Z</cp:lastPrinted>
  <dcterms:modified xsi:type="dcterms:W3CDTF">2020-11-20T08:27:26Z</dcterms:modified>
  <dc:title>标准名称</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