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</w:rPr>
      </w:pPr>
    </w:p>
    <w:p>
      <w:pPr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ICS 67.160.10</w:t>
      </w:r>
    </w:p>
    <w:p>
      <w:pPr>
        <w:rPr>
          <w:rFonts w:ascii="宋体"/>
          <w:szCs w:val="21"/>
        </w:rPr>
      </w:pPr>
      <w:r>
        <w:rPr>
          <w:rFonts w:ascii="黑体" w:hAnsi="黑体" w:eastAsia="黑体"/>
          <w:b/>
          <w:szCs w:val="21"/>
        </w:rPr>
        <w:t xml:space="preserve">X62 </w:t>
      </w:r>
      <w:r>
        <w:rPr>
          <w:rFonts w:ascii="宋体" w:hAnsi="宋体"/>
          <w:b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</w:p>
    <w:p>
      <w:pPr>
        <w:rPr>
          <w:szCs w:val="21"/>
        </w:rPr>
      </w:pPr>
      <w:r>
        <w:rPr>
          <w:rFonts w:ascii="宋体" w:hAnsi="宋体"/>
          <w:szCs w:val="21"/>
        </w:rPr>
        <w:t xml:space="preserve">                       </w:t>
      </w:r>
    </w:p>
    <w:p>
      <w:pPr>
        <w:jc w:val="center"/>
        <w:rPr>
          <w:rFonts w:ascii="宋体"/>
          <w:sz w:val="160"/>
          <w:szCs w:val="200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团</w:t>
      </w:r>
      <w:r>
        <w:rPr>
          <w:rFonts w:ascii="黑体" w:hAnsi="黑体" w:eastAsia="黑体"/>
          <w:b/>
          <w:bCs/>
          <w:sz w:val="72"/>
          <w:szCs w:val="72"/>
        </w:rPr>
        <w:t xml:space="preserve">   </w:t>
      </w:r>
      <w:r>
        <w:rPr>
          <w:rFonts w:hint="eastAsia" w:ascii="黑体" w:hAnsi="黑体" w:eastAsia="黑体"/>
          <w:b/>
          <w:bCs/>
          <w:sz w:val="72"/>
          <w:szCs w:val="72"/>
        </w:rPr>
        <w:t>体</w:t>
      </w:r>
      <w:r>
        <w:rPr>
          <w:rFonts w:ascii="黑体" w:hAnsi="黑体" w:eastAsia="黑体"/>
          <w:b/>
          <w:bCs/>
          <w:sz w:val="72"/>
          <w:szCs w:val="72"/>
        </w:rPr>
        <w:t xml:space="preserve">    </w:t>
      </w:r>
      <w:r>
        <w:rPr>
          <w:rFonts w:hint="eastAsia" w:ascii="黑体" w:hAnsi="黑体" w:eastAsia="黑体"/>
          <w:b/>
          <w:bCs/>
          <w:sz w:val="72"/>
          <w:szCs w:val="72"/>
        </w:rPr>
        <w:t>标</w:t>
      </w:r>
      <w:r>
        <w:rPr>
          <w:rFonts w:ascii="黑体" w:hAnsi="黑体" w:eastAsia="黑体"/>
          <w:b/>
          <w:bCs/>
          <w:sz w:val="72"/>
          <w:szCs w:val="72"/>
        </w:rPr>
        <w:t xml:space="preserve">    </w:t>
      </w:r>
      <w:r>
        <w:rPr>
          <w:rFonts w:hint="eastAsia" w:ascii="黑体" w:hAnsi="黑体" w:eastAsia="黑体"/>
          <w:b/>
          <w:bCs/>
          <w:sz w:val="72"/>
          <w:szCs w:val="72"/>
        </w:rPr>
        <w:t>准</w:t>
      </w:r>
    </w:p>
    <w:p>
      <w:pPr>
        <w:spacing w:line="360" w:lineRule="auto"/>
        <w:ind w:left="722" w:leftChars="344" w:firstLine="2774" w:firstLineChars="991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T/NAIA 0008—2020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黑体" w:hAnsi="黑体" w:eastAsia="黑体"/>
          <w:sz w:val="28"/>
          <w:szCs w:val="28"/>
        </w:rPr>
        <w:t xml:space="preserve"> </w:t>
      </w:r>
    </w:p>
    <w:p/>
    <w:p/>
    <w:p/>
    <w:p/>
    <w:p/>
    <w:p>
      <w:pPr>
        <w:jc w:val="center"/>
        <w:rPr>
          <w:rFonts w:hint="eastAsia" w:ascii="黑体" w:hAnsi="黑体" w:eastAsia="黑体"/>
          <w:b/>
          <w:bCs/>
          <w:sz w:val="52"/>
          <w:szCs w:val="72"/>
          <w:lang w:eastAsia="zh-CN"/>
        </w:rPr>
      </w:pPr>
      <w:r>
        <w:rPr>
          <w:rFonts w:hint="eastAsia" w:ascii="黑体" w:hAnsi="黑体" w:eastAsia="黑体"/>
          <w:b/>
          <w:bCs/>
          <w:sz w:val="52"/>
          <w:szCs w:val="72"/>
          <w:lang w:eastAsia="zh-CN"/>
        </w:rPr>
        <w:t>牛羊肉臊子</w:t>
      </w:r>
    </w:p>
    <w:p>
      <w:pPr>
        <w:ind w:firstLine="2800" w:firstLineChars="1000"/>
      </w:pPr>
      <w:r>
        <w:rPr>
          <w:rFonts w:hint="eastAsia" w:ascii="黑体" w:hAnsi="黑体" w:eastAsia="黑体"/>
          <w:sz w:val="28"/>
          <w:szCs w:val="28"/>
        </w:rPr>
        <w:t>M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utton</w:t>
      </w:r>
      <w:r>
        <w:rPr>
          <w:rFonts w:hint="eastAsia" w:ascii="黑体" w:hAnsi="黑体" w:eastAsia="黑体"/>
          <w:sz w:val="28"/>
          <w:szCs w:val="28"/>
        </w:rPr>
        <w:t xml:space="preserve"> and beef saozi</w:t>
      </w:r>
    </w:p>
    <w:p>
      <w:pPr>
        <w:ind w:firstLine="3092" w:firstLineChars="11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（征求意见稿）</w:t>
      </w:r>
    </w:p>
    <w:p/>
    <w:p/>
    <w:p/>
    <w:p/>
    <w:p/>
    <w:p/>
    <w:p/>
    <w:p/>
    <w:p/>
    <w:p/>
    <w:p/>
    <w:p/>
    <w:p/>
    <w:p/>
    <w:p/>
    <w:p/>
    <w:p/>
    <w:p>
      <w:pPr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  <w:u w:val="single"/>
        </w:rPr>
        <w:t>2020-XX-XX</w:t>
      </w:r>
      <w:r>
        <w:rPr>
          <w:rFonts w:hint="eastAsia" w:ascii="黑体" w:hAnsi="黑体" w:eastAsia="黑体"/>
          <w:sz w:val="28"/>
          <w:szCs w:val="36"/>
          <w:u w:val="single"/>
        </w:rPr>
        <w:t>发布</w:t>
      </w:r>
      <w:r>
        <w:rPr>
          <w:rFonts w:ascii="黑体" w:hAnsi="黑体" w:eastAsia="黑体"/>
          <w:sz w:val="28"/>
          <w:szCs w:val="36"/>
          <w:u w:val="single"/>
        </w:rPr>
        <w:t xml:space="preserve">                              2020-XX-XX</w:t>
      </w:r>
      <w:r>
        <w:rPr>
          <w:rFonts w:hint="eastAsia" w:ascii="黑体" w:hAnsi="黑体" w:eastAsia="黑体"/>
          <w:sz w:val="28"/>
          <w:szCs w:val="36"/>
          <w:u w:val="single"/>
        </w:rPr>
        <w:t>实施</w:t>
      </w:r>
    </w:p>
    <w:p>
      <w:pPr>
        <w:ind w:left="-540" w:leftChars="-257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宁夏化学分析测试协会</w:t>
      </w:r>
      <w:r>
        <w:rPr>
          <w:rFonts w:ascii="黑体" w:hAnsi="黑体" w:eastAsia="黑体"/>
          <w:b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bCs/>
          <w:sz w:val="32"/>
          <w:szCs w:val="32"/>
        </w:rPr>
        <w:t>发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布</w:t>
      </w:r>
    </w:p>
    <w:p/>
    <w:p>
      <w:pPr>
        <w:ind w:firstLine="3534" w:firstLineChars="1100"/>
        <w:rPr>
          <w:rFonts w:ascii="黑体" w:hAnsi="黑体" w:eastAsia="黑体"/>
          <w:b/>
          <w:bCs/>
          <w:sz w:val="18"/>
          <w:szCs w:val="21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前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言</w:t>
      </w:r>
    </w:p>
    <w:p/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本标准按照</w:t>
      </w:r>
      <w:r>
        <w:rPr>
          <w:rFonts w:ascii="宋体" w:hAnsi="宋体"/>
        </w:rPr>
        <w:t xml:space="preserve">GB/T 1.1-2009 </w:t>
      </w:r>
      <w:r>
        <w:rPr>
          <w:rFonts w:hint="eastAsia" w:ascii="宋体" w:hAnsi="宋体"/>
        </w:rPr>
        <w:t>《标准化工作导则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第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部分：标准的结构和编写》规定编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hint="eastAsia" w:ascii="宋体" w:hAnsi="宋体"/>
        </w:rPr>
        <w:t>写。</w:t>
      </w:r>
    </w:p>
    <w:p>
      <w:pPr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请注意本标准的某些内容可能涉及专利，本标准的起草和发布机构不承担相关责任。</w:t>
      </w:r>
    </w:p>
    <w:p>
      <w:pPr>
        <w:ind w:firstLine="420" w:firstLineChars="200"/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本标准由宁夏化学分析测试协会提出并归口。</w:t>
      </w:r>
    </w:p>
    <w:p>
      <w:pPr>
        <w:ind w:firstLine="420" w:firstLineChars="200"/>
        <w:rPr>
          <w:rFonts w:ascii="宋体"/>
        </w:rPr>
      </w:pPr>
    </w:p>
    <w:p>
      <w:pPr>
        <w:ind w:firstLine="420" w:firstLineChars="200"/>
        <w:rPr>
          <w:rFonts w:hint="eastAsia" w:ascii="宋体" w:eastAsia="宋体"/>
          <w:lang w:eastAsia="zh-CN"/>
        </w:rPr>
      </w:pPr>
      <w:r>
        <w:rPr>
          <w:rFonts w:hint="eastAsia" w:ascii="宋体" w:hAnsi="宋体"/>
        </w:rPr>
        <w:t>本标准起草单位：宁夏回族自治区食品检测研究院、</w:t>
      </w:r>
      <w:r>
        <w:rPr>
          <w:rFonts w:hint="eastAsia" w:ascii="宋体" w:hAnsi="宋体"/>
          <w:lang w:val="en-US" w:eastAsia="zh-CN"/>
        </w:rPr>
        <w:t>石嘴山市碧草洲饮食有限公司、宁夏清穆食品有限公司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lang w:eastAsia="zh-CN"/>
        </w:rPr>
        <w:t>宁夏食品检测二站。</w:t>
      </w:r>
    </w:p>
    <w:p>
      <w:pPr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本标准主要起草人：</w:t>
      </w:r>
      <w:r>
        <w:rPr>
          <w:rFonts w:hint="eastAsia" w:ascii="宋体" w:hAnsi="宋体"/>
          <w:lang w:eastAsia="zh-CN"/>
        </w:rPr>
        <w:t>李谦、张学玲、杨建兴、沈鑫</w:t>
      </w:r>
      <w:bookmarkStart w:id="0" w:name="_GoBack"/>
      <w:bookmarkEnd w:id="0"/>
      <w:r>
        <w:rPr>
          <w:rFonts w:hint="eastAsia" w:ascii="宋体" w:hAnsi="宋体"/>
          <w:lang w:eastAsia="zh-CN"/>
        </w:rPr>
        <w:t>、王忠强、伊倩如</w:t>
      </w:r>
      <w:r>
        <w:rPr>
          <w:rFonts w:hint="eastAsia" w:ascii="宋体" w:hAnsi="宋体"/>
          <w:lang w:val="en-US" w:eastAsia="zh-CN"/>
        </w:rPr>
        <w:t xml:space="preserve"> 、刘明、胡德平</w:t>
      </w:r>
      <w:r>
        <w:rPr>
          <w:rFonts w:hint="eastAsia" w:ascii="宋体" w:hAnsi="宋体"/>
        </w:rPr>
        <w:t>。</w:t>
      </w:r>
    </w:p>
    <w:p>
      <w:pPr>
        <w:rPr>
          <w:rFonts w:ascii="宋体"/>
        </w:rPr>
      </w:pPr>
    </w:p>
    <w:p>
      <w:pPr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本标准于</w:t>
      </w:r>
      <w:r>
        <w:rPr>
          <w:rFonts w:ascii="宋体" w:hAnsi="宋体"/>
        </w:rPr>
        <w:t>2020</w:t>
      </w:r>
      <w:r>
        <w:rPr>
          <w:rFonts w:hint="eastAsia" w:ascii="宋体" w:hAnsi="宋体"/>
        </w:rPr>
        <w:t>年</w:t>
      </w:r>
      <w:r>
        <w:rPr>
          <w:rFonts w:ascii="宋体" w:hAnsi="宋体"/>
          <w:color w:val="FF0000"/>
        </w:rPr>
        <w:t>X</w:t>
      </w:r>
      <w:r>
        <w:rPr>
          <w:rFonts w:hint="eastAsia" w:ascii="宋体" w:hAnsi="宋体"/>
          <w:color w:val="FF0000"/>
        </w:rPr>
        <w:t>月</w:t>
      </w:r>
      <w:r>
        <w:rPr>
          <w:rFonts w:ascii="宋体" w:hAnsi="宋体"/>
          <w:color w:val="FF0000"/>
        </w:rPr>
        <w:t>XX</w:t>
      </w:r>
      <w:r>
        <w:rPr>
          <w:rFonts w:hint="eastAsia" w:ascii="宋体" w:hAnsi="宋体"/>
        </w:rPr>
        <w:t>日首次发布。</w:t>
      </w:r>
    </w:p>
    <w:p/>
    <w:p/>
    <w:p/>
    <w:p/>
    <w:p/>
    <w:p/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>
      <w:pPr>
        <w:ind w:firstLine="3150" w:firstLineChars="1500"/>
      </w:pPr>
    </w:p>
    <w:p/>
    <w:p/>
    <w:p>
      <w:pPr>
        <w:spacing w:line="360" w:lineRule="auto"/>
        <w:ind w:firstLine="3200" w:firstLineChars="10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牛羊肉臊子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1 </w:t>
      </w:r>
      <w:r>
        <w:rPr>
          <w:rFonts w:hint="eastAsia" w:ascii="黑体" w:hAnsi="黑体" w:eastAsia="黑体"/>
          <w:b/>
          <w:bCs/>
          <w:szCs w:val="21"/>
        </w:rPr>
        <w:t>范围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本标准规定了</w:t>
      </w:r>
      <w:r>
        <w:rPr>
          <w:rFonts w:hint="eastAsia" w:ascii="宋体" w:hAnsi="宋体"/>
          <w:color w:val="auto"/>
          <w:szCs w:val="21"/>
          <w:lang w:eastAsia="zh-CN"/>
        </w:rPr>
        <w:t>牛羊肉臊子</w:t>
      </w:r>
      <w:r>
        <w:rPr>
          <w:rFonts w:hint="eastAsia" w:ascii="宋体" w:hAnsi="宋体"/>
          <w:color w:val="auto"/>
          <w:szCs w:val="21"/>
        </w:rPr>
        <w:t>的术语和定义、基本要求、</w:t>
      </w:r>
      <w:r>
        <w:rPr>
          <w:rFonts w:hint="eastAsia" w:ascii="宋体" w:hAnsi="宋体"/>
          <w:color w:val="auto"/>
          <w:szCs w:val="21"/>
          <w:lang w:eastAsia="zh-CN"/>
        </w:rPr>
        <w:t>食品添加剂、生产过程卫生要求、检验方法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  <w:lang w:eastAsia="zh-CN"/>
        </w:rPr>
        <w:t>检验规则</w:t>
      </w:r>
      <w:r>
        <w:rPr>
          <w:rFonts w:hint="eastAsia" w:ascii="宋体" w:hAnsi="宋体"/>
          <w:color w:val="auto"/>
          <w:szCs w:val="21"/>
        </w:rPr>
        <w:t>、标志、标签、包装、运输和贮存。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本标准适用于</w:t>
      </w:r>
      <w:r>
        <w:rPr>
          <w:rFonts w:hint="eastAsia" w:ascii="宋体" w:hAnsi="宋体"/>
          <w:color w:val="auto"/>
          <w:szCs w:val="21"/>
          <w:lang w:val="en-US" w:eastAsia="zh-CN"/>
        </w:rPr>
        <w:t>牛羊肉臊子</w:t>
      </w:r>
      <w:r>
        <w:rPr>
          <w:rFonts w:hint="eastAsia" w:ascii="宋体" w:hAnsi="宋体"/>
          <w:color w:val="auto"/>
          <w:szCs w:val="21"/>
        </w:rPr>
        <w:t>的生产加工和质量管理。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2 </w:t>
      </w:r>
      <w:r>
        <w:rPr>
          <w:rFonts w:hint="eastAsia" w:ascii="黑体" w:hAnsi="黑体" w:eastAsia="黑体"/>
          <w:b/>
          <w:bCs/>
          <w:szCs w:val="21"/>
        </w:rPr>
        <w:t>规范性引用文件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下列文件对于本文件的应用是必不可少的。凡是注日期的应用文件，仅注日期的版本适用于本文件，凡是不注日期的引用文件，其最新版本（包括所有的修改单）适用于本文件。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GB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2707</w:t>
      </w:r>
      <w:r>
        <w:rPr>
          <w:rFonts w:hint="eastAsia" w:ascii="宋体" w:hAnsi="宋体"/>
          <w:color w:val="auto"/>
          <w:szCs w:val="21"/>
        </w:rPr>
        <w:t xml:space="preserve">        </w:t>
      </w:r>
      <w:r>
        <w:rPr>
          <w:rFonts w:hint="eastAsia" w:ascii="宋体" w:hAnsi="宋体"/>
          <w:color w:val="auto"/>
          <w:szCs w:val="21"/>
          <w:lang w:val="en-US" w:eastAsia="zh-CN"/>
        </w:rPr>
        <w:t>鲜（冻）畜肉卫生标准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GB 27</w:t>
      </w:r>
      <w:r>
        <w:rPr>
          <w:rFonts w:hint="eastAsia" w:ascii="宋体" w:hAnsi="宋体"/>
          <w:color w:val="auto"/>
          <w:szCs w:val="21"/>
          <w:lang w:val="en-US" w:eastAsia="zh-CN"/>
        </w:rPr>
        <w:t>16</w:t>
      </w:r>
      <w:r>
        <w:rPr>
          <w:rFonts w:hint="eastAsia" w:ascii="宋体" w:hAnsi="宋体"/>
          <w:color w:val="auto"/>
          <w:szCs w:val="21"/>
        </w:rPr>
        <w:t xml:space="preserve">        </w:t>
      </w:r>
      <w:r>
        <w:rPr>
          <w:rFonts w:hint="eastAsia" w:ascii="宋体" w:hAnsi="宋体"/>
          <w:color w:val="auto"/>
          <w:szCs w:val="21"/>
          <w:lang w:eastAsia="zh-CN"/>
        </w:rPr>
        <w:t>食用植物油卫生标准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GB 27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  <w:lang w:eastAsia="zh-CN"/>
        </w:rPr>
        <w:t xml:space="preserve">    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 xml:space="preserve"> 食品安全国家标准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>味精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 xml:space="preserve">GB </w:t>
      </w:r>
      <w:r>
        <w:rPr>
          <w:rFonts w:hint="eastAsia" w:ascii="宋体" w:hAnsi="宋体"/>
          <w:color w:val="auto"/>
          <w:szCs w:val="21"/>
          <w:lang w:val="en-US" w:eastAsia="zh-CN"/>
        </w:rPr>
        <w:t>2721</w:t>
      </w:r>
      <w:r>
        <w:rPr>
          <w:rFonts w:hint="eastAsia" w:ascii="宋体" w:hAnsi="宋体"/>
          <w:color w:val="auto"/>
          <w:szCs w:val="21"/>
          <w:lang w:eastAsia="zh-CN"/>
        </w:rPr>
        <w:t xml:space="preserve">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   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>食品安全国家标准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食盐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 xml:space="preserve">GB </w:t>
      </w:r>
      <w:r>
        <w:rPr>
          <w:rFonts w:hint="eastAsia" w:ascii="宋体" w:hAnsi="宋体"/>
          <w:color w:val="auto"/>
          <w:szCs w:val="21"/>
          <w:lang w:val="en-US" w:eastAsia="zh-CN"/>
        </w:rPr>
        <w:t>2726</w:t>
      </w:r>
      <w:r>
        <w:rPr>
          <w:rFonts w:hint="eastAsia" w:ascii="宋体" w:hAnsi="宋体"/>
          <w:color w:val="auto"/>
          <w:szCs w:val="21"/>
          <w:lang w:eastAsia="zh-CN"/>
        </w:rPr>
        <w:t xml:space="preserve">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 xml:space="preserve">     </w:t>
      </w:r>
      <w:r>
        <w:rPr>
          <w:rFonts w:asci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>食品安全国家标准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熟肉制品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GB 27</w:t>
      </w:r>
      <w:r>
        <w:rPr>
          <w:rFonts w:hint="eastAsia" w:ascii="宋体" w:hAnsi="宋体"/>
          <w:color w:val="auto"/>
          <w:szCs w:val="21"/>
          <w:lang w:val="en-US" w:eastAsia="zh-CN"/>
        </w:rPr>
        <w:t>60</w:t>
      </w:r>
      <w:r>
        <w:rPr>
          <w:rFonts w:hint="eastAsia" w:ascii="宋体" w:hAnsi="宋体"/>
          <w:color w:val="auto"/>
          <w:szCs w:val="21"/>
          <w:lang w:eastAsia="zh-CN"/>
        </w:rPr>
        <w:t xml:space="preserve">    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 xml:space="preserve"> 食品安全国家标准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>食品添加剂使用标准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GB 27</w:t>
      </w:r>
      <w:r>
        <w:rPr>
          <w:rFonts w:hint="eastAsia" w:ascii="宋体" w:hAnsi="宋体"/>
          <w:color w:val="auto"/>
          <w:szCs w:val="21"/>
          <w:lang w:val="en-US" w:eastAsia="zh-CN"/>
        </w:rPr>
        <w:t>62</w:t>
      </w:r>
      <w:r>
        <w:rPr>
          <w:rFonts w:hint="eastAsia" w:ascii="宋体" w:hAnsi="宋体"/>
          <w:color w:val="auto"/>
          <w:szCs w:val="21"/>
          <w:lang w:eastAsia="zh-CN"/>
        </w:rPr>
        <w:t xml:space="preserve">  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lang w:eastAsia="zh-CN"/>
        </w:rPr>
        <w:t xml:space="preserve"> 食品安全国家标准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>食品中污染物限量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7098        食品安全国家标准 罐头食品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8950        罐头厂卫生规范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GB/T 15691     香辛料调味品通用技术条件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00B0F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GB/T 10786     罐头食品的检验方法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5009.5      食品安全国家标准 食品中蛋白质的测定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5009.6      食品安全国家标准 食品中脂肪的测定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5009.11     食品安全国家标准 食品中总砷及无机砷的测定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5009.12     食品安全国家标准 食品中铅的测定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5009.15     食品安全国家标准 食品中镉的测定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5009.17     食品安全国家标准 食品中总汞及有机汞的测定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5009.44     食品安全国家标准 食品中氯化物的测定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GB 4789.26     食品安全国家标准 食品微生物学检验 商业无菌检验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7718        食品安全国家标准 预包装食品标签通则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14881       食品安全国家标准 食品生产通用卫生规范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28050       食品安全国家标准 预包装食品营养标签通则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GB /T191       包装贮运图示标示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JJF 1070       定量包装商品净含量计量检验规则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国家质量监督检验检疫总局令（2005）第75号《定量包装商品计量监督管理办法》</w:t>
      </w: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  <w:r>
        <w:rPr>
          <w:rFonts w:ascii="黑体" w:hAnsi="黑体" w:eastAsia="黑体"/>
          <w:b/>
          <w:bCs/>
          <w:szCs w:val="21"/>
        </w:rPr>
        <w:t xml:space="preserve">3 </w:t>
      </w:r>
      <w:r>
        <w:rPr>
          <w:rFonts w:hint="eastAsia" w:ascii="黑体" w:hAnsi="黑体" w:eastAsia="黑体"/>
          <w:b/>
          <w:bCs/>
          <w:szCs w:val="21"/>
        </w:rPr>
        <w:t>术语和定义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牛羊肉臊子：以牛、羊肉为原料，切成小块状，加以辅料炒制，装袋，灭菌，制成的熟制罐头食品。</w:t>
      </w:r>
    </w:p>
    <w:p>
      <w:pPr>
        <w:spacing w:line="360" w:lineRule="auto"/>
        <w:rPr>
          <w:rFonts w:ascii="黑体" w:hAnsi="黑体" w:eastAsia="黑体"/>
          <w:b/>
          <w:bCs/>
          <w:color w:val="000000"/>
          <w:szCs w:val="21"/>
        </w:rPr>
      </w:pPr>
      <w:r>
        <w:rPr>
          <w:rFonts w:ascii="黑体" w:hAnsi="黑体" w:eastAsia="黑体"/>
          <w:b/>
          <w:bCs/>
          <w:color w:val="000000"/>
          <w:szCs w:val="21"/>
        </w:rPr>
        <w:t xml:space="preserve">4 </w:t>
      </w:r>
      <w:r>
        <w:rPr>
          <w:rFonts w:hint="eastAsia" w:ascii="黑体" w:hAnsi="黑体" w:eastAsia="黑体"/>
          <w:b/>
          <w:bCs/>
          <w:color w:val="000000"/>
          <w:szCs w:val="21"/>
        </w:rPr>
        <w:t>基本要求</w:t>
      </w:r>
    </w:p>
    <w:p>
      <w:pPr>
        <w:spacing w:line="360" w:lineRule="auto"/>
        <w:rPr>
          <w:rFonts w:ascii="黑体" w:hAnsi="黑体" w:eastAsia="黑体"/>
          <w:b/>
          <w:bCs/>
          <w:color w:val="auto"/>
          <w:szCs w:val="21"/>
        </w:rPr>
      </w:pPr>
      <w:r>
        <w:rPr>
          <w:rFonts w:ascii="黑体" w:hAnsi="黑体" w:eastAsia="黑体"/>
          <w:b/>
          <w:bCs/>
          <w:color w:val="auto"/>
          <w:szCs w:val="21"/>
        </w:rPr>
        <w:t xml:space="preserve">4.1 </w:t>
      </w:r>
      <w:r>
        <w:rPr>
          <w:rFonts w:hint="eastAsia" w:ascii="黑体" w:hAnsi="黑体" w:eastAsia="黑体"/>
          <w:b/>
          <w:bCs/>
          <w:color w:val="auto"/>
          <w:szCs w:val="21"/>
        </w:rPr>
        <w:t>原</w:t>
      </w:r>
      <w:r>
        <w:rPr>
          <w:rFonts w:hint="eastAsia" w:ascii="黑体" w:hAnsi="黑体" w:eastAsia="黑体"/>
          <w:b/>
          <w:bCs/>
          <w:color w:val="auto"/>
          <w:szCs w:val="21"/>
          <w:lang w:eastAsia="zh-CN"/>
        </w:rPr>
        <w:t>辅</w:t>
      </w:r>
      <w:r>
        <w:rPr>
          <w:rFonts w:hint="eastAsia" w:ascii="黑体" w:hAnsi="黑体" w:eastAsia="黑体"/>
          <w:b/>
          <w:bCs/>
          <w:color w:val="auto"/>
          <w:szCs w:val="21"/>
        </w:rPr>
        <w:t>料</w:t>
      </w:r>
    </w:p>
    <w:p>
      <w:pPr>
        <w:spacing w:line="360" w:lineRule="auto"/>
        <w:rPr>
          <w:rFonts w:ascii="宋体"/>
          <w:color w:val="auto"/>
          <w:szCs w:val="21"/>
        </w:rPr>
      </w:pPr>
      <w:r>
        <w:rPr>
          <w:rFonts w:ascii="宋体"/>
          <w:color w:val="auto"/>
          <w:szCs w:val="21"/>
        </w:rPr>
        <w:t xml:space="preserve">4.1.1 </w:t>
      </w:r>
      <w:r>
        <w:rPr>
          <w:rFonts w:hint="eastAsia" w:ascii="宋体"/>
          <w:color w:val="auto"/>
          <w:szCs w:val="21"/>
          <w:lang w:eastAsia="zh-CN"/>
        </w:rPr>
        <w:t>牛、羊肉</w:t>
      </w:r>
      <w:r>
        <w:rPr>
          <w:rFonts w:ascii="宋体"/>
          <w:color w:val="auto"/>
          <w:szCs w:val="21"/>
        </w:rPr>
        <w:t>:</w:t>
      </w:r>
      <w:r>
        <w:rPr>
          <w:rFonts w:hint="eastAsia" w:ascii="宋体"/>
          <w:color w:val="auto"/>
          <w:szCs w:val="21"/>
        </w:rPr>
        <w:t>应符合</w:t>
      </w:r>
      <w:r>
        <w:rPr>
          <w:rFonts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2707标准</w:t>
      </w:r>
      <w:r>
        <w:rPr>
          <w:rFonts w:hint="eastAsia" w:ascii="宋体"/>
          <w:color w:val="auto"/>
          <w:szCs w:val="21"/>
        </w:rPr>
        <w:t>的要求。</w:t>
      </w:r>
    </w:p>
    <w:p>
      <w:pPr>
        <w:spacing w:line="360" w:lineRule="auto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eastAsia="zh-CN"/>
        </w:rPr>
        <w:t>4.1.2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  <w:lang w:eastAsia="zh-CN"/>
        </w:rPr>
        <w:t>食用油应：符合</w:t>
      </w:r>
      <w:r>
        <w:rPr>
          <w:rFonts w:hint="eastAsia" w:ascii="宋体"/>
          <w:color w:val="auto"/>
          <w:szCs w:val="21"/>
          <w:lang w:val="en-US" w:eastAsia="zh-CN"/>
        </w:rPr>
        <w:t xml:space="preserve"> </w:t>
      </w:r>
      <w:r>
        <w:rPr>
          <w:rFonts w:ascii="宋体"/>
          <w:color w:val="auto"/>
          <w:szCs w:val="21"/>
        </w:rPr>
        <w:t xml:space="preserve">GB </w:t>
      </w:r>
      <w:r>
        <w:rPr>
          <w:rFonts w:hint="eastAsia" w:ascii="宋体"/>
          <w:color w:val="auto"/>
          <w:szCs w:val="21"/>
          <w:lang w:val="en-US" w:eastAsia="zh-CN"/>
        </w:rPr>
        <w:t>2716标准</w:t>
      </w:r>
      <w:r>
        <w:rPr>
          <w:rFonts w:hint="eastAsia" w:ascii="宋体"/>
          <w:color w:val="auto"/>
          <w:szCs w:val="21"/>
        </w:rPr>
        <w:t>的要求。</w:t>
      </w:r>
    </w:p>
    <w:p>
      <w:pPr>
        <w:spacing w:line="360" w:lineRule="auto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  <w:lang w:eastAsia="zh-CN"/>
        </w:rPr>
        <w:t>4.1.</w:t>
      </w:r>
      <w:r>
        <w:rPr>
          <w:rFonts w:hint="eastAsia" w:ascii="宋体"/>
          <w:color w:val="auto"/>
          <w:szCs w:val="21"/>
          <w:lang w:val="en-US" w:eastAsia="zh-CN"/>
        </w:rPr>
        <w:t xml:space="preserve">3 </w:t>
      </w:r>
      <w:r>
        <w:rPr>
          <w:rFonts w:hint="eastAsia" w:ascii="宋体"/>
          <w:color w:val="auto"/>
          <w:szCs w:val="21"/>
          <w:lang w:eastAsia="zh-CN"/>
        </w:rPr>
        <w:t>食用盐:应符合GB</w:t>
      </w:r>
      <w:r>
        <w:rPr>
          <w:rFonts w:hint="eastAsia" w:ascii="宋体"/>
          <w:color w:val="auto"/>
          <w:szCs w:val="21"/>
          <w:lang w:val="en-US" w:eastAsia="zh-CN"/>
        </w:rPr>
        <w:t xml:space="preserve"> 2721</w:t>
      </w:r>
      <w:r>
        <w:rPr>
          <w:rFonts w:hint="eastAsia" w:ascii="宋体"/>
          <w:color w:val="auto"/>
          <w:szCs w:val="21"/>
          <w:lang w:eastAsia="zh-CN"/>
        </w:rPr>
        <w:t>的</w:t>
      </w:r>
      <w:r>
        <w:rPr>
          <w:rFonts w:hint="eastAsia" w:ascii="宋体"/>
          <w:color w:val="auto"/>
          <w:szCs w:val="21"/>
          <w:lang w:val="en-US" w:eastAsia="zh-CN"/>
        </w:rPr>
        <w:t>标准</w:t>
      </w:r>
      <w:r>
        <w:rPr>
          <w:rFonts w:hint="eastAsia" w:ascii="宋体"/>
          <w:color w:val="auto"/>
          <w:szCs w:val="21"/>
          <w:lang w:eastAsia="zh-CN"/>
        </w:rPr>
        <w:t>的要求</w:t>
      </w:r>
      <w:r>
        <w:rPr>
          <w:rFonts w:hint="eastAsia" w:ascii="宋体"/>
          <w:color w:val="auto"/>
          <w:szCs w:val="21"/>
        </w:rPr>
        <w:t>。</w:t>
      </w:r>
    </w:p>
    <w:p>
      <w:pPr>
        <w:spacing w:line="360" w:lineRule="auto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  <w:lang w:eastAsia="zh-CN"/>
        </w:rPr>
        <w:t>4.1.</w:t>
      </w:r>
      <w:r>
        <w:rPr>
          <w:rFonts w:hint="eastAsia" w:ascii="宋体"/>
          <w:color w:val="auto"/>
          <w:szCs w:val="21"/>
          <w:lang w:val="en-US" w:eastAsia="zh-CN"/>
        </w:rPr>
        <w:t>4</w:t>
      </w:r>
      <w:r>
        <w:rPr>
          <w:rFonts w:hint="eastAsia" w:ascii="宋体"/>
          <w:color w:val="auto"/>
          <w:szCs w:val="21"/>
          <w:lang w:eastAsia="zh-CN"/>
        </w:rPr>
        <w:t xml:space="preserve"> 调味料：应符合</w:t>
      </w:r>
      <w:r>
        <w:rPr>
          <w:rFonts w:hint="eastAsia" w:ascii="宋体"/>
          <w:color w:val="auto"/>
          <w:szCs w:val="21"/>
          <w:lang w:val="en-US" w:eastAsia="zh-CN"/>
        </w:rPr>
        <w:t>GB/T 15691</w:t>
      </w:r>
      <w:r>
        <w:rPr>
          <w:rFonts w:hint="eastAsia" w:ascii="宋体"/>
          <w:color w:val="auto"/>
          <w:szCs w:val="21"/>
          <w:lang w:eastAsia="zh-CN"/>
        </w:rPr>
        <w:t>的</w:t>
      </w:r>
      <w:r>
        <w:rPr>
          <w:rFonts w:hint="eastAsia" w:ascii="宋体"/>
          <w:color w:val="auto"/>
          <w:szCs w:val="21"/>
          <w:lang w:val="en-US" w:eastAsia="zh-CN"/>
        </w:rPr>
        <w:t>标准</w:t>
      </w:r>
      <w:r>
        <w:rPr>
          <w:rFonts w:hint="eastAsia" w:ascii="宋体"/>
          <w:color w:val="auto"/>
          <w:szCs w:val="21"/>
          <w:lang w:eastAsia="zh-CN"/>
        </w:rPr>
        <w:t>的要求</w:t>
      </w:r>
      <w:r>
        <w:rPr>
          <w:rFonts w:hint="eastAsia" w:ascii="宋体"/>
          <w:color w:val="auto"/>
          <w:szCs w:val="21"/>
        </w:rPr>
        <w:t>。</w:t>
      </w:r>
    </w:p>
    <w:p>
      <w:pPr>
        <w:spacing w:line="360" w:lineRule="auto"/>
        <w:rPr>
          <w:rFonts w:hint="eastAsia" w:ascii="宋体"/>
          <w:color w:val="auto"/>
          <w:szCs w:val="21"/>
          <w:lang w:eastAsia="zh-CN"/>
        </w:rPr>
      </w:pPr>
      <w:r>
        <w:rPr>
          <w:rFonts w:hint="eastAsia" w:ascii="宋体"/>
          <w:color w:val="auto"/>
          <w:szCs w:val="21"/>
          <w:lang w:eastAsia="zh-CN"/>
        </w:rPr>
        <w:t>4.1.</w:t>
      </w:r>
      <w:r>
        <w:rPr>
          <w:rFonts w:hint="eastAsia" w:ascii="宋体"/>
          <w:color w:val="auto"/>
          <w:szCs w:val="21"/>
          <w:lang w:val="en-US" w:eastAsia="zh-CN"/>
        </w:rPr>
        <w:t>5</w:t>
      </w:r>
      <w:r>
        <w:rPr>
          <w:rFonts w:hint="eastAsia" w:ascii="宋体"/>
          <w:color w:val="auto"/>
          <w:szCs w:val="21"/>
          <w:lang w:eastAsia="zh-CN"/>
        </w:rPr>
        <w:t xml:space="preserve"> 辣椒等其他辅料应符合有关食品安全标准要求。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4.2感官指标</w:t>
      </w:r>
    </w:p>
    <w:p>
      <w:pPr>
        <w:spacing w:line="360" w:lineRule="auto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应符合表1规定</w:t>
      </w:r>
    </w:p>
    <w:p>
      <w:pPr>
        <w:spacing w:line="360" w:lineRule="auto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 xml:space="preserve">                                   感官指标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6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spacing w:line="360" w:lineRule="auto"/>
              <w:ind w:firstLine="210" w:firstLineChars="100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项  目</w:t>
            </w:r>
          </w:p>
        </w:tc>
        <w:tc>
          <w:tcPr>
            <w:tcW w:w="6762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 xml:space="preserve">                指    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 xml:space="preserve">    外观</w:t>
            </w:r>
          </w:p>
        </w:tc>
        <w:tc>
          <w:tcPr>
            <w:tcW w:w="6762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包装完好无漏气，包装内为负压，内容物形态完整，色泽正常，无霉点。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 xml:space="preserve">   组织形态</w:t>
            </w:r>
          </w:p>
        </w:tc>
        <w:tc>
          <w:tcPr>
            <w:tcW w:w="6762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具有本品种产品应有的组织形态，无肉眼可见外来杂质。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 xml:space="preserve">   滋味气味</w:t>
            </w:r>
          </w:p>
        </w:tc>
        <w:tc>
          <w:tcPr>
            <w:tcW w:w="6762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具有本品种产品应有的滋味与气味，无异味。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4.3理化指标</w:t>
      </w:r>
    </w:p>
    <w:p>
      <w:pPr>
        <w:spacing w:line="360" w:lineRule="auto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应符合表2规定</w:t>
      </w:r>
    </w:p>
    <w:p>
      <w:pPr>
        <w:spacing w:line="360" w:lineRule="auto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 xml:space="preserve">                                  理化指标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pacing w:line="360" w:lineRule="auto"/>
              <w:ind w:firstLine="420" w:firstLineChars="200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项   目</w:t>
            </w:r>
          </w:p>
        </w:tc>
        <w:tc>
          <w:tcPr>
            <w:tcW w:w="6299" w:type="dxa"/>
          </w:tcPr>
          <w:p>
            <w:pPr>
              <w:spacing w:line="360" w:lineRule="auto"/>
              <w:ind w:firstLine="1260" w:firstLineChars="600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指    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食盐（以NaCl）,%</w:t>
            </w:r>
          </w:p>
        </w:tc>
        <w:tc>
          <w:tcPr>
            <w:tcW w:w="6299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固形物,%</w:t>
            </w:r>
          </w:p>
        </w:tc>
        <w:tc>
          <w:tcPr>
            <w:tcW w:w="6299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Arial" w:hAnsi="Arial" w:cs="Arial"/>
                <w:color w:val="auto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color w:val="auto"/>
                <w:szCs w:val="21"/>
                <w:vertAlign w:val="baseline"/>
                <w:lang w:val="en-US" w:eastAsia="zh-CN"/>
              </w:rPr>
              <w:t xml:space="preserve"> 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蛋白质,%</w:t>
            </w:r>
          </w:p>
        </w:tc>
        <w:tc>
          <w:tcPr>
            <w:tcW w:w="6299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Arial" w:hAnsi="Arial" w:cs="Arial"/>
                <w:color w:val="auto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color w:val="auto"/>
                <w:szCs w:val="21"/>
                <w:vertAlign w:val="baseline"/>
                <w:lang w:val="en-US" w:eastAsia="zh-CN"/>
              </w:rPr>
              <w:t xml:space="preserve">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>脂肪,%</w:t>
            </w:r>
          </w:p>
        </w:tc>
        <w:tc>
          <w:tcPr>
            <w:tcW w:w="6299" w:type="dxa"/>
          </w:tcPr>
          <w:p>
            <w:pPr>
              <w:spacing w:line="360" w:lineRule="auto"/>
              <w:rPr>
                <w:rFonts w:hint="default" w:ascii="宋体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宋体"/>
                <w:color w:val="auto"/>
                <w:szCs w:val="21"/>
                <w:lang w:val="en-US" w:eastAsia="zh-CN"/>
              </w:rPr>
              <w:t>≤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40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b/>
          <w:bCs/>
          <w:szCs w:val="21"/>
          <w:lang w:eastAsia="zh-CN"/>
        </w:rPr>
      </w:pPr>
      <w:r>
        <w:rPr>
          <w:rFonts w:ascii="黑体" w:hAnsi="黑体" w:eastAsia="黑体"/>
          <w:b/>
          <w:bCs/>
          <w:szCs w:val="21"/>
        </w:rPr>
        <w:t>4.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4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Cs w:val="21"/>
          <w:lang w:eastAsia="zh-CN"/>
        </w:rPr>
        <w:t>污染物限量</w:t>
      </w:r>
    </w:p>
    <w:p>
      <w:pPr>
        <w:spacing w:line="360" w:lineRule="auto"/>
        <w:ind w:firstLine="211" w:firstLineChars="100"/>
        <w:rPr>
          <w:rFonts w:hint="default" w:ascii="宋体"/>
          <w:color w:val="632423" w:themeColor="accent2" w:themeShade="80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szCs w:val="21"/>
          <w:lang w:val="en-US" w:eastAsia="zh-CN"/>
        </w:rPr>
        <w:t>应符合GB 2762中肉制品的规定。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eastAsia="zh-CN"/>
        </w:rPr>
      </w:pPr>
      <w:r>
        <w:rPr>
          <w:rFonts w:ascii="黑体" w:hAnsi="黑体" w:eastAsia="黑体"/>
          <w:b/>
          <w:bCs/>
          <w:szCs w:val="21"/>
        </w:rPr>
        <w:t>4.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5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Cs w:val="21"/>
          <w:lang w:eastAsia="zh-CN"/>
        </w:rPr>
        <w:t>微生物指标</w:t>
      </w:r>
    </w:p>
    <w:p>
      <w:pPr>
        <w:spacing w:line="360" w:lineRule="auto"/>
        <w:ind w:firstLine="420" w:firstLineChars="200"/>
        <w:rPr>
          <w:rFonts w:hint="default" w:ascii="宋体"/>
          <w:color w:val="632423" w:themeColor="accent2" w:themeShade="80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应符合罐头食品商业无菌的要求，按GB 4789.26规定的方法检验。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ascii="黑体" w:hAnsi="黑体" w:eastAsia="黑体"/>
          <w:b/>
          <w:bCs/>
          <w:szCs w:val="21"/>
        </w:rPr>
        <w:t>4.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6净含量及允差</w:t>
      </w:r>
    </w:p>
    <w:p>
      <w:pPr>
        <w:spacing w:line="360" w:lineRule="auto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632423" w:themeColor="accent2" w:themeShade="80"/>
          <w:szCs w:val="21"/>
          <w:lang w:val="en-US" w:eastAsia="zh-CN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>应符合国家质量监督检验检疫总局令[2005]第75号 《定量包装商品计量监督管理办法》的规定。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4.7 食品添加剂</w:t>
      </w:r>
    </w:p>
    <w:p>
      <w:pPr>
        <w:spacing w:line="360" w:lineRule="auto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4.7.1 食品添加剂质量应符合相应的标准和规定。</w:t>
      </w:r>
    </w:p>
    <w:p>
      <w:pPr>
        <w:spacing w:line="360" w:lineRule="auto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4.7.2 食品添加剂的品种和使用量应符合GB 2760及卫生部关于食品添加剂公告的规定。</w:t>
      </w:r>
    </w:p>
    <w:p>
      <w:pPr>
        <w:spacing w:line="360" w:lineRule="auto"/>
        <w:rPr>
          <w:rFonts w:hint="eastAsia" w:ascii="黑体" w:hAnsi="黑体" w:eastAsia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lang w:val="en-US" w:eastAsia="zh-CN"/>
        </w:rPr>
        <w:t>5生产加工过程卫生要求</w:t>
      </w:r>
    </w:p>
    <w:p>
      <w:pPr>
        <w:spacing w:line="360" w:lineRule="auto"/>
        <w:ind w:firstLine="630" w:firstLineChars="3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牛羊肉臊子生产加工过程及加工条件应符合GB 14881及GB 8950的规定。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</w:t>
      </w:r>
      <w:r>
        <w:rPr>
          <w:rFonts w:ascii="黑体" w:hAnsi="黑体" w:eastAsia="黑体"/>
          <w:b/>
          <w:bCs/>
          <w:color w:val="auto"/>
          <w:szCs w:val="21"/>
        </w:rPr>
        <w:t xml:space="preserve"> 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检验方法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</w:t>
      </w:r>
      <w:r>
        <w:rPr>
          <w:rFonts w:ascii="黑体" w:hAnsi="黑体" w:eastAsia="黑体"/>
          <w:b/>
          <w:bCs/>
          <w:color w:val="auto"/>
          <w:szCs w:val="21"/>
        </w:rPr>
        <w:t>.1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感官检验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在自然光线下，按本标准感官指标进行目测、味觉、嗅觉检验。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6.2理化检验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6.2.1 蛋白质</w:t>
      </w:r>
    </w:p>
    <w:p>
      <w:pPr>
        <w:spacing w:line="360" w:lineRule="auto"/>
        <w:ind w:firstLine="421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5009.5规定的方法测定。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6.2.2 脂肪</w:t>
      </w:r>
    </w:p>
    <w:p>
      <w:pPr>
        <w:spacing w:line="360" w:lineRule="auto"/>
        <w:ind w:firstLine="420" w:firstLineChars="200"/>
        <w:rPr>
          <w:rFonts w:hint="default" w:ascii="黑体" w:hAnsi="黑体" w:eastAsia="黑体"/>
          <w:b/>
          <w:bCs/>
          <w:color w:val="632423" w:themeColor="accent2" w:themeShade="80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5009.6规定的方法测定。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6.2.3 氯化钠 </w:t>
      </w:r>
    </w:p>
    <w:p>
      <w:pPr>
        <w:spacing w:line="360" w:lineRule="auto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>按 GB 5009.44规定的方法测定。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6.2.4 固形物</w:t>
      </w:r>
    </w:p>
    <w:p>
      <w:pPr>
        <w:spacing w:line="360" w:lineRule="auto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>按 GB/T 10786规定的方法测定。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6.2.5 铅</w:t>
      </w:r>
    </w:p>
    <w:p>
      <w:pPr>
        <w:spacing w:line="360" w:lineRule="auto"/>
        <w:ind w:firstLine="420" w:firstLineChars="200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5009.12规定的方法测定。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6.2.6 总砷</w:t>
      </w:r>
    </w:p>
    <w:p>
      <w:pPr>
        <w:spacing w:line="360" w:lineRule="auto"/>
        <w:ind w:firstLine="420" w:firstLineChars="200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5009.11规定的方法测定。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6.2.7总汞</w:t>
      </w:r>
    </w:p>
    <w:p>
      <w:pPr>
        <w:spacing w:line="360" w:lineRule="auto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/>
          <w:color w:val="auto"/>
          <w:szCs w:val="21"/>
          <w:lang w:val="en-US" w:eastAsia="zh-CN"/>
        </w:rPr>
        <w:t>按 GB 5009.17规定的方法测定。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6.2.8 镉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5009.15规定的方法测定。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6.2.9 铬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 GB 5009.123规定的方法测定。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6.2.10 商业无菌检验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按GB 4789.26规定的方法检验。</w:t>
      </w:r>
    </w:p>
    <w:p>
      <w:pPr>
        <w:spacing w:line="360" w:lineRule="auto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7 检验规则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7.1 组批</w:t>
      </w:r>
    </w:p>
    <w:p>
      <w:pPr>
        <w:spacing w:line="360" w:lineRule="auto"/>
        <w:ind w:firstLine="420" w:firstLineChars="200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同一班次，同一批投料、同一品种、同一规格的产品为一批。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7.2 抽样</w:t>
      </w:r>
    </w:p>
    <w:p>
      <w:pPr>
        <w:spacing w:line="360" w:lineRule="auto"/>
        <w:ind w:firstLine="420" w:firstLineChars="200"/>
        <w:rPr>
          <w:rFonts w:hint="default" w:ascii="宋体" w:eastAsia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每批次抽样样品数量不小于18袋。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7.3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7.3.1 出厂检验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每批产品出厂前，应按本标准进行检验，检验合格后方可出厂。出厂检验项目为：感官、净含量、水分、菌落总数、大肠菌群。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7.3.2 型式检验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正常生产时每半年进行一次形式检验，有下列情况之一时也应进行型式检验：</w:t>
      </w:r>
    </w:p>
    <w:p>
      <w:pPr>
        <w:numPr>
          <w:ilvl w:val="0"/>
          <w:numId w:val="1"/>
        </w:numPr>
        <w:spacing w:line="360" w:lineRule="auto"/>
        <w:ind w:leftChars="100" w:firstLine="210" w:firstLineChars="1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正式生产和新产品试制鉴定时；</w:t>
      </w:r>
    </w:p>
    <w:p>
      <w:pPr>
        <w:numPr>
          <w:ilvl w:val="0"/>
          <w:numId w:val="1"/>
        </w:numPr>
        <w:spacing w:line="360" w:lineRule="auto"/>
        <w:ind w:left="210" w:leftChars="100" w:firstLine="210" w:firstLineChars="1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原料和工艺出现较大变化时；</w:t>
      </w:r>
    </w:p>
    <w:p>
      <w:pPr>
        <w:spacing w:line="360" w:lineRule="auto"/>
        <w:ind w:firstLine="420" w:firstLineChars="200"/>
        <w:rPr>
          <w:rFonts w:hint="default" w:ascii="黑体" w:hAnsi="黑体" w:eastAsia="黑体"/>
          <w:b/>
          <w:bCs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c) 停产半年以上，再恢复生产时；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d) 出厂检验与上次型式检验结果有较大差异时；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  <w:lang w:val="en-US" w:eastAsia="zh-CN"/>
        </w:rPr>
        <w:t>e) 国家质量监督检验机构提出要求时。</w:t>
      </w:r>
    </w:p>
    <w:p>
      <w:pPr>
        <w:spacing w:line="360" w:lineRule="auto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8</w:t>
      </w:r>
      <w:r>
        <w:rPr>
          <w:rFonts w:ascii="黑体" w:hAnsi="黑体" w:eastAsia="黑体"/>
          <w:b/>
          <w:bCs/>
          <w:color w:val="auto"/>
          <w:szCs w:val="21"/>
        </w:rPr>
        <w:t xml:space="preserve"> </w:t>
      </w:r>
      <w:r>
        <w:rPr>
          <w:rFonts w:hint="eastAsia" w:ascii="黑体" w:hAnsi="黑体" w:eastAsia="黑体"/>
          <w:b/>
          <w:bCs/>
          <w:color w:val="auto"/>
          <w:szCs w:val="21"/>
        </w:rPr>
        <w:t>标志、标签、包装、运输和贮存</w:t>
      </w:r>
    </w:p>
    <w:p>
      <w:pPr>
        <w:spacing w:line="360" w:lineRule="auto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8</w:t>
      </w:r>
      <w:r>
        <w:rPr>
          <w:rFonts w:ascii="黑体" w:hAnsi="黑体" w:eastAsia="黑体"/>
          <w:b/>
          <w:bCs/>
          <w:color w:val="auto"/>
          <w:szCs w:val="21"/>
        </w:rPr>
        <w:t xml:space="preserve">.1 </w:t>
      </w:r>
      <w:r>
        <w:rPr>
          <w:rFonts w:hint="eastAsia" w:ascii="黑体" w:hAnsi="黑体" w:eastAsia="黑体"/>
          <w:b/>
          <w:bCs/>
          <w:color w:val="auto"/>
          <w:szCs w:val="21"/>
        </w:rPr>
        <w:t>标志、标签</w:t>
      </w:r>
    </w:p>
    <w:p>
      <w:pPr>
        <w:spacing w:line="360" w:lineRule="auto"/>
        <w:rPr>
          <w:rFonts w:hint="eastAsia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8</w:t>
      </w:r>
      <w:r>
        <w:rPr>
          <w:rFonts w:ascii="黑体" w:hAnsi="黑体" w:eastAsia="黑体"/>
          <w:b/>
          <w:bCs/>
          <w:color w:val="auto"/>
          <w:szCs w:val="21"/>
        </w:rPr>
        <w:t>.1</w:t>
      </w: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.1</w:t>
      </w:r>
      <w:r>
        <w:rPr>
          <w:rFonts w:hint="eastAsia"/>
          <w:color w:val="auto"/>
          <w:szCs w:val="21"/>
          <w:lang w:val="en-US" w:eastAsia="zh-CN"/>
        </w:rPr>
        <w:t>产品应预包装，产品标签应符合GB 7718和GB 28050 的规定。</w:t>
      </w:r>
    </w:p>
    <w:p>
      <w:pPr>
        <w:spacing w:line="360" w:lineRule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 xml:space="preserve">8.1.2 </w:t>
      </w:r>
      <w:r>
        <w:rPr>
          <w:rFonts w:hint="eastAsia"/>
          <w:color w:val="auto"/>
          <w:szCs w:val="21"/>
          <w:lang w:val="en-US" w:eastAsia="zh-CN"/>
        </w:rPr>
        <w:t>包装箱标志应符合GB/T 191 的规定。</w:t>
      </w:r>
    </w:p>
    <w:p>
      <w:pPr>
        <w:spacing w:line="360" w:lineRule="auto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8</w:t>
      </w:r>
      <w:r>
        <w:rPr>
          <w:rFonts w:ascii="黑体" w:hAnsi="黑体" w:eastAsia="黑体"/>
          <w:b/>
          <w:bCs/>
          <w:color w:val="auto"/>
          <w:szCs w:val="21"/>
        </w:rPr>
        <w:t xml:space="preserve">.2 </w:t>
      </w:r>
      <w:r>
        <w:rPr>
          <w:rFonts w:hint="eastAsia" w:ascii="黑体" w:hAnsi="黑体" w:eastAsia="黑体"/>
          <w:b/>
          <w:bCs/>
          <w:color w:val="auto"/>
          <w:szCs w:val="21"/>
        </w:rPr>
        <w:t>包装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内包装应用符合食品卫生要求的材料包装，包装封口应严密。定量误差应符合国家质量监督检验检疫总局令（2005）第75号的规定。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  <w:lang w:eastAsia="zh-CN"/>
        </w:rPr>
      </w:pPr>
      <w:r>
        <w:rPr>
          <w:rFonts w:hint="eastAsia" w:ascii="黑体" w:hAnsi="黑体" w:eastAsia="黑体"/>
          <w:b/>
          <w:bCs/>
          <w:color w:val="auto"/>
          <w:szCs w:val="21"/>
          <w:lang w:val="en-US" w:eastAsia="zh-CN"/>
        </w:rPr>
        <w:t>8</w:t>
      </w:r>
      <w:r>
        <w:rPr>
          <w:rFonts w:ascii="黑体" w:hAnsi="黑体" w:eastAsia="黑体"/>
          <w:b/>
          <w:bCs/>
          <w:color w:val="auto"/>
          <w:szCs w:val="21"/>
        </w:rPr>
        <w:t xml:space="preserve">.3 </w:t>
      </w:r>
      <w:r>
        <w:rPr>
          <w:rFonts w:hint="eastAsia" w:ascii="黑体" w:hAnsi="黑体" w:eastAsia="黑体"/>
          <w:b/>
          <w:bCs/>
          <w:color w:val="auto"/>
          <w:szCs w:val="21"/>
        </w:rPr>
        <w:t>运输</w:t>
      </w:r>
      <w:r>
        <w:rPr>
          <w:rFonts w:hint="eastAsia" w:ascii="黑体" w:hAnsi="黑体" w:eastAsia="黑体"/>
          <w:b/>
          <w:bCs/>
          <w:color w:val="auto"/>
          <w:szCs w:val="21"/>
          <w:lang w:eastAsia="zh-CN"/>
        </w:rPr>
        <w:t>和贮存</w:t>
      </w:r>
    </w:p>
    <w:p>
      <w:pPr>
        <w:spacing w:line="360" w:lineRule="auto"/>
        <w:rPr>
          <w:rFonts w:hint="eastAsia" w:ascii="黑体" w:hAnsi="黑体" w:eastAsia="黑体"/>
          <w:b/>
          <w:bCs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8</w:t>
      </w:r>
      <w:r>
        <w:rPr>
          <w:color w:val="auto"/>
          <w:szCs w:val="21"/>
        </w:rPr>
        <w:t>.3.1</w:t>
      </w:r>
      <w:r>
        <w:rPr>
          <w:rFonts w:hint="eastAsia" w:ascii="黑体" w:hAnsi="黑体" w:eastAsia="黑体"/>
          <w:b/>
          <w:bCs/>
          <w:color w:val="auto"/>
          <w:szCs w:val="21"/>
        </w:rPr>
        <w:t>运输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val="en-US" w:eastAsia="zh-CN"/>
        </w:rPr>
        <w:t>产品严禁与有毒、有害、有异味的物品混运，防止日晒雨淋。</w:t>
      </w:r>
    </w:p>
    <w:p>
      <w:pPr>
        <w:spacing w:line="360" w:lineRule="auto"/>
        <w:rPr>
          <w:rFonts w:ascii="黑体" w:hAnsi="黑体" w:eastAsia="黑体"/>
          <w:b/>
          <w:bCs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8</w:t>
      </w:r>
      <w:r>
        <w:rPr>
          <w:color w:val="auto"/>
          <w:szCs w:val="21"/>
        </w:rPr>
        <w:t>.3.</w:t>
      </w:r>
      <w:r>
        <w:rPr>
          <w:rFonts w:hint="eastAsia"/>
          <w:color w:val="auto"/>
          <w:szCs w:val="21"/>
          <w:lang w:val="en-US" w:eastAsia="zh-CN"/>
        </w:rPr>
        <w:t>2</w:t>
      </w:r>
      <w:r>
        <w:rPr>
          <w:rFonts w:ascii="黑体" w:hAnsi="黑体" w:eastAsia="黑体"/>
          <w:b/>
          <w:bCs/>
          <w:color w:val="auto"/>
          <w:szCs w:val="21"/>
        </w:rPr>
        <w:t xml:space="preserve"> </w:t>
      </w:r>
      <w:r>
        <w:rPr>
          <w:rFonts w:hint="eastAsia" w:ascii="黑体" w:hAnsi="黑体" w:eastAsia="黑体"/>
          <w:b/>
          <w:bCs/>
          <w:color w:val="auto"/>
          <w:szCs w:val="21"/>
        </w:rPr>
        <w:t>贮存</w:t>
      </w:r>
    </w:p>
    <w:p>
      <w:pPr>
        <w:spacing w:line="360" w:lineRule="auto"/>
        <w:ind w:firstLine="210" w:firstLineChars="100"/>
        <w:rPr>
          <w:rFonts w:hint="eastAsia" w:eastAsia="宋体"/>
          <w:color w:val="auto"/>
          <w:szCs w:val="21"/>
          <w:lang w:eastAsia="zh-CN"/>
        </w:rPr>
      </w:pP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应贮存在阴凉、通风、干燥的库房内。</w:t>
      </w:r>
      <w:r>
        <w:rPr>
          <w:rFonts w:hint="eastAsia"/>
          <w:color w:val="auto"/>
          <w:szCs w:val="21"/>
          <w:lang w:eastAsia="zh-CN"/>
        </w:rPr>
        <w:t>不得与有毒有害有异味的物品混贮，并注意防晒、防高温。</w:t>
      </w:r>
    </w:p>
    <w:p>
      <w:pPr>
        <w:rPr>
          <w:color w:val="auto"/>
        </w:rPr>
      </w:pPr>
    </w:p>
    <w:p>
      <w:pPr>
        <w:spacing w:line="360" w:lineRule="auto"/>
        <w:rPr>
          <w:rFonts w:ascii="黑体" w:hAnsi="黑体" w:eastAsia="黑体"/>
          <w:b/>
          <w:bCs/>
          <w:color w:val="F79646" w:themeColor="accent6"/>
          <w:szCs w:val="21"/>
        </w:rPr>
      </w:pPr>
    </w:p>
    <w:p>
      <w:pPr>
        <w:spacing w:line="360" w:lineRule="auto"/>
        <w:rPr>
          <w:rFonts w:ascii="黑体" w:hAnsi="黑体" w:eastAsia="黑体"/>
          <w:b/>
          <w:bCs/>
          <w:szCs w:val="21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  <w:szCs w:val="21"/>
      </w:rPr>
    </w:pPr>
    <w:r>
      <w:t xml:space="preserve">                                                                       </w:t>
    </w:r>
    <w:r>
      <w:rPr>
        <w:sz w:val="21"/>
        <w:szCs w:val="21"/>
      </w:rPr>
      <w:t xml:space="preserve"> </w:t>
    </w:r>
    <w:r>
      <w:rPr>
        <w:rFonts w:ascii="黑体" w:hAnsi="黑体" w:eastAsia="黑体"/>
        <w:sz w:val="21"/>
        <w:szCs w:val="21"/>
      </w:rPr>
      <w:t>T/NAIA 0008—2020</w:t>
    </w:r>
    <w:r>
      <w:rPr>
        <w:sz w:val="21"/>
        <w:szCs w:val="21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4AB59"/>
    <w:multiLevelType w:val="singleLevel"/>
    <w:tmpl w:val="80B4AB59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2F7"/>
    <w:rsid w:val="000541B6"/>
    <w:rsid w:val="000A253F"/>
    <w:rsid w:val="000A35F8"/>
    <w:rsid w:val="000B702C"/>
    <w:rsid w:val="000C303A"/>
    <w:rsid w:val="000E18C8"/>
    <w:rsid w:val="00134530"/>
    <w:rsid w:val="0013641F"/>
    <w:rsid w:val="00165EF2"/>
    <w:rsid w:val="0018433E"/>
    <w:rsid w:val="00184DB2"/>
    <w:rsid w:val="00185326"/>
    <w:rsid w:val="001967B7"/>
    <w:rsid w:val="0019731A"/>
    <w:rsid w:val="001B6C15"/>
    <w:rsid w:val="001F3F16"/>
    <w:rsid w:val="001F5A41"/>
    <w:rsid w:val="00201030"/>
    <w:rsid w:val="00210CDA"/>
    <w:rsid w:val="00221583"/>
    <w:rsid w:val="0022460C"/>
    <w:rsid w:val="00232F3F"/>
    <w:rsid w:val="002360A7"/>
    <w:rsid w:val="00295814"/>
    <w:rsid w:val="002A6A44"/>
    <w:rsid w:val="002C2625"/>
    <w:rsid w:val="002C758C"/>
    <w:rsid w:val="002F71D8"/>
    <w:rsid w:val="00303D44"/>
    <w:rsid w:val="00305924"/>
    <w:rsid w:val="00332C23"/>
    <w:rsid w:val="00384A55"/>
    <w:rsid w:val="00384D67"/>
    <w:rsid w:val="003B7391"/>
    <w:rsid w:val="003C62F7"/>
    <w:rsid w:val="003F68C7"/>
    <w:rsid w:val="0043468F"/>
    <w:rsid w:val="0046377F"/>
    <w:rsid w:val="0049202E"/>
    <w:rsid w:val="00494398"/>
    <w:rsid w:val="004E0C7A"/>
    <w:rsid w:val="004F3004"/>
    <w:rsid w:val="0050762B"/>
    <w:rsid w:val="00527997"/>
    <w:rsid w:val="0053455C"/>
    <w:rsid w:val="00553093"/>
    <w:rsid w:val="00557B9A"/>
    <w:rsid w:val="00561084"/>
    <w:rsid w:val="005E0D3E"/>
    <w:rsid w:val="005E29AB"/>
    <w:rsid w:val="005F29AC"/>
    <w:rsid w:val="006720FE"/>
    <w:rsid w:val="00676026"/>
    <w:rsid w:val="006C1E19"/>
    <w:rsid w:val="006E08A9"/>
    <w:rsid w:val="006E65EC"/>
    <w:rsid w:val="006F7DA7"/>
    <w:rsid w:val="007378E6"/>
    <w:rsid w:val="00743F76"/>
    <w:rsid w:val="00773A27"/>
    <w:rsid w:val="00791073"/>
    <w:rsid w:val="007C4ADD"/>
    <w:rsid w:val="00803364"/>
    <w:rsid w:val="008134D6"/>
    <w:rsid w:val="00831238"/>
    <w:rsid w:val="0084444E"/>
    <w:rsid w:val="00862F27"/>
    <w:rsid w:val="00865738"/>
    <w:rsid w:val="00873D37"/>
    <w:rsid w:val="008819BE"/>
    <w:rsid w:val="0088655F"/>
    <w:rsid w:val="00893C6E"/>
    <w:rsid w:val="00897A68"/>
    <w:rsid w:val="008B1AF7"/>
    <w:rsid w:val="008B6406"/>
    <w:rsid w:val="008B64CF"/>
    <w:rsid w:val="008E7A52"/>
    <w:rsid w:val="009144E9"/>
    <w:rsid w:val="0093075D"/>
    <w:rsid w:val="009439E6"/>
    <w:rsid w:val="009444E2"/>
    <w:rsid w:val="00944F34"/>
    <w:rsid w:val="009572A3"/>
    <w:rsid w:val="009B700E"/>
    <w:rsid w:val="00A04D5A"/>
    <w:rsid w:val="00A25096"/>
    <w:rsid w:val="00A358FF"/>
    <w:rsid w:val="00A36087"/>
    <w:rsid w:val="00A5145F"/>
    <w:rsid w:val="00A575EF"/>
    <w:rsid w:val="00A57F87"/>
    <w:rsid w:val="00AB06F7"/>
    <w:rsid w:val="00AB3FD7"/>
    <w:rsid w:val="00AC7968"/>
    <w:rsid w:val="00AE3E6F"/>
    <w:rsid w:val="00AF047D"/>
    <w:rsid w:val="00AF3AB1"/>
    <w:rsid w:val="00B47178"/>
    <w:rsid w:val="00B6255C"/>
    <w:rsid w:val="00BC15F2"/>
    <w:rsid w:val="00BD6037"/>
    <w:rsid w:val="00C17852"/>
    <w:rsid w:val="00C60A11"/>
    <w:rsid w:val="00C75E0E"/>
    <w:rsid w:val="00CA55A6"/>
    <w:rsid w:val="00CC5320"/>
    <w:rsid w:val="00CC560C"/>
    <w:rsid w:val="00CD2D8D"/>
    <w:rsid w:val="00CE563F"/>
    <w:rsid w:val="00CF1277"/>
    <w:rsid w:val="00CF6C66"/>
    <w:rsid w:val="00D54647"/>
    <w:rsid w:val="00D8754A"/>
    <w:rsid w:val="00DD4682"/>
    <w:rsid w:val="00DE58EF"/>
    <w:rsid w:val="00E17D6F"/>
    <w:rsid w:val="00E31C59"/>
    <w:rsid w:val="00E33C5E"/>
    <w:rsid w:val="00E40136"/>
    <w:rsid w:val="00E9393D"/>
    <w:rsid w:val="00EA7E95"/>
    <w:rsid w:val="00ED67DC"/>
    <w:rsid w:val="00F831B5"/>
    <w:rsid w:val="00F86CEE"/>
    <w:rsid w:val="00F934CD"/>
    <w:rsid w:val="00FA0E4C"/>
    <w:rsid w:val="00FA25A3"/>
    <w:rsid w:val="00FE293F"/>
    <w:rsid w:val="03872A95"/>
    <w:rsid w:val="03FC0E22"/>
    <w:rsid w:val="05130D5E"/>
    <w:rsid w:val="08737F8C"/>
    <w:rsid w:val="087B5A82"/>
    <w:rsid w:val="095657E2"/>
    <w:rsid w:val="095E513F"/>
    <w:rsid w:val="0C54398A"/>
    <w:rsid w:val="100C6284"/>
    <w:rsid w:val="13111AB3"/>
    <w:rsid w:val="19B0603F"/>
    <w:rsid w:val="1B53462E"/>
    <w:rsid w:val="1F6E70CE"/>
    <w:rsid w:val="206B5A9E"/>
    <w:rsid w:val="209E0054"/>
    <w:rsid w:val="2149113C"/>
    <w:rsid w:val="253A3D34"/>
    <w:rsid w:val="267647B0"/>
    <w:rsid w:val="27EF576B"/>
    <w:rsid w:val="296734CE"/>
    <w:rsid w:val="2B29597C"/>
    <w:rsid w:val="2D456CC7"/>
    <w:rsid w:val="2F64098D"/>
    <w:rsid w:val="32CE19BF"/>
    <w:rsid w:val="33BF722F"/>
    <w:rsid w:val="360947E2"/>
    <w:rsid w:val="39A0539A"/>
    <w:rsid w:val="40E7556E"/>
    <w:rsid w:val="42966F52"/>
    <w:rsid w:val="46111176"/>
    <w:rsid w:val="48CD04A0"/>
    <w:rsid w:val="4E4B12C0"/>
    <w:rsid w:val="5044162F"/>
    <w:rsid w:val="520A4C4C"/>
    <w:rsid w:val="537E5644"/>
    <w:rsid w:val="565B5678"/>
    <w:rsid w:val="591C4D70"/>
    <w:rsid w:val="609F27F0"/>
    <w:rsid w:val="60B54C66"/>
    <w:rsid w:val="611D576A"/>
    <w:rsid w:val="61605779"/>
    <w:rsid w:val="61CB322E"/>
    <w:rsid w:val="658D02BE"/>
    <w:rsid w:val="68503249"/>
    <w:rsid w:val="68C85A36"/>
    <w:rsid w:val="6B8751A6"/>
    <w:rsid w:val="6CB61608"/>
    <w:rsid w:val="6D7039F5"/>
    <w:rsid w:val="72394273"/>
    <w:rsid w:val="73340032"/>
    <w:rsid w:val="73545645"/>
    <w:rsid w:val="73F704DD"/>
    <w:rsid w:val="7AEE468D"/>
    <w:rsid w:val="7E971293"/>
    <w:rsid w:val="7FD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4 Char"/>
    <w:basedOn w:val="8"/>
    <w:link w:val="2"/>
    <w:qFormat/>
    <w:locked/>
    <w:uiPriority w:val="99"/>
    <w:rPr>
      <w:rFonts w:ascii="宋体" w:eastAsia="宋体" w:cs="Times New Roman"/>
      <w:b/>
      <w:sz w:val="24"/>
    </w:rPr>
  </w:style>
  <w:style w:type="character" w:customStyle="1" w:styleId="11">
    <w:name w:val="Header Char"/>
    <w:basedOn w:val="8"/>
    <w:link w:val="4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12">
    <w:name w:val="Footer Char"/>
    <w:basedOn w:val="8"/>
    <w:link w:val="3"/>
    <w:qFormat/>
    <w:locked/>
    <w:uiPriority w:val="99"/>
    <w:rPr>
      <w:rFonts w:ascii="Calibri" w:hAnsi="Calibri" w:eastAsia="宋体" w:cs="Times New Roman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semiHidden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6</Pages>
  <Words>498</Words>
  <Characters>2842</Characters>
  <Lines>0</Lines>
  <Paragraphs>0</Paragraphs>
  <TotalTime>13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2020-03-15T12:19:00Z</dcterms:created>
  <dc:creator>Lee Alen</dc:creator>
  <cp:lastModifiedBy>珊瑜</cp:lastModifiedBy>
  <dcterms:modified xsi:type="dcterms:W3CDTF">2020-11-12T01:32:54Z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