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</w:rPr>
      </w:pPr>
    </w:p>
    <w:p>
      <w:pPr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ICS 67.160.10</w:t>
      </w:r>
    </w:p>
    <w:p>
      <w:pPr>
        <w:rPr>
          <w:rFonts w:ascii="宋体"/>
          <w:szCs w:val="21"/>
        </w:rPr>
      </w:pPr>
      <w:r>
        <w:rPr>
          <w:rFonts w:ascii="黑体" w:hAnsi="黑体" w:eastAsia="黑体"/>
          <w:b/>
          <w:szCs w:val="21"/>
        </w:rPr>
        <w:t xml:space="preserve">X62 </w:t>
      </w:r>
      <w:r>
        <w:rPr>
          <w:rFonts w:ascii="宋体" w:hAnsi="宋体"/>
          <w:b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</w:p>
    <w:p>
      <w:pPr>
        <w:rPr>
          <w:szCs w:val="21"/>
        </w:rPr>
      </w:pPr>
      <w:r>
        <w:rPr>
          <w:rFonts w:ascii="宋体" w:hAnsi="宋体"/>
          <w:szCs w:val="21"/>
        </w:rPr>
        <w:t xml:space="preserve">                       </w:t>
      </w:r>
    </w:p>
    <w:p>
      <w:pPr>
        <w:jc w:val="center"/>
        <w:rPr>
          <w:rFonts w:ascii="宋体"/>
          <w:sz w:val="160"/>
          <w:szCs w:val="200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团</w:t>
      </w:r>
      <w:r>
        <w:rPr>
          <w:rFonts w:ascii="黑体" w:hAnsi="黑体" w:eastAsia="黑体"/>
          <w:b/>
          <w:bCs/>
          <w:sz w:val="72"/>
          <w:szCs w:val="72"/>
        </w:rPr>
        <w:t xml:space="preserve">   </w:t>
      </w:r>
      <w:r>
        <w:rPr>
          <w:rFonts w:hint="eastAsia" w:ascii="黑体" w:hAnsi="黑体" w:eastAsia="黑体"/>
          <w:b/>
          <w:bCs/>
          <w:sz w:val="72"/>
          <w:szCs w:val="72"/>
        </w:rPr>
        <w:t>体</w:t>
      </w:r>
      <w:r>
        <w:rPr>
          <w:rFonts w:ascii="黑体" w:hAnsi="黑体" w:eastAsia="黑体"/>
          <w:b/>
          <w:bCs/>
          <w:sz w:val="72"/>
          <w:szCs w:val="72"/>
        </w:rPr>
        <w:t xml:space="preserve">    </w:t>
      </w:r>
      <w:r>
        <w:rPr>
          <w:rFonts w:hint="eastAsia" w:ascii="黑体" w:hAnsi="黑体" w:eastAsia="黑体"/>
          <w:b/>
          <w:bCs/>
          <w:sz w:val="72"/>
          <w:szCs w:val="72"/>
        </w:rPr>
        <w:t>标</w:t>
      </w:r>
      <w:r>
        <w:rPr>
          <w:rFonts w:ascii="黑体" w:hAnsi="黑体" w:eastAsia="黑体"/>
          <w:b/>
          <w:bCs/>
          <w:sz w:val="72"/>
          <w:szCs w:val="72"/>
        </w:rPr>
        <w:t xml:space="preserve">    </w:t>
      </w:r>
      <w:r>
        <w:rPr>
          <w:rFonts w:hint="eastAsia" w:ascii="黑体" w:hAnsi="黑体" w:eastAsia="黑体"/>
          <w:b/>
          <w:bCs/>
          <w:sz w:val="72"/>
          <w:szCs w:val="72"/>
        </w:rPr>
        <w:t>准</w:t>
      </w:r>
    </w:p>
    <w:p>
      <w:pPr>
        <w:spacing w:line="360" w:lineRule="auto"/>
        <w:ind w:left="722" w:leftChars="344" w:firstLine="2774" w:firstLineChars="991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T/NAIA 0008—2020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黑体" w:hAnsi="黑体" w:eastAsia="黑体"/>
          <w:sz w:val="28"/>
          <w:szCs w:val="28"/>
        </w:rPr>
        <w:t xml:space="preserve"> </w:t>
      </w:r>
    </w:p>
    <w:p/>
    <w:p/>
    <w:p/>
    <w:p/>
    <w:p/>
    <w:p>
      <w:pPr>
        <w:jc w:val="center"/>
        <w:rPr>
          <w:rFonts w:hint="default" w:ascii="黑体" w:hAnsi="黑体" w:eastAsia="黑体"/>
          <w:b/>
          <w:bCs/>
          <w:sz w:val="52"/>
          <w:szCs w:val="72"/>
          <w:lang w:val="en-US" w:eastAsia="zh-CN"/>
        </w:rPr>
      </w:pPr>
      <w:r>
        <w:rPr>
          <w:rFonts w:hint="eastAsia" w:ascii="黑体" w:hAnsi="黑体" w:eastAsia="黑体"/>
          <w:b/>
          <w:bCs/>
          <w:sz w:val="52"/>
          <w:szCs w:val="72"/>
          <w:lang w:val="en-US" w:eastAsia="zh-CN"/>
        </w:rPr>
        <w:t xml:space="preserve">风干牛肉干 </w:t>
      </w:r>
    </w:p>
    <w:p>
      <w:pPr>
        <w:ind w:firstLine="2800" w:firstLineChars="10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Air-dried beef jerky</w:t>
      </w:r>
    </w:p>
    <w:p>
      <w:pPr>
        <w:ind w:firstLine="3092" w:firstLineChars="11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（征求意见稿）</w:t>
      </w:r>
    </w:p>
    <w:p/>
    <w:p/>
    <w:p/>
    <w:p/>
    <w:p/>
    <w:p/>
    <w:p/>
    <w:p/>
    <w:p/>
    <w:p/>
    <w:p/>
    <w:p/>
    <w:p/>
    <w:p/>
    <w:p/>
    <w:p/>
    <w:p/>
    <w:p>
      <w:pPr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  <w:u w:val="single"/>
        </w:rPr>
        <w:t>2020-XX-XX</w:t>
      </w:r>
      <w:r>
        <w:rPr>
          <w:rFonts w:hint="eastAsia" w:ascii="黑体" w:hAnsi="黑体" w:eastAsia="黑体"/>
          <w:sz w:val="28"/>
          <w:szCs w:val="36"/>
          <w:u w:val="single"/>
        </w:rPr>
        <w:t>发布</w:t>
      </w:r>
      <w:r>
        <w:rPr>
          <w:rFonts w:ascii="黑体" w:hAnsi="黑体" w:eastAsia="黑体"/>
          <w:sz w:val="28"/>
          <w:szCs w:val="36"/>
          <w:u w:val="single"/>
        </w:rPr>
        <w:t xml:space="preserve">                              2020-XX-XX</w:t>
      </w:r>
      <w:r>
        <w:rPr>
          <w:rFonts w:hint="eastAsia" w:ascii="黑体" w:hAnsi="黑体" w:eastAsia="黑体"/>
          <w:sz w:val="28"/>
          <w:szCs w:val="36"/>
          <w:u w:val="single"/>
        </w:rPr>
        <w:t>实施</w:t>
      </w:r>
    </w:p>
    <w:p>
      <w:pPr>
        <w:ind w:left="-540" w:leftChars="-257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宁夏化学分析测试协会</w:t>
      </w:r>
      <w:r>
        <w:rPr>
          <w:rFonts w:ascii="黑体" w:hAnsi="黑体" w:eastAsia="黑体"/>
          <w:b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bCs/>
          <w:sz w:val="32"/>
          <w:szCs w:val="32"/>
        </w:rPr>
        <w:t>发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布</w:t>
      </w:r>
    </w:p>
    <w:p/>
    <w:p>
      <w:pPr>
        <w:ind w:firstLine="3534" w:firstLineChars="1100"/>
        <w:rPr>
          <w:rFonts w:ascii="黑体" w:hAnsi="黑体" w:eastAsia="黑体"/>
          <w:b/>
          <w:bCs/>
          <w:sz w:val="18"/>
          <w:szCs w:val="21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前</w:t>
      </w:r>
      <w:r>
        <w:rPr>
          <w:rFonts w:ascii="黑体" w:hAnsi="黑体" w:eastAsia="黑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言</w:t>
      </w:r>
    </w:p>
    <w:p/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本标准按照</w:t>
      </w:r>
      <w:r>
        <w:rPr>
          <w:rFonts w:ascii="宋体" w:hAnsi="宋体"/>
        </w:rPr>
        <w:t xml:space="preserve">GB/T 1.1-2009 </w:t>
      </w:r>
      <w:r>
        <w:rPr>
          <w:rFonts w:hint="eastAsia" w:ascii="宋体" w:hAnsi="宋体"/>
        </w:rPr>
        <w:t>《标准化工作导则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部分：标准的结构和编写》规定编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写。</w:t>
      </w:r>
    </w:p>
    <w:p>
      <w:pPr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请注意本标准的某些内容可能涉及专利，本标准的起草和发布机构不承担相关责任。</w:t>
      </w:r>
    </w:p>
    <w:p>
      <w:pPr>
        <w:ind w:firstLine="420" w:firstLineChars="200"/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本标准由宁夏化学分析测试协会提出并归口。</w:t>
      </w:r>
    </w:p>
    <w:p>
      <w:pPr>
        <w:ind w:firstLine="420" w:firstLineChars="200"/>
        <w:rPr>
          <w:rFonts w:ascii="宋体"/>
        </w:rPr>
      </w:pPr>
    </w:p>
    <w:p>
      <w:pPr>
        <w:ind w:firstLine="420" w:firstLineChars="200"/>
        <w:rPr>
          <w:rFonts w:hint="eastAsia" w:ascii="宋体" w:eastAsia="宋体"/>
          <w:lang w:eastAsia="zh-CN"/>
        </w:rPr>
      </w:pPr>
      <w:r>
        <w:rPr>
          <w:rFonts w:hint="eastAsia" w:ascii="宋体" w:hAnsi="宋体"/>
        </w:rPr>
        <w:t>本标准起草单位：宁夏回族自治区食品检测研究院、</w:t>
      </w:r>
      <w:r>
        <w:rPr>
          <w:rFonts w:hint="eastAsia" w:ascii="宋体" w:hAnsi="宋体"/>
          <w:lang w:val="en-US" w:eastAsia="zh-CN"/>
        </w:rPr>
        <w:t>石嘴山市碧草洲饮食有限公司、宁夏清穆食品有限公司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lang w:eastAsia="zh-CN"/>
        </w:rPr>
        <w:t>宁夏食品检测二站。</w:t>
      </w:r>
    </w:p>
    <w:p>
      <w:pPr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本标准主要起草人：</w:t>
      </w:r>
      <w:r>
        <w:rPr>
          <w:rFonts w:hint="eastAsia" w:ascii="宋体" w:hAnsi="宋体"/>
          <w:lang w:eastAsia="zh-CN"/>
        </w:rPr>
        <w:t>李谦、蒋媛、李智、党祎苗</w:t>
      </w:r>
      <w:r>
        <w:rPr>
          <w:rFonts w:hint="eastAsia" w:ascii="宋体" w:hAnsi="宋体"/>
          <w:lang w:val="en-US" w:eastAsia="zh-CN"/>
        </w:rPr>
        <w:t>、牛国飞、</w:t>
      </w:r>
      <w:bookmarkStart w:id="0" w:name="_GoBack"/>
      <w:bookmarkEnd w:id="0"/>
      <w:r>
        <w:rPr>
          <w:rFonts w:hint="eastAsia" w:ascii="宋体" w:hAnsi="宋体"/>
          <w:lang w:eastAsia="zh-CN"/>
        </w:rPr>
        <w:t>伊倩如</w:t>
      </w:r>
      <w:r>
        <w:rPr>
          <w:rFonts w:hint="eastAsia" w:ascii="宋体" w:hAnsi="宋体"/>
          <w:lang w:val="en-US" w:eastAsia="zh-CN"/>
        </w:rPr>
        <w:t xml:space="preserve"> 、刘明、胡德平</w:t>
      </w:r>
      <w:r>
        <w:rPr>
          <w:rFonts w:hint="eastAsia" w:ascii="宋体" w:hAnsi="宋体"/>
        </w:rPr>
        <w:t>。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本标准于</w:t>
      </w:r>
      <w:r>
        <w:rPr>
          <w:rFonts w:ascii="宋体" w:hAnsi="宋体"/>
        </w:rPr>
        <w:t>2020</w:t>
      </w:r>
      <w:r>
        <w:rPr>
          <w:rFonts w:hint="eastAsia" w:ascii="宋体" w:hAnsi="宋体"/>
        </w:rPr>
        <w:t>年</w:t>
      </w:r>
      <w:r>
        <w:rPr>
          <w:rFonts w:ascii="宋体" w:hAnsi="宋体"/>
          <w:color w:val="FF0000"/>
        </w:rPr>
        <w:t>X</w:t>
      </w:r>
      <w:r>
        <w:rPr>
          <w:rFonts w:hint="eastAsia" w:ascii="宋体" w:hAnsi="宋体"/>
          <w:color w:val="FF0000"/>
        </w:rPr>
        <w:t>月</w:t>
      </w:r>
      <w:r>
        <w:rPr>
          <w:rFonts w:ascii="宋体" w:hAnsi="宋体"/>
          <w:color w:val="FF0000"/>
        </w:rPr>
        <w:t>XX</w:t>
      </w:r>
      <w:r>
        <w:rPr>
          <w:rFonts w:hint="eastAsia" w:ascii="宋体" w:hAnsi="宋体"/>
        </w:rPr>
        <w:t>日首次发布。</w:t>
      </w:r>
    </w:p>
    <w:p/>
    <w:p/>
    <w:p/>
    <w:p/>
    <w:p/>
    <w:p/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/>
    <w:p/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风干牛肉干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1 </w:t>
      </w:r>
      <w:r>
        <w:rPr>
          <w:rFonts w:hint="eastAsia" w:ascii="黑体" w:hAnsi="黑体" w:eastAsia="黑体"/>
          <w:b/>
          <w:bCs/>
          <w:szCs w:val="21"/>
        </w:rPr>
        <w:t>范围</w:t>
      </w:r>
    </w:p>
    <w:p>
      <w:pPr>
        <w:spacing w:line="360" w:lineRule="auto"/>
        <w:ind w:firstLine="420" w:firstLineChars="2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牛肉干 风干法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的术语和定义、基本要求、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检验方法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检验规则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、标志、标签、包装、运输和贮存。</w:t>
      </w:r>
    </w:p>
    <w:p>
      <w:pPr>
        <w:spacing w:line="360" w:lineRule="auto"/>
        <w:ind w:firstLine="420" w:firstLineChars="2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本标准适用于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风干法生产的牛肉干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的生产加工和质量管理。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2 </w:t>
      </w:r>
      <w:r>
        <w:rPr>
          <w:rFonts w:hint="eastAsia" w:ascii="黑体" w:hAnsi="黑体" w:eastAsia="黑体"/>
          <w:b/>
          <w:bCs/>
          <w:szCs w:val="21"/>
        </w:rPr>
        <w:t>规范性引用文件</w:t>
      </w:r>
    </w:p>
    <w:p>
      <w:pPr>
        <w:spacing w:line="360" w:lineRule="auto"/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下列文件对于本文件的应用是必不可少的。凡是注日期的应用文件，仅注日期的版本适用于本文件，凡是不注日期的引用文件，其最新版本（包括所有的修改单）适用于本文件。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>GB</w:t>
      </w:r>
      <w:r>
        <w:rPr>
          <w:rFonts w:hint="eastAsia" w:ascii="宋体"/>
          <w:color w:val="auto"/>
          <w:szCs w:val="21"/>
          <w:lang w:val="en-US" w:eastAsia="zh-CN"/>
        </w:rPr>
        <w:t xml:space="preserve"> 2707</w:t>
      </w:r>
      <w:r>
        <w:rPr>
          <w:rFonts w:ascii="宋体"/>
          <w:color w:val="auto"/>
          <w:szCs w:val="21"/>
        </w:rPr>
        <w:t xml:space="preserve">  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>鲜（冻）畜肉卫生标准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eastAsia="zh-CN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 xml:space="preserve">2716      </w:t>
      </w:r>
      <w:r>
        <w:rPr>
          <w:rFonts w:hint="eastAsia" w:ascii="宋体"/>
          <w:color w:val="auto"/>
          <w:szCs w:val="21"/>
          <w:lang w:eastAsia="zh-CN"/>
        </w:rPr>
        <w:t>食品安全国家标准</w:t>
      </w:r>
      <w:r>
        <w:rPr>
          <w:rFonts w:hint="eastAsia" w:ascii="宋体"/>
          <w:color w:val="auto"/>
          <w:szCs w:val="21"/>
          <w:lang w:val="en-US" w:eastAsia="zh-CN"/>
        </w:rPr>
        <w:t xml:space="preserve"> 食用植物油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eastAsia="zh-CN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2720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 xml:space="preserve">     </w:t>
      </w:r>
      <w:r>
        <w:rPr>
          <w:rFonts w:hint="eastAsia" w:ascii="宋体"/>
          <w:color w:val="auto"/>
          <w:szCs w:val="21"/>
          <w:lang w:eastAsia="zh-CN"/>
        </w:rPr>
        <w:t>食品安全国家标准</w:t>
      </w:r>
      <w:r>
        <w:rPr>
          <w:rFonts w:hint="eastAsia" w:ascii="宋体"/>
          <w:color w:val="auto"/>
          <w:szCs w:val="21"/>
          <w:lang w:val="en-US" w:eastAsia="zh-CN"/>
        </w:rPr>
        <w:t xml:space="preserve"> 味精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eastAsia="zh-CN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2721</w:t>
      </w:r>
      <w:r>
        <w:rPr>
          <w:rFonts w:hint="eastAsia" w:ascii="宋体"/>
          <w:color w:val="auto"/>
          <w:szCs w:val="21"/>
          <w:lang w:eastAsia="zh-CN"/>
        </w:rPr>
        <w:t xml:space="preserve"> 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/>
          <w:color w:val="auto"/>
          <w:szCs w:val="21"/>
          <w:lang w:eastAsia="zh-CN"/>
        </w:rPr>
        <w:t>食品安全国家标准</w:t>
      </w:r>
      <w:r>
        <w:rPr>
          <w:rFonts w:hint="eastAsia" w:ascii="宋体"/>
          <w:color w:val="auto"/>
          <w:szCs w:val="21"/>
          <w:lang w:val="en-US" w:eastAsia="zh-CN"/>
        </w:rPr>
        <w:t xml:space="preserve"> 食盐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</w:rPr>
      </w:pPr>
      <w:r>
        <w:rPr>
          <w:rFonts w:ascii="宋体"/>
          <w:color w:val="auto"/>
          <w:szCs w:val="21"/>
        </w:rPr>
        <w:t xml:space="preserve">GB 2762   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</w:rPr>
        <w:t>食品安全国家标准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</w:rPr>
        <w:t>食品中污染物限量</w:t>
      </w:r>
    </w:p>
    <w:p>
      <w:pPr>
        <w:spacing w:line="360" w:lineRule="auto"/>
        <w:ind w:firstLine="420" w:firstLineChars="200"/>
        <w:rPr>
          <w:rFonts w:hint="default" w:ascii="宋体" w:eastAsia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>GB 5009.</w:t>
      </w:r>
      <w:r>
        <w:rPr>
          <w:rFonts w:hint="eastAsia" w:ascii="宋体"/>
          <w:color w:val="auto"/>
          <w:szCs w:val="21"/>
          <w:lang w:val="en-US" w:eastAsia="zh-CN"/>
        </w:rPr>
        <w:t>3</w:t>
      </w:r>
      <w:r>
        <w:rPr>
          <w:rFonts w:ascii="宋体"/>
          <w:color w:val="auto"/>
          <w:szCs w:val="21"/>
        </w:rPr>
        <w:t xml:space="preserve">  </w:t>
      </w:r>
      <w:r>
        <w:rPr>
          <w:rFonts w:hint="eastAsia" w:asci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/>
          <w:color w:val="auto"/>
          <w:szCs w:val="21"/>
        </w:rPr>
        <w:t>食品安全国家标准</w:t>
      </w:r>
      <w:r>
        <w:rPr>
          <w:rFonts w:hint="eastAsia" w:ascii="宋体"/>
          <w:color w:val="auto"/>
          <w:szCs w:val="21"/>
          <w:lang w:val="en-US" w:eastAsia="zh-CN"/>
        </w:rPr>
        <w:t xml:space="preserve"> 食品中水分的测定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>GB 5009.</w:t>
      </w:r>
      <w:r>
        <w:rPr>
          <w:rFonts w:hint="eastAsia" w:ascii="宋体"/>
          <w:color w:val="auto"/>
          <w:szCs w:val="21"/>
          <w:lang w:val="en-US" w:eastAsia="zh-CN"/>
        </w:rPr>
        <w:t>5</w:t>
      </w:r>
      <w:r>
        <w:rPr>
          <w:rFonts w:ascii="宋体"/>
          <w:color w:val="auto"/>
          <w:szCs w:val="21"/>
        </w:rPr>
        <w:t xml:space="preserve">  </w:t>
      </w:r>
      <w:r>
        <w:rPr>
          <w:rFonts w:hint="eastAsia" w:asci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/>
          <w:color w:val="auto"/>
          <w:szCs w:val="21"/>
        </w:rPr>
        <w:t xml:space="preserve">食品安全国家标准 </w:t>
      </w:r>
      <w:r>
        <w:rPr>
          <w:rFonts w:hint="eastAsia" w:ascii="宋体"/>
          <w:color w:val="auto"/>
          <w:szCs w:val="21"/>
          <w:lang w:val="en-US" w:eastAsia="zh-CN"/>
        </w:rPr>
        <w:t>食品中蛋白质的测定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</w:rPr>
        <w:t>GB</w:t>
      </w:r>
      <w:r>
        <w:rPr>
          <w:rFonts w:hint="eastAsia" w:ascii="宋体"/>
          <w:color w:val="auto"/>
          <w:szCs w:val="21"/>
          <w:lang w:val="en-US" w:eastAsia="zh-CN"/>
        </w:rPr>
        <w:t xml:space="preserve"> 5009.6</w:t>
      </w:r>
      <w:r>
        <w:rPr>
          <w:rFonts w:hint="eastAsia" w:ascii="宋体"/>
          <w:color w:val="auto"/>
          <w:szCs w:val="21"/>
        </w:rPr>
        <w:t xml:space="preserve">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食品安全国家标准 食品中脂肪的测定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>GB 5009.</w:t>
      </w:r>
      <w:r>
        <w:rPr>
          <w:rFonts w:hint="eastAsia" w:ascii="宋体"/>
          <w:color w:val="auto"/>
          <w:szCs w:val="21"/>
          <w:lang w:val="en-US" w:eastAsia="zh-CN"/>
        </w:rPr>
        <w:t>44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/>
          <w:color w:val="auto"/>
          <w:szCs w:val="21"/>
        </w:rPr>
        <w:t xml:space="preserve">食品安全国家标准 </w:t>
      </w:r>
      <w:r>
        <w:rPr>
          <w:rFonts w:hint="eastAsia" w:ascii="宋体"/>
          <w:color w:val="auto"/>
          <w:szCs w:val="21"/>
          <w:lang w:val="en-US" w:eastAsia="zh-CN"/>
        </w:rPr>
        <w:t>食品中氯化物的测定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>GB 5009.</w:t>
      </w:r>
      <w:r>
        <w:rPr>
          <w:rFonts w:hint="eastAsia" w:ascii="宋体"/>
          <w:color w:val="auto"/>
          <w:szCs w:val="21"/>
          <w:lang w:val="en-US" w:eastAsia="zh-CN"/>
        </w:rPr>
        <w:t xml:space="preserve">227  </w:t>
      </w:r>
      <w:r>
        <w:rPr>
          <w:rFonts w:hint="eastAsia" w:ascii="宋体"/>
          <w:color w:val="auto"/>
          <w:szCs w:val="21"/>
        </w:rPr>
        <w:t xml:space="preserve">食品安全国家标准 </w:t>
      </w:r>
      <w:r>
        <w:rPr>
          <w:rFonts w:hint="eastAsia" w:ascii="宋体"/>
          <w:color w:val="auto"/>
          <w:szCs w:val="21"/>
          <w:lang w:val="en-US" w:eastAsia="zh-CN"/>
        </w:rPr>
        <w:t>食品中过氧化值的测定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>GB 5009.</w:t>
      </w:r>
      <w:r>
        <w:rPr>
          <w:rFonts w:hint="eastAsia" w:ascii="宋体"/>
          <w:color w:val="auto"/>
          <w:szCs w:val="21"/>
          <w:lang w:val="en-US" w:eastAsia="zh-CN"/>
        </w:rPr>
        <w:t xml:space="preserve">11   </w:t>
      </w:r>
      <w:r>
        <w:rPr>
          <w:rFonts w:hint="eastAsia" w:ascii="宋体"/>
          <w:color w:val="auto"/>
          <w:szCs w:val="21"/>
        </w:rPr>
        <w:t xml:space="preserve">食品安全国家标准 </w:t>
      </w:r>
      <w:r>
        <w:rPr>
          <w:rFonts w:hint="eastAsia" w:ascii="宋体"/>
          <w:color w:val="auto"/>
          <w:szCs w:val="21"/>
          <w:lang w:val="en-US" w:eastAsia="zh-CN"/>
        </w:rPr>
        <w:t>食品中总砷及无机砷的测定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>GB 5009.</w:t>
      </w:r>
      <w:r>
        <w:rPr>
          <w:rFonts w:hint="eastAsia" w:ascii="宋体"/>
          <w:color w:val="auto"/>
          <w:szCs w:val="21"/>
          <w:lang w:val="en-US" w:eastAsia="zh-CN"/>
        </w:rPr>
        <w:t>12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</w:rPr>
        <w:t xml:space="preserve">食品安全国家标准 </w:t>
      </w:r>
      <w:r>
        <w:rPr>
          <w:rFonts w:hint="eastAsia" w:ascii="宋体"/>
          <w:color w:val="auto"/>
          <w:szCs w:val="21"/>
          <w:lang w:val="en-US" w:eastAsia="zh-CN"/>
        </w:rPr>
        <w:t>食品中铅的测定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>GB 5009.</w:t>
      </w:r>
      <w:r>
        <w:rPr>
          <w:rFonts w:hint="eastAsia" w:ascii="宋体"/>
          <w:color w:val="auto"/>
          <w:szCs w:val="21"/>
          <w:lang w:val="en-US" w:eastAsia="zh-CN"/>
        </w:rPr>
        <w:t>15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</w:rPr>
        <w:t xml:space="preserve">食品安全国家标准 </w:t>
      </w:r>
      <w:r>
        <w:rPr>
          <w:rFonts w:hint="eastAsia" w:ascii="宋体"/>
          <w:color w:val="auto"/>
          <w:szCs w:val="21"/>
          <w:lang w:val="en-US" w:eastAsia="zh-CN"/>
        </w:rPr>
        <w:t>食品中镉的测定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>GB 5009.</w:t>
      </w:r>
      <w:r>
        <w:rPr>
          <w:rFonts w:hint="eastAsia" w:ascii="宋体"/>
          <w:color w:val="auto"/>
          <w:szCs w:val="21"/>
          <w:lang w:val="en-US" w:eastAsia="zh-CN"/>
        </w:rPr>
        <w:t>17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/>
          <w:color w:val="auto"/>
          <w:szCs w:val="21"/>
        </w:rPr>
        <w:t xml:space="preserve">食品安全国家标准 </w:t>
      </w:r>
      <w:r>
        <w:rPr>
          <w:rFonts w:hint="eastAsia" w:ascii="宋体"/>
          <w:color w:val="auto"/>
          <w:szCs w:val="21"/>
          <w:lang w:val="en-US" w:eastAsia="zh-CN"/>
        </w:rPr>
        <w:t>食品中总汞及有机汞的测定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 xml:space="preserve">GB 5009.123  </w:t>
      </w:r>
      <w:r>
        <w:rPr>
          <w:rFonts w:hint="eastAsia" w:ascii="宋体"/>
          <w:color w:val="auto"/>
          <w:szCs w:val="21"/>
        </w:rPr>
        <w:t xml:space="preserve">食品安全国家标准 </w:t>
      </w:r>
      <w:r>
        <w:rPr>
          <w:rFonts w:hint="eastAsia" w:ascii="宋体"/>
          <w:color w:val="auto"/>
          <w:szCs w:val="21"/>
          <w:lang w:val="en-US" w:eastAsia="zh-CN"/>
        </w:rPr>
        <w:t>食品中铬的测定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4789.2</w:t>
      </w:r>
      <w:r>
        <w:rPr>
          <w:rFonts w:ascii="宋体"/>
          <w:color w:val="auto"/>
          <w:szCs w:val="21"/>
        </w:rPr>
        <w:t xml:space="preserve"> 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</w:rPr>
        <w:t>食品安全国家标准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食品微生物学检验 菌落总数测定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ascii="宋体"/>
          <w:color w:val="auto"/>
          <w:szCs w:val="21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4789.3</w:t>
      </w:r>
      <w:r>
        <w:rPr>
          <w:rFonts w:ascii="宋体"/>
          <w:color w:val="auto"/>
          <w:szCs w:val="21"/>
        </w:rPr>
        <w:t xml:space="preserve"> 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</w:rPr>
        <w:t>食品安全国家标准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食品微生物学检验 大肠菌群计数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29921     食品安全国家标准 食品致病菌限量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4789.4    食品微生物学检验 食品微生物学检验 沙门氏菌检验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4789.10   食品微生物学检验 食品微生物学检验 金黄色葡萄球菌检验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4789.30   食品微生物学检验 食品微生物学检验  单核细胞增生李斯特氏菌检验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4789.36   食品微生物学检验 食品微生物学检验 大肠埃希氏菌 O157:H7/NMJ检验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7718</w:t>
      </w:r>
      <w:r>
        <w:rPr>
          <w:rFonts w:hint="eastAsia" w:ascii="宋体"/>
          <w:color w:val="auto"/>
          <w:szCs w:val="21"/>
        </w:rPr>
        <w:t xml:space="preserve">  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食品安全国家标准 预包装食品标签通则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14881</w:t>
      </w:r>
      <w:r>
        <w:rPr>
          <w:rFonts w:hint="eastAsia" w:ascii="宋体"/>
          <w:color w:val="auto"/>
          <w:szCs w:val="21"/>
        </w:rPr>
        <w:t xml:space="preserve"> 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食品安全国家标准 食品生产通用卫生规范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28050</w:t>
      </w:r>
      <w:r>
        <w:rPr>
          <w:rFonts w:hint="eastAsia" w:ascii="宋体"/>
          <w:color w:val="auto"/>
          <w:szCs w:val="21"/>
        </w:rPr>
        <w:t xml:space="preserve"> 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食品安全国家标准 预包装食品营养标签通则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/T191</w:t>
      </w:r>
      <w:r>
        <w:rPr>
          <w:rFonts w:hint="eastAsia" w:ascii="宋体"/>
          <w:color w:val="auto"/>
          <w:szCs w:val="21"/>
        </w:rPr>
        <w:t xml:space="preserve"> 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包装贮运图示标示</w:t>
      </w:r>
    </w:p>
    <w:p>
      <w:pPr>
        <w:spacing w:line="360" w:lineRule="auto"/>
        <w:ind w:firstLine="420" w:firstLineChars="200"/>
        <w:rPr>
          <w:rFonts w:ascii="宋体"/>
          <w:color w:val="auto"/>
          <w:szCs w:val="21"/>
        </w:rPr>
      </w:pPr>
      <w:r>
        <w:rPr>
          <w:rFonts w:ascii="宋体"/>
          <w:color w:val="auto"/>
          <w:szCs w:val="21"/>
        </w:rPr>
        <w:t xml:space="preserve">JJF 1070  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</w:rPr>
        <w:t>定量包装商品净含量计量检验规则</w:t>
      </w:r>
    </w:p>
    <w:p>
      <w:pPr>
        <w:spacing w:line="360" w:lineRule="auto"/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国家质量监督检验检疫总局令（</w:t>
      </w:r>
      <w:r>
        <w:rPr>
          <w:rFonts w:ascii="宋体"/>
          <w:color w:val="auto"/>
          <w:szCs w:val="21"/>
        </w:rPr>
        <w:t>2005</w:t>
      </w:r>
      <w:r>
        <w:rPr>
          <w:rFonts w:hint="eastAsia" w:ascii="宋体"/>
          <w:color w:val="auto"/>
          <w:szCs w:val="21"/>
        </w:rPr>
        <w:t>）第</w:t>
      </w:r>
      <w:r>
        <w:rPr>
          <w:rFonts w:ascii="宋体"/>
          <w:color w:val="auto"/>
          <w:szCs w:val="21"/>
        </w:rPr>
        <w:t>75</w:t>
      </w:r>
      <w:r>
        <w:rPr>
          <w:rFonts w:hint="eastAsia" w:ascii="宋体"/>
          <w:color w:val="auto"/>
          <w:szCs w:val="21"/>
        </w:rPr>
        <w:t>号《定量包装商品计量监督管理办法》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3 </w:t>
      </w:r>
      <w:r>
        <w:rPr>
          <w:rFonts w:hint="eastAsia" w:ascii="黑体" w:hAnsi="黑体" w:eastAsia="黑体"/>
          <w:b/>
          <w:bCs/>
          <w:szCs w:val="21"/>
        </w:rPr>
        <w:t>术语和定义</w:t>
      </w:r>
    </w:p>
    <w:p>
      <w:pPr>
        <w:spacing w:line="360" w:lineRule="auto"/>
        <w:ind w:firstLine="420" w:firstLineChars="200"/>
        <w:rPr>
          <w:rFonts w:hint="default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下列术语和定义适用于本标准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3.1 风干</w:t>
      </w:r>
    </w:p>
    <w:p>
      <w:pPr>
        <w:spacing w:line="360" w:lineRule="auto"/>
        <w:rPr>
          <w:rFonts w:hint="default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 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采用封闭室内机械通风，使产品的水分适量降低，并产生特有风味的过程。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3.2 风干牛肉</w:t>
      </w:r>
    </w:p>
    <w:p>
      <w:pPr>
        <w:spacing w:line="360" w:lineRule="auto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以鲜（冻）牛肉的酮体或其分割体为原料，配辅料或不配辅料，经修割、切条、风干、油炸、杀菌、包装等工艺制成的食品。</w:t>
      </w:r>
    </w:p>
    <w:p>
      <w:pPr>
        <w:spacing w:line="360" w:lineRule="auto"/>
        <w:rPr>
          <w:rFonts w:ascii="黑体" w:hAnsi="黑体" w:eastAsia="黑体"/>
          <w:b/>
          <w:bCs/>
          <w:color w:val="000000"/>
          <w:szCs w:val="21"/>
        </w:rPr>
      </w:pPr>
      <w:r>
        <w:rPr>
          <w:rFonts w:ascii="黑体" w:hAnsi="黑体" w:eastAsia="黑体"/>
          <w:b/>
          <w:bCs/>
          <w:color w:val="000000"/>
          <w:szCs w:val="21"/>
        </w:rPr>
        <w:t xml:space="preserve">4 </w:t>
      </w:r>
      <w:r>
        <w:rPr>
          <w:rFonts w:hint="eastAsia" w:ascii="黑体" w:hAnsi="黑体" w:eastAsia="黑体"/>
          <w:b/>
          <w:bCs/>
          <w:color w:val="000000"/>
          <w:szCs w:val="21"/>
        </w:rPr>
        <w:t>基本要求</w:t>
      </w:r>
    </w:p>
    <w:p>
      <w:pPr>
        <w:spacing w:line="360" w:lineRule="auto"/>
        <w:rPr>
          <w:rFonts w:ascii="黑体" w:hAnsi="黑体" w:eastAsia="黑体"/>
          <w:b/>
          <w:bCs/>
          <w:color w:val="000000"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4.1 </w:t>
      </w:r>
      <w:r>
        <w:rPr>
          <w:rFonts w:hint="eastAsia" w:ascii="黑体" w:hAnsi="黑体" w:eastAsia="黑体"/>
          <w:b/>
          <w:bCs/>
          <w:szCs w:val="21"/>
        </w:rPr>
        <w:t>原</w:t>
      </w:r>
      <w:r>
        <w:rPr>
          <w:rFonts w:hint="eastAsia" w:ascii="黑体" w:hAnsi="黑体" w:eastAsia="黑体"/>
          <w:b/>
          <w:bCs/>
          <w:szCs w:val="21"/>
          <w:lang w:eastAsia="zh-CN"/>
        </w:rPr>
        <w:t>、</w:t>
      </w:r>
      <w:r>
        <w:rPr>
          <w:rFonts w:hint="eastAsia" w:ascii="黑体" w:hAnsi="黑体" w:eastAsia="黑体"/>
          <w:b/>
          <w:bCs/>
          <w:szCs w:val="21"/>
        </w:rPr>
        <w:t>辅料</w:t>
      </w:r>
      <w:r>
        <w:rPr>
          <w:rFonts w:hint="eastAsia" w:ascii="黑体" w:hAnsi="黑体" w:eastAsia="黑体"/>
          <w:b/>
          <w:bCs/>
          <w:color w:val="000000"/>
          <w:szCs w:val="21"/>
        </w:rPr>
        <w:t>要求</w:t>
      </w:r>
    </w:p>
    <w:p>
      <w:pPr>
        <w:spacing w:line="360" w:lineRule="auto"/>
        <w:rPr>
          <w:rFonts w:hint="eastAsia" w:ascii="宋体"/>
          <w:color w:val="0070C0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4.1.1 牛肉</w:t>
      </w:r>
    </w:p>
    <w:p>
      <w:pPr>
        <w:spacing w:line="360" w:lineRule="auto"/>
        <w:ind w:firstLine="630" w:firstLineChars="3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应符合</w:t>
      </w:r>
      <w:r>
        <w:rPr>
          <w:rFonts w:hint="eastAsia" w:ascii="宋体"/>
          <w:color w:val="auto"/>
          <w:szCs w:val="21"/>
          <w:lang w:val="en-US" w:eastAsia="zh-CN"/>
        </w:rPr>
        <w:t>GB 2707标准</w:t>
      </w:r>
      <w:r>
        <w:rPr>
          <w:rFonts w:hint="eastAsia" w:ascii="宋体"/>
          <w:color w:val="auto"/>
          <w:szCs w:val="21"/>
        </w:rPr>
        <w:t>要求</w:t>
      </w:r>
      <w:r>
        <w:rPr>
          <w:rFonts w:hint="eastAsia" w:ascii="宋体"/>
          <w:color w:val="auto"/>
          <w:szCs w:val="21"/>
          <w:lang w:eastAsia="zh-CN"/>
        </w:rPr>
        <w:t>，</w:t>
      </w:r>
      <w:r>
        <w:rPr>
          <w:rFonts w:hint="eastAsia" w:ascii="宋体"/>
          <w:color w:val="auto"/>
          <w:szCs w:val="21"/>
          <w:lang w:val="en-US" w:eastAsia="zh-CN"/>
        </w:rPr>
        <w:t>并是经去皮、骨、肥膘、筋腱、肌膜的纯瘦肉</w:t>
      </w:r>
      <w:r>
        <w:rPr>
          <w:rFonts w:hint="eastAsia" w:ascii="宋体"/>
          <w:color w:val="auto"/>
          <w:szCs w:val="21"/>
        </w:rPr>
        <w:t>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4.1.2 食用盐</w:t>
      </w:r>
    </w:p>
    <w:p>
      <w:pPr>
        <w:spacing w:line="360" w:lineRule="auto"/>
        <w:ind w:firstLine="630" w:firstLineChars="3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应符合GB 2721的要求。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4.1.3 味精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</w:rPr>
      </w:pPr>
      <w:r>
        <w:rPr>
          <w:rFonts w:ascii="宋体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</w:rPr>
        <w:t>应符合</w:t>
      </w:r>
      <w:r>
        <w:rPr>
          <w:rFonts w:ascii="宋体"/>
          <w:color w:val="auto"/>
          <w:szCs w:val="21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2720</w:t>
      </w:r>
      <w:r>
        <w:rPr>
          <w:rFonts w:hint="eastAsia" w:ascii="宋体"/>
          <w:color w:val="auto"/>
          <w:szCs w:val="21"/>
        </w:rPr>
        <w:t>的要求。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4.1.4 食用植物油</w:t>
      </w:r>
    </w:p>
    <w:p>
      <w:pPr>
        <w:spacing w:line="360" w:lineRule="auto"/>
        <w:ind w:firstLine="422" w:firstLineChars="200"/>
        <w:rPr>
          <w:rFonts w:hint="eastAsia" w:ascii="宋体"/>
          <w:color w:val="auto"/>
          <w:szCs w:val="21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/>
          <w:color w:val="auto"/>
          <w:szCs w:val="21"/>
        </w:rPr>
        <w:t>应符合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  <w:lang w:eastAsia="zh-CN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2716</w:t>
      </w:r>
      <w:r>
        <w:rPr>
          <w:rFonts w:hint="eastAsia" w:ascii="宋体"/>
          <w:color w:val="auto"/>
          <w:szCs w:val="21"/>
        </w:rPr>
        <w:t>的要求。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4.1.5 酱油</w:t>
      </w:r>
    </w:p>
    <w:p>
      <w:pPr>
        <w:spacing w:line="360" w:lineRule="auto"/>
        <w:ind w:firstLine="630" w:firstLineChars="300"/>
        <w:rPr>
          <w:rFonts w:hint="default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应符合GB 2717的要求。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4.1.6 其它辅料</w:t>
      </w:r>
    </w:p>
    <w:p>
      <w:pPr>
        <w:spacing w:line="360" w:lineRule="auto"/>
        <w:ind w:firstLine="630" w:firstLineChars="3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  <w:lang w:eastAsia="zh-CN"/>
        </w:rPr>
        <w:t>鸡精、芝麻、辣椒、姜、葱、香辛料等其他</w:t>
      </w:r>
      <w:r>
        <w:rPr>
          <w:rFonts w:hint="eastAsia" w:ascii="宋体"/>
          <w:color w:val="auto"/>
          <w:szCs w:val="21"/>
        </w:rPr>
        <w:t>均应符合相应的国家或行业标准要求。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 xml:space="preserve">4.2 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感官要求</w:t>
      </w:r>
    </w:p>
    <w:p>
      <w:pPr>
        <w:spacing w:line="360" w:lineRule="auto"/>
        <w:rPr>
          <w:rFonts w:hint="default" w:ascii="宋体"/>
          <w:color w:val="0070C0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  </w:t>
      </w:r>
      <w:r>
        <w:rPr>
          <w:rFonts w:hint="eastAsia" w:ascii="宋体"/>
          <w:color w:val="auto"/>
          <w:szCs w:val="21"/>
          <w:lang w:val="en-US" w:eastAsia="zh-CN"/>
        </w:rPr>
        <w:t>应符合表1要求</w:t>
      </w:r>
    </w:p>
    <w:p>
      <w:pPr>
        <w:spacing w:line="360" w:lineRule="auto"/>
        <w:rPr>
          <w:rFonts w:hint="default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                        表1 感官要求</w:t>
      </w:r>
    </w:p>
    <w:p>
      <w:pPr>
        <w:spacing w:line="360" w:lineRule="auto"/>
        <w:rPr>
          <w:rFonts w:hint="default" w:ascii="黑体" w:hAnsi="黑体" w:eastAsia="黑体"/>
          <w:b/>
          <w:bCs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 </w:t>
      </w:r>
    </w:p>
    <w:tbl>
      <w:tblPr>
        <w:tblStyle w:val="7"/>
        <w:tblW w:w="0" w:type="auto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6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项目</w:t>
            </w:r>
          </w:p>
        </w:tc>
        <w:tc>
          <w:tcPr>
            <w:tcW w:w="6134" w:type="dxa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 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色泽</w:t>
            </w:r>
          </w:p>
        </w:tc>
        <w:tc>
          <w:tcPr>
            <w:tcW w:w="6134" w:type="dxa"/>
          </w:tcPr>
          <w:p>
            <w:pPr>
              <w:spacing w:line="360" w:lineRule="auto"/>
              <w:ind w:firstLine="1470" w:firstLineChars="700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表面呈风干牛肉自然色泽。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spacing w:line="360" w:lineRule="auto"/>
              <w:ind w:firstLine="210" w:firstLineChars="100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滋味气味</w:t>
            </w:r>
          </w:p>
        </w:tc>
        <w:tc>
          <w:tcPr>
            <w:tcW w:w="6134" w:type="dxa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具有该品种特有的滋味和气味（原味、五香、麻辣、孜然)。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组织形态</w:t>
            </w:r>
          </w:p>
        </w:tc>
        <w:tc>
          <w:tcPr>
            <w:tcW w:w="6134" w:type="dxa"/>
          </w:tcPr>
          <w:p>
            <w:pPr>
              <w:spacing w:line="360" w:lineRule="auto"/>
              <w:ind w:left="2108" w:hanging="2108" w:hangingChars="1000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成条状，大小基本均匀，允许有少量脂肪析出，表面可见牛肉纤维或香辛料。</w:t>
            </w:r>
          </w:p>
        </w:tc>
      </w:tr>
    </w:tbl>
    <w:p>
      <w:pPr>
        <w:spacing w:line="360" w:lineRule="auto"/>
        <w:rPr>
          <w:rFonts w:hint="default" w:ascii="黑体" w:hAnsi="黑体" w:eastAsia="黑体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4.3 理化指标</w:t>
      </w:r>
    </w:p>
    <w:p>
      <w:pPr>
        <w:spacing w:line="360" w:lineRule="auto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 </w:t>
      </w:r>
      <w:r>
        <w:rPr>
          <w:rFonts w:hint="eastAsia" w:ascii="宋体"/>
          <w:color w:val="auto"/>
          <w:szCs w:val="21"/>
          <w:lang w:val="en-US" w:eastAsia="zh-CN"/>
        </w:rPr>
        <w:t>理化指标应符合表2要求</w:t>
      </w:r>
    </w:p>
    <w:p>
      <w:pPr>
        <w:spacing w:line="360" w:lineRule="auto"/>
        <w:rPr>
          <w:rFonts w:hint="default" w:ascii="宋体"/>
          <w:color w:val="0070C0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                              表2 理化指标</w:t>
      </w:r>
    </w:p>
    <w:tbl>
      <w:tblPr>
        <w:tblStyle w:val="7"/>
        <w:tblW w:w="0" w:type="auto"/>
        <w:tblInd w:w="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3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ind w:firstLine="1470" w:firstLineChars="700"/>
              <w:jc w:val="both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项目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             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水分，%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25.0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氯化钠（以NaCl计），%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蛋白质，g/100 g</w:t>
            </w:r>
          </w:p>
        </w:tc>
        <w:tc>
          <w:tcPr>
            <w:tcW w:w="4264" w:type="dxa"/>
          </w:tcPr>
          <w:p>
            <w:pPr>
              <w:spacing w:line="360" w:lineRule="auto"/>
              <w:ind w:firstLine="1260" w:firstLineChars="600"/>
              <w:rPr>
                <w:rFonts w:hint="default" w:asci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/>
                <w:color w:val="auto"/>
                <w:szCs w:val="21"/>
                <w:lang w:val="en-US" w:eastAsia="zh-CN"/>
              </w:rPr>
              <w:t>≥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45.0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脂肪，g/100 g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过氧化值（以脂肪计）/(g/100g)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ind w:firstLine="420" w:firstLineChars="200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铅（以Pb计) / (mg/kg)</w:t>
            </w:r>
          </w:p>
        </w:tc>
        <w:tc>
          <w:tcPr>
            <w:tcW w:w="4264" w:type="dxa"/>
            <w:vMerge w:val="restart"/>
          </w:tcPr>
          <w:p>
            <w:pPr>
              <w:spacing w:line="360" w:lineRule="auto"/>
              <w:rPr>
                <w:rFonts w:hint="eastAsia" w:asci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630" w:firstLineChars="300"/>
              <w:rPr>
                <w:rFonts w:hint="eastAsia" w:ascii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符合GB2762的规定要求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ind w:firstLine="420" w:firstLineChars="200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砷 (以As计)/  (mg/kg)</w:t>
            </w:r>
          </w:p>
        </w:tc>
        <w:tc>
          <w:tcPr>
            <w:tcW w:w="4264" w:type="dxa"/>
            <w:vMerge w:val="continue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ind w:firstLine="420" w:firstLineChars="200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镉 (以Cd计)/  (mg/kg)</w:t>
            </w:r>
          </w:p>
        </w:tc>
        <w:tc>
          <w:tcPr>
            <w:tcW w:w="4264" w:type="dxa"/>
            <w:vMerge w:val="continue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ind w:firstLine="420" w:firstLineChars="200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总汞(以Hg计)/ (mg/kg)</w:t>
            </w:r>
          </w:p>
        </w:tc>
        <w:tc>
          <w:tcPr>
            <w:tcW w:w="4264" w:type="dxa"/>
            <w:vMerge w:val="continue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铬（以Cr计）/ (mg/kg)</w:t>
            </w:r>
          </w:p>
        </w:tc>
        <w:tc>
          <w:tcPr>
            <w:tcW w:w="4264" w:type="dxa"/>
            <w:vMerge w:val="continue"/>
          </w:tcPr>
          <w:p>
            <w:pPr>
              <w:spacing w:line="360" w:lineRule="auto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4.5 微生物指标</w:t>
      </w:r>
    </w:p>
    <w:p>
      <w:pPr>
        <w:spacing w:line="360" w:lineRule="auto"/>
        <w:ind w:firstLine="421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菌落总数、大肠菌群、霉菌应符合表3的规定</w:t>
      </w:r>
    </w:p>
    <w:p>
      <w:pPr>
        <w:spacing w:line="360" w:lineRule="auto"/>
        <w:ind w:firstLine="421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宋体"/>
          <w:color w:val="0070C0"/>
          <w:szCs w:val="21"/>
          <w:lang w:val="en-US" w:eastAsia="zh-CN"/>
        </w:rPr>
        <w:t xml:space="preserve">                      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表3 微生物指标</w:t>
      </w:r>
    </w:p>
    <w:tbl>
      <w:tblPr>
        <w:tblStyle w:val="7"/>
        <w:tblW w:w="0" w:type="auto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9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9" w:type="dxa"/>
          </w:tcPr>
          <w:p>
            <w:pPr>
              <w:spacing w:line="360" w:lineRule="auto"/>
              <w:ind w:firstLine="1050" w:firstLineChars="500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项目</w:t>
            </w:r>
          </w:p>
        </w:tc>
        <w:tc>
          <w:tcPr>
            <w:tcW w:w="4264" w:type="dxa"/>
          </w:tcPr>
          <w:p>
            <w:pPr>
              <w:spacing w:line="360" w:lineRule="auto"/>
              <w:ind w:firstLine="1680" w:firstLineChars="800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9" w:type="dxa"/>
          </w:tcPr>
          <w:p>
            <w:pPr>
              <w:spacing w:line="360" w:lineRule="auto"/>
              <w:ind w:firstLine="421"/>
              <w:rPr>
                <w:rFonts w:hint="eastAsia" w:asci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菌落总数（cfu/g）</w:t>
            </w:r>
          </w:p>
        </w:tc>
        <w:tc>
          <w:tcPr>
            <w:tcW w:w="4264" w:type="dxa"/>
          </w:tcPr>
          <w:p>
            <w:pPr>
              <w:spacing w:line="360" w:lineRule="auto"/>
              <w:ind w:firstLine="1470" w:firstLineChars="700"/>
              <w:rPr>
                <w:rFonts w:hint="default" w:asci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&lt;10000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9" w:type="dxa"/>
          </w:tcPr>
          <w:p>
            <w:pPr>
              <w:spacing w:line="360" w:lineRule="auto"/>
              <w:ind w:firstLine="421"/>
              <w:rPr>
                <w:rFonts w:hint="default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大肠菌群，MPN/100g</w:t>
            </w:r>
          </w:p>
        </w:tc>
        <w:tc>
          <w:tcPr>
            <w:tcW w:w="4264" w:type="dxa"/>
          </w:tcPr>
          <w:p>
            <w:pPr>
              <w:spacing w:line="360" w:lineRule="auto"/>
              <w:ind w:firstLine="1680" w:firstLineChars="800"/>
              <w:rPr>
                <w:rFonts w:hint="default" w:ascii="黑体" w:hAnsi="黑体" w:eastAsia="黑体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9" w:type="dxa"/>
          </w:tcPr>
          <w:p>
            <w:pPr>
              <w:spacing w:line="360" w:lineRule="auto"/>
              <w:ind w:firstLine="421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致病菌(沙门氏菌、金黄色葡萄球菌、单核细胞增生李斯特菌、大肠埃希氏菌）</w:t>
            </w:r>
          </w:p>
        </w:tc>
        <w:tc>
          <w:tcPr>
            <w:tcW w:w="4264" w:type="dxa"/>
          </w:tcPr>
          <w:p>
            <w:pPr>
              <w:spacing w:line="360" w:lineRule="auto"/>
              <w:ind w:firstLine="630" w:firstLineChars="300"/>
              <w:jc w:val="both"/>
              <w:rPr>
                <w:rFonts w:hint="default" w:asci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按国家标准29921规定执行</w:t>
            </w:r>
          </w:p>
        </w:tc>
      </w:tr>
    </w:tbl>
    <w:p>
      <w:pPr>
        <w:spacing w:line="360" w:lineRule="auto"/>
        <w:ind w:firstLine="421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>4.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6净含量及允差</w:t>
      </w:r>
    </w:p>
    <w:p>
      <w:pPr>
        <w:spacing w:line="360" w:lineRule="auto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应符合国家质量监督检验检疫总局令[2005]第75号《定量包装商品计量监督管理办法》的规定。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>4.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7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生产</w:t>
      </w:r>
      <w:r>
        <w:rPr>
          <w:rFonts w:hint="eastAsia" w:ascii="黑体" w:hAnsi="黑体" w:eastAsia="黑体"/>
          <w:b/>
          <w:bCs/>
          <w:szCs w:val="21"/>
        </w:rPr>
        <w:t>加工条件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及加工过程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>4.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7</w:t>
      </w:r>
      <w:r>
        <w:rPr>
          <w:rFonts w:ascii="黑体" w:hAnsi="黑体" w:eastAsia="黑体"/>
          <w:b/>
          <w:bCs/>
          <w:szCs w:val="21"/>
        </w:rPr>
        <w:t>.1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室内风干条件</w:t>
      </w:r>
    </w:p>
    <w:p>
      <w:pPr>
        <w:spacing w:line="360" w:lineRule="auto"/>
        <w:rPr>
          <w:rFonts w:hint="default" w:ascii="宋体"/>
          <w:color w:val="0070C0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 </w:t>
      </w:r>
      <w:r>
        <w:rPr>
          <w:rFonts w:hint="eastAsia" w:ascii="宋体"/>
          <w:color w:val="auto"/>
          <w:szCs w:val="21"/>
          <w:lang w:val="en-US" w:eastAsia="zh-CN"/>
        </w:rPr>
        <w:t>温度20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∽</w:t>
      </w:r>
      <w:r>
        <w:rPr>
          <w:rFonts w:hint="eastAsia" w:ascii="宋体"/>
          <w:color w:val="auto"/>
          <w:szCs w:val="21"/>
          <w:lang w:val="en-US" w:eastAsia="zh-CN"/>
        </w:rPr>
        <w:t>25℃，相对湿度低于70%，机械通风。</w:t>
      </w:r>
    </w:p>
    <w:p>
      <w:pPr>
        <w:spacing w:line="360" w:lineRule="auto"/>
        <w:rPr>
          <w:rFonts w:hint="eastAsia" w:ascii="宋体" w:eastAsia="黑体"/>
          <w:color w:val="0070C0"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>4.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7</w:t>
      </w:r>
      <w:r>
        <w:rPr>
          <w:rFonts w:ascii="黑体" w:hAnsi="黑体" w:eastAsia="黑体"/>
          <w:b/>
          <w:bCs/>
          <w:szCs w:val="21"/>
        </w:rPr>
        <w:t>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2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生产</w:t>
      </w:r>
      <w:r>
        <w:rPr>
          <w:rFonts w:hint="eastAsia" w:ascii="黑体" w:hAnsi="黑体" w:eastAsia="黑体"/>
          <w:b/>
          <w:bCs/>
          <w:szCs w:val="21"/>
        </w:rPr>
        <w:t>加工条件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风干牛肉生产加工过程及加工条件应符合GB14881及GB19303的规定。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>4.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7</w:t>
      </w:r>
      <w:r>
        <w:rPr>
          <w:rFonts w:ascii="黑体" w:hAnsi="黑体" w:eastAsia="黑体"/>
          <w:b/>
          <w:bCs/>
          <w:szCs w:val="21"/>
        </w:rPr>
        <w:t>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3 灭菌温度</w:t>
      </w:r>
    </w:p>
    <w:p>
      <w:pPr>
        <w:spacing w:line="360" w:lineRule="auto"/>
        <w:rPr>
          <w:rFonts w:hint="default" w:ascii="宋体"/>
          <w:color w:val="0070C0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121℃，进行保温计时25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∽</w:t>
      </w:r>
      <w:r>
        <w:rPr>
          <w:rFonts w:hint="eastAsia" w:ascii="宋体"/>
          <w:color w:val="auto"/>
          <w:szCs w:val="21"/>
          <w:lang w:val="en-US" w:eastAsia="zh-CN"/>
        </w:rPr>
        <w:t>30分钟。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 xml:space="preserve">5 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检验方法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>5.1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感官检验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在自然光线下，按本标准感官指标进行目测、味觉、嗅觉检验。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5.2理化检验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5.2.1 水分</w:t>
      </w:r>
    </w:p>
    <w:p>
      <w:pPr>
        <w:spacing w:line="360" w:lineRule="auto"/>
        <w:rPr>
          <w:rFonts w:hint="default" w:ascii="宋体"/>
          <w:color w:val="0070C0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 </w:t>
      </w:r>
      <w:r>
        <w:rPr>
          <w:rFonts w:hint="eastAsia" w:ascii="宋体"/>
          <w:color w:val="auto"/>
          <w:szCs w:val="21"/>
          <w:lang w:val="en-US" w:eastAsia="zh-CN"/>
        </w:rPr>
        <w:t>按 GB 5009.3 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5.2.2 蛋白质</w:t>
      </w:r>
    </w:p>
    <w:p>
      <w:pPr>
        <w:spacing w:line="360" w:lineRule="auto"/>
        <w:rPr>
          <w:rFonts w:hint="default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 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按 GB 5009.5规定的方法测定。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5.2.3 脂肪</w:t>
      </w:r>
    </w:p>
    <w:p>
      <w:pPr>
        <w:spacing w:line="360" w:lineRule="auto"/>
        <w:ind w:firstLine="420" w:firstLineChars="200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5009.6规定的方法测定。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5.2.4 氯化物 </w:t>
      </w:r>
    </w:p>
    <w:p>
      <w:pPr>
        <w:spacing w:line="360" w:lineRule="auto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 </w:t>
      </w:r>
      <w:r>
        <w:rPr>
          <w:rFonts w:hint="eastAsia" w:ascii="宋体"/>
          <w:color w:val="auto"/>
          <w:szCs w:val="21"/>
          <w:lang w:val="en-US" w:eastAsia="zh-CN"/>
        </w:rPr>
        <w:t>按 GB 5009.44规定的方法测定。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5.2.5 过氧化值</w:t>
      </w:r>
    </w:p>
    <w:p>
      <w:pPr>
        <w:spacing w:line="360" w:lineRule="auto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按 GB 5009.227规定的方法测定。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5.2.6 铅</w:t>
      </w:r>
    </w:p>
    <w:p>
      <w:pPr>
        <w:spacing w:line="360" w:lineRule="auto"/>
        <w:ind w:firstLine="420" w:firstLineChars="200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5009.12规定的方法测定。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5.2.7 总砷</w:t>
      </w:r>
    </w:p>
    <w:p>
      <w:pPr>
        <w:spacing w:line="360" w:lineRule="auto"/>
        <w:ind w:firstLine="420" w:firstLineChars="200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5009.11规定的方法测定。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5.2.8总汞</w:t>
      </w:r>
    </w:p>
    <w:p>
      <w:pPr>
        <w:spacing w:line="360" w:lineRule="auto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按 GB 5009.17规定的方法测定。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5.2.9 镉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5009.15规定的方法测定。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5.2.10 铬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5009.123规定的方法测定。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5.3 微生物检验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5.3.1 菌落总数</w:t>
      </w:r>
    </w:p>
    <w:p>
      <w:pPr>
        <w:spacing w:line="360" w:lineRule="auto"/>
        <w:ind w:firstLine="420" w:firstLineChars="200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4789.2规定的方法进行检验。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5.3.2 大肠菌群</w:t>
      </w:r>
    </w:p>
    <w:p>
      <w:pPr>
        <w:spacing w:line="360" w:lineRule="auto"/>
        <w:ind w:firstLine="420" w:firstLineChars="200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4789.3规定的方法进行检验。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5.3.3 致病菌</w:t>
      </w:r>
    </w:p>
    <w:p>
      <w:pPr>
        <w:spacing w:line="360" w:lineRule="auto"/>
        <w:ind w:firstLine="420" w:firstLineChars="200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4789.4 、GB 4789.10 、GB 4789.30、GB 4789.36规定的方法进行检验。</w:t>
      </w:r>
    </w:p>
    <w:p>
      <w:pPr>
        <w:spacing w:line="360" w:lineRule="auto"/>
        <w:rPr>
          <w:rFonts w:hint="default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6 检验规则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6.1 组批</w:t>
      </w:r>
    </w:p>
    <w:p>
      <w:pPr>
        <w:spacing w:line="360" w:lineRule="auto"/>
        <w:ind w:firstLine="420" w:firstLineChars="200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同一班次，同一批投料、同一品种、同一规格的产品为一批。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6.2 抽样</w:t>
      </w:r>
    </w:p>
    <w:p>
      <w:pPr>
        <w:spacing w:line="360" w:lineRule="auto"/>
        <w:ind w:firstLine="420" w:firstLineChars="200"/>
        <w:rPr>
          <w:rFonts w:hint="default" w:ascii="宋体" w:eastAsia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每批次抽样样品数量不小于2 kg,且不应少于12袋，并将1/3样品进行封存，保留备查。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6.3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6.3.1 出厂检验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每批产品出厂前，应按本标准进行检验，检验合格后方可出厂。出厂检验项目为：感官、净含量、水分、菌落总数、大肠菌群。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6.3.2 型式检验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正常生产时每半年进行一次形式检验，有下列情况之一时也应进行型式检验：</w:t>
      </w:r>
    </w:p>
    <w:p>
      <w:pPr>
        <w:numPr>
          <w:ilvl w:val="0"/>
          <w:numId w:val="1"/>
        </w:numPr>
        <w:spacing w:line="360" w:lineRule="auto"/>
        <w:ind w:leftChars="100" w:firstLine="210" w:firstLineChars="1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正式生产和新产品试制鉴定时；</w:t>
      </w:r>
    </w:p>
    <w:p>
      <w:pPr>
        <w:numPr>
          <w:ilvl w:val="0"/>
          <w:numId w:val="1"/>
        </w:numPr>
        <w:spacing w:line="360" w:lineRule="auto"/>
        <w:ind w:left="210" w:leftChars="100" w:firstLine="210" w:firstLineChars="1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原料和工艺出现较大变化时；</w:t>
      </w:r>
    </w:p>
    <w:p>
      <w:pPr>
        <w:spacing w:line="360" w:lineRule="auto"/>
        <w:ind w:firstLine="420" w:firstLineChars="200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c) 停产半年以上，再恢复生产时；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d) 出厂检验与上次型式检验结果有较大差异时；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e) 国家质量监督检验机构提出要求时。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7 </w:t>
      </w:r>
      <w:r>
        <w:rPr>
          <w:rFonts w:hint="eastAsia" w:ascii="黑体" w:hAnsi="黑体" w:eastAsia="黑体"/>
          <w:b/>
          <w:bCs/>
          <w:szCs w:val="21"/>
        </w:rPr>
        <w:t>标志、标签、包装、运输和贮存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7.1 </w:t>
      </w:r>
      <w:r>
        <w:rPr>
          <w:rFonts w:hint="eastAsia" w:ascii="黑体" w:hAnsi="黑体" w:eastAsia="黑体"/>
          <w:b/>
          <w:bCs/>
          <w:szCs w:val="21"/>
        </w:rPr>
        <w:t>标志、标签</w:t>
      </w:r>
    </w:p>
    <w:p>
      <w:pPr>
        <w:spacing w:line="360" w:lineRule="auto"/>
        <w:rPr>
          <w:rFonts w:hint="eastAsia"/>
          <w:color w:val="auto"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>7.1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.1</w:t>
      </w:r>
      <w:r>
        <w:rPr>
          <w:rFonts w:hint="eastAsia"/>
          <w:color w:val="auto"/>
          <w:szCs w:val="21"/>
          <w:lang w:val="en-US" w:eastAsia="zh-CN"/>
        </w:rPr>
        <w:t>产品应预包装，产品标签应符合GB 7718和GB 28050 的规定。</w:t>
      </w:r>
    </w:p>
    <w:p>
      <w:pPr>
        <w:spacing w:line="360" w:lineRule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7.1.2 </w:t>
      </w:r>
      <w:r>
        <w:rPr>
          <w:rFonts w:hint="eastAsia"/>
          <w:color w:val="auto"/>
          <w:szCs w:val="21"/>
          <w:lang w:val="en-US" w:eastAsia="zh-CN"/>
        </w:rPr>
        <w:t>包装箱标志应符合GB/191 的规定。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7.2 </w:t>
      </w:r>
      <w:r>
        <w:rPr>
          <w:rFonts w:hint="eastAsia" w:ascii="黑体" w:hAnsi="黑体" w:eastAsia="黑体"/>
          <w:b/>
          <w:bCs/>
          <w:szCs w:val="21"/>
        </w:rPr>
        <w:t>包装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内包装应用符合食品卫生要求的材料包装，包装封口应严密。定量误差应符合国家质量监督检验检疫总局令（2005）第75号的规定。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eastAsia="zh-CN"/>
        </w:rPr>
      </w:pPr>
      <w:r>
        <w:rPr>
          <w:rFonts w:ascii="黑体" w:hAnsi="黑体" w:eastAsia="黑体"/>
          <w:b/>
          <w:bCs/>
          <w:szCs w:val="21"/>
        </w:rPr>
        <w:t xml:space="preserve">7.3 </w:t>
      </w:r>
      <w:r>
        <w:rPr>
          <w:rFonts w:hint="eastAsia" w:ascii="黑体" w:hAnsi="黑体" w:eastAsia="黑体"/>
          <w:b/>
          <w:bCs/>
          <w:szCs w:val="21"/>
        </w:rPr>
        <w:t>运输</w:t>
      </w:r>
      <w:r>
        <w:rPr>
          <w:rFonts w:hint="eastAsia" w:ascii="黑体" w:hAnsi="黑体" w:eastAsia="黑体"/>
          <w:b/>
          <w:bCs/>
          <w:szCs w:val="21"/>
          <w:lang w:eastAsia="zh-CN"/>
        </w:rPr>
        <w:t>和贮存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</w:rPr>
      </w:pPr>
      <w:r>
        <w:rPr>
          <w:szCs w:val="21"/>
        </w:rPr>
        <w:t>7.3.1</w:t>
      </w:r>
      <w:r>
        <w:rPr>
          <w:rFonts w:hint="eastAsia" w:ascii="黑体" w:hAnsi="黑体" w:eastAsia="黑体"/>
          <w:b/>
          <w:bCs/>
          <w:szCs w:val="21"/>
        </w:rPr>
        <w:t>运输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  <w:lang w:val="en-US" w:eastAsia="zh-CN"/>
        </w:rPr>
        <w:t>产品严禁与有毒、有害、有异味的物品混运，防止日晒雨淋。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szCs w:val="21"/>
        </w:rPr>
        <w:t>7.3.</w:t>
      </w:r>
      <w:r>
        <w:rPr>
          <w:rFonts w:hint="eastAsia"/>
          <w:szCs w:val="21"/>
          <w:lang w:val="en-US" w:eastAsia="zh-CN"/>
        </w:rPr>
        <w:t>2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Cs w:val="21"/>
        </w:rPr>
        <w:t>贮存</w:t>
      </w:r>
    </w:p>
    <w:p>
      <w:pPr>
        <w:spacing w:line="360" w:lineRule="auto"/>
        <w:ind w:firstLine="210" w:firstLineChars="100"/>
        <w:rPr>
          <w:rFonts w:hint="eastAsia" w:eastAsia="宋体"/>
          <w:color w:val="auto"/>
          <w:szCs w:val="21"/>
          <w:lang w:eastAsia="zh-CN"/>
        </w:rPr>
      </w:pPr>
      <w:r>
        <w:rPr>
          <w:szCs w:val="21"/>
        </w:rPr>
        <w:t xml:space="preserve"> </w:t>
      </w:r>
      <w:r>
        <w:rPr>
          <w:rFonts w:hint="eastAsia"/>
          <w:color w:val="auto"/>
          <w:szCs w:val="21"/>
        </w:rPr>
        <w:t>应贮存在阴凉、通风、干燥的库房内。</w:t>
      </w:r>
      <w:r>
        <w:rPr>
          <w:rFonts w:hint="eastAsia"/>
          <w:color w:val="auto"/>
          <w:szCs w:val="21"/>
          <w:lang w:eastAsia="zh-CN"/>
        </w:rPr>
        <w:t>不得与有毒有害有异味的物品混贮，并注意防晒、防高温。</w:t>
      </w:r>
    </w:p>
    <w:p>
      <w:pPr>
        <w:rPr>
          <w:color w:val="0070C0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  <w:szCs w:val="21"/>
      </w:rPr>
    </w:pPr>
    <w:r>
      <w:t xml:space="preserve">                                                                       </w:t>
    </w:r>
    <w:r>
      <w:rPr>
        <w:sz w:val="21"/>
        <w:szCs w:val="21"/>
      </w:rPr>
      <w:t xml:space="preserve"> </w:t>
    </w:r>
    <w:r>
      <w:rPr>
        <w:rFonts w:ascii="黑体" w:hAnsi="黑体" w:eastAsia="黑体"/>
        <w:sz w:val="21"/>
        <w:szCs w:val="21"/>
      </w:rPr>
      <w:t>T/NAIA 0008—2020</w:t>
    </w:r>
    <w:r>
      <w:rPr>
        <w:sz w:val="21"/>
        <w:szCs w:val="21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4AB59"/>
    <w:multiLevelType w:val="singleLevel"/>
    <w:tmpl w:val="80B4AB59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F7"/>
    <w:rsid w:val="00052785"/>
    <w:rsid w:val="000541B6"/>
    <w:rsid w:val="000A253F"/>
    <w:rsid w:val="000A35F8"/>
    <w:rsid w:val="000B702C"/>
    <w:rsid w:val="000C303A"/>
    <w:rsid w:val="000E18C8"/>
    <w:rsid w:val="00134530"/>
    <w:rsid w:val="0013641F"/>
    <w:rsid w:val="00165EF2"/>
    <w:rsid w:val="0018433E"/>
    <w:rsid w:val="00184DB2"/>
    <w:rsid w:val="00185326"/>
    <w:rsid w:val="001967B7"/>
    <w:rsid w:val="0019731A"/>
    <w:rsid w:val="001B6C15"/>
    <w:rsid w:val="001F3F16"/>
    <w:rsid w:val="001F5A41"/>
    <w:rsid w:val="00201030"/>
    <w:rsid w:val="00210CDA"/>
    <w:rsid w:val="00221583"/>
    <w:rsid w:val="0022460C"/>
    <w:rsid w:val="00232F3F"/>
    <w:rsid w:val="002360A7"/>
    <w:rsid w:val="00295814"/>
    <w:rsid w:val="002A6A44"/>
    <w:rsid w:val="002C2625"/>
    <w:rsid w:val="002C758C"/>
    <w:rsid w:val="002F71D8"/>
    <w:rsid w:val="00303D44"/>
    <w:rsid w:val="00305924"/>
    <w:rsid w:val="00332C23"/>
    <w:rsid w:val="00384A55"/>
    <w:rsid w:val="00384D67"/>
    <w:rsid w:val="003B7391"/>
    <w:rsid w:val="003C62F7"/>
    <w:rsid w:val="003F68C7"/>
    <w:rsid w:val="0043468F"/>
    <w:rsid w:val="0046377F"/>
    <w:rsid w:val="0049202E"/>
    <w:rsid w:val="00494398"/>
    <w:rsid w:val="004E0C7A"/>
    <w:rsid w:val="004F3004"/>
    <w:rsid w:val="0050762B"/>
    <w:rsid w:val="00527997"/>
    <w:rsid w:val="0053455C"/>
    <w:rsid w:val="00553093"/>
    <w:rsid w:val="00557B9A"/>
    <w:rsid w:val="00561084"/>
    <w:rsid w:val="005E0D3E"/>
    <w:rsid w:val="005E29AB"/>
    <w:rsid w:val="005F29AC"/>
    <w:rsid w:val="006720FE"/>
    <w:rsid w:val="00676026"/>
    <w:rsid w:val="006C1E19"/>
    <w:rsid w:val="006E08A9"/>
    <w:rsid w:val="006E65EC"/>
    <w:rsid w:val="006F7DA7"/>
    <w:rsid w:val="007378E6"/>
    <w:rsid w:val="00743F76"/>
    <w:rsid w:val="00773A27"/>
    <w:rsid w:val="00791073"/>
    <w:rsid w:val="007C4ADD"/>
    <w:rsid w:val="00801F65"/>
    <w:rsid w:val="00803364"/>
    <w:rsid w:val="008134D6"/>
    <w:rsid w:val="00831238"/>
    <w:rsid w:val="0084444E"/>
    <w:rsid w:val="00862F27"/>
    <w:rsid w:val="00865738"/>
    <w:rsid w:val="00873D37"/>
    <w:rsid w:val="008819BE"/>
    <w:rsid w:val="0088655F"/>
    <w:rsid w:val="00893C6E"/>
    <w:rsid w:val="00897A68"/>
    <w:rsid w:val="008B1AF7"/>
    <w:rsid w:val="008B6406"/>
    <w:rsid w:val="008B64CF"/>
    <w:rsid w:val="008E7A52"/>
    <w:rsid w:val="009144E9"/>
    <w:rsid w:val="0093075D"/>
    <w:rsid w:val="009439E6"/>
    <w:rsid w:val="009444E2"/>
    <w:rsid w:val="00944F34"/>
    <w:rsid w:val="009572A3"/>
    <w:rsid w:val="009B700E"/>
    <w:rsid w:val="00A04D5A"/>
    <w:rsid w:val="00A25096"/>
    <w:rsid w:val="00A358FF"/>
    <w:rsid w:val="00A36087"/>
    <w:rsid w:val="00A5145F"/>
    <w:rsid w:val="00A575EF"/>
    <w:rsid w:val="00A57F87"/>
    <w:rsid w:val="00AB06F7"/>
    <w:rsid w:val="00AB3FD7"/>
    <w:rsid w:val="00AC7968"/>
    <w:rsid w:val="00AE3E6F"/>
    <w:rsid w:val="00AF047D"/>
    <w:rsid w:val="00AF3AB1"/>
    <w:rsid w:val="00B47178"/>
    <w:rsid w:val="00B6255C"/>
    <w:rsid w:val="00BC15F2"/>
    <w:rsid w:val="00BD6037"/>
    <w:rsid w:val="00C17852"/>
    <w:rsid w:val="00C60A11"/>
    <w:rsid w:val="00C75E0E"/>
    <w:rsid w:val="00CA55A6"/>
    <w:rsid w:val="00CC5320"/>
    <w:rsid w:val="00CC560C"/>
    <w:rsid w:val="00CD2D8D"/>
    <w:rsid w:val="00CE563F"/>
    <w:rsid w:val="00CF1277"/>
    <w:rsid w:val="00CF6C66"/>
    <w:rsid w:val="00D54647"/>
    <w:rsid w:val="00D8754A"/>
    <w:rsid w:val="00DD4682"/>
    <w:rsid w:val="00DE58EF"/>
    <w:rsid w:val="00E17D6F"/>
    <w:rsid w:val="00E31C59"/>
    <w:rsid w:val="00E33C5E"/>
    <w:rsid w:val="00E40136"/>
    <w:rsid w:val="00E9393D"/>
    <w:rsid w:val="00EA7E95"/>
    <w:rsid w:val="00ED67DC"/>
    <w:rsid w:val="00F831B5"/>
    <w:rsid w:val="00F86CEE"/>
    <w:rsid w:val="00F934CD"/>
    <w:rsid w:val="00FA0E4C"/>
    <w:rsid w:val="00FA25A3"/>
    <w:rsid w:val="00FE293F"/>
    <w:rsid w:val="026835B4"/>
    <w:rsid w:val="02E642F7"/>
    <w:rsid w:val="04CF3AD7"/>
    <w:rsid w:val="05565900"/>
    <w:rsid w:val="079C1B45"/>
    <w:rsid w:val="08C7413D"/>
    <w:rsid w:val="08C927AC"/>
    <w:rsid w:val="0AC47CAC"/>
    <w:rsid w:val="0B610EE4"/>
    <w:rsid w:val="0C116B8D"/>
    <w:rsid w:val="0D1552E8"/>
    <w:rsid w:val="0E1C297E"/>
    <w:rsid w:val="0F7D688A"/>
    <w:rsid w:val="0FA56199"/>
    <w:rsid w:val="0FB37104"/>
    <w:rsid w:val="102B62CB"/>
    <w:rsid w:val="10EF2A54"/>
    <w:rsid w:val="11BE43AD"/>
    <w:rsid w:val="11CA1EF1"/>
    <w:rsid w:val="152E1958"/>
    <w:rsid w:val="16CD5762"/>
    <w:rsid w:val="179A3D33"/>
    <w:rsid w:val="17E15437"/>
    <w:rsid w:val="18C45DB3"/>
    <w:rsid w:val="18CF7DBC"/>
    <w:rsid w:val="19CB56A7"/>
    <w:rsid w:val="1AAB3D27"/>
    <w:rsid w:val="1B7746DF"/>
    <w:rsid w:val="1BE2600D"/>
    <w:rsid w:val="1BE56482"/>
    <w:rsid w:val="1D30252F"/>
    <w:rsid w:val="1D5D3956"/>
    <w:rsid w:val="1D8E2B77"/>
    <w:rsid w:val="1DEF0736"/>
    <w:rsid w:val="1E0B26E8"/>
    <w:rsid w:val="1E920668"/>
    <w:rsid w:val="224802C1"/>
    <w:rsid w:val="24F30BE6"/>
    <w:rsid w:val="277F2CED"/>
    <w:rsid w:val="27F73BC9"/>
    <w:rsid w:val="2A403FBB"/>
    <w:rsid w:val="2B883F3E"/>
    <w:rsid w:val="2C215D2A"/>
    <w:rsid w:val="2C7D1447"/>
    <w:rsid w:val="2D341FD6"/>
    <w:rsid w:val="30E80AC7"/>
    <w:rsid w:val="33256F5A"/>
    <w:rsid w:val="35421FA1"/>
    <w:rsid w:val="361E65BD"/>
    <w:rsid w:val="36C405A3"/>
    <w:rsid w:val="37354A2A"/>
    <w:rsid w:val="383832A0"/>
    <w:rsid w:val="3855784D"/>
    <w:rsid w:val="390F422C"/>
    <w:rsid w:val="398C311B"/>
    <w:rsid w:val="3A423595"/>
    <w:rsid w:val="3CB8543F"/>
    <w:rsid w:val="3DFD46BD"/>
    <w:rsid w:val="3E530B82"/>
    <w:rsid w:val="3ED56058"/>
    <w:rsid w:val="3FA20322"/>
    <w:rsid w:val="40003B4E"/>
    <w:rsid w:val="40B503F9"/>
    <w:rsid w:val="413C16AA"/>
    <w:rsid w:val="413C7221"/>
    <w:rsid w:val="44D30023"/>
    <w:rsid w:val="47871A9C"/>
    <w:rsid w:val="47AF0738"/>
    <w:rsid w:val="4B227D92"/>
    <w:rsid w:val="4B5E2903"/>
    <w:rsid w:val="4C986009"/>
    <w:rsid w:val="4E147F33"/>
    <w:rsid w:val="4EC426C0"/>
    <w:rsid w:val="4F6254DB"/>
    <w:rsid w:val="504A64FE"/>
    <w:rsid w:val="50EA30DF"/>
    <w:rsid w:val="517702C7"/>
    <w:rsid w:val="51E92814"/>
    <w:rsid w:val="54656FF1"/>
    <w:rsid w:val="54676CFE"/>
    <w:rsid w:val="54C13A6C"/>
    <w:rsid w:val="54D06C52"/>
    <w:rsid w:val="569135A7"/>
    <w:rsid w:val="577D2373"/>
    <w:rsid w:val="58AD0FF9"/>
    <w:rsid w:val="592F5FB2"/>
    <w:rsid w:val="59605F75"/>
    <w:rsid w:val="5A4B0A8E"/>
    <w:rsid w:val="5B091B9E"/>
    <w:rsid w:val="5B8962C5"/>
    <w:rsid w:val="601C3599"/>
    <w:rsid w:val="60493277"/>
    <w:rsid w:val="60C1416D"/>
    <w:rsid w:val="623C1A3F"/>
    <w:rsid w:val="63C03C9F"/>
    <w:rsid w:val="6561215D"/>
    <w:rsid w:val="65B9753D"/>
    <w:rsid w:val="66386258"/>
    <w:rsid w:val="66835A71"/>
    <w:rsid w:val="669613E5"/>
    <w:rsid w:val="680567C2"/>
    <w:rsid w:val="68924BB5"/>
    <w:rsid w:val="6ABF5121"/>
    <w:rsid w:val="6B200811"/>
    <w:rsid w:val="6C2A402B"/>
    <w:rsid w:val="6CE45F58"/>
    <w:rsid w:val="6D3D3740"/>
    <w:rsid w:val="6D626DF1"/>
    <w:rsid w:val="6DA37583"/>
    <w:rsid w:val="6EBD3E2E"/>
    <w:rsid w:val="70913542"/>
    <w:rsid w:val="71B442D3"/>
    <w:rsid w:val="71D16FC5"/>
    <w:rsid w:val="725244A9"/>
    <w:rsid w:val="72E029C1"/>
    <w:rsid w:val="74507A2E"/>
    <w:rsid w:val="749C3B4C"/>
    <w:rsid w:val="7530272F"/>
    <w:rsid w:val="76C823FD"/>
    <w:rsid w:val="79141447"/>
    <w:rsid w:val="798413D1"/>
    <w:rsid w:val="79DF1E98"/>
    <w:rsid w:val="7A084E63"/>
    <w:rsid w:val="7A787DBD"/>
    <w:rsid w:val="7AC70B26"/>
    <w:rsid w:val="7BA809A4"/>
    <w:rsid w:val="7CC54FBF"/>
    <w:rsid w:val="7E1010C4"/>
    <w:rsid w:val="7E2701CB"/>
    <w:rsid w:val="7F743D35"/>
    <w:rsid w:val="7F7B06C7"/>
    <w:rsid w:val="7FB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0"/>
    <w:qFormat/>
    <w:locked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4 Char"/>
    <w:basedOn w:val="8"/>
    <w:link w:val="2"/>
    <w:qFormat/>
    <w:locked/>
    <w:uiPriority w:val="99"/>
    <w:rPr>
      <w:rFonts w:ascii="宋体" w:eastAsia="宋体" w:cs="Times New Roman"/>
      <w:b/>
      <w:sz w:val="24"/>
    </w:rPr>
  </w:style>
  <w:style w:type="character" w:customStyle="1" w:styleId="11">
    <w:name w:val="Header Char"/>
    <w:basedOn w:val="8"/>
    <w:link w:val="4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12">
    <w:name w:val="Footer Char"/>
    <w:basedOn w:val="8"/>
    <w:link w:val="3"/>
    <w:qFormat/>
    <w:locked/>
    <w:uiPriority w:val="99"/>
    <w:rPr>
      <w:rFonts w:ascii="Calibri" w:hAnsi="Calibri" w:eastAsia="宋体" w:cs="Times New Roman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semiHidden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6</Pages>
  <Words>498</Words>
  <Characters>2842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2020-03-15T12:19:00Z</dcterms:created>
  <dc:creator>Lee Alen</dc:creator>
  <cp:lastModifiedBy>珊瑜</cp:lastModifiedBy>
  <dcterms:modified xsi:type="dcterms:W3CDTF">2020-11-12T01:32:55Z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