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1C" w:rsidRDefault="004E251C">
      <w:pPr>
        <w:tabs>
          <w:tab w:val="left" w:pos="1339"/>
          <w:tab w:val="center" w:pos="4153"/>
        </w:tabs>
        <w:spacing w:line="336" w:lineRule="auto"/>
        <w:jc w:val="left"/>
        <w:rPr>
          <w:rFonts w:ascii="黑体" w:eastAsia="黑体" w:hAnsi="黑体"/>
          <w:b/>
          <w:sz w:val="28"/>
          <w:szCs w:val="28"/>
        </w:rPr>
      </w:pPr>
    </w:p>
    <w:p w:rsidR="004E251C" w:rsidRDefault="004E251C">
      <w:pPr>
        <w:tabs>
          <w:tab w:val="left" w:pos="1339"/>
          <w:tab w:val="center" w:pos="4153"/>
        </w:tabs>
        <w:spacing w:line="336" w:lineRule="auto"/>
        <w:jc w:val="left"/>
        <w:rPr>
          <w:rFonts w:ascii="黑体" w:eastAsia="黑体" w:hAnsi="黑体"/>
          <w:b/>
          <w:sz w:val="28"/>
          <w:szCs w:val="28"/>
        </w:rPr>
      </w:pPr>
    </w:p>
    <w:p w:rsidR="004E251C" w:rsidRDefault="00365015">
      <w:pPr>
        <w:tabs>
          <w:tab w:val="left" w:pos="1339"/>
          <w:tab w:val="center" w:pos="4153"/>
        </w:tabs>
        <w:spacing w:line="336" w:lineRule="auto"/>
        <w:jc w:val="center"/>
        <w:rPr>
          <w:rFonts w:ascii="黑体" w:eastAsia="黑体" w:hAnsi="黑体"/>
          <w:b/>
          <w:sz w:val="32"/>
          <w:szCs w:val="32"/>
        </w:rPr>
      </w:pPr>
      <w:r>
        <w:rPr>
          <w:rFonts w:ascii="黑体" w:eastAsia="黑体" w:hAnsi="黑体" w:hint="eastAsia"/>
          <w:b/>
          <w:sz w:val="32"/>
          <w:szCs w:val="32"/>
        </w:rPr>
        <w:t>河北省食协《植物奶》团体标准编制说明</w:t>
      </w:r>
    </w:p>
    <w:p w:rsidR="004E251C" w:rsidRDefault="004E251C">
      <w:pPr>
        <w:tabs>
          <w:tab w:val="left" w:pos="1339"/>
          <w:tab w:val="center" w:pos="4153"/>
        </w:tabs>
        <w:spacing w:line="336" w:lineRule="auto"/>
        <w:jc w:val="center"/>
        <w:rPr>
          <w:rFonts w:ascii="黑体" w:eastAsia="黑体" w:hAnsi="黑体"/>
          <w:b/>
          <w:sz w:val="28"/>
          <w:szCs w:val="28"/>
        </w:rPr>
      </w:pPr>
    </w:p>
    <w:p w:rsidR="004E251C" w:rsidRDefault="00365015">
      <w:pPr>
        <w:numPr>
          <w:ilvl w:val="0"/>
          <w:numId w:val="3"/>
        </w:numPr>
        <w:spacing w:line="336" w:lineRule="auto"/>
        <w:ind w:left="567" w:hanging="567"/>
        <w:rPr>
          <w:rFonts w:ascii="宋体" w:hAnsi="宋体"/>
          <w:sz w:val="28"/>
          <w:szCs w:val="28"/>
        </w:rPr>
      </w:pPr>
      <w:r>
        <w:rPr>
          <w:rFonts w:ascii="宋体" w:hAnsi="宋体" w:hint="eastAsia"/>
          <w:b/>
          <w:sz w:val="28"/>
          <w:szCs w:val="28"/>
        </w:rPr>
        <w:t>工作简况</w:t>
      </w:r>
    </w:p>
    <w:p w:rsidR="004E251C" w:rsidRDefault="00365015">
      <w:pPr>
        <w:adjustRightInd w:val="0"/>
        <w:snapToGrid w:val="0"/>
        <w:spacing w:line="336" w:lineRule="auto"/>
        <w:ind w:leftChars="100" w:left="210" w:firstLineChars="100" w:firstLine="281"/>
        <w:rPr>
          <w:rFonts w:asciiTheme="minorEastAsia" w:eastAsiaTheme="minorEastAsia" w:hAnsiTheme="minorEastAsia"/>
          <w:sz w:val="28"/>
          <w:szCs w:val="28"/>
        </w:rPr>
      </w:pPr>
      <w:r>
        <w:rPr>
          <w:rFonts w:asciiTheme="minorEastAsia" w:eastAsiaTheme="minorEastAsia" w:hAnsiTheme="minorEastAsia" w:hint="eastAsia"/>
          <w:b/>
          <w:sz w:val="28"/>
          <w:szCs w:val="28"/>
        </w:rPr>
        <w:t>任务来源</w:t>
      </w:r>
      <w:r>
        <w:rPr>
          <w:rFonts w:asciiTheme="minorEastAsia" w:eastAsiaTheme="minorEastAsia" w:hAnsiTheme="minorEastAsia" w:hint="eastAsia"/>
          <w:sz w:val="28"/>
          <w:szCs w:val="28"/>
        </w:rPr>
        <w:t>：河北省食品工业协会</w:t>
      </w:r>
    </w:p>
    <w:p w:rsidR="004E251C" w:rsidRDefault="00365015">
      <w:pPr>
        <w:adjustRightInd w:val="0"/>
        <w:snapToGrid w:val="0"/>
        <w:spacing w:line="336" w:lineRule="auto"/>
        <w:ind w:leftChars="100" w:left="210"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牵头起草单位：河北养</w:t>
      </w:r>
      <w:proofErr w:type="gramStart"/>
      <w:r>
        <w:rPr>
          <w:rFonts w:asciiTheme="minorEastAsia" w:eastAsiaTheme="minorEastAsia" w:hAnsiTheme="minorEastAsia" w:hint="eastAsia"/>
          <w:sz w:val="28"/>
          <w:szCs w:val="28"/>
        </w:rPr>
        <w:t>元智汇饮品</w:t>
      </w:r>
      <w:proofErr w:type="gramEnd"/>
      <w:r>
        <w:rPr>
          <w:rFonts w:asciiTheme="minorEastAsia" w:eastAsiaTheme="minorEastAsia" w:hAnsiTheme="minorEastAsia" w:hint="eastAsia"/>
          <w:sz w:val="28"/>
          <w:szCs w:val="28"/>
        </w:rPr>
        <w:t>股份有限公司</w:t>
      </w:r>
    </w:p>
    <w:p w:rsidR="004E251C" w:rsidRDefault="00365015">
      <w:pPr>
        <w:adjustRightInd w:val="0"/>
        <w:snapToGrid w:val="0"/>
        <w:spacing w:line="336"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主要工作过程</w:t>
      </w:r>
    </w:p>
    <w:p w:rsidR="004E251C" w:rsidRDefault="00365015">
      <w:pPr>
        <w:adjustRightInd w:val="0"/>
        <w:snapToGrid w:val="0"/>
        <w:spacing w:line="33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1、2020年5月8日河北省食品工业协会批准河北省食品工业协会饮料专业委员会提出《植物奶》团体标准立项申请（冀食协[2020]14号文件）。</w:t>
      </w:r>
    </w:p>
    <w:p w:rsidR="004E251C" w:rsidRDefault="00365015">
      <w:pPr>
        <w:adjustRightInd w:val="0"/>
        <w:snapToGrid w:val="0"/>
        <w:spacing w:line="336"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、2020年6月初河北省食品工业协会确定项目负责起草单位和主要起草人。确定了项目组的主要组成人员及人员分工，制定了标准研制的总体思路和框架，对标准的起草及现场调研工作做了详细部署。</w:t>
      </w:r>
    </w:p>
    <w:p w:rsidR="004E251C" w:rsidRDefault="00365015">
      <w:pPr>
        <w:adjustRightInd w:val="0"/>
        <w:snapToGrid w:val="0"/>
        <w:spacing w:line="336"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、20</w:t>
      </w:r>
      <w:r>
        <w:rPr>
          <w:rFonts w:asciiTheme="minorEastAsia" w:eastAsiaTheme="minorEastAsia" w:hAnsiTheme="minorEastAsia"/>
          <w:sz w:val="28"/>
          <w:szCs w:val="28"/>
        </w:rPr>
        <w:t>20</w:t>
      </w:r>
      <w:r>
        <w:rPr>
          <w:rFonts w:asciiTheme="minorEastAsia" w:eastAsiaTheme="minorEastAsia" w:hAnsiTheme="minorEastAsia" w:hint="eastAsia"/>
          <w:sz w:val="28"/>
          <w:szCs w:val="28"/>
        </w:rPr>
        <w:t>年</w:t>
      </w:r>
      <w:r w:rsidR="002F569E">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月，起草工作组通过视频、电话、微信</w:t>
      </w:r>
      <w:proofErr w:type="gramStart"/>
      <w:r>
        <w:rPr>
          <w:rFonts w:asciiTheme="minorEastAsia" w:eastAsiaTheme="minorEastAsia" w:hAnsiTheme="minorEastAsia" w:hint="eastAsia"/>
          <w:sz w:val="28"/>
          <w:szCs w:val="28"/>
        </w:rPr>
        <w:t>等方式等方式</w:t>
      </w:r>
      <w:proofErr w:type="gramEnd"/>
      <w:r>
        <w:rPr>
          <w:rFonts w:asciiTheme="minorEastAsia" w:eastAsiaTheme="minorEastAsia" w:hAnsiTheme="minorEastAsia" w:hint="eastAsia"/>
          <w:sz w:val="28"/>
          <w:szCs w:val="28"/>
        </w:rPr>
        <w:t>征求了省内多家大、中型植物奶生产企业意见，并进行了现场调研。2020年7月</w:t>
      </w:r>
      <w:r w:rsidR="002F569E">
        <w:rPr>
          <w:rFonts w:asciiTheme="minorEastAsia" w:eastAsiaTheme="minorEastAsia" w:hAnsiTheme="minorEastAsia"/>
          <w:sz w:val="28"/>
          <w:szCs w:val="28"/>
        </w:rPr>
        <w:t>5</w:t>
      </w:r>
      <w:r>
        <w:rPr>
          <w:rFonts w:asciiTheme="minorEastAsia" w:eastAsiaTheme="minorEastAsia" w:hAnsiTheme="minorEastAsia" w:hint="eastAsia"/>
          <w:sz w:val="28"/>
          <w:szCs w:val="28"/>
        </w:rPr>
        <w:t>日，邀请省内相关企业、食品行业协会、省市场监督管理部门、科研院所等相关专家，对植物</w:t>
      </w:r>
      <w:proofErr w:type="gramStart"/>
      <w:r>
        <w:rPr>
          <w:rFonts w:asciiTheme="minorEastAsia" w:eastAsiaTheme="minorEastAsia" w:hAnsiTheme="minorEastAsia" w:hint="eastAsia"/>
          <w:sz w:val="28"/>
          <w:szCs w:val="28"/>
        </w:rPr>
        <w:t>奶团体</w:t>
      </w:r>
      <w:proofErr w:type="gramEnd"/>
      <w:r>
        <w:rPr>
          <w:rFonts w:asciiTheme="minorEastAsia" w:eastAsiaTheme="minorEastAsia" w:hAnsiTheme="minorEastAsia" w:hint="eastAsia"/>
          <w:sz w:val="28"/>
          <w:szCs w:val="28"/>
        </w:rPr>
        <w:t>标准草稿进行了初次研讨。</w:t>
      </w:r>
    </w:p>
    <w:p w:rsidR="004E251C" w:rsidRDefault="00365015">
      <w:pPr>
        <w:adjustRightInd w:val="0"/>
        <w:snapToGrid w:val="0"/>
        <w:spacing w:line="33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4、起草工作组对研讨内容进行了汇总、讨论，并对存在的问题进行了修订，初步确定了标准文本的征求意见稿。</w:t>
      </w:r>
    </w:p>
    <w:p w:rsidR="004E251C" w:rsidRDefault="00365015">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二、标准编制原则</w:t>
      </w:r>
    </w:p>
    <w:p w:rsidR="004E251C" w:rsidRDefault="00365015">
      <w:pPr>
        <w:adjustRightInd w:val="0"/>
        <w:snapToGrid w:val="0"/>
        <w:spacing w:line="33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以保障公众健康为宗旨，以食品安全相关法律法规和标准为依据，充分考虑本省植物奶产品的特点和饮食习惯，做到科学合理、公开透明、安全可靠。为了食品安全，为了规范植物</w:t>
      </w:r>
      <w:proofErr w:type="gramStart"/>
      <w:r>
        <w:rPr>
          <w:rFonts w:asciiTheme="minorEastAsia" w:eastAsiaTheme="minorEastAsia" w:hAnsiTheme="minorEastAsia" w:hint="eastAsia"/>
          <w:sz w:val="28"/>
          <w:szCs w:val="28"/>
        </w:rPr>
        <w:t>奶行业</w:t>
      </w:r>
      <w:proofErr w:type="gramEnd"/>
      <w:r>
        <w:rPr>
          <w:rFonts w:asciiTheme="minorEastAsia" w:eastAsiaTheme="minorEastAsia" w:hAnsiTheme="minorEastAsia" w:hint="eastAsia"/>
          <w:sz w:val="28"/>
          <w:szCs w:val="28"/>
        </w:rPr>
        <w:t>的健康发展，特制订此标准。</w:t>
      </w:r>
    </w:p>
    <w:p w:rsidR="004E251C" w:rsidRDefault="00365015">
      <w:pPr>
        <w:adjustRightInd w:val="0"/>
        <w:snapToGrid w:val="0"/>
        <w:spacing w:line="336"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标准格式按照 GB/T 1.1-2009《标准化工作导则 第一部分:编制的结构和编写》规定编写。 </w:t>
      </w:r>
    </w:p>
    <w:p w:rsidR="004E251C" w:rsidRDefault="00365015">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三、标准主要内容的确定</w:t>
      </w:r>
    </w:p>
    <w:p w:rsidR="004E251C" w:rsidRDefault="00365015">
      <w:pPr>
        <w:adjustRightInd w:val="0"/>
        <w:snapToGrid w:val="0"/>
        <w:spacing w:line="336" w:lineRule="auto"/>
        <w:ind w:firstLineChars="200" w:firstLine="560"/>
        <w:rPr>
          <w:rFonts w:ascii="宋体" w:hAnsi="宋体"/>
          <w:sz w:val="28"/>
          <w:szCs w:val="28"/>
        </w:rPr>
      </w:pPr>
      <w:r>
        <w:rPr>
          <w:rFonts w:asciiTheme="minorEastAsia" w:eastAsiaTheme="minorEastAsia" w:hAnsiTheme="minorEastAsia" w:hint="eastAsia"/>
          <w:sz w:val="28"/>
          <w:szCs w:val="28"/>
        </w:rPr>
        <w:t>《植物奶》</w:t>
      </w:r>
      <w:r>
        <w:rPr>
          <w:rFonts w:ascii="宋体" w:hAnsi="宋体" w:hint="eastAsia"/>
          <w:sz w:val="28"/>
          <w:szCs w:val="28"/>
        </w:rPr>
        <w:t>团体标准的制定主要内容基于GB 7101-2015《食品安全国家标准 饮料》、GB/T 10789-2015《饮料通则》、GB/T 30885-2014《植物蛋白饮料 豆奶和豆奶饮料》等国家标准的主要技术指标以及检验方法，结合我省植物奶的产品特点，参考了GB/T 31326-2014《植物饮料》、GB/T 31325-2014《植物蛋白饮料 核桃露（乳）》、GB/T31324-2014《植物蛋白饮料 杏仁露》等相关标准，作为本标准起草制订的基本依据。</w:t>
      </w:r>
    </w:p>
    <w:p w:rsidR="004E251C" w:rsidRDefault="00365015">
      <w:pPr>
        <w:pStyle w:val="af8"/>
        <w:ind w:firstLine="560"/>
        <w:rPr>
          <w:rFonts w:eastAsia="宋体" w:cs="Times New Roman"/>
          <w:sz w:val="28"/>
          <w:szCs w:val="28"/>
        </w:rPr>
      </w:pPr>
      <w:r>
        <w:rPr>
          <w:rFonts w:eastAsia="宋体" w:cs="Times New Roman"/>
          <w:sz w:val="28"/>
          <w:szCs w:val="28"/>
        </w:rPr>
        <w:t>1、</w:t>
      </w:r>
      <w:r>
        <w:rPr>
          <w:rFonts w:eastAsia="宋体" w:cs="Times New Roman" w:hint="eastAsia"/>
          <w:sz w:val="28"/>
          <w:szCs w:val="28"/>
        </w:rPr>
        <w:t>“植物奶”定义</w:t>
      </w:r>
    </w:p>
    <w:p w:rsidR="004E251C" w:rsidRDefault="00365015">
      <w:pPr>
        <w:pStyle w:val="af8"/>
        <w:ind w:firstLine="560"/>
        <w:rPr>
          <w:rFonts w:eastAsia="宋体" w:cs="Times New Roman"/>
          <w:sz w:val="28"/>
          <w:szCs w:val="28"/>
        </w:rPr>
      </w:pPr>
      <w:r>
        <w:rPr>
          <w:rFonts w:eastAsia="宋体" w:cs="Times New Roman" w:hint="eastAsia"/>
          <w:sz w:val="28"/>
          <w:szCs w:val="28"/>
        </w:rPr>
        <w:t>本标准定义的“植物奶”是：以含一定蛋白质的植物性原料及其制品为主要原料，添加或不添加食品辅料和食品添加剂，经加工（含发酵）制成的蛋白质不低于2.3%产品。其中，发酵型产品根据是否经过杀菌处理分为杀菌（非活菌）型和未杀菌（活菌）型。</w:t>
      </w:r>
    </w:p>
    <w:p w:rsidR="004E251C" w:rsidRDefault="00365015">
      <w:pPr>
        <w:pStyle w:val="af8"/>
        <w:ind w:firstLine="560"/>
        <w:rPr>
          <w:rFonts w:eastAsia="宋体" w:cs="Times New Roman"/>
          <w:sz w:val="28"/>
          <w:szCs w:val="28"/>
        </w:rPr>
      </w:pPr>
      <w:r>
        <w:rPr>
          <w:rFonts w:eastAsia="宋体" w:cs="Times New Roman" w:hint="eastAsia"/>
          <w:sz w:val="28"/>
          <w:szCs w:val="28"/>
        </w:rPr>
        <w:t>该定义主要参考了</w:t>
      </w:r>
      <w:r>
        <w:rPr>
          <w:rFonts w:eastAsia="宋体" w:cs="Times New Roman"/>
          <w:sz w:val="28"/>
          <w:szCs w:val="28"/>
        </w:rPr>
        <w:t>GB/T 10789-2015</w:t>
      </w:r>
      <w:r>
        <w:rPr>
          <w:rFonts w:eastAsia="宋体" w:cs="Times New Roman" w:hint="eastAsia"/>
          <w:sz w:val="28"/>
          <w:szCs w:val="28"/>
        </w:rPr>
        <w:t>《饮料通则》</w:t>
      </w:r>
      <w:r>
        <w:rPr>
          <w:rFonts w:eastAsia="宋体" w:cs="Times New Roman"/>
          <w:sz w:val="28"/>
          <w:szCs w:val="28"/>
        </w:rPr>
        <w:t>4.3.2</w:t>
      </w:r>
      <w:r>
        <w:rPr>
          <w:rFonts w:eastAsia="宋体" w:cs="Times New Roman" w:hint="eastAsia"/>
          <w:sz w:val="28"/>
          <w:szCs w:val="28"/>
        </w:rPr>
        <w:t xml:space="preserve"> 植物蛋白饮料“以一种或多种含有一定蛋白质的植物果实、种子、种仁等为原料，添加或不添加其他食品原辅料和（或）食品添加剂，经加工或发酵制成的制品，如豆奶（乳）、豆浆、豆奶乳（饮料）、椰子汁（乳）、杏仁露（乳）、核桃露（乳）、花生露（乳）</w:t>
      </w:r>
      <w:r>
        <w:rPr>
          <w:rFonts w:eastAsia="宋体" w:cs="Times New Roman" w:hint="eastAsia"/>
          <w:bCs/>
          <w:sz w:val="28"/>
          <w:szCs w:val="28"/>
        </w:rPr>
        <w:t>；在此基础上，将原料由“</w:t>
      </w:r>
      <w:r>
        <w:rPr>
          <w:rFonts w:eastAsia="宋体" w:cs="Times New Roman" w:hint="eastAsia"/>
          <w:sz w:val="28"/>
          <w:szCs w:val="28"/>
        </w:rPr>
        <w:t>一种或多种含有一定蛋白质的植物果实、种子、种仁</w:t>
      </w:r>
      <w:r>
        <w:rPr>
          <w:rFonts w:eastAsia="宋体" w:cs="Times New Roman" w:hint="eastAsia"/>
          <w:bCs/>
          <w:sz w:val="28"/>
          <w:szCs w:val="28"/>
        </w:rPr>
        <w:t>”扩展为“</w:t>
      </w:r>
      <w:r>
        <w:rPr>
          <w:rFonts w:eastAsia="宋体" w:cs="Times New Roman" w:hint="eastAsia"/>
          <w:sz w:val="28"/>
          <w:szCs w:val="28"/>
        </w:rPr>
        <w:t>含一定蛋白质的植物性原料及其制品</w:t>
      </w:r>
      <w:r>
        <w:rPr>
          <w:rFonts w:eastAsia="宋体" w:cs="Times New Roman" w:hint="eastAsia"/>
          <w:bCs/>
          <w:sz w:val="28"/>
          <w:szCs w:val="28"/>
        </w:rPr>
        <w:t>”，</w:t>
      </w:r>
      <w:r>
        <w:rPr>
          <w:rFonts w:eastAsia="宋体" w:cs="Times New Roman" w:hint="eastAsia"/>
          <w:sz w:val="28"/>
          <w:szCs w:val="28"/>
        </w:rPr>
        <w:t>将植物奶产品的蛋白质含量规定为不低于2.3%，更符合高端植物</w:t>
      </w:r>
      <w:proofErr w:type="gramStart"/>
      <w:r>
        <w:rPr>
          <w:rFonts w:eastAsia="宋体" w:cs="Times New Roman" w:hint="eastAsia"/>
          <w:sz w:val="28"/>
          <w:szCs w:val="28"/>
        </w:rPr>
        <w:t>奶行业</w:t>
      </w:r>
      <w:proofErr w:type="gramEnd"/>
      <w:r>
        <w:rPr>
          <w:rFonts w:eastAsia="宋体" w:cs="Times New Roman" w:hint="eastAsia"/>
          <w:sz w:val="28"/>
          <w:szCs w:val="28"/>
        </w:rPr>
        <w:t>创新发展的需要。</w:t>
      </w:r>
    </w:p>
    <w:p w:rsidR="004E251C" w:rsidRDefault="00365015">
      <w:pPr>
        <w:spacing w:before="156" w:after="156" w:line="560" w:lineRule="exact"/>
        <w:ind w:left="142" w:firstLineChars="200" w:firstLine="560"/>
        <w:rPr>
          <w:rFonts w:ascii="宋体" w:hAnsi="宋体"/>
          <w:sz w:val="28"/>
          <w:szCs w:val="28"/>
        </w:rPr>
      </w:pPr>
      <w:r>
        <w:rPr>
          <w:rFonts w:ascii="宋体" w:hAnsi="宋体"/>
          <w:sz w:val="28"/>
          <w:szCs w:val="28"/>
        </w:rPr>
        <w:lastRenderedPageBreak/>
        <w:t>2</w:t>
      </w:r>
      <w:r>
        <w:rPr>
          <w:rFonts w:ascii="宋体" w:hAnsi="宋体" w:hint="eastAsia"/>
          <w:sz w:val="28"/>
          <w:szCs w:val="28"/>
        </w:rPr>
        <w:t>、原辅料要求</w:t>
      </w:r>
    </w:p>
    <w:p w:rsidR="004E251C" w:rsidRDefault="00365015">
      <w:pPr>
        <w:spacing w:beforeLines="50" w:before="156" w:afterLines="50" w:after="156" w:line="560" w:lineRule="exact"/>
        <w:ind w:firstLineChars="200" w:firstLine="560"/>
        <w:rPr>
          <w:rFonts w:ascii="宋体" w:hAnsi="宋体"/>
          <w:sz w:val="28"/>
          <w:szCs w:val="28"/>
        </w:rPr>
      </w:pPr>
      <w:r>
        <w:rPr>
          <w:rFonts w:ascii="宋体" w:hAnsi="宋体" w:hint="eastAsia"/>
          <w:sz w:val="28"/>
          <w:szCs w:val="28"/>
        </w:rPr>
        <w:t>原辅料均应符合相应的食品安全标准和有关要求。</w:t>
      </w:r>
    </w:p>
    <w:p w:rsidR="004E251C" w:rsidRDefault="00365015">
      <w:pPr>
        <w:spacing w:beforeLines="50" w:before="156" w:afterLines="50" w:after="156" w:line="560" w:lineRule="exact"/>
        <w:ind w:firstLineChars="200" w:firstLine="560"/>
        <w:rPr>
          <w:rFonts w:ascii="宋体" w:hAnsi="宋体"/>
          <w:sz w:val="28"/>
          <w:szCs w:val="28"/>
        </w:rPr>
      </w:pPr>
      <w:proofErr w:type="gramStart"/>
      <w:r>
        <w:rPr>
          <w:rFonts w:ascii="宋体" w:hAnsi="宋体" w:hint="eastAsia"/>
          <w:sz w:val="28"/>
          <w:szCs w:val="28"/>
        </w:rPr>
        <w:t>食用菌种应使用</w:t>
      </w:r>
      <w:proofErr w:type="gramEnd"/>
      <w:r>
        <w:rPr>
          <w:rFonts w:ascii="宋体" w:hAnsi="宋体" w:hint="eastAsia"/>
          <w:sz w:val="28"/>
          <w:szCs w:val="28"/>
        </w:rPr>
        <w:t>来自国务院卫生行政部门批准的《可用于食品的菌种名单》中的菌种。</w:t>
      </w:r>
    </w:p>
    <w:p w:rsidR="004E251C" w:rsidRDefault="00365015">
      <w:pPr>
        <w:spacing w:beforeLines="50" w:before="156" w:afterLines="50" w:after="156"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、感官要求</w:t>
      </w:r>
    </w:p>
    <w:p w:rsidR="004E251C" w:rsidRDefault="00365015">
      <w:pPr>
        <w:spacing w:beforeLines="50" w:before="156" w:afterLines="50" w:after="156" w:line="560" w:lineRule="exact"/>
        <w:ind w:firstLineChars="200" w:firstLine="560"/>
        <w:rPr>
          <w:rFonts w:ascii="宋体" w:hAnsi="宋体"/>
          <w:sz w:val="28"/>
          <w:szCs w:val="28"/>
        </w:rPr>
      </w:pPr>
      <w:r>
        <w:rPr>
          <w:rFonts w:ascii="宋体" w:hAnsi="宋体" w:hint="eastAsia"/>
          <w:sz w:val="28"/>
          <w:szCs w:val="28"/>
        </w:rPr>
        <w:t>《植物奶》的滋味、气味，色泽、组织状态要求，参照</w:t>
      </w:r>
      <w:r>
        <w:rPr>
          <w:rFonts w:ascii="宋体" w:hAnsi="宋体"/>
          <w:sz w:val="28"/>
          <w:szCs w:val="28"/>
        </w:rPr>
        <w:t>GB 7101-2015</w:t>
      </w:r>
      <w:r>
        <w:rPr>
          <w:rFonts w:ascii="宋体" w:hAnsi="宋体" w:hint="eastAsia"/>
          <w:sz w:val="28"/>
          <w:szCs w:val="28"/>
        </w:rPr>
        <w:t>《食品安全国家标准</w:t>
      </w:r>
      <w:r>
        <w:rPr>
          <w:rFonts w:ascii="宋体" w:hAnsi="宋体"/>
          <w:sz w:val="28"/>
          <w:szCs w:val="28"/>
        </w:rPr>
        <w:t xml:space="preserve"> </w:t>
      </w:r>
      <w:r>
        <w:rPr>
          <w:rFonts w:ascii="宋体" w:hAnsi="宋体" w:hint="eastAsia"/>
          <w:sz w:val="28"/>
          <w:szCs w:val="28"/>
        </w:rPr>
        <w:t>饮料》、</w:t>
      </w:r>
      <w:r>
        <w:rPr>
          <w:rFonts w:ascii="宋体" w:hAnsi="宋体"/>
          <w:sz w:val="28"/>
          <w:szCs w:val="28"/>
        </w:rPr>
        <w:t>GB/T 10789-2015</w:t>
      </w:r>
      <w:r>
        <w:rPr>
          <w:rFonts w:ascii="宋体" w:hAnsi="宋体" w:hint="eastAsia"/>
          <w:sz w:val="28"/>
          <w:szCs w:val="28"/>
        </w:rPr>
        <w:t>《饮料通则》和GB/T 30885-2014《植物蛋白饮料 豆奶和豆奶饮料》的感官要求，并结合本产品的特点制定。</w:t>
      </w:r>
    </w:p>
    <w:p w:rsidR="004E251C" w:rsidRDefault="00365015">
      <w:pPr>
        <w:spacing w:beforeLines="50" w:before="156" w:afterLines="50" w:after="156" w:line="56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、理化指标</w:t>
      </w:r>
    </w:p>
    <w:p w:rsidR="004E251C" w:rsidRDefault="00365015">
      <w:pPr>
        <w:widowControl/>
        <w:ind w:firstLineChars="200" w:firstLine="560"/>
        <w:rPr>
          <w:rFonts w:ascii="宋体" w:hAnsi="宋体"/>
          <w:sz w:val="28"/>
          <w:szCs w:val="28"/>
        </w:rPr>
      </w:pPr>
      <w:r>
        <w:rPr>
          <w:rFonts w:ascii="宋体" w:hAnsi="宋体" w:hint="eastAsia"/>
          <w:sz w:val="28"/>
          <w:szCs w:val="28"/>
        </w:rPr>
        <w:t>4.</w:t>
      </w:r>
      <w:r>
        <w:rPr>
          <w:rFonts w:ascii="宋体" w:hAnsi="宋体"/>
          <w:sz w:val="28"/>
          <w:szCs w:val="28"/>
        </w:rPr>
        <w:t>1</w:t>
      </w:r>
      <w:r>
        <w:rPr>
          <w:rFonts w:ascii="宋体" w:hAnsi="宋体" w:hint="eastAsia"/>
          <w:sz w:val="28"/>
          <w:szCs w:val="28"/>
        </w:rPr>
        <w:t>蛋白质</w:t>
      </w:r>
    </w:p>
    <w:p w:rsidR="004E251C" w:rsidRDefault="00365015">
      <w:pPr>
        <w:widowControl/>
        <w:tabs>
          <w:tab w:val="left" w:pos="2520"/>
        </w:tabs>
        <w:ind w:firstLineChars="200" w:firstLine="560"/>
        <w:rPr>
          <w:rFonts w:ascii="宋体" w:hAnsi="宋体"/>
          <w:sz w:val="28"/>
          <w:szCs w:val="28"/>
          <w:highlight w:val="green"/>
        </w:rPr>
      </w:pPr>
      <w:r>
        <w:rPr>
          <w:rFonts w:ascii="宋体" w:hAnsi="宋体" w:hint="eastAsia"/>
          <w:sz w:val="28"/>
          <w:szCs w:val="28"/>
        </w:rPr>
        <w:t xml:space="preserve">蛋白质指标不但是植物奶的品质指标，也是植物蛋白原料的主要指标，反映植物蛋白原料的使用量。本标准参照 </w:t>
      </w:r>
      <w:r w:rsidR="002F569E" w:rsidRPr="002F569E">
        <w:rPr>
          <w:rFonts w:ascii="宋体" w:hAnsi="宋体" w:hint="eastAsia"/>
          <w:sz w:val="28"/>
          <w:szCs w:val="28"/>
        </w:rPr>
        <w:t>参照GB 25191-2010《食品安全国家标准</w:t>
      </w:r>
      <w:r w:rsidR="002F569E">
        <w:rPr>
          <w:rFonts w:ascii="宋体" w:hAnsi="宋体"/>
          <w:sz w:val="28"/>
          <w:szCs w:val="28"/>
        </w:rPr>
        <w:t xml:space="preserve"> </w:t>
      </w:r>
      <w:r w:rsidR="002F569E" w:rsidRPr="002F569E">
        <w:rPr>
          <w:rFonts w:ascii="宋体" w:hAnsi="宋体" w:hint="eastAsia"/>
          <w:sz w:val="28"/>
          <w:szCs w:val="28"/>
        </w:rPr>
        <w:t>调制乳》</w:t>
      </w:r>
      <w:r>
        <w:rPr>
          <w:rFonts w:ascii="宋体" w:hAnsi="宋体" w:hint="eastAsia"/>
          <w:sz w:val="28"/>
          <w:szCs w:val="28"/>
        </w:rPr>
        <w:t>的蛋白质指标，将植物奶产品蛋白质指标规定为≥2.3%。</w:t>
      </w:r>
    </w:p>
    <w:p w:rsidR="004E251C" w:rsidRDefault="00365015">
      <w:pPr>
        <w:widowControl/>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Pr>
          <w:rFonts w:ascii="宋体" w:hAnsi="宋体"/>
          <w:sz w:val="28"/>
          <w:szCs w:val="28"/>
        </w:rPr>
        <w:t>2</w:t>
      </w:r>
      <w:r>
        <w:rPr>
          <w:rFonts w:ascii="宋体" w:hAnsi="宋体" w:hint="eastAsia"/>
          <w:sz w:val="28"/>
          <w:szCs w:val="28"/>
        </w:rPr>
        <w:t>脂肪</w:t>
      </w:r>
    </w:p>
    <w:p w:rsidR="004E251C" w:rsidRDefault="00365015">
      <w:pPr>
        <w:widowControl/>
        <w:ind w:firstLineChars="200" w:firstLine="560"/>
        <w:rPr>
          <w:rFonts w:ascii="宋体" w:hAnsi="宋体"/>
          <w:sz w:val="28"/>
          <w:szCs w:val="28"/>
        </w:rPr>
      </w:pPr>
      <w:r>
        <w:rPr>
          <w:rFonts w:ascii="宋体" w:hAnsi="宋体" w:hint="eastAsia"/>
          <w:sz w:val="28"/>
          <w:szCs w:val="28"/>
        </w:rPr>
        <w:t>适量含量的脂肪，对提高饮料风味和口感有很大的作用。</w:t>
      </w:r>
    </w:p>
    <w:p w:rsidR="004E251C" w:rsidRDefault="00365015">
      <w:pPr>
        <w:widowControl/>
        <w:ind w:firstLineChars="200" w:firstLine="560"/>
        <w:rPr>
          <w:rFonts w:ascii="宋体" w:hAnsi="宋体"/>
          <w:sz w:val="28"/>
          <w:szCs w:val="28"/>
        </w:rPr>
      </w:pPr>
      <w:r>
        <w:rPr>
          <w:rFonts w:ascii="宋体" w:hAnsi="宋体" w:hint="eastAsia"/>
          <w:sz w:val="28"/>
          <w:szCs w:val="28"/>
        </w:rPr>
        <w:t>《中国食物营养成分表》中显示大豆蛋白质含量35.1%，脂肪含量16%；杏仁蛋白质含量</w:t>
      </w:r>
      <w:r>
        <w:rPr>
          <w:rFonts w:ascii="宋体" w:hAnsi="宋体"/>
          <w:sz w:val="28"/>
          <w:szCs w:val="28"/>
        </w:rPr>
        <w:t>24</w:t>
      </w:r>
      <w:r>
        <w:rPr>
          <w:rFonts w:ascii="宋体" w:hAnsi="宋体" w:hint="eastAsia"/>
          <w:sz w:val="28"/>
          <w:szCs w:val="28"/>
        </w:rPr>
        <w:t>.</w:t>
      </w:r>
      <w:r>
        <w:rPr>
          <w:rFonts w:ascii="宋体" w:hAnsi="宋体"/>
          <w:sz w:val="28"/>
          <w:szCs w:val="28"/>
        </w:rPr>
        <w:t>7</w:t>
      </w:r>
      <w:r>
        <w:rPr>
          <w:rFonts w:ascii="宋体" w:hAnsi="宋体" w:hint="eastAsia"/>
          <w:sz w:val="28"/>
          <w:szCs w:val="28"/>
        </w:rPr>
        <w:t>%，脂肪含量</w:t>
      </w:r>
      <w:r>
        <w:rPr>
          <w:rFonts w:ascii="宋体" w:hAnsi="宋体"/>
          <w:sz w:val="28"/>
          <w:szCs w:val="28"/>
        </w:rPr>
        <w:t>44</w:t>
      </w:r>
      <w:r>
        <w:rPr>
          <w:rFonts w:ascii="宋体" w:hAnsi="宋体" w:hint="eastAsia"/>
          <w:sz w:val="28"/>
          <w:szCs w:val="28"/>
        </w:rPr>
        <w:t>.</w:t>
      </w:r>
      <w:r>
        <w:rPr>
          <w:rFonts w:ascii="宋体" w:hAnsi="宋体"/>
          <w:sz w:val="28"/>
          <w:szCs w:val="28"/>
        </w:rPr>
        <w:t>8</w:t>
      </w:r>
      <w:r>
        <w:rPr>
          <w:rFonts w:ascii="宋体" w:hAnsi="宋体" w:hint="eastAsia"/>
          <w:sz w:val="28"/>
          <w:szCs w:val="28"/>
        </w:rPr>
        <w:t>%，花生蛋白质含量</w:t>
      </w:r>
      <w:r>
        <w:rPr>
          <w:rFonts w:ascii="宋体" w:hAnsi="宋体"/>
          <w:sz w:val="28"/>
          <w:szCs w:val="28"/>
        </w:rPr>
        <w:t>12</w:t>
      </w:r>
      <w:r>
        <w:rPr>
          <w:rFonts w:ascii="宋体" w:hAnsi="宋体" w:hint="eastAsia"/>
          <w:sz w:val="28"/>
          <w:szCs w:val="28"/>
        </w:rPr>
        <w:t>.</w:t>
      </w:r>
      <w:r>
        <w:rPr>
          <w:rFonts w:ascii="宋体" w:hAnsi="宋体"/>
          <w:sz w:val="28"/>
          <w:szCs w:val="28"/>
        </w:rPr>
        <w:t>1</w:t>
      </w:r>
      <w:r>
        <w:rPr>
          <w:rFonts w:ascii="宋体" w:hAnsi="宋体" w:hint="eastAsia"/>
          <w:sz w:val="28"/>
          <w:szCs w:val="28"/>
        </w:rPr>
        <w:t>%，脂肪含量</w:t>
      </w:r>
      <w:r>
        <w:rPr>
          <w:rFonts w:ascii="宋体" w:hAnsi="宋体"/>
          <w:sz w:val="28"/>
          <w:szCs w:val="28"/>
        </w:rPr>
        <w:t>25</w:t>
      </w:r>
      <w:r>
        <w:rPr>
          <w:rFonts w:ascii="宋体" w:hAnsi="宋体" w:hint="eastAsia"/>
          <w:sz w:val="28"/>
          <w:szCs w:val="28"/>
        </w:rPr>
        <w:t>.</w:t>
      </w:r>
      <w:r>
        <w:rPr>
          <w:rFonts w:ascii="宋体" w:hAnsi="宋体"/>
          <w:sz w:val="28"/>
          <w:szCs w:val="28"/>
        </w:rPr>
        <w:t>4</w:t>
      </w:r>
      <w:r>
        <w:rPr>
          <w:rFonts w:ascii="宋体" w:hAnsi="宋体" w:hint="eastAsia"/>
          <w:sz w:val="28"/>
          <w:szCs w:val="28"/>
        </w:rPr>
        <w:t>%；核桃蛋白质含量</w:t>
      </w:r>
      <w:r>
        <w:rPr>
          <w:rFonts w:ascii="宋体" w:hAnsi="宋体"/>
          <w:sz w:val="28"/>
          <w:szCs w:val="28"/>
        </w:rPr>
        <w:t>14</w:t>
      </w:r>
      <w:r>
        <w:rPr>
          <w:rFonts w:ascii="宋体" w:hAnsi="宋体" w:hint="eastAsia"/>
          <w:sz w:val="28"/>
          <w:szCs w:val="28"/>
        </w:rPr>
        <w:t>.</w:t>
      </w:r>
      <w:r>
        <w:rPr>
          <w:rFonts w:ascii="宋体" w:hAnsi="宋体"/>
          <w:sz w:val="28"/>
          <w:szCs w:val="28"/>
        </w:rPr>
        <w:t>9</w:t>
      </w:r>
      <w:r>
        <w:rPr>
          <w:rFonts w:ascii="宋体" w:hAnsi="宋体" w:hint="eastAsia"/>
          <w:sz w:val="28"/>
          <w:szCs w:val="28"/>
        </w:rPr>
        <w:t>%，脂肪含量</w:t>
      </w:r>
      <w:r>
        <w:rPr>
          <w:rFonts w:ascii="宋体" w:hAnsi="宋体"/>
          <w:sz w:val="28"/>
          <w:szCs w:val="28"/>
        </w:rPr>
        <w:t>58</w:t>
      </w:r>
      <w:r>
        <w:rPr>
          <w:rFonts w:ascii="宋体" w:hAnsi="宋体" w:hint="eastAsia"/>
          <w:sz w:val="28"/>
          <w:szCs w:val="28"/>
        </w:rPr>
        <w:t>.</w:t>
      </w:r>
      <w:r>
        <w:rPr>
          <w:rFonts w:ascii="宋体" w:hAnsi="宋体"/>
          <w:sz w:val="28"/>
          <w:szCs w:val="28"/>
        </w:rPr>
        <w:t>8</w:t>
      </w:r>
      <w:r>
        <w:rPr>
          <w:rFonts w:ascii="宋体" w:hAnsi="宋体" w:hint="eastAsia"/>
          <w:sz w:val="28"/>
          <w:szCs w:val="28"/>
        </w:rPr>
        <w:t>%；</w:t>
      </w:r>
      <w:r>
        <w:rPr>
          <w:rFonts w:ascii="宋体" w:hAnsi="宋体"/>
          <w:sz w:val="28"/>
          <w:szCs w:val="28"/>
        </w:rPr>
        <w:t xml:space="preserve"> </w:t>
      </w:r>
    </w:p>
    <w:p w:rsidR="004E251C" w:rsidRDefault="00365015">
      <w:pPr>
        <w:widowControl/>
        <w:rPr>
          <w:rFonts w:ascii="宋体" w:hAnsi="宋体"/>
          <w:sz w:val="28"/>
          <w:szCs w:val="28"/>
        </w:rPr>
      </w:pPr>
      <w:r>
        <w:rPr>
          <w:rFonts w:ascii="宋体" w:hAnsi="宋体" w:hint="eastAsia"/>
          <w:sz w:val="28"/>
          <w:szCs w:val="28"/>
        </w:rPr>
        <w:lastRenderedPageBreak/>
        <w:t>大豆脂肪和蛋白质的含量比例明显低于其他含蛋白质的食品及果仁， GB/T 30885-2014《植物蛋白饮料 豆奶和豆奶饮料》标准中，豆奶脂肪限量≥0.8g/100g。</w:t>
      </w:r>
    </w:p>
    <w:p w:rsidR="00F034A1" w:rsidRDefault="00365015">
      <w:pPr>
        <w:widowControl/>
        <w:ind w:firstLineChars="200" w:firstLine="560"/>
        <w:rPr>
          <w:rFonts w:ascii="宋体" w:hAnsi="宋体"/>
          <w:sz w:val="28"/>
          <w:szCs w:val="28"/>
        </w:rPr>
      </w:pPr>
      <w:r>
        <w:rPr>
          <w:rFonts w:ascii="宋体" w:hAnsi="宋体" w:hint="eastAsia"/>
          <w:sz w:val="28"/>
          <w:szCs w:val="28"/>
        </w:rPr>
        <w:t>植物</w:t>
      </w:r>
      <w:proofErr w:type="gramStart"/>
      <w:r>
        <w:rPr>
          <w:rFonts w:ascii="宋体" w:hAnsi="宋体" w:hint="eastAsia"/>
          <w:sz w:val="28"/>
          <w:szCs w:val="28"/>
        </w:rPr>
        <w:t>奶可能</w:t>
      </w:r>
      <w:proofErr w:type="gramEnd"/>
      <w:r>
        <w:rPr>
          <w:rFonts w:ascii="宋体" w:hAnsi="宋体" w:hint="eastAsia"/>
          <w:sz w:val="28"/>
          <w:szCs w:val="28"/>
        </w:rPr>
        <w:t>使用脱脂制</w:t>
      </w:r>
      <w:bookmarkStart w:id="0" w:name="_GoBack"/>
      <w:bookmarkEnd w:id="0"/>
      <w:r>
        <w:rPr>
          <w:rFonts w:ascii="宋体" w:hAnsi="宋体" w:hint="eastAsia"/>
          <w:sz w:val="28"/>
          <w:szCs w:val="28"/>
        </w:rPr>
        <w:t>品，会降低产品脂肪含量；</w:t>
      </w:r>
    </w:p>
    <w:p w:rsidR="004E251C" w:rsidRDefault="00365015">
      <w:pPr>
        <w:widowControl/>
        <w:ind w:firstLineChars="200" w:firstLine="560"/>
        <w:rPr>
          <w:rFonts w:ascii="宋体" w:hAnsi="宋体"/>
          <w:sz w:val="28"/>
          <w:szCs w:val="28"/>
        </w:rPr>
      </w:pPr>
      <w:r>
        <w:rPr>
          <w:rFonts w:ascii="宋体" w:hAnsi="宋体" w:hint="eastAsia"/>
          <w:sz w:val="28"/>
          <w:szCs w:val="28"/>
        </w:rPr>
        <w:t xml:space="preserve"> </w:t>
      </w:r>
      <w:r w:rsidR="00F034A1">
        <w:rPr>
          <w:rFonts w:ascii="宋体" w:hAnsi="宋体" w:hint="eastAsia"/>
          <w:sz w:val="28"/>
          <w:szCs w:val="28"/>
        </w:rPr>
        <w:t>综合以上理由，</w:t>
      </w:r>
      <w:r>
        <w:rPr>
          <w:rFonts w:ascii="宋体" w:hAnsi="宋体" w:hint="eastAsia"/>
          <w:sz w:val="28"/>
          <w:szCs w:val="28"/>
        </w:rPr>
        <w:t>标准脂肪限量设定为≥0.8g</w:t>
      </w:r>
      <w:r>
        <w:rPr>
          <w:rFonts w:ascii="宋体" w:hAnsi="宋体"/>
          <w:sz w:val="28"/>
          <w:szCs w:val="28"/>
        </w:rPr>
        <w:t>/100g</w:t>
      </w:r>
      <w:r>
        <w:rPr>
          <w:rFonts w:ascii="宋体" w:hAnsi="宋体" w:hint="eastAsia"/>
          <w:sz w:val="28"/>
          <w:szCs w:val="28"/>
        </w:rPr>
        <w:t>。</w:t>
      </w:r>
    </w:p>
    <w:p w:rsidR="004E251C" w:rsidRDefault="00365015">
      <w:pPr>
        <w:tabs>
          <w:tab w:val="center" w:pos="4201"/>
          <w:tab w:val="right" w:leader="dot" w:pos="9298"/>
        </w:tabs>
        <w:spacing w:beforeLines="50" w:before="156" w:afterLines="50" w:after="156" w:line="560" w:lineRule="exact"/>
        <w:ind w:firstLineChars="200" w:firstLine="560"/>
        <w:rPr>
          <w:sz w:val="28"/>
          <w:szCs w:val="28"/>
        </w:rPr>
      </w:pPr>
      <w:r>
        <w:rPr>
          <w:rFonts w:ascii="宋体" w:hAnsi="宋体"/>
          <w:sz w:val="28"/>
          <w:szCs w:val="28"/>
        </w:rPr>
        <w:t>5</w:t>
      </w:r>
      <w:r>
        <w:rPr>
          <w:rFonts w:ascii="宋体" w:hAnsi="宋体" w:hint="eastAsia"/>
          <w:sz w:val="28"/>
          <w:szCs w:val="28"/>
        </w:rPr>
        <w:t>、食品安全要求</w:t>
      </w:r>
    </w:p>
    <w:p w:rsidR="004E251C" w:rsidRDefault="00365015">
      <w:pPr>
        <w:tabs>
          <w:tab w:val="center" w:pos="4201"/>
          <w:tab w:val="right" w:leader="dot" w:pos="9298"/>
        </w:tabs>
        <w:spacing w:beforeLines="50" w:before="156" w:afterLines="50" w:after="156" w:line="560" w:lineRule="exact"/>
        <w:ind w:firstLineChars="200" w:firstLine="560"/>
        <w:rPr>
          <w:sz w:val="28"/>
          <w:szCs w:val="28"/>
        </w:rPr>
      </w:pPr>
      <w:r>
        <w:rPr>
          <w:rFonts w:ascii="宋体" w:hAnsi="宋体" w:hint="eastAsia"/>
          <w:sz w:val="28"/>
          <w:szCs w:val="28"/>
        </w:rPr>
        <w:t>食品安全要求应符合</w:t>
      </w:r>
      <w:r>
        <w:rPr>
          <w:rFonts w:ascii="宋体" w:hAnsi="宋体"/>
          <w:sz w:val="28"/>
          <w:szCs w:val="28"/>
        </w:rPr>
        <w:t>GB 7101的规定。</w:t>
      </w:r>
    </w:p>
    <w:p w:rsidR="004E251C" w:rsidRDefault="00365015">
      <w:pPr>
        <w:pStyle w:val="af8"/>
        <w:numPr>
          <w:ilvl w:val="0"/>
          <w:numId w:val="4"/>
        </w:numPr>
        <w:ind w:firstLine="560"/>
        <w:rPr>
          <w:rFonts w:eastAsia="宋体" w:cs="Times New Roman"/>
          <w:sz w:val="28"/>
          <w:szCs w:val="28"/>
        </w:rPr>
      </w:pPr>
      <w:r>
        <w:rPr>
          <w:rFonts w:eastAsia="宋体" w:cs="Times New Roman" w:hint="eastAsia"/>
          <w:sz w:val="28"/>
          <w:szCs w:val="28"/>
        </w:rPr>
        <w:t>净含量</w:t>
      </w:r>
    </w:p>
    <w:p w:rsidR="004E251C" w:rsidRDefault="00365015">
      <w:pPr>
        <w:pStyle w:val="af8"/>
        <w:numPr>
          <w:ilvl w:val="255"/>
          <w:numId w:val="0"/>
        </w:numPr>
        <w:ind w:firstLine="560"/>
        <w:rPr>
          <w:rFonts w:eastAsia="宋体" w:cs="Times New Roman"/>
          <w:sz w:val="28"/>
          <w:szCs w:val="28"/>
        </w:rPr>
      </w:pPr>
      <w:r>
        <w:rPr>
          <w:rFonts w:eastAsia="宋体" w:cs="Times New Roman" w:hint="eastAsia"/>
          <w:sz w:val="28"/>
          <w:szCs w:val="28"/>
        </w:rPr>
        <w:t>应符合原国家质量监督检验检疫总局令第</w:t>
      </w:r>
      <w:r>
        <w:rPr>
          <w:rFonts w:eastAsia="宋体" w:cs="Times New Roman"/>
          <w:sz w:val="28"/>
          <w:szCs w:val="28"/>
        </w:rPr>
        <w:t>75号(2005)《定量包装商品计量监督管理办法》要求。净含量</w:t>
      </w:r>
      <w:proofErr w:type="gramStart"/>
      <w:r>
        <w:rPr>
          <w:rFonts w:eastAsia="宋体" w:cs="Times New Roman"/>
          <w:sz w:val="28"/>
          <w:szCs w:val="28"/>
        </w:rPr>
        <w:t>检测按</w:t>
      </w:r>
      <w:proofErr w:type="gramEnd"/>
      <w:r>
        <w:rPr>
          <w:rFonts w:eastAsia="宋体" w:cs="Times New Roman"/>
          <w:sz w:val="28"/>
          <w:szCs w:val="28"/>
        </w:rPr>
        <w:t>JJF 1070规定进行。</w:t>
      </w:r>
    </w:p>
    <w:p w:rsidR="004E251C" w:rsidRDefault="00365015">
      <w:pPr>
        <w:spacing w:beforeLines="50" w:before="156" w:afterLines="50" w:after="156" w:line="560" w:lineRule="exact"/>
        <w:ind w:firstLineChars="200" w:firstLine="560"/>
        <w:rPr>
          <w:rFonts w:ascii="宋体" w:hAnsi="宋体"/>
          <w:sz w:val="28"/>
          <w:szCs w:val="28"/>
        </w:rPr>
      </w:pPr>
      <w:r>
        <w:rPr>
          <w:rFonts w:ascii="宋体" w:hAnsi="宋体" w:hint="eastAsia"/>
          <w:sz w:val="28"/>
          <w:szCs w:val="28"/>
        </w:rPr>
        <w:t>7、检验方法</w:t>
      </w:r>
    </w:p>
    <w:p w:rsidR="004E251C" w:rsidRDefault="00365015">
      <w:pPr>
        <w:spacing w:beforeLines="50" w:before="156" w:afterLines="50" w:after="156" w:line="560" w:lineRule="exact"/>
        <w:ind w:firstLineChars="200" w:firstLine="560"/>
        <w:rPr>
          <w:rFonts w:ascii="宋体" w:hAnsi="宋体"/>
          <w:sz w:val="28"/>
          <w:szCs w:val="28"/>
        </w:rPr>
      </w:pPr>
      <w:r>
        <w:rPr>
          <w:rFonts w:ascii="宋体" w:hAnsi="宋体" w:hint="eastAsia"/>
          <w:sz w:val="28"/>
          <w:szCs w:val="28"/>
        </w:rPr>
        <w:t>感官要求采用目测、鼻嗅、口尝的方法进行检测。各项理化指标的检测均采用相应国家标准规定的方法进行。</w:t>
      </w:r>
    </w:p>
    <w:p w:rsidR="004E251C" w:rsidRDefault="00365015">
      <w:pPr>
        <w:spacing w:beforeLines="50" w:before="156" w:afterLines="50" w:after="156" w:line="560" w:lineRule="exact"/>
        <w:ind w:firstLineChars="200" w:firstLine="560"/>
        <w:rPr>
          <w:rFonts w:ascii="宋体" w:hAnsi="宋体"/>
          <w:sz w:val="28"/>
          <w:szCs w:val="28"/>
        </w:rPr>
      </w:pPr>
      <w:r>
        <w:rPr>
          <w:rFonts w:ascii="宋体" w:hAnsi="宋体" w:hint="eastAsia"/>
          <w:sz w:val="28"/>
          <w:szCs w:val="28"/>
        </w:rPr>
        <w:t>8、标识</w:t>
      </w:r>
    </w:p>
    <w:p w:rsidR="004E251C" w:rsidRDefault="00365015">
      <w:pPr>
        <w:spacing w:line="336" w:lineRule="auto"/>
        <w:ind w:firstLineChars="200" w:firstLine="560"/>
        <w:rPr>
          <w:rFonts w:ascii="宋体" w:hAnsi="宋体"/>
          <w:sz w:val="28"/>
          <w:szCs w:val="28"/>
        </w:rPr>
      </w:pPr>
      <w:r>
        <w:rPr>
          <w:rFonts w:ascii="宋体" w:hAnsi="宋体" w:hint="eastAsia"/>
          <w:sz w:val="28"/>
          <w:szCs w:val="28"/>
        </w:rPr>
        <w:t>产品标签应符合GB 7718、GB 28050和国家相关规定。</w:t>
      </w:r>
    </w:p>
    <w:p w:rsidR="004E251C" w:rsidRDefault="00365015">
      <w:pPr>
        <w:spacing w:line="336" w:lineRule="auto"/>
        <w:ind w:firstLineChars="200" w:firstLine="560"/>
        <w:rPr>
          <w:rFonts w:ascii="宋体" w:hAnsi="宋体"/>
          <w:sz w:val="28"/>
          <w:szCs w:val="28"/>
        </w:rPr>
      </w:pPr>
      <w:r>
        <w:rPr>
          <w:rFonts w:ascii="宋体" w:hAnsi="宋体" w:hint="eastAsia"/>
          <w:sz w:val="28"/>
          <w:szCs w:val="28"/>
        </w:rPr>
        <w:t>产品名称可含有主要原料，标示为：xx 植物奶、xx 发酵植物奶。</w:t>
      </w:r>
    </w:p>
    <w:p w:rsidR="004E251C" w:rsidRDefault="00365015">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四、与国内同类标准水平的对比情况</w:t>
      </w:r>
    </w:p>
    <w:p w:rsidR="004E251C" w:rsidRDefault="00365015">
      <w:pPr>
        <w:spacing w:line="336"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1、本标准的食品安全指标指向GB</w:t>
      </w:r>
      <w:r>
        <w:rPr>
          <w:rFonts w:asciiTheme="minorEastAsia" w:eastAsiaTheme="minorEastAsia" w:hAnsiTheme="minorEastAsia"/>
          <w:b/>
          <w:sz w:val="28"/>
          <w:szCs w:val="28"/>
        </w:rPr>
        <w:t xml:space="preserve">  7101</w:t>
      </w:r>
      <w:r>
        <w:rPr>
          <w:rFonts w:asciiTheme="minorEastAsia" w:eastAsiaTheme="minorEastAsia" w:hAnsiTheme="minorEastAsia" w:hint="eastAsia"/>
          <w:b/>
          <w:sz w:val="28"/>
          <w:szCs w:val="28"/>
        </w:rPr>
        <w:t>《食品安全国家标准 饮料》；</w:t>
      </w:r>
    </w:p>
    <w:p w:rsidR="004E251C" w:rsidRDefault="00365015">
      <w:pPr>
        <w:ind w:firstLineChars="200" w:firstLine="562"/>
        <w:rPr>
          <w:rFonts w:asciiTheme="minorHAnsi" w:eastAsiaTheme="minorEastAsia" w:hAnsiTheme="minorHAnsi" w:cstheme="minorBidi"/>
          <w:b/>
          <w:sz w:val="28"/>
          <w:szCs w:val="28"/>
        </w:rPr>
      </w:pPr>
      <w:r>
        <w:rPr>
          <w:rFonts w:asciiTheme="minorEastAsia" w:eastAsiaTheme="minorEastAsia" w:hAnsiTheme="minorEastAsia" w:hint="eastAsia"/>
          <w:b/>
          <w:sz w:val="28"/>
          <w:szCs w:val="28"/>
        </w:rPr>
        <w:t>2、</w:t>
      </w:r>
      <w:r>
        <w:rPr>
          <w:rFonts w:asciiTheme="minorHAnsi" w:eastAsiaTheme="minorEastAsia" w:hAnsiTheme="minorHAnsi" w:cstheme="minorBidi" w:hint="eastAsia"/>
          <w:b/>
          <w:sz w:val="28"/>
          <w:szCs w:val="28"/>
        </w:rPr>
        <w:t>与推荐性国家标准和行业标准比较情况见表</w:t>
      </w:r>
      <w:r>
        <w:rPr>
          <w:rFonts w:asciiTheme="minorHAnsi" w:eastAsiaTheme="minorEastAsia" w:hAnsiTheme="minorHAnsi" w:cstheme="minorBidi" w:hint="eastAsia"/>
          <w:b/>
          <w:sz w:val="28"/>
          <w:szCs w:val="28"/>
        </w:rPr>
        <w:t>1</w:t>
      </w:r>
    </w:p>
    <w:p w:rsidR="004E251C" w:rsidRDefault="004E251C">
      <w:pPr>
        <w:spacing w:line="336" w:lineRule="auto"/>
        <w:ind w:firstLineChars="200" w:firstLine="562"/>
        <w:rPr>
          <w:rFonts w:asciiTheme="minorEastAsia" w:eastAsiaTheme="minorEastAsia" w:hAnsiTheme="minorEastAsia"/>
          <w:b/>
          <w:sz w:val="28"/>
          <w:szCs w:val="28"/>
        </w:rPr>
        <w:sectPr w:rsidR="004E251C">
          <w:footerReference w:type="default" r:id="rId9"/>
          <w:pgSz w:w="11906" w:h="16838"/>
          <w:pgMar w:top="1440" w:right="1800" w:bottom="1440" w:left="1800" w:header="851" w:footer="992" w:gutter="0"/>
          <w:cols w:space="425"/>
          <w:docGrid w:type="lines" w:linePitch="312"/>
        </w:sectPr>
      </w:pPr>
    </w:p>
    <w:p w:rsidR="004E251C" w:rsidRDefault="004E251C">
      <w:pPr>
        <w:jc w:val="left"/>
        <w:rPr>
          <w:rFonts w:asciiTheme="minorHAnsi" w:eastAsiaTheme="minorEastAsia" w:hAnsiTheme="minorHAnsi" w:cstheme="minorBidi"/>
          <w:szCs w:val="22"/>
        </w:rPr>
      </w:pPr>
    </w:p>
    <w:p w:rsidR="004E251C" w:rsidRDefault="00365015">
      <w:pPr>
        <w:jc w:val="center"/>
        <w:rPr>
          <w:rFonts w:asciiTheme="minorHAnsi" w:eastAsiaTheme="minorEastAsia" w:hAnsiTheme="minorHAnsi" w:cstheme="minorBidi"/>
          <w:b/>
          <w:sz w:val="28"/>
          <w:szCs w:val="28"/>
        </w:rPr>
      </w:pPr>
      <w:r>
        <w:rPr>
          <w:rFonts w:asciiTheme="minorHAnsi" w:eastAsiaTheme="minorEastAsia" w:hAnsiTheme="minorHAnsi" w:cstheme="minorBidi" w:hint="eastAsia"/>
          <w:b/>
          <w:sz w:val="28"/>
          <w:szCs w:val="28"/>
        </w:rPr>
        <w:t>表</w:t>
      </w:r>
      <w:r>
        <w:rPr>
          <w:rFonts w:asciiTheme="minorHAnsi" w:eastAsiaTheme="minorEastAsia" w:hAnsiTheme="minorHAnsi" w:cstheme="minorBidi" w:hint="eastAsia"/>
          <w:b/>
          <w:sz w:val="28"/>
          <w:szCs w:val="28"/>
        </w:rPr>
        <w:t xml:space="preserve">1. </w:t>
      </w:r>
      <w:r>
        <w:rPr>
          <w:rFonts w:asciiTheme="minorHAnsi" w:eastAsiaTheme="minorEastAsia" w:hAnsiTheme="minorHAnsi" w:cstheme="minorBidi"/>
          <w:b/>
          <w:sz w:val="28"/>
          <w:szCs w:val="28"/>
        </w:rPr>
        <w:t xml:space="preserve">    </w:t>
      </w:r>
      <w:r>
        <w:rPr>
          <w:rFonts w:asciiTheme="minorHAnsi" w:eastAsiaTheme="minorEastAsia" w:hAnsiTheme="minorHAnsi" w:cstheme="minorBidi" w:hint="eastAsia"/>
          <w:b/>
          <w:sz w:val="28"/>
          <w:szCs w:val="28"/>
        </w:rPr>
        <w:t>推荐性国家标准和行业标准比较情况</w:t>
      </w:r>
    </w:p>
    <w:p w:rsidR="004E251C" w:rsidRDefault="004E251C">
      <w:pPr>
        <w:spacing w:line="360" w:lineRule="auto"/>
        <w:rPr>
          <w:rFonts w:asciiTheme="minorEastAsia" w:eastAsiaTheme="minorEastAsia" w:hAnsiTheme="minorEastAsia"/>
          <w:b/>
          <w:sz w:val="28"/>
          <w:szCs w:val="28"/>
        </w:rPr>
      </w:pPr>
    </w:p>
    <w:tbl>
      <w:tblPr>
        <w:tblW w:w="13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90"/>
        <w:gridCol w:w="1612"/>
        <w:gridCol w:w="1350"/>
        <w:gridCol w:w="1320"/>
        <w:gridCol w:w="1305"/>
        <w:gridCol w:w="1623"/>
        <w:gridCol w:w="1305"/>
        <w:gridCol w:w="1320"/>
        <w:gridCol w:w="1215"/>
        <w:gridCol w:w="1215"/>
      </w:tblGrid>
      <w:tr w:rsidR="004E251C">
        <w:trPr>
          <w:trHeight w:val="1167"/>
          <w:jc w:val="center"/>
        </w:trPr>
        <w:tc>
          <w:tcPr>
            <w:tcW w:w="1290"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标准名称</w:t>
            </w:r>
            <w:r>
              <w:rPr>
                <w:rFonts w:ascii="楷体" w:eastAsia="楷体" w:hAnsi="楷体" w:cs="楷体" w:hint="eastAsia"/>
                <w:b/>
                <w:bCs/>
                <w:sz w:val="18"/>
                <w:szCs w:val="21"/>
              </w:rPr>
              <w:br/>
              <w:t>（标准号）</w:t>
            </w:r>
          </w:p>
        </w:tc>
        <w:tc>
          <w:tcPr>
            <w:tcW w:w="1612"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《植物奶》团体标准</w:t>
            </w:r>
          </w:p>
        </w:tc>
        <w:tc>
          <w:tcPr>
            <w:tcW w:w="1350"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植物蛋白饮料 豆奶和豆奶饮料</w:t>
            </w:r>
            <w:r>
              <w:rPr>
                <w:rFonts w:ascii="楷体" w:eastAsia="楷体" w:hAnsi="楷体" w:cs="楷体" w:hint="eastAsia"/>
                <w:b/>
                <w:bCs/>
                <w:sz w:val="18"/>
                <w:szCs w:val="21"/>
              </w:rPr>
              <w:br/>
              <w:t>（GB/T 30885-2014 ）</w:t>
            </w:r>
          </w:p>
        </w:tc>
        <w:tc>
          <w:tcPr>
            <w:tcW w:w="1320"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植物蛋白饮料</w:t>
            </w:r>
          </w:p>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杏仁露</w:t>
            </w:r>
            <w:r>
              <w:rPr>
                <w:rFonts w:ascii="楷体" w:eastAsia="楷体" w:hAnsi="楷体" w:cs="楷体" w:hint="eastAsia"/>
                <w:b/>
                <w:bCs/>
                <w:sz w:val="18"/>
                <w:szCs w:val="21"/>
              </w:rPr>
              <w:br/>
              <w:t>（GB/T 31324-2014）</w:t>
            </w:r>
          </w:p>
        </w:tc>
        <w:tc>
          <w:tcPr>
            <w:tcW w:w="1305"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植物蛋白饮料</w:t>
            </w:r>
          </w:p>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核桃露（乳）</w:t>
            </w:r>
            <w:r>
              <w:rPr>
                <w:rFonts w:ascii="楷体" w:eastAsia="楷体" w:hAnsi="楷体" w:cs="楷体" w:hint="eastAsia"/>
                <w:b/>
                <w:bCs/>
                <w:sz w:val="18"/>
                <w:szCs w:val="21"/>
              </w:rPr>
              <w:br/>
              <w:t>（GB/T 31325-2014）</w:t>
            </w:r>
          </w:p>
        </w:tc>
        <w:tc>
          <w:tcPr>
            <w:tcW w:w="1623"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植物蛋白饮料</w:t>
            </w:r>
          </w:p>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豆奶(豆浆)和豆奶饮料（QB/T 2132-2008）</w:t>
            </w:r>
          </w:p>
        </w:tc>
        <w:tc>
          <w:tcPr>
            <w:tcW w:w="1305"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植物蛋白饮料 杏仁露</w:t>
            </w:r>
            <w:r>
              <w:rPr>
                <w:rFonts w:ascii="楷体" w:eastAsia="楷体" w:hAnsi="楷体" w:cs="楷体" w:hint="eastAsia"/>
                <w:b/>
                <w:bCs/>
                <w:sz w:val="18"/>
                <w:szCs w:val="21"/>
              </w:rPr>
              <w:br/>
              <w:t>（QB/T 2438-2006)</w:t>
            </w:r>
          </w:p>
        </w:tc>
        <w:tc>
          <w:tcPr>
            <w:tcW w:w="1320"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植物蛋白饮料</w:t>
            </w:r>
          </w:p>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 xml:space="preserve"> 椰子汁及复原椰子汁</w:t>
            </w:r>
            <w:r>
              <w:rPr>
                <w:rFonts w:ascii="楷体" w:eastAsia="楷体" w:hAnsi="楷体" w:cs="楷体" w:hint="eastAsia"/>
                <w:b/>
                <w:bCs/>
                <w:sz w:val="18"/>
                <w:szCs w:val="21"/>
              </w:rPr>
              <w:br/>
              <w:t>（QB/T 2300-2006 ）</w:t>
            </w:r>
          </w:p>
        </w:tc>
        <w:tc>
          <w:tcPr>
            <w:tcW w:w="1215"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植物蛋白饮料 花生乳（露）</w:t>
            </w:r>
            <w:r>
              <w:rPr>
                <w:rFonts w:ascii="楷体" w:eastAsia="楷体" w:hAnsi="楷体" w:cs="楷体" w:hint="eastAsia"/>
                <w:b/>
                <w:bCs/>
                <w:sz w:val="18"/>
                <w:szCs w:val="21"/>
              </w:rPr>
              <w:br/>
              <w:t>（QB/T 2439-1999)</w:t>
            </w:r>
          </w:p>
        </w:tc>
        <w:tc>
          <w:tcPr>
            <w:tcW w:w="1215" w:type="dxa"/>
            <w:vAlign w:val="center"/>
          </w:tcPr>
          <w:p w:rsidR="004E251C" w:rsidRDefault="00365015">
            <w:pPr>
              <w:adjustRightInd w:val="0"/>
              <w:snapToGrid w:val="0"/>
              <w:spacing w:line="140" w:lineRule="atLeast"/>
              <w:jc w:val="center"/>
              <w:rPr>
                <w:rFonts w:ascii="楷体" w:eastAsia="楷体" w:hAnsi="楷体" w:cs="楷体"/>
                <w:b/>
                <w:bCs/>
                <w:sz w:val="18"/>
                <w:szCs w:val="21"/>
              </w:rPr>
            </w:pPr>
            <w:r>
              <w:rPr>
                <w:rFonts w:ascii="楷体" w:eastAsia="楷体" w:hAnsi="楷体" w:cs="楷体" w:hint="eastAsia"/>
                <w:b/>
                <w:bCs/>
                <w:sz w:val="18"/>
                <w:szCs w:val="21"/>
              </w:rPr>
              <w:t>植物蛋白饮料 核桃乳(QB/T 2301-1997)</w:t>
            </w:r>
          </w:p>
        </w:tc>
      </w:tr>
      <w:tr w:rsidR="004E251C">
        <w:trPr>
          <w:trHeight w:val="504"/>
          <w:jc w:val="center"/>
        </w:trPr>
        <w:tc>
          <w:tcPr>
            <w:tcW w:w="1290" w:type="dxa"/>
            <w:vAlign w:val="center"/>
          </w:tcPr>
          <w:p w:rsidR="004E251C" w:rsidRDefault="00365015">
            <w:pPr>
              <w:adjustRightInd w:val="0"/>
              <w:snapToGrid w:val="0"/>
              <w:spacing w:line="140" w:lineRule="atLeast"/>
              <w:jc w:val="center"/>
              <w:rPr>
                <w:rFonts w:ascii="楷体" w:eastAsia="楷体" w:hAnsi="楷体" w:cs="楷体"/>
                <w:b/>
                <w:bCs/>
                <w:sz w:val="16"/>
              </w:rPr>
            </w:pPr>
            <w:r>
              <w:rPr>
                <w:rFonts w:ascii="楷体" w:eastAsia="楷体" w:hAnsi="楷体" w:cs="楷体" w:hint="eastAsia"/>
                <w:b/>
                <w:bCs/>
                <w:sz w:val="16"/>
              </w:rPr>
              <w:t>总固形物/(%)≥</w:t>
            </w:r>
          </w:p>
        </w:tc>
        <w:tc>
          <w:tcPr>
            <w:tcW w:w="1612" w:type="dxa"/>
            <w:vAlign w:val="center"/>
          </w:tcPr>
          <w:p w:rsidR="004E251C" w:rsidRDefault="00365015">
            <w:pPr>
              <w:adjustRightInd w:val="0"/>
              <w:snapToGrid w:val="0"/>
              <w:spacing w:line="140" w:lineRule="atLeast"/>
              <w:jc w:val="center"/>
              <w:rPr>
                <w:rFonts w:ascii="楷体" w:eastAsia="楷体" w:hAnsi="楷体" w:cs="楷体"/>
                <w:sz w:val="18"/>
                <w:szCs w:val="18"/>
                <w:highlight w:val="green"/>
              </w:rPr>
            </w:pPr>
            <w:r>
              <w:rPr>
                <w:rFonts w:ascii="楷体" w:eastAsia="楷体" w:hAnsi="楷体" w:cs="楷体" w:hint="eastAsia"/>
                <w:sz w:val="18"/>
                <w:szCs w:val="18"/>
              </w:rPr>
              <w:t>未做规定</w:t>
            </w:r>
          </w:p>
        </w:tc>
        <w:tc>
          <w:tcPr>
            <w:tcW w:w="1350"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豆奶：4.0</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未做具体规定</w:t>
            </w:r>
          </w:p>
        </w:tc>
        <w:tc>
          <w:tcPr>
            <w:tcW w:w="130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未做具体规定</w:t>
            </w:r>
          </w:p>
        </w:tc>
        <w:tc>
          <w:tcPr>
            <w:tcW w:w="1623"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豆奶：4.0</w:t>
            </w:r>
          </w:p>
        </w:tc>
        <w:tc>
          <w:tcPr>
            <w:tcW w:w="130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未做具体规定</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未做具体规定</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未做具体规定</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未做具体规定</w:t>
            </w:r>
          </w:p>
        </w:tc>
      </w:tr>
      <w:tr w:rsidR="004E251C">
        <w:trPr>
          <w:trHeight w:val="623"/>
          <w:jc w:val="center"/>
        </w:trPr>
        <w:tc>
          <w:tcPr>
            <w:tcW w:w="1290" w:type="dxa"/>
            <w:vAlign w:val="center"/>
          </w:tcPr>
          <w:p w:rsidR="004E251C" w:rsidRDefault="00365015">
            <w:pPr>
              <w:adjustRightInd w:val="0"/>
              <w:snapToGrid w:val="0"/>
              <w:spacing w:line="140" w:lineRule="atLeast"/>
              <w:jc w:val="center"/>
              <w:rPr>
                <w:rFonts w:ascii="楷体" w:eastAsia="楷体" w:hAnsi="楷体" w:cs="楷体"/>
                <w:b/>
                <w:bCs/>
                <w:sz w:val="16"/>
              </w:rPr>
            </w:pPr>
            <w:r>
              <w:rPr>
                <w:rFonts w:ascii="楷体" w:eastAsia="楷体" w:hAnsi="楷体" w:cs="楷体" w:hint="eastAsia"/>
                <w:b/>
                <w:bCs/>
                <w:sz w:val="16"/>
              </w:rPr>
              <w:t>可溶性固形物/(%)≥</w:t>
            </w:r>
          </w:p>
        </w:tc>
        <w:tc>
          <w:tcPr>
            <w:tcW w:w="1612" w:type="dxa"/>
            <w:vAlign w:val="center"/>
          </w:tcPr>
          <w:p w:rsidR="004E251C" w:rsidRDefault="00365015">
            <w:pPr>
              <w:jc w:val="center"/>
            </w:pPr>
            <w:r>
              <w:rPr>
                <w:rFonts w:ascii="楷体" w:eastAsia="楷体" w:hAnsi="楷体" w:cs="楷体" w:hint="eastAsia"/>
                <w:sz w:val="18"/>
                <w:szCs w:val="18"/>
              </w:rPr>
              <w:t>未做规定</w:t>
            </w:r>
          </w:p>
        </w:tc>
        <w:tc>
          <w:tcPr>
            <w:tcW w:w="1350" w:type="dxa"/>
            <w:vAlign w:val="center"/>
          </w:tcPr>
          <w:p w:rsidR="004E251C" w:rsidRDefault="00365015">
            <w:pPr>
              <w:adjustRightInd w:val="0"/>
              <w:snapToGrid w:val="0"/>
              <w:spacing w:line="140" w:lineRule="atLeast"/>
              <w:jc w:val="center"/>
              <w:rPr>
                <w:rFonts w:ascii="楷体" w:eastAsia="楷体" w:hAnsi="楷体" w:cs="楷体"/>
                <w:sz w:val="20"/>
                <w:szCs w:val="22"/>
              </w:rPr>
            </w:pPr>
            <w:r>
              <w:rPr>
                <w:rFonts w:ascii="楷体" w:eastAsia="楷体" w:hAnsi="楷体" w:cs="楷体" w:hint="eastAsia"/>
                <w:sz w:val="20"/>
                <w:szCs w:val="22"/>
              </w:rPr>
              <w:t>未做具体规定</w:t>
            </w:r>
          </w:p>
        </w:tc>
        <w:tc>
          <w:tcPr>
            <w:tcW w:w="1320" w:type="dxa"/>
            <w:vAlign w:val="center"/>
          </w:tcPr>
          <w:p w:rsidR="004E251C" w:rsidRDefault="00365015">
            <w:pPr>
              <w:adjustRightInd w:val="0"/>
              <w:snapToGrid w:val="0"/>
              <w:spacing w:line="140" w:lineRule="atLeast"/>
              <w:jc w:val="center"/>
              <w:rPr>
                <w:rFonts w:ascii="楷体" w:eastAsia="楷体" w:hAnsi="楷体" w:cs="楷体"/>
                <w:sz w:val="20"/>
                <w:szCs w:val="22"/>
              </w:rPr>
            </w:pPr>
            <w:r>
              <w:rPr>
                <w:rFonts w:ascii="楷体" w:eastAsia="楷体" w:hAnsi="楷体" w:cs="楷体" w:hint="eastAsia"/>
                <w:sz w:val="20"/>
                <w:szCs w:val="22"/>
              </w:rPr>
              <w:t>未做具体规定</w:t>
            </w:r>
          </w:p>
        </w:tc>
        <w:tc>
          <w:tcPr>
            <w:tcW w:w="1305" w:type="dxa"/>
            <w:vAlign w:val="center"/>
          </w:tcPr>
          <w:p w:rsidR="004E251C" w:rsidRDefault="00365015">
            <w:pPr>
              <w:adjustRightInd w:val="0"/>
              <w:snapToGrid w:val="0"/>
              <w:spacing w:line="140" w:lineRule="atLeast"/>
              <w:jc w:val="center"/>
              <w:rPr>
                <w:rFonts w:ascii="楷体" w:eastAsia="楷体" w:hAnsi="楷体" w:cs="楷体"/>
                <w:sz w:val="16"/>
              </w:rPr>
            </w:pPr>
            <w:r>
              <w:rPr>
                <w:rFonts w:ascii="楷体" w:eastAsia="楷体" w:hAnsi="楷体" w:cs="楷体" w:hint="eastAsia"/>
                <w:sz w:val="16"/>
              </w:rPr>
              <w:t>未做具体规定</w:t>
            </w:r>
          </w:p>
        </w:tc>
        <w:tc>
          <w:tcPr>
            <w:tcW w:w="1623" w:type="dxa"/>
            <w:vAlign w:val="center"/>
          </w:tcPr>
          <w:p w:rsidR="004E251C" w:rsidRDefault="00365015">
            <w:pPr>
              <w:adjustRightInd w:val="0"/>
              <w:snapToGrid w:val="0"/>
              <w:spacing w:line="140" w:lineRule="atLeast"/>
              <w:jc w:val="center"/>
              <w:rPr>
                <w:rFonts w:ascii="楷体" w:eastAsia="楷体" w:hAnsi="楷体" w:cs="楷体"/>
                <w:sz w:val="20"/>
                <w:szCs w:val="22"/>
              </w:rPr>
            </w:pPr>
            <w:r>
              <w:rPr>
                <w:rFonts w:ascii="楷体" w:eastAsia="楷体" w:hAnsi="楷体" w:cs="楷体" w:hint="eastAsia"/>
                <w:sz w:val="20"/>
                <w:szCs w:val="22"/>
              </w:rPr>
              <w:t>未做具体规定</w:t>
            </w:r>
          </w:p>
        </w:tc>
        <w:tc>
          <w:tcPr>
            <w:tcW w:w="1305" w:type="dxa"/>
            <w:vAlign w:val="center"/>
          </w:tcPr>
          <w:p w:rsidR="004E251C" w:rsidRDefault="00365015">
            <w:pPr>
              <w:adjustRightInd w:val="0"/>
              <w:snapToGrid w:val="0"/>
              <w:spacing w:line="140" w:lineRule="atLeast"/>
              <w:jc w:val="center"/>
              <w:rPr>
                <w:rFonts w:ascii="楷体" w:eastAsia="楷体" w:hAnsi="楷体" w:cs="楷体"/>
                <w:sz w:val="16"/>
              </w:rPr>
            </w:pPr>
            <w:r>
              <w:rPr>
                <w:rFonts w:ascii="楷体" w:eastAsia="楷体" w:hAnsi="楷体" w:cs="楷体" w:hint="eastAsia"/>
                <w:sz w:val="16"/>
              </w:rPr>
              <w:t>普通型：8.0 ；低糖型：4.0～6.0；无糖型:--</w:t>
            </w:r>
          </w:p>
        </w:tc>
        <w:tc>
          <w:tcPr>
            <w:tcW w:w="1320" w:type="dxa"/>
            <w:vAlign w:val="center"/>
          </w:tcPr>
          <w:p w:rsidR="004E251C" w:rsidRDefault="00365015">
            <w:pPr>
              <w:adjustRightInd w:val="0"/>
              <w:snapToGrid w:val="0"/>
              <w:spacing w:line="140" w:lineRule="atLeast"/>
              <w:jc w:val="center"/>
              <w:rPr>
                <w:rFonts w:ascii="楷体" w:eastAsia="楷体" w:hAnsi="楷体" w:cs="楷体"/>
                <w:sz w:val="16"/>
              </w:rPr>
            </w:pPr>
            <w:r>
              <w:rPr>
                <w:rFonts w:ascii="楷体" w:eastAsia="楷体" w:hAnsi="楷体" w:cs="楷体" w:hint="eastAsia"/>
                <w:sz w:val="16"/>
              </w:rPr>
              <w:t>8.0</w:t>
            </w:r>
          </w:p>
        </w:tc>
        <w:tc>
          <w:tcPr>
            <w:tcW w:w="1215" w:type="dxa"/>
            <w:vAlign w:val="center"/>
          </w:tcPr>
          <w:p w:rsidR="004E251C" w:rsidRDefault="00365015">
            <w:pPr>
              <w:adjustRightInd w:val="0"/>
              <w:snapToGrid w:val="0"/>
              <w:spacing w:line="140" w:lineRule="atLeast"/>
              <w:jc w:val="center"/>
              <w:rPr>
                <w:rFonts w:ascii="楷体" w:eastAsia="楷体" w:hAnsi="楷体" w:cs="楷体"/>
                <w:sz w:val="16"/>
              </w:rPr>
            </w:pPr>
            <w:r>
              <w:rPr>
                <w:rFonts w:ascii="楷体" w:eastAsia="楷体" w:hAnsi="楷体" w:cs="楷体" w:hint="eastAsia"/>
                <w:sz w:val="16"/>
              </w:rPr>
              <w:t>清淡型：4.0；浓甜型：8.0</w:t>
            </w:r>
          </w:p>
        </w:tc>
        <w:tc>
          <w:tcPr>
            <w:tcW w:w="1215" w:type="dxa"/>
            <w:vAlign w:val="center"/>
          </w:tcPr>
          <w:p w:rsidR="004E251C" w:rsidRDefault="00365015">
            <w:pPr>
              <w:adjustRightInd w:val="0"/>
              <w:snapToGrid w:val="0"/>
              <w:spacing w:line="140" w:lineRule="atLeast"/>
              <w:jc w:val="center"/>
              <w:rPr>
                <w:rFonts w:ascii="楷体" w:eastAsia="楷体" w:hAnsi="楷体" w:cs="楷体"/>
                <w:sz w:val="16"/>
              </w:rPr>
            </w:pPr>
            <w:r>
              <w:rPr>
                <w:rFonts w:ascii="楷体" w:eastAsia="楷体" w:hAnsi="楷体" w:cs="楷体" w:hint="eastAsia"/>
                <w:sz w:val="16"/>
              </w:rPr>
              <w:t>一级A型：≥7.5；一级B型：＜7.5；二级A型：≥7.0；二级B型：＜7.0</w:t>
            </w:r>
          </w:p>
        </w:tc>
      </w:tr>
      <w:tr w:rsidR="004E251C">
        <w:trPr>
          <w:trHeight w:val="347"/>
          <w:jc w:val="center"/>
        </w:trPr>
        <w:tc>
          <w:tcPr>
            <w:tcW w:w="1290" w:type="dxa"/>
            <w:vAlign w:val="center"/>
          </w:tcPr>
          <w:p w:rsidR="004E251C" w:rsidRDefault="00365015">
            <w:pPr>
              <w:adjustRightInd w:val="0"/>
              <w:snapToGrid w:val="0"/>
              <w:spacing w:line="140" w:lineRule="atLeast"/>
              <w:jc w:val="center"/>
              <w:rPr>
                <w:rFonts w:ascii="楷体" w:eastAsia="楷体" w:hAnsi="楷体" w:cs="楷体"/>
                <w:b/>
                <w:bCs/>
                <w:sz w:val="16"/>
              </w:rPr>
            </w:pPr>
            <w:r>
              <w:rPr>
                <w:rFonts w:ascii="楷体" w:eastAsia="楷体" w:hAnsi="楷体" w:cs="楷体" w:hint="eastAsia"/>
                <w:b/>
                <w:bCs/>
                <w:sz w:val="16"/>
              </w:rPr>
              <w:t>糖（单、双糖）/（%）≤</w:t>
            </w:r>
          </w:p>
        </w:tc>
        <w:tc>
          <w:tcPr>
            <w:tcW w:w="1612" w:type="dxa"/>
            <w:vAlign w:val="center"/>
          </w:tcPr>
          <w:p w:rsidR="004E251C" w:rsidRDefault="00365015">
            <w:pPr>
              <w:jc w:val="center"/>
            </w:pPr>
            <w:r>
              <w:rPr>
                <w:rFonts w:ascii="楷体" w:eastAsia="楷体" w:hAnsi="楷体" w:cs="楷体" w:hint="eastAsia"/>
                <w:sz w:val="18"/>
                <w:szCs w:val="18"/>
              </w:rPr>
              <w:t>未做规定</w:t>
            </w:r>
          </w:p>
        </w:tc>
        <w:tc>
          <w:tcPr>
            <w:tcW w:w="1350"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305"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623"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305"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r>
      <w:tr w:rsidR="004E251C">
        <w:trPr>
          <w:trHeight w:val="253"/>
          <w:jc w:val="center"/>
        </w:trPr>
        <w:tc>
          <w:tcPr>
            <w:tcW w:w="1290" w:type="dxa"/>
            <w:vAlign w:val="center"/>
          </w:tcPr>
          <w:p w:rsidR="004E251C" w:rsidRDefault="00365015">
            <w:pPr>
              <w:adjustRightInd w:val="0"/>
              <w:snapToGrid w:val="0"/>
              <w:spacing w:line="140" w:lineRule="atLeast"/>
              <w:jc w:val="center"/>
              <w:rPr>
                <w:rFonts w:ascii="楷体" w:eastAsia="楷体" w:hAnsi="楷体" w:cs="楷体"/>
                <w:b/>
                <w:bCs/>
                <w:sz w:val="16"/>
              </w:rPr>
            </w:pPr>
            <w:r>
              <w:rPr>
                <w:rFonts w:ascii="楷体" w:eastAsia="楷体" w:hAnsi="楷体" w:cs="楷体" w:hint="eastAsia"/>
                <w:b/>
                <w:bCs/>
                <w:sz w:val="16"/>
              </w:rPr>
              <w:t>pH值（20℃）</w:t>
            </w:r>
          </w:p>
        </w:tc>
        <w:tc>
          <w:tcPr>
            <w:tcW w:w="1612" w:type="dxa"/>
            <w:vAlign w:val="center"/>
          </w:tcPr>
          <w:p w:rsidR="004E251C" w:rsidRDefault="00365015">
            <w:pPr>
              <w:jc w:val="center"/>
            </w:pPr>
            <w:r>
              <w:rPr>
                <w:rFonts w:ascii="楷体" w:eastAsia="楷体" w:hAnsi="楷体" w:cs="楷体" w:hint="eastAsia"/>
                <w:sz w:val="18"/>
                <w:szCs w:val="18"/>
              </w:rPr>
              <w:t>未做规定</w:t>
            </w:r>
          </w:p>
        </w:tc>
        <w:tc>
          <w:tcPr>
            <w:tcW w:w="1350"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305"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623"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305"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6.6～8.5</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6.0～8.0</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21"/>
              </w:rPr>
            </w:pPr>
            <w:r>
              <w:rPr>
                <w:rFonts w:ascii="楷体" w:eastAsia="楷体" w:hAnsi="楷体" w:cs="楷体" w:hint="eastAsia"/>
                <w:sz w:val="18"/>
                <w:szCs w:val="21"/>
              </w:rPr>
              <w:t>未做具体规定</w:t>
            </w:r>
          </w:p>
        </w:tc>
      </w:tr>
      <w:tr w:rsidR="004E251C">
        <w:trPr>
          <w:trHeight w:val="664"/>
          <w:jc w:val="center"/>
        </w:trPr>
        <w:tc>
          <w:tcPr>
            <w:tcW w:w="1290" w:type="dxa"/>
            <w:vAlign w:val="center"/>
          </w:tcPr>
          <w:p w:rsidR="004E251C" w:rsidRDefault="00365015">
            <w:pPr>
              <w:adjustRightInd w:val="0"/>
              <w:snapToGrid w:val="0"/>
              <w:spacing w:line="140" w:lineRule="atLeast"/>
              <w:jc w:val="center"/>
              <w:rPr>
                <w:rFonts w:ascii="楷体" w:eastAsia="楷体" w:hAnsi="楷体" w:cs="楷体"/>
                <w:b/>
                <w:bCs/>
                <w:sz w:val="16"/>
              </w:rPr>
            </w:pPr>
            <w:r>
              <w:rPr>
                <w:rFonts w:ascii="楷体" w:eastAsia="楷体" w:hAnsi="楷体" w:cs="楷体" w:hint="eastAsia"/>
                <w:b/>
                <w:bCs/>
                <w:sz w:val="16"/>
              </w:rPr>
              <w:t>蛋白质/（%）                      ≥</w:t>
            </w:r>
          </w:p>
        </w:tc>
        <w:tc>
          <w:tcPr>
            <w:tcW w:w="1612"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2.3</w:t>
            </w:r>
          </w:p>
        </w:tc>
        <w:tc>
          <w:tcPr>
            <w:tcW w:w="1350"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豆奶：2.0</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0.55</w:t>
            </w:r>
          </w:p>
        </w:tc>
        <w:tc>
          <w:tcPr>
            <w:tcW w:w="1305" w:type="dxa"/>
            <w:vAlign w:val="center"/>
          </w:tcPr>
          <w:p w:rsidR="004E251C" w:rsidRDefault="00365015">
            <w:pPr>
              <w:adjustRightInd w:val="0"/>
              <w:snapToGrid w:val="0"/>
              <w:spacing w:line="140" w:lineRule="atLeast"/>
              <w:jc w:val="center"/>
              <w:rPr>
                <w:sz w:val="18"/>
                <w:szCs w:val="18"/>
              </w:rPr>
            </w:pPr>
            <w:r>
              <w:rPr>
                <w:rFonts w:ascii="楷体" w:eastAsia="楷体" w:hAnsi="楷体" w:cs="楷体" w:hint="eastAsia"/>
                <w:sz w:val="18"/>
                <w:szCs w:val="18"/>
              </w:rPr>
              <w:t>0.55</w:t>
            </w:r>
          </w:p>
        </w:tc>
        <w:tc>
          <w:tcPr>
            <w:tcW w:w="1623"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豆奶：2.0</w:t>
            </w:r>
          </w:p>
        </w:tc>
        <w:tc>
          <w:tcPr>
            <w:tcW w:w="130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0.5</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0.5</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0.8</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一级：0.8</w:t>
            </w:r>
          </w:p>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二级：0.5</w:t>
            </w:r>
          </w:p>
        </w:tc>
      </w:tr>
      <w:tr w:rsidR="004E251C">
        <w:trPr>
          <w:trHeight w:val="1016"/>
          <w:jc w:val="center"/>
        </w:trPr>
        <w:tc>
          <w:tcPr>
            <w:tcW w:w="1290" w:type="dxa"/>
            <w:vAlign w:val="center"/>
          </w:tcPr>
          <w:p w:rsidR="004E251C" w:rsidRDefault="00365015">
            <w:pPr>
              <w:adjustRightInd w:val="0"/>
              <w:snapToGrid w:val="0"/>
              <w:spacing w:line="140" w:lineRule="atLeast"/>
              <w:jc w:val="center"/>
              <w:rPr>
                <w:rFonts w:ascii="楷体" w:eastAsia="楷体" w:hAnsi="楷体" w:cs="楷体"/>
                <w:b/>
                <w:bCs/>
                <w:sz w:val="16"/>
              </w:rPr>
            </w:pPr>
            <w:r>
              <w:rPr>
                <w:rFonts w:ascii="楷体" w:eastAsia="楷体" w:hAnsi="楷体" w:cs="楷体" w:hint="eastAsia"/>
                <w:b/>
                <w:bCs/>
                <w:sz w:val="16"/>
              </w:rPr>
              <w:t>脂肪/（%）                   ≥</w:t>
            </w:r>
          </w:p>
        </w:tc>
        <w:tc>
          <w:tcPr>
            <w:tcW w:w="1612" w:type="dxa"/>
            <w:vAlign w:val="center"/>
          </w:tcPr>
          <w:p w:rsidR="004E251C" w:rsidRDefault="00365015">
            <w:pPr>
              <w:adjustRightInd w:val="0"/>
              <w:snapToGrid w:val="0"/>
              <w:spacing w:line="140" w:lineRule="atLeast"/>
              <w:ind w:firstLineChars="400" w:firstLine="720"/>
              <w:rPr>
                <w:rFonts w:ascii="楷体" w:eastAsia="楷体" w:hAnsi="楷体" w:cs="楷体"/>
                <w:sz w:val="18"/>
                <w:szCs w:val="18"/>
              </w:rPr>
            </w:pPr>
            <w:r>
              <w:rPr>
                <w:rFonts w:ascii="楷体" w:eastAsia="楷体" w:hAnsi="楷体" w:cs="楷体" w:hint="eastAsia"/>
                <w:sz w:val="18"/>
                <w:szCs w:val="18"/>
              </w:rPr>
              <w:t>0.8</w:t>
            </w:r>
          </w:p>
        </w:tc>
        <w:tc>
          <w:tcPr>
            <w:tcW w:w="1350"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豆奶：0.8</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1.3</w:t>
            </w:r>
          </w:p>
        </w:tc>
        <w:tc>
          <w:tcPr>
            <w:tcW w:w="130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2.0</w:t>
            </w:r>
          </w:p>
        </w:tc>
        <w:tc>
          <w:tcPr>
            <w:tcW w:w="1623"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豆奶：0.8</w:t>
            </w:r>
          </w:p>
        </w:tc>
        <w:tc>
          <w:tcPr>
            <w:tcW w:w="130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1.0</w:t>
            </w:r>
          </w:p>
        </w:tc>
        <w:tc>
          <w:tcPr>
            <w:tcW w:w="1320"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1.0</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1.0</w:t>
            </w:r>
          </w:p>
        </w:tc>
        <w:tc>
          <w:tcPr>
            <w:tcW w:w="1215" w:type="dxa"/>
            <w:vAlign w:val="center"/>
          </w:tcPr>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一级：2.0</w:t>
            </w:r>
          </w:p>
          <w:p w:rsidR="004E251C" w:rsidRDefault="00365015">
            <w:pPr>
              <w:adjustRightInd w:val="0"/>
              <w:snapToGrid w:val="0"/>
              <w:spacing w:line="140" w:lineRule="atLeast"/>
              <w:jc w:val="center"/>
              <w:rPr>
                <w:rFonts w:ascii="楷体" w:eastAsia="楷体" w:hAnsi="楷体" w:cs="楷体"/>
                <w:sz w:val="18"/>
                <w:szCs w:val="18"/>
              </w:rPr>
            </w:pPr>
            <w:r>
              <w:rPr>
                <w:rFonts w:ascii="楷体" w:eastAsia="楷体" w:hAnsi="楷体" w:cs="楷体" w:hint="eastAsia"/>
                <w:sz w:val="18"/>
                <w:szCs w:val="18"/>
              </w:rPr>
              <w:t>二级：1.2</w:t>
            </w:r>
          </w:p>
        </w:tc>
      </w:tr>
    </w:tbl>
    <w:p w:rsidR="004E251C" w:rsidRDefault="004E251C">
      <w:pPr>
        <w:spacing w:line="360" w:lineRule="auto"/>
        <w:rPr>
          <w:rFonts w:asciiTheme="minorEastAsia" w:eastAsiaTheme="minorEastAsia" w:hAnsiTheme="minorEastAsia"/>
          <w:b/>
          <w:sz w:val="28"/>
          <w:szCs w:val="28"/>
        </w:rPr>
        <w:sectPr w:rsidR="004E251C">
          <w:pgSz w:w="16838" w:h="11906" w:orient="landscape"/>
          <w:pgMar w:top="567" w:right="1134" w:bottom="1134" w:left="1417" w:header="851" w:footer="992" w:gutter="0"/>
          <w:cols w:space="425"/>
          <w:docGrid w:type="lines" w:linePitch="312"/>
        </w:sectPr>
      </w:pPr>
    </w:p>
    <w:p w:rsidR="004E251C" w:rsidRDefault="00365015">
      <w:pPr>
        <w:spacing w:beforeLines="50" w:before="156" w:afterLines="50" w:after="156" w:line="560" w:lineRule="exact"/>
        <w:rPr>
          <w:rFonts w:ascii="仿宋_GB2312" w:eastAsia="仿宋_GB2312" w:hAnsi="宋体" w:cs="宋体"/>
          <w:sz w:val="32"/>
          <w:szCs w:val="32"/>
        </w:rPr>
      </w:pPr>
      <w:r>
        <w:rPr>
          <w:rFonts w:asciiTheme="minorEastAsia" w:eastAsiaTheme="minorEastAsia" w:hAnsiTheme="minorEastAsia" w:hint="eastAsia"/>
          <w:b/>
          <w:sz w:val="28"/>
          <w:szCs w:val="28"/>
        </w:rPr>
        <w:lastRenderedPageBreak/>
        <w:t>五、与我国有关法律法规和其他标准的关系</w:t>
      </w:r>
      <w:r>
        <w:rPr>
          <w:rFonts w:ascii="楷体_GB2312" w:eastAsia="楷体_GB2312" w:hAnsi="宋体" w:cs="黑体"/>
          <w:sz w:val="32"/>
          <w:szCs w:val="32"/>
        </w:rPr>
        <w:t xml:space="preserve"> </w:t>
      </w:r>
    </w:p>
    <w:p w:rsidR="004E251C" w:rsidRDefault="00365015">
      <w:pPr>
        <w:widowControl/>
        <w:ind w:firstLineChars="200" w:firstLine="560"/>
        <w:rPr>
          <w:rFonts w:ascii="宋体" w:hAnsi="宋体"/>
          <w:sz w:val="28"/>
          <w:szCs w:val="28"/>
        </w:rPr>
      </w:pPr>
      <w:r>
        <w:rPr>
          <w:rFonts w:ascii="宋体" w:hAnsi="宋体" w:hint="eastAsia"/>
          <w:sz w:val="28"/>
          <w:szCs w:val="28"/>
        </w:rPr>
        <w:t>本标准编制依据《中华人民共和国食品安全法》及其实施条例、《中华人民共和国标准化法》等相关法律、法规、规章和规定；与强制性国家标准</w:t>
      </w:r>
      <w:r>
        <w:rPr>
          <w:rFonts w:ascii="宋体" w:hAnsi="宋体"/>
          <w:sz w:val="28"/>
          <w:szCs w:val="28"/>
        </w:rPr>
        <w:t>GB 7101-2015</w:t>
      </w:r>
      <w:r>
        <w:rPr>
          <w:rFonts w:ascii="宋体" w:hAnsi="宋体" w:hint="eastAsia"/>
          <w:sz w:val="28"/>
          <w:szCs w:val="28"/>
        </w:rPr>
        <w:t>《食品安全国家标准</w:t>
      </w:r>
      <w:r>
        <w:rPr>
          <w:rFonts w:ascii="宋体" w:hAnsi="宋体"/>
          <w:sz w:val="28"/>
          <w:szCs w:val="28"/>
        </w:rPr>
        <w:t xml:space="preserve"> </w:t>
      </w:r>
      <w:r>
        <w:rPr>
          <w:rFonts w:ascii="宋体" w:hAnsi="宋体" w:hint="eastAsia"/>
          <w:sz w:val="28"/>
          <w:szCs w:val="28"/>
        </w:rPr>
        <w:t>饮料》、</w:t>
      </w:r>
      <w:r>
        <w:rPr>
          <w:rFonts w:ascii="宋体" w:hAnsi="宋体"/>
          <w:sz w:val="28"/>
          <w:szCs w:val="28"/>
        </w:rPr>
        <w:t>GB 2760-2014</w:t>
      </w:r>
      <w:r>
        <w:rPr>
          <w:rFonts w:ascii="宋体" w:hAnsi="宋体" w:hint="eastAsia"/>
          <w:sz w:val="28"/>
          <w:szCs w:val="28"/>
        </w:rPr>
        <w:t>《食品安全国家标准</w:t>
      </w:r>
      <w:r>
        <w:rPr>
          <w:rFonts w:ascii="宋体" w:hAnsi="宋体"/>
          <w:sz w:val="28"/>
          <w:szCs w:val="28"/>
        </w:rPr>
        <w:t xml:space="preserve"> </w:t>
      </w:r>
      <w:r>
        <w:rPr>
          <w:rFonts w:ascii="宋体" w:hAnsi="宋体" w:hint="eastAsia"/>
          <w:sz w:val="28"/>
          <w:szCs w:val="28"/>
        </w:rPr>
        <w:t>食品添加剂使用标准》、</w:t>
      </w:r>
      <w:r>
        <w:rPr>
          <w:rFonts w:ascii="宋体" w:hAnsi="宋体"/>
          <w:sz w:val="28"/>
          <w:szCs w:val="28"/>
        </w:rPr>
        <w:t>GB 2761-2017</w:t>
      </w:r>
      <w:r>
        <w:rPr>
          <w:rFonts w:ascii="宋体" w:hAnsi="宋体" w:hint="eastAsia"/>
          <w:sz w:val="28"/>
          <w:szCs w:val="28"/>
        </w:rPr>
        <w:t>《食品安全国家标准</w:t>
      </w:r>
      <w:r>
        <w:rPr>
          <w:rFonts w:ascii="宋体" w:hAnsi="宋体"/>
          <w:sz w:val="28"/>
          <w:szCs w:val="28"/>
        </w:rPr>
        <w:t xml:space="preserve"> </w:t>
      </w:r>
      <w:r>
        <w:rPr>
          <w:rFonts w:ascii="宋体" w:hAnsi="宋体" w:hint="eastAsia"/>
          <w:sz w:val="28"/>
          <w:szCs w:val="28"/>
        </w:rPr>
        <w:t>食品中真菌毒素限量》、</w:t>
      </w:r>
      <w:r>
        <w:rPr>
          <w:rFonts w:ascii="宋体" w:hAnsi="宋体"/>
          <w:sz w:val="28"/>
          <w:szCs w:val="28"/>
        </w:rPr>
        <w:t>GB 2762-2017</w:t>
      </w:r>
      <w:r>
        <w:rPr>
          <w:rFonts w:ascii="宋体" w:hAnsi="宋体" w:hint="eastAsia"/>
          <w:sz w:val="28"/>
          <w:szCs w:val="28"/>
        </w:rPr>
        <w:t>《食品安全国家标准</w:t>
      </w:r>
      <w:r>
        <w:rPr>
          <w:rFonts w:ascii="宋体" w:hAnsi="宋体"/>
          <w:sz w:val="28"/>
          <w:szCs w:val="28"/>
        </w:rPr>
        <w:t xml:space="preserve"> </w:t>
      </w:r>
      <w:r>
        <w:rPr>
          <w:rFonts w:ascii="宋体" w:hAnsi="宋体" w:hint="eastAsia"/>
          <w:sz w:val="28"/>
          <w:szCs w:val="28"/>
        </w:rPr>
        <w:t>食品中污染物限量》、</w:t>
      </w:r>
      <w:r>
        <w:rPr>
          <w:rFonts w:ascii="宋体" w:hAnsi="宋体"/>
          <w:sz w:val="28"/>
          <w:szCs w:val="28"/>
        </w:rPr>
        <w:t>GB 2763-2019</w:t>
      </w:r>
      <w:r>
        <w:rPr>
          <w:rFonts w:ascii="宋体" w:hAnsi="宋体" w:hint="eastAsia"/>
          <w:sz w:val="28"/>
          <w:szCs w:val="28"/>
        </w:rPr>
        <w:t>《食品安全国家标准</w:t>
      </w:r>
      <w:r>
        <w:rPr>
          <w:rFonts w:ascii="宋体" w:hAnsi="宋体"/>
          <w:sz w:val="28"/>
          <w:szCs w:val="28"/>
        </w:rPr>
        <w:t xml:space="preserve"> </w:t>
      </w:r>
      <w:r>
        <w:rPr>
          <w:rFonts w:ascii="宋体" w:hAnsi="宋体" w:hint="eastAsia"/>
          <w:sz w:val="28"/>
          <w:szCs w:val="28"/>
        </w:rPr>
        <w:t>食品中农药最大残留限量》、</w:t>
      </w:r>
      <w:r>
        <w:rPr>
          <w:rFonts w:ascii="宋体" w:hAnsi="宋体"/>
          <w:sz w:val="28"/>
          <w:szCs w:val="28"/>
        </w:rPr>
        <w:t>GB 7718-2011</w:t>
      </w:r>
      <w:r>
        <w:rPr>
          <w:rFonts w:ascii="宋体" w:hAnsi="宋体" w:hint="eastAsia"/>
          <w:sz w:val="28"/>
          <w:szCs w:val="28"/>
        </w:rPr>
        <w:t>《食品安全国家标准</w:t>
      </w:r>
      <w:r>
        <w:rPr>
          <w:rFonts w:ascii="宋体" w:hAnsi="宋体"/>
          <w:sz w:val="28"/>
          <w:szCs w:val="28"/>
        </w:rPr>
        <w:t xml:space="preserve"> </w:t>
      </w:r>
      <w:r>
        <w:rPr>
          <w:rFonts w:ascii="宋体" w:hAnsi="宋体" w:hint="eastAsia"/>
          <w:sz w:val="28"/>
          <w:szCs w:val="28"/>
        </w:rPr>
        <w:t>预包装食品标签通则》中关于饮料的规定保持一致；同时参考了</w:t>
      </w:r>
      <w:r>
        <w:rPr>
          <w:rFonts w:ascii="宋体" w:hAnsi="宋体"/>
          <w:sz w:val="28"/>
          <w:szCs w:val="28"/>
        </w:rPr>
        <w:t>GB/T 10789-2015</w:t>
      </w:r>
      <w:r>
        <w:rPr>
          <w:rFonts w:ascii="宋体" w:hAnsi="宋体" w:hint="eastAsia"/>
          <w:sz w:val="28"/>
          <w:szCs w:val="28"/>
        </w:rPr>
        <w:t>《饮料通则》、</w:t>
      </w:r>
      <w:r>
        <w:rPr>
          <w:rFonts w:ascii="宋体" w:hAnsi="宋体"/>
          <w:sz w:val="28"/>
          <w:szCs w:val="28"/>
        </w:rPr>
        <w:t>QB/T 4222-2011</w:t>
      </w:r>
      <w:r>
        <w:rPr>
          <w:rFonts w:ascii="宋体" w:hAnsi="宋体" w:hint="eastAsia"/>
          <w:sz w:val="28"/>
          <w:szCs w:val="28"/>
        </w:rPr>
        <w:t>《复合蛋白饮料》等国家标准和行业标准的要求。标准的规范性引用文件，所设定指标值与以上标准没有矛盾。</w:t>
      </w:r>
    </w:p>
    <w:p w:rsidR="004E251C" w:rsidRDefault="00365015">
      <w:pPr>
        <w:spacing w:beforeLines="50" w:before="156" w:afterLines="50" w:after="156"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六、重大意见分歧的处理经过和依据</w:t>
      </w:r>
    </w:p>
    <w:p w:rsidR="004E251C" w:rsidRDefault="00365015">
      <w:pPr>
        <w:widowControl/>
        <w:ind w:firstLineChars="200" w:firstLine="560"/>
        <w:rPr>
          <w:rFonts w:ascii="宋体" w:hAnsi="宋体"/>
          <w:sz w:val="28"/>
          <w:szCs w:val="28"/>
        </w:rPr>
      </w:pPr>
      <w:r>
        <w:rPr>
          <w:rFonts w:ascii="宋体" w:hAnsi="宋体" w:hint="eastAsia"/>
          <w:sz w:val="28"/>
          <w:szCs w:val="28"/>
        </w:rPr>
        <w:t>无</w:t>
      </w:r>
    </w:p>
    <w:p w:rsidR="004E251C" w:rsidRDefault="00365015">
      <w:pPr>
        <w:widowControl/>
        <w:rPr>
          <w:rFonts w:ascii="宋体" w:hAnsi="宋体"/>
          <w:sz w:val="28"/>
          <w:szCs w:val="28"/>
        </w:rPr>
      </w:pPr>
      <w:r>
        <w:rPr>
          <w:rFonts w:asciiTheme="minorEastAsia" w:eastAsiaTheme="minorEastAsia" w:hAnsiTheme="minorEastAsia" w:hint="eastAsia"/>
          <w:b/>
          <w:sz w:val="28"/>
          <w:szCs w:val="28"/>
        </w:rPr>
        <w:t>七、其他应予说明的事项</w:t>
      </w:r>
    </w:p>
    <w:p w:rsidR="004E251C" w:rsidRDefault="00365015">
      <w:pPr>
        <w:widowControl/>
        <w:ind w:firstLineChars="200" w:firstLine="560"/>
        <w:rPr>
          <w:rFonts w:ascii="宋体" w:hAnsi="宋体"/>
          <w:sz w:val="28"/>
          <w:szCs w:val="28"/>
        </w:rPr>
      </w:pPr>
      <w:r>
        <w:rPr>
          <w:rFonts w:ascii="宋体" w:hAnsi="宋体" w:hint="eastAsia"/>
          <w:sz w:val="28"/>
          <w:szCs w:val="28"/>
        </w:rPr>
        <w:t>无</w:t>
      </w:r>
    </w:p>
    <w:p w:rsidR="004E251C" w:rsidRDefault="004E251C">
      <w:pPr>
        <w:spacing w:line="360" w:lineRule="auto"/>
        <w:rPr>
          <w:rFonts w:ascii="宋体" w:hAnsi="宋体"/>
          <w:sz w:val="28"/>
          <w:szCs w:val="28"/>
        </w:rPr>
      </w:pPr>
    </w:p>
    <w:p w:rsidR="004E251C" w:rsidRDefault="004E251C">
      <w:pPr>
        <w:rPr>
          <w:sz w:val="28"/>
          <w:szCs w:val="28"/>
        </w:rPr>
      </w:pPr>
    </w:p>
    <w:p w:rsidR="004E251C" w:rsidRDefault="004E251C"/>
    <w:p w:rsidR="004E251C" w:rsidRDefault="004E251C"/>
    <w:p w:rsidR="004E251C" w:rsidRDefault="004E251C"/>
    <w:sectPr w:rsidR="004E251C">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FF7" w:rsidRDefault="00A87FF7">
      <w:r>
        <w:separator/>
      </w:r>
    </w:p>
  </w:endnote>
  <w:endnote w:type="continuationSeparator" w:id="0">
    <w:p w:rsidR="00A87FF7" w:rsidRDefault="00A8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1C" w:rsidRDefault="00365015">
    <w:pPr>
      <w:pStyle w:val="af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251C" w:rsidRDefault="00365015">
                          <w:pPr>
                            <w:pStyle w:val="af0"/>
                          </w:pPr>
                          <w:r>
                            <w:rPr>
                              <w:rFonts w:hint="eastAsia"/>
                            </w:rPr>
                            <w:fldChar w:fldCharType="begin"/>
                          </w:r>
                          <w:r>
                            <w:rPr>
                              <w:rFonts w:hint="eastAsia"/>
                            </w:rPr>
                            <w:instrText xml:space="preserve"> PAGE  \* MERGEFORMAT </w:instrText>
                          </w:r>
                          <w:r>
                            <w:rPr>
                              <w:rFonts w:hint="eastAsia"/>
                            </w:rPr>
                            <w:fldChar w:fldCharType="separate"/>
                          </w:r>
                          <w:r w:rsidR="00485A0E">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E251C" w:rsidRDefault="00365015">
                    <w:pPr>
                      <w:pStyle w:val="af0"/>
                    </w:pPr>
                    <w:r>
                      <w:rPr>
                        <w:rFonts w:hint="eastAsia"/>
                      </w:rPr>
                      <w:fldChar w:fldCharType="begin"/>
                    </w:r>
                    <w:r>
                      <w:rPr>
                        <w:rFonts w:hint="eastAsia"/>
                      </w:rPr>
                      <w:instrText xml:space="preserve"> PAGE  \* MERGEFORMAT </w:instrText>
                    </w:r>
                    <w:r>
                      <w:rPr>
                        <w:rFonts w:hint="eastAsia"/>
                      </w:rPr>
                      <w:fldChar w:fldCharType="separate"/>
                    </w:r>
                    <w:r w:rsidR="00485A0E">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FF7" w:rsidRDefault="00A87FF7">
      <w:r>
        <w:separator/>
      </w:r>
    </w:p>
  </w:footnote>
  <w:footnote w:type="continuationSeparator" w:id="0">
    <w:p w:rsidR="00A87FF7" w:rsidRDefault="00A87F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ED0A42"/>
    <w:multiLevelType w:val="singleLevel"/>
    <w:tmpl w:val="EAED0A42"/>
    <w:lvl w:ilvl="0">
      <w:start w:val="6"/>
      <w:numFmt w:val="decimal"/>
      <w:suff w:val="nothing"/>
      <w:lvlText w:val="%1、"/>
      <w:lvlJc w:val="left"/>
    </w:lvl>
  </w:abstractNum>
  <w:abstractNum w:abstractNumId="1" w15:restartNumberingAfterBreak="0">
    <w:nsid w:val="00004AE1"/>
    <w:multiLevelType w:val="multilevel"/>
    <w:tmpl w:val="00004AE1"/>
    <w:lvl w:ilvl="0">
      <w:start w:val="1"/>
      <w:numFmt w:val="decimal"/>
      <w:pStyle w:val="a"/>
      <w:lvlText w:val="4.2.%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70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1080" w:firstLine="0"/>
      </w:pPr>
      <w:rPr>
        <w:rFonts w:ascii="黑体" w:eastAsia="黑体" w:hAnsi="Times New Roman" w:hint="eastAsia"/>
        <w:b w:val="0"/>
        <w:i w:val="0"/>
        <w:color w:val="auto"/>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 w15:restartNumberingAfterBreak="0">
    <w:nsid w:val="2AB75B6E"/>
    <w:multiLevelType w:val="multilevel"/>
    <w:tmpl w:val="2AB75B6E"/>
    <w:lvl w:ilvl="0">
      <w:start w:val="1"/>
      <w:numFmt w:val="none"/>
      <w:lvlText w:val="一、"/>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6F"/>
    <w:rsid w:val="00006960"/>
    <w:rsid w:val="000170AC"/>
    <w:rsid w:val="00023F72"/>
    <w:rsid w:val="00080601"/>
    <w:rsid w:val="000A212C"/>
    <w:rsid w:val="000C0FBC"/>
    <w:rsid w:val="000C3FE6"/>
    <w:rsid w:val="000D47E7"/>
    <w:rsid w:val="000F177B"/>
    <w:rsid w:val="0010780E"/>
    <w:rsid w:val="00107F32"/>
    <w:rsid w:val="0011438C"/>
    <w:rsid w:val="001230FE"/>
    <w:rsid w:val="00126B77"/>
    <w:rsid w:val="00132592"/>
    <w:rsid w:val="00134342"/>
    <w:rsid w:val="001441F4"/>
    <w:rsid w:val="00152085"/>
    <w:rsid w:val="00154D53"/>
    <w:rsid w:val="00172879"/>
    <w:rsid w:val="00186BB2"/>
    <w:rsid w:val="001B0C21"/>
    <w:rsid w:val="001B7792"/>
    <w:rsid w:val="001D7CFD"/>
    <w:rsid w:val="001E6FA3"/>
    <w:rsid w:val="001F610A"/>
    <w:rsid w:val="00220A3C"/>
    <w:rsid w:val="00236029"/>
    <w:rsid w:val="00240F61"/>
    <w:rsid w:val="00251804"/>
    <w:rsid w:val="0026475D"/>
    <w:rsid w:val="002741A7"/>
    <w:rsid w:val="00282BF3"/>
    <w:rsid w:val="00283629"/>
    <w:rsid w:val="002E2355"/>
    <w:rsid w:val="002F1AB7"/>
    <w:rsid w:val="002F569E"/>
    <w:rsid w:val="002F589F"/>
    <w:rsid w:val="002F6031"/>
    <w:rsid w:val="0031205E"/>
    <w:rsid w:val="0033609D"/>
    <w:rsid w:val="003630DA"/>
    <w:rsid w:val="003638C1"/>
    <w:rsid w:val="00365015"/>
    <w:rsid w:val="00372E64"/>
    <w:rsid w:val="003831D6"/>
    <w:rsid w:val="00387897"/>
    <w:rsid w:val="003B2FE4"/>
    <w:rsid w:val="003B40AB"/>
    <w:rsid w:val="003C4665"/>
    <w:rsid w:val="003D254E"/>
    <w:rsid w:val="003F24DC"/>
    <w:rsid w:val="003F6093"/>
    <w:rsid w:val="00400585"/>
    <w:rsid w:val="004011D3"/>
    <w:rsid w:val="00435DE1"/>
    <w:rsid w:val="00440484"/>
    <w:rsid w:val="004553E2"/>
    <w:rsid w:val="00455F28"/>
    <w:rsid w:val="00485A0E"/>
    <w:rsid w:val="004A43F5"/>
    <w:rsid w:val="004B5429"/>
    <w:rsid w:val="004E251C"/>
    <w:rsid w:val="004F0588"/>
    <w:rsid w:val="004F0E3B"/>
    <w:rsid w:val="005121CE"/>
    <w:rsid w:val="00513359"/>
    <w:rsid w:val="00520E15"/>
    <w:rsid w:val="00521B5E"/>
    <w:rsid w:val="00524CA0"/>
    <w:rsid w:val="005270E7"/>
    <w:rsid w:val="00536E93"/>
    <w:rsid w:val="0055658F"/>
    <w:rsid w:val="00576519"/>
    <w:rsid w:val="005839BE"/>
    <w:rsid w:val="005A051E"/>
    <w:rsid w:val="005B2394"/>
    <w:rsid w:val="005B732B"/>
    <w:rsid w:val="005C48DF"/>
    <w:rsid w:val="006103E2"/>
    <w:rsid w:val="00622521"/>
    <w:rsid w:val="00625097"/>
    <w:rsid w:val="00641490"/>
    <w:rsid w:val="00657E35"/>
    <w:rsid w:val="00680D93"/>
    <w:rsid w:val="00691C34"/>
    <w:rsid w:val="00695D7F"/>
    <w:rsid w:val="00697845"/>
    <w:rsid w:val="006A7ADD"/>
    <w:rsid w:val="006B34F8"/>
    <w:rsid w:val="006C299E"/>
    <w:rsid w:val="006D7020"/>
    <w:rsid w:val="006E03BA"/>
    <w:rsid w:val="006E2E83"/>
    <w:rsid w:val="006E36D5"/>
    <w:rsid w:val="00701C38"/>
    <w:rsid w:val="007168F3"/>
    <w:rsid w:val="0072469E"/>
    <w:rsid w:val="00726234"/>
    <w:rsid w:val="0073332D"/>
    <w:rsid w:val="007423BC"/>
    <w:rsid w:val="00756C4D"/>
    <w:rsid w:val="007D40C5"/>
    <w:rsid w:val="007D5CB1"/>
    <w:rsid w:val="007F4EFC"/>
    <w:rsid w:val="008052C2"/>
    <w:rsid w:val="00846575"/>
    <w:rsid w:val="0085230E"/>
    <w:rsid w:val="00880179"/>
    <w:rsid w:val="00894722"/>
    <w:rsid w:val="008B3DB6"/>
    <w:rsid w:val="008D2BF3"/>
    <w:rsid w:val="008D494B"/>
    <w:rsid w:val="008D71F5"/>
    <w:rsid w:val="008E526F"/>
    <w:rsid w:val="00912E66"/>
    <w:rsid w:val="00914D3F"/>
    <w:rsid w:val="00927C7D"/>
    <w:rsid w:val="00931C52"/>
    <w:rsid w:val="009408B5"/>
    <w:rsid w:val="00954AB5"/>
    <w:rsid w:val="00967588"/>
    <w:rsid w:val="009906A4"/>
    <w:rsid w:val="00991A69"/>
    <w:rsid w:val="009A301B"/>
    <w:rsid w:val="009B3E85"/>
    <w:rsid w:val="009D0BC1"/>
    <w:rsid w:val="009D1A0C"/>
    <w:rsid w:val="009D5DFC"/>
    <w:rsid w:val="009E20C8"/>
    <w:rsid w:val="009F3730"/>
    <w:rsid w:val="009F4B59"/>
    <w:rsid w:val="009F76D4"/>
    <w:rsid w:val="009F7FE0"/>
    <w:rsid w:val="00A30B29"/>
    <w:rsid w:val="00A377BB"/>
    <w:rsid w:val="00A56A3B"/>
    <w:rsid w:val="00A77EF9"/>
    <w:rsid w:val="00A81CF8"/>
    <w:rsid w:val="00A82705"/>
    <w:rsid w:val="00A87932"/>
    <w:rsid w:val="00A87FF7"/>
    <w:rsid w:val="00AC7052"/>
    <w:rsid w:val="00AF402C"/>
    <w:rsid w:val="00AF6E90"/>
    <w:rsid w:val="00B11CFD"/>
    <w:rsid w:val="00B162DA"/>
    <w:rsid w:val="00B16D60"/>
    <w:rsid w:val="00B24402"/>
    <w:rsid w:val="00B35D68"/>
    <w:rsid w:val="00B61696"/>
    <w:rsid w:val="00B63B92"/>
    <w:rsid w:val="00B70266"/>
    <w:rsid w:val="00B73EBD"/>
    <w:rsid w:val="00B76755"/>
    <w:rsid w:val="00B810AA"/>
    <w:rsid w:val="00B908B3"/>
    <w:rsid w:val="00B93563"/>
    <w:rsid w:val="00B93E31"/>
    <w:rsid w:val="00BD0E7D"/>
    <w:rsid w:val="00C07051"/>
    <w:rsid w:val="00C13E62"/>
    <w:rsid w:val="00C4678A"/>
    <w:rsid w:val="00C53408"/>
    <w:rsid w:val="00C621A8"/>
    <w:rsid w:val="00C7164B"/>
    <w:rsid w:val="00CC2093"/>
    <w:rsid w:val="00CD3CAD"/>
    <w:rsid w:val="00CE496D"/>
    <w:rsid w:val="00D00500"/>
    <w:rsid w:val="00D0554C"/>
    <w:rsid w:val="00D27127"/>
    <w:rsid w:val="00D46DF9"/>
    <w:rsid w:val="00D54BA7"/>
    <w:rsid w:val="00D86F41"/>
    <w:rsid w:val="00DA66E8"/>
    <w:rsid w:val="00DA6E0F"/>
    <w:rsid w:val="00DB1312"/>
    <w:rsid w:val="00DE3153"/>
    <w:rsid w:val="00DF5AEC"/>
    <w:rsid w:val="00E0046D"/>
    <w:rsid w:val="00E07D69"/>
    <w:rsid w:val="00E224B5"/>
    <w:rsid w:val="00E47FBA"/>
    <w:rsid w:val="00E72A62"/>
    <w:rsid w:val="00E753A6"/>
    <w:rsid w:val="00EB6A97"/>
    <w:rsid w:val="00EC1E1F"/>
    <w:rsid w:val="00EC56E5"/>
    <w:rsid w:val="00EF06F1"/>
    <w:rsid w:val="00EF2FA0"/>
    <w:rsid w:val="00F0334C"/>
    <w:rsid w:val="00F034A1"/>
    <w:rsid w:val="00F06AF2"/>
    <w:rsid w:val="00F07885"/>
    <w:rsid w:val="00F126A1"/>
    <w:rsid w:val="00F12EB1"/>
    <w:rsid w:val="00F201E8"/>
    <w:rsid w:val="00F33A77"/>
    <w:rsid w:val="00F50700"/>
    <w:rsid w:val="00F63938"/>
    <w:rsid w:val="00F74471"/>
    <w:rsid w:val="00F86431"/>
    <w:rsid w:val="00FE2CD1"/>
    <w:rsid w:val="00FE3ED2"/>
    <w:rsid w:val="00FE7C80"/>
    <w:rsid w:val="03170EEA"/>
    <w:rsid w:val="07803F4E"/>
    <w:rsid w:val="082045C6"/>
    <w:rsid w:val="09B67E22"/>
    <w:rsid w:val="0B7E7BD4"/>
    <w:rsid w:val="0BAB1083"/>
    <w:rsid w:val="0C2B1C14"/>
    <w:rsid w:val="0E430349"/>
    <w:rsid w:val="0F4160C8"/>
    <w:rsid w:val="11550BCA"/>
    <w:rsid w:val="11EF01D4"/>
    <w:rsid w:val="13AD3EFD"/>
    <w:rsid w:val="13B51159"/>
    <w:rsid w:val="14534152"/>
    <w:rsid w:val="14D872BA"/>
    <w:rsid w:val="15B60739"/>
    <w:rsid w:val="17C17C94"/>
    <w:rsid w:val="17CD2BC0"/>
    <w:rsid w:val="1A3A0353"/>
    <w:rsid w:val="1C0F4BE0"/>
    <w:rsid w:val="1C875791"/>
    <w:rsid w:val="1CD10E80"/>
    <w:rsid w:val="1D4422DA"/>
    <w:rsid w:val="1D800AB2"/>
    <w:rsid w:val="1EE01902"/>
    <w:rsid w:val="1EEA194D"/>
    <w:rsid w:val="20CD0BD2"/>
    <w:rsid w:val="21AA53F3"/>
    <w:rsid w:val="225C274A"/>
    <w:rsid w:val="22EC6971"/>
    <w:rsid w:val="238954F5"/>
    <w:rsid w:val="244E62BC"/>
    <w:rsid w:val="25314215"/>
    <w:rsid w:val="25D34A4F"/>
    <w:rsid w:val="262F1423"/>
    <w:rsid w:val="26841A5E"/>
    <w:rsid w:val="27374115"/>
    <w:rsid w:val="27DF1288"/>
    <w:rsid w:val="296F6843"/>
    <w:rsid w:val="2AC656C2"/>
    <w:rsid w:val="2B025F3A"/>
    <w:rsid w:val="2BB529C0"/>
    <w:rsid w:val="2E212F4B"/>
    <w:rsid w:val="2E4A5840"/>
    <w:rsid w:val="2E6602D8"/>
    <w:rsid w:val="2EBE37D3"/>
    <w:rsid w:val="2F3C4482"/>
    <w:rsid w:val="2FC01211"/>
    <w:rsid w:val="30FA2704"/>
    <w:rsid w:val="31062290"/>
    <w:rsid w:val="338B367F"/>
    <w:rsid w:val="34595FBD"/>
    <w:rsid w:val="370E7F8A"/>
    <w:rsid w:val="37751726"/>
    <w:rsid w:val="386269CB"/>
    <w:rsid w:val="396405DF"/>
    <w:rsid w:val="39D07A86"/>
    <w:rsid w:val="39EF6C8C"/>
    <w:rsid w:val="3AA57177"/>
    <w:rsid w:val="3B3054F2"/>
    <w:rsid w:val="3BBC2623"/>
    <w:rsid w:val="3BD94D2A"/>
    <w:rsid w:val="3BDB21AB"/>
    <w:rsid w:val="3C4F4485"/>
    <w:rsid w:val="3CAC7BFD"/>
    <w:rsid w:val="3D610E17"/>
    <w:rsid w:val="3DD077FC"/>
    <w:rsid w:val="3E4F5590"/>
    <w:rsid w:val="416814F1"/>
    <w:rsid w:val="4294050B"/>
    <w:rsid w:val="42C33F80"/>
    <w:rsid w:val="434530DF"/>
    <w:rsid w:val="436745E6"/>
    <w:rsid w:val="44C864BA"/>
    <w:rsid w:val="4786587A"/>
    <w:rsid w:val="47B24208"/>
    <w:rsid w:val="481145BD"/>
    <w:rsid w:val="48515EB6"/>
    <w:rsid w:val="4A0F2A70"/>
    <w:rsid w:val="4B6A7A89"/>
    <w:rsid w:val="4B7C6E47"/>
    <w:rsid w:val="4BC43440"/>
    <w:rsid w:val="4C500719"/>
    <w:rsid w:val="4D5816B3"/>
    <w:rsid w:val="4EE932A5"/>
    <w:rsid w:val="4F3C159D"/>
    <w:rsid w:val="515B7062"/>
    <w:rsid w:val="519F7834"/>
    <w:rsid w:val="51DF2748"/>
    <w:rsid w:val="5263088F"/>
    <w:rsid w:val="529F4BF8"/>
    <w:rsid w:val="537F40C4"/>
    <w:rsid w:val="57CC6D11"/>
    <w:rsid w:val="585005B9"/>
    <w:rsid w:val="5A506CCC"/>
    <w:rsid w:val="5B475413"/>
    <w:rsid w:val="5C7C4C80"/>
    <w:rsid w:val="5CD05415"/>
    <w:rsid w:val="5E1345F0"/>
    <w:rsid w:val="5E1448FE"/>
    <w:rsid w:val="5FA5717A"/>
    <w:rsid w:val="60110CC6"/>
    <w:rsid w:val="605F60A9"/>
    <w:rsid w:val="60981C91"/>
    <w:rsid w:val="616A047A"/>
    <w:rsid w:val="62A5328F"/>
    <w:rsid w:val="62F306BE"/>
    <w:rsid w:val="635E73BC"/>
    <w:rsid w:val="64DC6BBC"/>
    <w:rsid w:val="66A771DE"/>
    <w:rsid w:val="6ACC364D"/>
    <w:rsid w:val="6B9964B5"/>
    <w:rsid w:val="6C3468FC"/>
    <w:rsid w:val="6C686567"/>
    <w:rsid w:val="6FC432E1"/>
    <w:rsid w:val="706C5960"/>
    <w:rsid w:val="72904AC2"/>
    <w:rsid w:val="753C1C85"/>
    <w:rsid w:val="75CD7AB8"/>
    <w:rsid w:val="76E02951"/>
    <w:rsid w:val="78445C42"/>
    <w:rsid w:val="79A25E52"/>
    <w:rsid w:val="7A2D7ECC"/>
    <w:rsid w:val="7BA80DC9"/>
    <w:rsid w:val="7BAA2890"/>
    <w:rsid w:val="7D1E1B3E"/>
    <w:rsid w:val="7F12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77124"/>
  <w15:docId w15:val="{D551D496-6352-4475-AE5C-167C312E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unhideWhenUsed/>
    <w:qFormat/>
    <w:pPr>
      <w:jc w:val="left"/>
    </w:pPr>
  </w:style>
  <w:style w:type="paragraph" w:styleId="ab">
    <w:name w:val="Body Text"/>
    <w:basedOn w:val="a6"/>
    <w:uiPriority w:val="1"/>
    <w:qFormat/>
    <w:pPr>
      <w:ind w:left="538"/>
      <w:jc w:val="left"/>
    </w:pPr>
    <w:rPr>
      <w:rFonts w:ascii="宋体" w:hAnsi="宋体"/>
      <w:kern w:val="0"/>
      <w:szCs w:val="21"/>
      <w:lang w:eastAsia="en-US"/>
    </w:rPr>
  </w:style>
  <w:style w:type="paragraph" w:styleId="ac">
    <w:name w:val="Date"/>
    <w:basedOn w:val="a6"/>
    <w:next w:val="a6"/>
    <w:link w:val="ad"/>
    <w:uiPriority w:val="99"/>
    <w:semiHidden/>
    <w:unhideWhenUsed/>
    <w:qFormat/>
    <w:pPr>
      <w:ind w:leftChars="2500" w:left="100"/>
    </w:pPr>
  </w:style>
  <w:style w:type="paragraph" w:styleId="ae">
    <w:name w:val="Balloon Text"/>
    <w:basedOn w:val="a6"/>
    <w:link w:val="af"/>
    <w:uiPriority w:val="99"/>
    <w:semiHidden/>
    <w:unhideWhenUsed/>
    <w:qFormat/>
    <w:rPr>
      <w:sz w:val="18"/>
      <w:szCs w:val="18"/>
    </w:rPr>
  </w:style>
  <w:style w:type="paragraph" w:styleId="af0">
    <w:name w:val="footer"/>
    <w:basedOn w:val="a6"/>
    <w:link w:val="af1"/>
    <w:uiPriority w:val="99"/>
    <w:unhideWhenUsed/>
    <w:qFormat/>
    <w:pPr>
      <w:tabs>
        <w:tab w:val="center" w:pos="4153"/>
        <w:tab w:val="right" w:pos="8306"/>
      </w:tabs>
      <w:snapToGrid w:val="0"/>
      <w:jc w:val="left"/>
    </w:pPr>
    <w:rPr>
      <w:sz w:val="18"/>
      <w:szCs w:val="18"/>
    </w:rPr>
  </w:style>
  <w:style w:type="paragraph" w:styleId="af2">
    <w:name w:val="header"/>
    <w:basedOn w:val="a6"/>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6"/>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f5">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7"/>
    <w:uiPriority w:val="99"/>
    <w:semiHidden/>
    <w:unhideWhenUsed/>
    <w:qFormat/>
    <w:rPr>
      <w:color w:val="0000FF"/>
      <w:u w:val="single"/>
    </w:rPr>
  </w:style>
  <w:style w:type="character" w:styleId="af7">
    <w:name w:val="annotation reference"/>
    <w:basedOn w:val="a7"/>
    <w:uiPriority w:val="99"/>
    <w:semiHidden/>
    <w:unhideWhenUsed/>
    <w:qFormat/>
    <w:rPr>
      <w:sz w:val="21"/>
      <w:szCs w:val="21"/>
    </w:rPr>
  </w:style>
  <w:style w:type="character" w:customStyle="1" w:styleId="af3">
    <w:name w:val="页眉 字符"/>
    <w:basedOn w:val="a7"/>
    <w:link w:val="af2"/>
    <w:uiPriority w:val="99"/>
    <w:qFormat/>
    <w:rPr>
      <w:sz w:val="18"/>
      <w:szCs w:val="18"/>
    </w:rPr>
  </w:style>
  <w:style w:type="character" w:customStyle="1" w:styleId="af1">
    <w:name w:val="页脚 字符"/>
    <w:basedOn w:val="a7"/>
    <w:link w:val="af0"/>
    <w:uiPriority w:val="99"/>
    <w:qFormat/>
    <w:rPr>
      <w:sz w:val="18"/>
      <w:szCs w:val="18"/>
    </w:rPr>
  </w:style>
  <w:style w:type="character" w:customStyle="1" w:styleId="CharChar">
    <w:name w:val="段 Char Char"/>
    <w:basedOn w:val="a7"/>
    <w:link w:val="af8"/>
    <w:qFormat/>
    <w:rPr>
      <w:rFonts w:ascii="宋体" w:hAnsi="宋体"/>
    </w:rPr>
  </w:style>
  <w:style w:type="paragraph" w:customStyle="1" w:styleId="af8">
    <w:name w:val="段"/>
    <w:link w:val="CharChar"/>
    <w:qFormat/>
    <w:pPr>
      <w:tabs>
        <w:tab w:val="center" w:pos="4201"/>
        <w:tab w:val="right" w:leader="dot" w:pos="9298"/>
      </w:tabs>
      <w:autoSpaceDE w:val="0"/>
      <w:autoSpaceDN w:val="0"/>
      <w:ind w:firstLineChars="200" w:firstLine="420"/>
      <w:jc w:val="both"/>
    </w:pPr>
    <w:rPr>
      <w:rFonts w:ascii="宋体" w:eastAsiaTheme="minorEastAsia" w:hAnsi="宋体" w:cstheme="minorBidi"/>
      <w:kern w:val="2"/>
      <w:sz w:val="21"/>
      <w:szCs w:val="22"/>
    </w:rPr>
  </w:style>
  <w:style w:type="character" w:customStyle="1" w:styleId="Char">
    <w:name w:val="段 Char"/>
    <w:basedOn w:val="a7"/>
    <w:qFormat/>
    <w:locked/>
    <w:rPr>
      <w:rFonts w:ascii="宋体" w:hAnsi="宋体"/>
      <w:kern w:val="2"/>
      <w:sz w:val="21"/>
      <w:szCs w:val="22"/>
      <w:lang w:val="en-US" w:eastAsia="zh-CN" w:bidi="ar-SA"/>
    </w:rPr>
  </w:style>
  <w:style w:type="paragraph" w:customStyle="1" w:styleId="a1">
    <w:name w:val="一级条标题"/>
    <w:next w:val="af8"/>
    <w:qFormat/>
    <w:pPr>
      <w:numPr>
        <w:ilvl w:val="1"/>
        <w:numId w:val="1"/>
      </w:numPr>
      <w:spacing w:beforeLines="50" w:afterLines="50"/>
      <w:ind w:left="1135"/>
      <w:outlineLvl w:val="2"/>
    </w:pPr>
    <w:rPr>
      <w:rFonts w:ascii="黑体" w:eastAsia="黑体"/>
      <w:sz w:val="21"/>
      <w:szCs w:val="21"/>
    </w:rPr>
  </w:style>
  <w:style w:type="paragraph" w:customStyle="1" w:styleId="a0">
    <w:name w:val="章标题"/>
    <w:next w:val="af8"/>
    <w:qFormat/>
    <w:pPr>
      <w:numPr>
        <w:numId w:val="1"/>
      </w:numPr>
      <w:spacing w:beforeLines="100" w:afterLines="100"/>
      <w:jc w:val="both"/>
      <w:outlineLvl w:val="1"/>
    </w:pPr>
    <w:rPr>
      <w:rFonts w:ascii="黑体" w:eastAsia="黑体"/>
      <w:sz w:val="21"/>
    </w:rPr>
  </w:style>
  <w:style w:type="paragraph" w:customStyle="1" w:styleId="a2">
    <w:name w:val="二级条标题"/>
    <w:basedOn w:val="a1"/>
    <w:next w:val="af8"/>
    <w:qFormat/>
    <w:pPr>
      <w:numPr>
        <w:ilvl w:val="2"/>
      </w:numPr>
      <w:outlineLvl w:val="3"/>
    </w:pPr>
  </w:style>
  <w:style w:type="paragraph" w:customStyle="1" w:styleId="a3">
    <w:name w:val="三级条标题"/>
    <w:basedOn w:val="a2"/>
    <w:next w:val="af8"/>
    <w:qFormat/>
    <w:pPr>
      <w:numPr>
        <w:ilvl w:val="3"/>
      </w:numPr>
      <w:outlineLvl w:val="4"/>
    </w:pPr>
  </w:style>
  <w:style w:type="paragraph" w:customStyle="1" w:styleId="a4">
    <w:name w:val="四级条标题"/>
    <w:basedOn w:val="a3"/>
    <w:next w:val="af8"/>
    <w:qFormat/>
    <w:pPr>
      <w:numPr>
        <w:ilvl w:val="4"/>
      </w:numPr>
      <w:outlineLvl w:val="5"/>
    </w:pPr>
  </w:style>
  <w:style w:type="paragraph" w:customStyle="1" w:styleId="a5">
    <w:name w:val="五级条标题"/>
    <w:basedOn w:val="a4"/>
    <w:next w:val="af8"/>
    <w:qFormat/>
    <w:pPr>
      <w:numPr>
        <w:ilvl w:val="5"/>
      </w:numPr>
      <w:outlineLvl w:val="6"/>
    </w:pPr>
  </w:style>
  <w:style w:type="paragraph" w:customStyle="1" w:styleId="af9">
    <w:name w:val="正文表标题"/>
    <w:next w:val="af8"/>
    <w:qFormat/>
    <w:pPr>
      <w:tabs>
        <w:tab w:val="left" w:pos="360"/>
      </w:tabs>
      <w:spacing w:beforeLines="50" w:afterLines="50"/>
      <w:jc w:val="center"/>
    </w:pPr>
    <w:rPr>
      <w:rFonts w:ascii="黑体" w:eastAsia="黑体"/>
      <w:sz w:val="21"/>
    </w:rPr>
  </w:style>
  <w:style w:type="character" w:customStyle="1" w:styleId="ad">
    <w:name w:val="日期 字符"/>
    <w:basedOn w:val="a7"/>
    <w:link w:val="ac"/>
    <w:uiPriority w:val="99"/>
    <w:semiHidden/>
    <w:qFormat/>
    <w:rPr>
      <w:rFonts w:ascii="Times New Roman" w:eastAsia="宋体" w:hAnsi="Times New Roman" w:cs="Times New Roman"/>
      <w:szCs w:val="20"/>
    </w:rPr>
  </w:style>
  <w:style w:type="character" w:customStyle="1" w:styleId="af">
    <w:name w:val="批注框文本 字符"/>
    <w:basedOn w:val="a7"/>
    <w:link w:val="ae"/>
    <w:uiPriority w:val="99"/>
    <w:semiHidden/>
    <w:qFormat/>
    <w:rPr>
      <w:rFonts w:ascii="Times New Roman" w:eastAsia="宋体" w:hAnsi="Times New Roman" w:cs="Times New Roman"/>
      <w:sz w:val="18"/>
      <w:szCs w:val="18"/>
    </w:rPr>
  </w:style>
  <w:style w:type="paragraph" w:styleId="afa">
    <w:name w:val="List Paragraph"/>
    <w:basedOn w:val="a6"/>
    <w:uiPriority w:val="34"/>
    <w:qFormat/>
    <w:pPr>
      <w:ind w:firstLineChars="200" w:firstLine="420"/>
    </w:pPr>
  </w:style>
  <w:style w:type="paragraph" w:customStyle="1" w:styleId="a">
    <w:name w:val="列项——（一级）"/>
    <w:qFormat/>
    <w:pPr>
      <w:widowControl w:val="0"/>
      <w:numPr>
        <w:numId w:val="2"/>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6B668-1009-4C3B-B643-58DC3A55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xwd</dc:creator>
  <cp:lastModifiedBy>xwd</cp:lastModifiedBy>
  <cp:revision>39</cp:revision>
  <cp:lastPrinted>2018-06-19T01:56:00Z</cp:lastPrinted>
  <dcterms:created xsi:type="dcterms:W3CDTF">2018-09-04T11:48:00Z</dcterms:created>
  <dcterms:modified xsi:type="dcterms:W3CDTF">2020-11-05T08:21:00Z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