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p>
    <w:p>
      <w:pPr>
        <w:jc w:val="center"/>
        <w:rPr>
          <w:rFonts w:hint="eastAsia" w:ascii="方正粗黑宋简体" w:hAnsi="方正粗黑宋简体" w:eastAsia="方正粗黑宋简体" w:cs="方正粗黑宋简体"/>
          <w:b/>
          <w:bCs/>
          <w:sz w:val="48"/>
          <w:szCs w:val="48"/>
          <w:lang w:eastAsia="zh-CN"/>
        </w:rPr>
      </w:pPr>
    </w:p>
    <w:p>
      <w:pPr>
        <w:jc w:val="center"/>
        <w:rPr>
          <w:rFonts w:hint="eastAsia" w:ascii="方正粗黑宋简体" w:hAnsi="方正粗黑宋简体" w:eastAsia="方正粗黑宋简体" w:cs="方正粗黑宋简体"/>
          <w:b/>
          <w:bCs/>
          <w:sz w:val="48"/>
          <w:szCs w:val="48"/>
          <w:lang w:eastAsia="zh-CN"/>
        </w:rPr>
      </w:pPr>
      <w:r>
        <w:rPr>
          <w:rFonts w:hint="eastAsia" w:ascii="方正粗黑宋简体" w:hAnsi="方正粗黑宋简体" w:eastAsia="方正粗黑宋简体" w:cs="方正粗黑宋简体"/>
          <w:b/>
          <w:bCs/>
          <w:sz w:val="48"/>
          <w:szCs w:val="48"/>
          <w:lang w:eastAsia="zh-CN"/>
        </w:rPr>
        <w:t>《蓬莱海岸葡萄酒分级规范》</w:t>
      </w:r>
    </w:p>
    <w:p>
      <w:pPr>
        <w:jc w:val="center"/>
        <w:rPr>
          <w:rFonts w:hint="eastAsia" w:ascii="方正粗黑宋简体" w:hAnsi="方正粗黑宋简体" w:eastAsia="方正粗黑宋简体" w:cs="方正粗黑宋简体"/>
          <w:b/>
          <w:bCs/>
          <w:sz w:val="48"/>
          <w:szCs w:val="48"/>
          <w:lang w:eastAsia="zh-CN"/>
        </w:rPr>
      </w:pPr>
      <w:r>
        <w:rPr>
          <w:rFonts w:hint="eastAsia" w:ascii="方正粗黑宋简体" w:hAnsi="方正粗黑宋简体" w:eastAsia="方正粗黑宋简体" w:cs="方正粗黑宋简体"/>
          <w:b/>
          <w:bCs/>
          <w:sz w:val="48"/>
          <w:szCs w:val="48"/>
          <w:lang w:eastAsia="zh-CN"/>
        </w:rPr>
        <w:t>团体标准编制说明</w:t>
      </w:r>
    </w:p>
    <w:p>
      <w:pPr>
        <w:bidi w:val="0"/>
        <w:rPr>
          <w:rFonts w:hint="eastAsia" w:ascii="方正粗黑宋简体" w:hAnsi="方正粗黑宋简体" w:eastAsia="方正粗黑宋简体" w:cs="方正粗黑宋简体"/>
          <w:b/>
          <w:bCs/>
          <w:kern w:val="2"/>
          <w:sz w:val="48"/>
          <w:szCs w:val="48"/>
          <w:lang w:val="en-US" w:eastAsia="zh-CN" w:bidi="ar-SA"/>
        </w:rPr>
      </w:pPr>
    </w:p>
    <w:p>
      <w:pPr>
        <w:bidi w:val="0"/>
        <w:rPr>
          <w:rFonts w:hint="eastAsia" w:ascii="方正粗黑宋简体" w:hAnsi="方正粗黑宋简体" w:eastAsia="方正粗黑宋简体" w:cs="方正粗黑宋简体"/>
          <w:b/>
          <w:bCs/>
          <w:sz w:val="48"/>
          <w:szCs w:val="48"/>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sz w:val="32"/>
          <w:szCs w:val="32"/>
          <w:lang w:val="en-US" w:eastAsia="zh-CN"/>
        </w:rPr>
      </w:pPr>
      <w:r>
        <w:rPr>
          <w:rFonts w:hint="eastAsia"/>
          <w:sz w:val="32"/>
          <w:szCs w:val="32"/>
          <w:lang w:val="en-US" w:eastAsia="zh-CN"/>
        </w:rPr>
        <w:t>蓬莱区葡萄与葡萄酒产业发展服务中心</w:t>
      </w:r>
    </w:p>
    <w:p>
      <w:pPr>
        <w:bidi w:val="0"/>
        <w:jc w:val="center"/>
        <w:rPr>
          <w:rFonts w:hint="eastAsia"/>
          <w:sz w:val="32"/>
          <w:szCs w:val="32"/>
          <w:lang w:val="en-US" w:eastAsia="zh-CN"/>
        </w:rPr>
      </w:pPr>
      <w:r>
        <w:rPr>
          <w:rFonts w:hint="eastAsia"/>
          <w:sz w:val="32"/>
          <w:szCs w:val="32"/>
          <w:lang w:val="en-US" w:eastAsia="zh-CN"/>
        </w:rPr>
        <w:t>2020年10月4日</w:t>
      </w:r>
    </w:p>
    <w:p>
      <w:pPr>
        <w:bidi w:val="0"/>
        <w:jc w:val="center"/>
        <w:rPr>
          <w:rFonts w:hint="eastAsia"/>
          <w:lang w:val="en-US" w:eastAsia="zh-CN"/>
        </w:rPr>
      </w:pPr>
    </w:p>
    <w:p>
      <w:pPr>
        <w:bidi w:val="0"/>
        <w:jc w:val="center"/>
        <w:rPr>
          <w:rFonts w:hint="eastAsia"/>
          <w:lang w:val="en-US" w:eastAsia="zh-CN"/>
        </w:rPr>
      </w:pPr>
    </w:p>
    <w:p>
      <w:pPr>
        <w:bidi w:val="0"/>
        <w:jc w:val="center"/>
        <w:rPr>
          <w:rFonts w:hint="eastAsia"/>
          <w:b/>
          <w:bCs/>
          <w:sz w:val="32"/>
          <w:szCs w:val="32"/>
          <w:lang w:val="en-US" w:eastAsia="zh-CN"/>
        </w:rPr>
      </w:pPr>
    </w:p>
    <w:p>
      <w:pPr>
        <w:bidi w:val="0"/>
        <w:jc w:val="center"/>
        <w:rPr>
          <w:rFonts w:hint="eastAsia"/>
          <w:b/>
          <w:bCs/>
          <w:sz w:val="32"/>
          <w:szCs w:val="32"/>
          <w:lang w:val="en-US" w:eastAsia="zh-CN"/>
        </w:rPr>
      </w:pPr>
    </w:p>
    <w:p>
      <w:pPr>
        <w:bidi w:val="0"/>
        <w:jc w:val="center"/>
        <w:rPr>
          <w:rFonts w:hint="eastAsia"/>
          <w:b/>
          <w:bCs/>
          <w:sz w:val="32"/>
          <w:szCs w:val="32"/>
          <w:lang w:val="en-US" w:eastAsia="zh-CN"/>
        </w:rPr>
      </w:pPr>
    </w:p>
    <w:p>
      <w:pPr>
        <w:bidi w:val="0"/>
        <w:jc w:val="center"/>
        <w:rPr>
          <w:rFonts w:hint="eastAsia"/>
          <w:b/>
          <w:bCs/>
          <w:sz w:val="32"/>
          <w:szCs w:val="32"/>
          <w:lang w:val="en-US" w:eastAsia="zh-CN"/>
        </w:rPr>
      </w:pPr>
      <w:r>
        <w:rPr>
          <w:rFonts w:hint="eastAsia"/>
          <w:b/>
          <w:bCs/>
          <w:sz w:val="32"/>
          <w:szCs w:val="32"/>
          <w:lang w:val="en-US" w:eastAsia="zh-CN"/>
        </w:rPr>
        <w:t>《蓬莱海岸葡萄酒分级规范》</w:t>
      </w:r>
    </w:p>
    <w:p>
      <w:pPr>
        <w:bidi w:val="0"/>
        <w:jc w:val="center"/>
        <w:rPr>
          <w:rFonts w:hint="eastAsia"/>
          <w:b/>
          <w:bCs/>
          <w:sz w:val="32"/>
          <w:szCs w:val="32"/>
          <w:lang w:val="en-US" w:eastAsia="zh-CN"/>
        </w:rPr>
      </w:pPr>
      <w:r>
        <w:rPr>
          <w:rFonts w:hint="eastAsia"/>
          <w:b/>
          <w:bCs/>
          <w:sz w:val="32"/>
          <w:szCs w:val="32"/>
          <w:lang w:val="en-US" w:eastAsia="zh-CN"/>
        </w:rPr>
        <w:t>团体标准编制说明</w:t>
      </w:r>
    </w:p>
    <w:p>
      <w:pPr>
        <w:keepNext w:val="0"/>
        <w:keepLines w:val="0"/>
        <w:pageBreakBefore w:val="0"/>
        <w:numPr>
          <w:ilvl w:val="0"/>
          <w:numId w:val="2"/>
        </w:numPr>
        <w:kinsoku/>
        <w:wordWrap/>
        <w:overflowPunct/>
        <w:topLinePunct w:val="0"/>
        <w:bidi w:val="0"/>
        <w:adjustRightInd/>
        <w:snapToGrid/>
        <w:spacing w:line="240" w:lineRule="atLeas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任务来源及起草单位</w:t>
      </w:r>
    </w:p>
    <w:p>
      <w:pPr>
        <w:keepNext w:val="0"/>
        <w:keepLines w:val="0"/>
        <w:pageBreakBefore w:val="0"/>
        <w:numPr>
          <w:ilvl w:val="0"/>
          <w:numId w:val="3"/>
        </w:numPr>
        <w:kinsoku/>
        <w:wordWrap/>
        <w:overflowPunct/>
        <w:topLinePunct w:val="0"/>
        <w:bidi w:val="0"/>
        <w:adjustRightInd/>
        <w:snapToGrid/>
        <w:spacing w:line="240" w:lineRule="atLeas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任务来源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为提升蓬莱海岸葡萄酒品质，规范感官评定分级规则、</w:t>
      </w:r>
      <w:r>
        <w:rPr>
          <w:rFonts w:hint="eastAsia" w:asciiTheme="minorEastAsia" w:hAnsiTheme="minorEastAsia" w:cstheme="minorEastAsia"/>
          <w:sz w:val="28"/>
          <w:szCs w:val="28"/>
          <w:lang w:val="en-US" w:eastAsia="zh-CN"/>
        </w:rPr>
        <w:t>程序、内容、</w:t>
      </w:r>
      <w:r>
        <w:rPr>
          <w:rFonts w:hint="eastAsia" w:asciiTheme="minorEastAsia" w:hAnsiTheme="minorEastAsia" w:eastAsiaTheme="minorEastAsia" w:cstheme="minorEastAsia"/>
          <w:sz w:val="28"/>
          <w:szCs w:val="28"/>
          <w:lang w:val="en-US" w:eastAsia="zh-CN"/>
        </w:rPr>
        <w:t>标准，促进产区健康发展，蓬莱区葡萄与葡萄酒产业发展服务中心会同蓬莱葡萄酒行业协会，葡萄与葡萄酒产业发展服务中心作为牵头单位起草编制《蓬莱海岸葡萄酒分级规范》的团体标准。</w:t>
      </w:r>
    </w:p>
    <w:p>
      <w:pPr>
        <w:keepNext w:val="0"/>
        <w:keepLines w:val="0"/>
        <w:pageBreakBefore w:val="0"/>
        <w:numPr>
          <w:ilvl w:val="0"/>
          <w:numId w:val="3"/>
        </w:numPr>
        <w:kinsoku/>
        <w:wordWrap/>
        <w:overflowPunct/>
        <w:topLinePunct w:val="0"/>
        <w:bidi w:val="0"/>
        <w:adjustRightInd/>
        <w:snapToGrid/>
        <w:spacing w:line="240" w:lineRule="atLeast"/>
        <w:ind w:left="0" w:leftChars="0" w:firstLine="0" w:firstLine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起草单位及起草人</w:t>
      </w:r>
    </w:p>
    <w:p>
      <w:pPr>
        <w:keepNext w:val="0"/>
        <w:keepLines w:val="0"/>
        <w:pageBreakBefore w:val="0"/>
        <w:numPr>
          <w:ilvl w:val="0"/>
          <w:numId w:val="4"/>
        </w:numPr>
        <w:kinsoku/>
        <w:wordWrap/>
        <w:overflowPunct/>
        <w:topLinePunct w:val="0"/>
        <w:bidi w:val="0"/>
        <w:adjustRightInd/>
        <w:snapToGrid/>
        <w:spacing w:line="240" w:lineRule="atLeast"/>
        <w:ind w:left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起草单位</w:t>
      </w:r>
    </w:p>
    <w:p>
      <w:pPr>
        <w:keepNext w:val="0"/>
        <w:keepLines w:val="0"/>
        <w:pageBreakBefore w:val="0"/>
        <w:numPr>
          <w:ilvl w:val="0"/>
          <w:numId w:val="0"/>
        </w:numPr>
        <w:kinsoku/>
        <w:wordWrap/>
        <w:overflowPunct/>
        <w:topLinePunct w:val="0"/>
        <w:bidi w:val="0"/>
        <w:adjustRightInd/>
        <w:snapToGrid/>
        <w:spacing w:line="240" w:lineRule="atLeas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蓬莱区葡萄与葡萄酒产业发展服务中心</w:t>
      </w:r>
    </w:p>
    <w:p>
      <w:pPr>
        <w:keepNext w:val="0"/>
        <w:keepLines w:val="0"/>
        <w:pageBreakBefore w:val="0"/>
        <w:numPr>
          <w:ilvl w:val="0"/>
          <w:numId w:val="0"/>
        </w:numPr>
        <w:kinsoku/>
        <w:wordWrap/>
        <w:overflowPunct/>
        <w:topLinePunct w:val="0"/>
        <w:bidi w:val="0"/>
        <w:adjustRightInd/>
        <w:snapToGrid/>
        <w:spacing w:line="240" w:lineRule="atLeas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蓬莱国宾葡萄酒庄有限公司</w:t>
      </w:r>
    </w:p>
    <w:p>
      <w:pPr>
        <w:keepNext w:val="0"/>
        <w:keepLines w:val="0"/>
        <w:pageBreakBefore w:val="0"/>
        <w:numPr>
          <w:ilvl w:val="0"/>
          <w:numId w:val="0"/>
        </w:numPr>
        <w:kinsoku/>
        <w:wordWrap/>
        <w:overflowPunct/>
        <w:topLinePunct w:val="0"/>
        <w:bidi w:val="0"/>
        <w:adjustRightInd/>
        <w:snapToGrid/>
        <w:spacing w:line="240" w:lineRule="atLeas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君顶酒庄有限公司</w:t>
      </w:r>
    </w:p>
    <w:p>
      <w:pPr>
        <w:keepNext w:val="0"/>
        <w:keepLines w:val="0"/>
        <w:pageBreakBefore w:val="0"/>
        <w:numPr>
          <w:ilvl w:val="0"/>
          <w:numId w:val="0"/>
        </w:numPr>
        <w:kinsoku/>
        <w:wordWrap/>
        <w:overflowPunct/>
        <w:topLinePunct w:val="0"/>
        <w:bidi w:val="0"/>
        <w:adjustRightInd/>
        <w:snapToGrid/>
        <w:spacing w:line="240" w:lineRule="atLeas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中粮长城葡萄酒（蓬莱）有限公司</w:t>
      </w:r>
    </w:p>
    <w:p>
      <w:pPr>
        <w:keepNext w:val="0"/>
        <w:keepLines w:val="0"/>
        <w:pageBreakBefore w:val="0"/>
        <w:numPr>
          <w:ilvl w:val="0"/>
          <w:numId w:val="0"/>
        </w:numPr>
        <w:kinsoku/>
        <w:wordWrap/>
        <w:overflowPunct/>
        <w:topLinePunct w:val="0"/>
        <w:bidi w:val="0"/>
        <w:adjustRightInd/>
        <w:snapToGrid/>
        <w:spacing w:line="240" w:lineRule="atLeast"/>
        <w:ind w:firstLine="280" w:firstLineChars="1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蓬莱仙湖酒业有限公司</w:t>
      </w:r>
    </w:p>
    <w:p>
      <w:pPr>
        <w:keepNext w:val="0"/>
        <w:keepLines w:val="0"/>
        <w:pageBreakBefore w:val="0"/>
        <w:numPr>
          <w:ilvl w:val="0"/>
          <w:numId w:val="0"/>
        </w:numPr>
        <w:kinsoku/>
        <w:wordWrap/>
        <w:overflowPunct/>
        <w:topLinePunct w:val="0"/>
        <w:bidi w:val="0"/>
        <w:adjustRightInd/>
        <w:snapToGrid/>
        <w:spacing w:line="240" w:lineRule="atLeast"/>
        <w:ind w:firstLine="280" w:firstLineChars="1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蓬莱安诺葡萄酒庄有限公司</w:t>
      </w:r>
    </w:p>
    <w:p>
      <w:pPr>
        <w:keepNext w:val="0"/>
        <w:keepLines w:val="0"/>
        <w:pageBreakBefore w:val="0"/>
        <w:numPr>
          <w:ilvl w:val="0"/>
          <w:numId w:val="0"/>
        </w:numPr>
        <w:kinsoku/>
        <w:wordWrap/>
        <w:overflowPunct/>
        <w:topLinePunct w:val="0"/>
        <w:bidi w:val="0"/>
        <w:adjustRightInd/>
        <w:snapToGrid/>
        <w:spacing w:line="240" w:lineRule="atLeast"/>
        <w:ind w:firstLine="280" w:firstLineChars="1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蓬莱逃牛岭酒庄有限公司</w:t>
      </w:r>
    </w:p>
    <w:p>
      <w:pPr>
        <w:keepNext w:val="0"/>
        <w:keepLines w:val="0"/>
        <w:pageBreakBefore w:val="0"/>
        <w:numPr>
          <w:ilvl w:val="0"/>
          <w:numId w:val="4"/>
        </w:numPr>
        <w:kinsoku/>
        <w:wordWrap/>
        <w:overflowPunct/>
        <w:topLinePunct w:val="0"/>
        <w:bidi w:val="0"/>
        <w:adjustRightInd/>
        <w:snapToGrid/>
        <w:spacing w:line="240" w:lineRule="atLeas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主要起草人</w:t>
      </w:r>
    </w:p>
    <w:p>
      <w:pPr>
        <w:keepNext w:val="0"/>
        <w:keepLines w:val="0"/>
        <w:pageBreakBefore w:val="0"/>
        <w:numPr>
          <w:ilvl w:val="0"/>
          <w:numId w:val="4"/>
        </w:numPr>
        <w:kinsoku/>
        <w:wordWrap/>
        <w:overflowPunct/>
        <w:topLinePunct w:val="0"/>
        <w:bidi w:val="0"/>
        <w:adjustRightInd/>
        <w:snapToGrid/>
        <w:spacing w:line="240" w:lineRule="atLeas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沈国全、杜宜龙、宋英珲、张正文</w:t>
      </w:r>
      <w:r>
        <w:rPr>
          <w:rFonts w:hint="eastAsia" w:asciiTheme="minorEastAsia" w:hAnsiTheme="minorEastAsia" w:cstheme="minorEastAsia"/>
          <w:sz w:val="28"/>
          <w:szCs w:val="28"/>
          <w:lang w:val="en-US" w:eastAsia="zh-CN"/>
        </w:rPr>
        <w:t>、李进、邵亚楠、余庆晓、</w:t>
      </w:r>
    </w:p>
    <w:p>
      <w:pPr>
        <w:keepNext w:val="0"/>
        <w:keepLines w:val="0"/>
        <w:pageBreakBefore w:val="0"/>
        <w:numPr>
          <w:ilvl w:val="0"/>
          <w:numId w:val="0"/>
        </w:numPr>
        <w:kinsoku/>
        <w:wordWrap/>
        <w:overflowPunct/>
        <w:topLinePunct w:val="0"/>
        <w:bidi w:val="0"/>
        <w:adjustRightInd/>
        <w:snapToGrid/>
        <w:spacing w:line="240" w:lineRule="atLeast"/>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岳秀超</w:t>
      </w:r>
    </w:p>
    <w:p>
      <w:pPr>
        <w:keepNext w:val="0"/>
        <w:keepLines w:val="0"/>
        <w:pageBreakBefore w:val="0"/>
        <w:numPr>
          <w:ilvl w:val="0"/>
          <w:numId w:val="4"/>
        </w:numPr>
        <w:kinsoku/>
        <w:wordWrap/>
        <w:overflowPunct/>
        <w:topLinePunct w:val="0"/>
        <w:bidi w:val="0"/>
        <w:adjustRightInd/>
        <w:snapToGrid/>
        <w:spacing w:line="240" w:lineRule="atLeas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起草分工</w:t>
      </w:r>
    </w:p>
    <w:p>
      <w:pPr>
        <w:keepNext w:val="0"/>
        <w:keepLines w:val="0"/>
        <w:pageBreakBefore w:val="0"/>
        <w:numPr>
          <w:ilvl w:val="0"/>
          <w:numId w:val="0"/>
        </w:numPr>
        <w:kinsoku/>
        <w:wordWrap/>
        <w:overflowPunct/>
        <w:topLinePunct w:val="0"/>
        <w:bidi w:val="0"/>
        <w:adjustRightInd/>
        <w:snapToGrid/>
        <w:spacing w:line="240" w:lineRule="atLeast"/>
        <w:ind w:left="280" w:leftChars="0" w:hanging="280" w:hangingChars="1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区葡萄与葡萄酒产业发展服务中心负责标准工作的组织、协调、资料收集整理，为标准主要起草单位。</w:t>
      </w:r>
    </w:p>
    <w:p>
      <w:pPr>
        <w:keepNext w:val="0"/>
        <w:keepLines w:val="0"/>
        <w:pageBreakBefore w:val="0"/>
        <w:numPr>
          <w:ilvl w:val="0"/>
          <w:numId w:val="0"/>
        </w:numPr>
        <w:kinsoku/>
        <w:wordWrap/>
        <w:overflowPunct/>
        <w:topLinePunct w:val="0"/>
        <w:bidi w:val="0"/>
        <w:adjustRightInd/>
        <w:snapToGrid/>
        <w:spacing w:line="240" w:lineRule="atLeast"/>
        <w:ind w:left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区葡萄与葡萄酒产业发展服务中心负责《编制说明》的起草说明、撰写、修订工作。</w:t>
      </w:r>
    </w:p>
    <w:p>
      <w:pPr>
        <w:keepNext w:val="0"/>
        <w:keepLines w:val="0"/>
        <w:pageBreakBefore w:val="0"/>
        <w:numPr>
          <w:ilvl w:val="0"/>
          <w:numId w:val="0"/>
        </w:numPr>
        <w:kinsoku/>
        <w:wordWrap/>
        <w:overflowPunct/>
        <w:topLinePunct w:val="0"/>
        <w:bidi w:val="0"/>
        <w:adjustRightInd/>
        <w:snapToGrid/>
        <w:spacing w:line="240" w:lineRule="atLeast"/>
        <w:ind w:left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蓬莱国宾酒庄、君顶酒庄、中粮长城葡萄酒（蓬莱）有限公司负责团体标准中评分标准、评分细则、评分表的制定与完善。</w:t>
      </w:r>
    </w:p>
    <w:p>
      <w:pPr>
        <w:keepNext w:val="0"/>
        <w:keepLines w:val="0"/>
        <w:pageBreakBefore w:val="0"/>
        <w:numPr>
          <w:ilvl w:val="0"/>
          <w:numId w:val="0"/>
        </w:numPr>
        <w:kinsoku/>
        <w:wordWrap/>
        <w:overflowPunct/>
        <w:topLinePunct w:val="0"/>
        <w:bidi w:val="0"/>
        <w:adjustRightInd/>
        <w:snapToGrid/>
        <w:spacing w:line="240" w:lineRule="atLeast"/>
        <w:ind w:firstLine="280" w:firstLineChars="1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蓬莱仙湖酒业有限公司、蓬莱安诺葡萄酒庄有限公司、蓬莱逃牛岭酒庄有限公司负责提供感官品评用语总结提炼。</w:t>
      </w:r>
    </w:p>
    <w:p>
      <w:pPr>
        <w:keepNext w:val="0"/>
        <w:keepLines w:val="0"/>
        <w:pageBreakBefore w:val="0"/>
        <w:numPr>
          <w:ilvl w:val="0"/>
          <w:numId w:val="2"/>
        </w:numPr>
        <w:kinsoku/>
        <w:wordWrap/>
        <w:overflowPunct/>
        <w:topLinePunct w:val="0"/>
        <w:bidi w:val="0"/>
        <w:adjustRightInd/>
        <w:snapToGrid/>
        <w:spacing w:line="240" w:lineRule="atLeast"/>
        <w:ind w:left="0" w:leftChars="0" w:firstLine="0" w:firstLine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标准制定的目的和意义</w:t>
      </w:r>
    </w:p>
    <w:p>
      <w:pPr>
        <w:keepNext w:val="0"/>
        <w:keepLines w:val="0"/>
        <w:pageBreakBefore w:val="0"/>
        <w:numPr>
          <w:ilvl w:val="0"/>
          <w:numId w:val="0"/>
        </w:numPr>
        <w:kinsoku/>
        <w:wordWrap/>
        <w:overflowPunct/>
        <w:topLinePunct w:val="0"/>
        <w:bidi w:val="0"/>
        <w:adjustRightInd/>
        <w:snapToGrid/>
        <w:spacing w:line="240" w:lineRule="atLeast"/>
        <w:ind w:leftChars="0" w:firstLine="418" w:firstLineChars="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蓬莱按照“优质产区、特色葡园、精品酒庄、标准引领”的发展思路，突出特色化、集群化、国际化，全力推动葡萄与葡萄酒产业发展</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现</w:t>
      </w:r>
      <w:r>
        <w:rPr>
          <w:rFonts w:hint="eastAsia" w:asciiTheme="minorEastAsia" w:hAnsiTheme="minorEastAsia" w:eastAsiaTheme="minorEastAsia" w:cstheme="minorEastAsia"/>
          <w:sz w:val="28"/>
          <w:szCs w:val="28"/>
        </w:rPr>
        <w:t>已成为国内产业聚集程度最高的区域之一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优质标准化基地8万亩，葡萄酒生产企业达到60家，年生产能力14万千升，成功注册蓬莱葡萄、蓬莱海岸葡萄酒获批国家地理标志证明商标，2019年取得“中国葡萄酒小产区”称号。</w:t>
      </w:r>
    </w:p>
    <w:p>
      <w:pPr>
        <w:ind w:firstLine="560" w:firstLineChars="2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color w:val="auto"/>
          <w:sz w:val="28"/>
          <w:szCs w:val="28"/>
          <w:lang w:val="en-US" w:eastAsia="zh-CN"/>
        </w:rPr>
        <w:t>制定“蓬莱海岸葡萄酒分级规范”团体标准</w:t>
      </w:r>
      <w:r>
        <w:rPr>
          <w:rFonts w:hint="eastAsia" w:asciiTheme="minorEastAsia" w:hAnsiTheme="minorEastAsia" w:cstheme="minorEastAsia"/>
          <w:color w:val="auto"/>
          <w:sz w:val="28"/>
          <w:szCs w:val="28"/>
          <w:lang w:val="en-US" w:eastAsia="zh-CN"/>
        </w:rPr>
        <w:t>目的</w:t>
      </w:r>
      <w:r>
        <w:rPr>
          <w:rFonts w:hint="eastAsia" w:asciiTheme="minorEastAsia" w:hAnsiTheme="minorEastAsia" w:eastAsiaTheme="minorEastAsia" w:cstheme="minorEastAsia"/>
          <w:color w:val="auto"/>
          <w:sz w:val="28"/>
          <w:szCs w:val="28"/>
          <w:lang w:val="en-US" w:eastAsia="zh-CN"/>
        </w:rPr>
        <w:t>意义在于</w:t>
      </w:r>
      <w:r>
        <w:rPr>
          <w:rFonts w:hint="eastAsia" w:asciiTheme="minorEastAsia" w:hAnsiTheme="minorEastAsia" w:cstheme="minorEastAsia"/>
          <w:color w:val="auto"/>
          <w:sz w:val="28"/>
          <w:szCs w:val="28"/>
          <w:lang w:val="en-US" w:eastAsia="zh-CN"/>
        </w:rPr>
        <w:t>，在国内葡萄酒产区率先</w:t>
      </w:r>
      <w:r>
        <w:rPr>
          <w:rFonts w:hint="eastAsia" w:asciiTheme="minorEastAsia" w:hAnsiTheme="minorEastAsia" w:eastAsiaTheme="minorEastAsia" w:cstheme="minorEastAsia"/>
          <w:color w:val="auto"/>
          <w:sz w:val="28"/>
          <w:szCs w:val="28"/>
          <w:lang w:val="en-US" w:eastAsia="zh-CN"/>
        </w:rPr>
        <w:t>推出产区葡萄酒分级评定规范制度，规范蓬莱葡萄酒</w:t>
      </w:r>
      <w:r>
        <w:rPr>
          <w:rFonts w:hint="eastAsia" w:asciiTheme="minorEastAsia" w:hAnsiTheme="minorEastAsia" w:cstheme="minorEastAsia"/>
          <w:color w:val="auto"/>
          <w:sz w:val="28"/>
          <w:szCs w:val="28"/>
          <w:lang w:val="en-US" w:eastAsia="zh-CN"/>
        </w:rPr>
        <w:t>评定规则</w:t>
      </w:r>
      <w:r>
        <w:rPr>
          <w:rFonts w:hint="eastAsia" w:asciiTheme="minorEastAsia" w:hAnsiTheme="minorEastAsia" w:eastAsiaTheme="minorEastAsia" w:cstheme="minorEastAsia"/>
          <w:color w:val="auto"/>
          <w:sz w:val="28"/>
          <w:szCs w:val="28"/>
          <w:lang w:val="en-US" w:eastAsia="zh-CN"/>
        </w:rPr>
        <w:t>，逐步推进产区风格完善和提升。引导产区企业酿造正真意义的蓬莱</w:t>
      </w:r>
      <w:r>
        <w:rPr>
          <w:rFonts w:hint="eastAsia" w:asciiTheme="minorEastAsia" w:hAnsiTheme="minorEastAsia" w:cstheme="minorEastAsia"/>
          <w:color w:val="auto"/>
          <w:sz w:val="28"/>
          <w:szCs w:val="28"/>
          <w:lang w:val="en-US" w:eastAsia="zh-CN"/>
        </w:rPr>
        <w:t>海岸</w:t>
      </w:r>
      <w:r>
        <w:rPr>
          <w:rFonts w:hint="eastAsia" w:asciiTheme="minorEastAsia" w:hAnsiTheme="minorEastAsia" w:eastAsiaTheme="minorEastAsia" w:cstheme="minorEastAsia"/>
          <w:color w:val="auto"/>
          <w:sz w:val="28"/>
          <w:szCs w:val="28"/>
          <w:lang w:val="en-US" w:eastAsia="zh-CN"/>
        </w:rPr>
        <w:t>葡萄酒，提升蓬莱产区葡萄酒质量，扩大蓬莱产区知名度。用团体标准中蓬莱产区评价体系运用到实际品鉴、推广活动中，规范和引导各个企业使用评价体系，向本企业消费者和经销商推介使用自主评价体系。保护产区会员单位知识产权。提升协会影响力和公信力。</w:t>
      </w:r>
    </w:p>
    <w:p>
      <w:pPr>
        <w:keepNext w:val="0"/>
        <w:keepLines w:val="0"/>
        <w:pageBreakBefore w:val="0"/>
        <w:numPr>
          <w:ilvl w:val="0"/>
          <w:numId w:val="2"/>
        </w:numPr>
        <w:kinsoku/>
        <w:wordWrap/>
        <w:overflowPunct/>
        <w:topLinePunct w:val="0"/>
        <w:bidi w:val="0"/>
        <w:adjustRightInd/>
        <w:snapToGrid/>
        <w:spacing w:line="240" w:lineRule="atLeast"/>
        <w:ind w:left="0" w:leftChars="0" w:firstLine="0" w:firstLine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编制过程</w:t>
      </w:r>
    </w:p>
    <w:p>
      <w:pPr>
        <w:keepNext w:val="0"/>
        <w:keepLines w:val="0"/>
        <w:pageBreakBefore w:val="0"/>
        <w:numPr>
          <w:ilvl w:val="0"/>
          <w:numId w:val="0"/>
        </w:numPr>
        <w:kinsoku/>
        <w:wordWrap/>
        <w:overflowPunct/>
        <w:topLinePunct w:val="0"/>
        <w:bidi w:val="0"/>
        <w:adjustRightInd/>
        <w:snapToGrid/>
        <w:spacing w:line="240" w:lineRule="atLeast"/>
        <w:ind w:left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2019年11月，提出起草标准意见。</w:t>
      </w:r>
    </w:p>
    <w:p>
      <w:pPr>
        <w:keepNext w:val="0"/>
        <w:keepLines w:val="0"/>
        <w:pageBreakBefore w:val="0"/>
        <w:numPr>
          <w:ilvl w:val="0"/>
          <w:numId w:val="0"/>
        </w:numPr>
        <w:kinsoku/>
        <w:wordWrap/>
        <w:overflowPunct/>
        <w:topLinePunct w:val="0"/>
        <w:bidi w:val="0"/>
        <w:adjustRightInd/>
        <w:snapToGrid/>
        <w:spacing w:line="240" w:lineRule="atLeast"/>
        <w:ind w:left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2020年2月，组建标准起草小组。</w:t>
      </w:r>
    </w:p>
    <w:p>
      <w:pPr>
        <w:keepNext w:val="0"/>
        <w:keepLines w:val="0"/>
        <w:pageBreakBefore w:val="0"/>
        <w:numPr>
          <w:ilvl w:val="0"/>
          <w:numId w:val="0"/>
        </w:numPr>
        <w:kinsoku/>
        <w:wordWrap/>
        <w:overflowPunct/>
        <w:topLinePunct w:val="0"/>
        <w:bidi w:val="0"/>
        <w:adjustRightInd/>
        <w:snapToGrid/>
        <w:spacing w:line="240" w:lineRule="atLeast"/>
        <w:ind w:left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2020年4月-5月，起草小组完成分级规范的调研、意见征询、资料收集等工作。</w:t>
      </w:r>
    </w:p>
    <w:p>
      <w:pPr>
        <w:keepNext w:val="0"/>
        <w:keepLines w:val="0"/>
        <w:pageBreakBefore w:val="0"/>
        <w:numPr>
          <w:ilvl w:val="0"/>
          <w:numId w:val="0"/>
        </w:numPr>
        <w:kinsoku/>
        <w:wordWrap/>
        <w:overflowPunct/>
        <w:topLinePunct w:val="0"/>
        <w:bidi w:val="0"/>
        <w:adjustRightInd/>
        <w:snapToGrid/>
        <w:spacing w:line="240" w:lineRule="atLeast"/>
        <w:ind w:left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2020年6月，起草小组完成标准草案稿以及编制说明撰写。</w:t>
      </w:r>
    </w:p>
    <w:p>
      <w:pPr>
        <w:keepNext w:val="0"/>
        <w:keepLines w:val="0"/>
        <w:pageBreakBefore w:val="0"/>
        <w:numPr>
          <w:ilvl w:val="0"/>
          <w:numId w:val="0"/>
        </w:numPr>
        <w:kinsoku/>
        <w:wordWrap/>
        <w:overflowPunct/>
        <w:topLinePunct w:val="0"/>
        <w:bidi w:val="0"/>
        <w:adjustRightInd/>
        <w:snapToGrid/>
        <w:spacing w:line="240" w:lineRule="atLeast"/>
        <w:ind w:left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2020年7月，起草小组在蓬莱酿酒师半年会上召开标准讨论会议，就标准征求、讨论、修改，并形成标准征求意见稿。</w:t>
      </w:r>
    </w:p>
    <w:p>
      <w:pPr>
        <w:keepNext w:val="0"/>
        <w:keepLines w:val="0"/>
        <w:pageBreakBefore w:val="0"/>
        <w:numPr>
          <w:ilvl w:val="0"/>
          <w:numId w:val="0"/>
        </w:numPr>
        <w:kinsoku/>
        <w:wordWrap/>
        <w:overflowPunct/>
        <w:topLinePunct w:val="0"/>
        <w:bidi w:val="0"/>
        <w:adjustRightInd/>
        <w:snapToGrid/>
        <w:spacing w:line="240" w:lineRule="atLeast"/>
        <w:ind w:leftChars="0" w:firstLine="280" w:firstLineChars="1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2020年8月，在全国团体标准信息平台立项。</w:t>
      </w:r>
    </w:p>
    <w:p>
      <w:pPr>
        <w:keepNext w:val="0"/>
        <w:keepLines w:val="0"/>
        <w:pageBreakBefore w:val="0"/>
        <w:numPr>
          <w:ilvl w:val="0"/>
          <w:numId w:val="0"/>
        </w:numPr>
        <w:kinsoku/>
        <w:wordWrap/>
        <w:overflowPunct/>
        <w:topLinePunct w:val="0"/>
        <w:bidi w:val="0"/>
        <w:adjustRightInd/>
        <w:snapToGrid/>
        <w:spacing w:line="240" w:lineRule="atLeast"/>
        <w:ind w:firstLine="280" w:firstLine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2020年8-1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eastAsiaTheme="minorEastAsia" w:cstheme="minorEastAsia"/>
          <w:sz w:val="28"/>
          <w:szCs w:val="28"/>
        </w:rPr>
        <w:t>与专家反复讨论，修改，形成标准送审稿。</w:t>
      </w:r>
    </w:p>
    <w:p>
      <w:pPr>
        <w:keepNext w:val="0"/>
        <w:keepLines w:val="0"/>
        <w:pageBreakBefore w:val="0"/>
        <w:kinsoku/>
        <w:wordWrap/>
        <w:overflowPunct/>
        <w:topLinePunct w:val="0"/>
        <w:bidi w:val="0"/>
        <w:adjustRightInd/>
        <w:snapToGrid/>
        <w:spacing w:line="240" w:lineRule="atLeas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四、标准制订的基本原则和依据</w:t>
      </w:r>
    </w:p>
    <w:p>
      <w:pPr>
        <w:keepNext w:val="0"/>
        <w:keepLines w:val="0"/>
        <w:pageBreakBefore w:val="0"/>
        <w:kinsoku/>
        <w:wordWrap/>
        <w:overflowPunct/>
        <w:topLinePunct w:val="0"/>
        <w:bidi w:val="0"/>
        <w:adjustRightInd/>
        <w:snapToGrid/>
        <w:spacing w:line="24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标准依据</w:t>
      </w:r>
    </w:p>
    <w:p>
      <w:pPr>
        <w:keepNext w:val="0"/>
        <w:keepLines w:val="0"/>
        <w:pageBreakBefore w:val="0"/>
        <w:numPr>
          <w:ilvl w:val="0"/>
          <w:numId w:val="0"/>
        </w:numPr>
        <w:kinsoku/>
        <w:wordWrap/>
        <w:overflowPunct/>
        <w:topLinePunct w:val="0"/>
        <w:bidi w:val="0"/>
        <w:adjustRightInd/>
        <w:snapToGrid/>
        <w:spacing w:line="240" w:lineRule="atLeast"/>
        <w:ind w:firstLine="280" w:firstLineChars="1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rPr>
        <w:t xml:space="preserve">  标准的编制按照GB/T 1.1-2009《标准化工作导则第1部分：标准的结构和编写规则》的要求，</w:t>
      </w:r>
      <w:r>
        <w:rPr>
          <w:rFonts w:hint="eastAsia" w:asciiTheme="minorEastAsia" w:hAnsiTheme="minorEastAsia" w:eastAsiaTheme="minorEastAsia" w:cstheme="minorEastAsia"/>
          <w:b w:val="0"/>
          <w:bCs w:val="0"/>
          <w:sz w:val="28"/>
          <w:szCs w:val="28"/>
          <w:lang w:eastAsia="zh-CN"/>
        </w:rPr>
        <w:t>具体技术要求参照</w:t>
      </w:r>
      <w:r>
        <w:rPr>
          <w:rFonts w:hint="eastAsia" w:asciiTheme="minorEastAsia" w:hAnsiTheme="minorEastAsia" w:eastAsiaTheme="minorEastAsia" w:cstheme="minorEastAsia"/>
          <w:b w:val="0"/>
          <w:bCs w:val="0"/>
          <w:sz w:val="28"/>
          <w:szCs w:val="28"/>
          <w:lang w:val="en-US" w:eastAsia="zh-CN"/>
        </w:rPr>
        <w:t>GBT/15037-2006(葡萄酒）并结合蓬莱产区葡萄酒行业实际情况。</w:t>
      </w:r>
    </w:p>
    <w:p>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五、主要章、条确定的原则</w:t>
      </w:r>
    </w:p>
    <w:p>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rPr>
        <w:t>一）</w:t>
      </w:r>
      <w:r>
        <w:rPr>
          <w:rFonts w:hint="eastAsia" w:asciiTheme="minorEastAsia" w:hAnsiTheme="minorEastAsia" w:eastAsiaTheme="minorEastAsia" w:cstheme="minorEastAsia"/>
          <w:b w:val="0"/>
          <w:bCs/>
          <w:sz w:val="28"/>
          <w:szCs w:val="28"/>
          <w:lang w:eastAsia="zh-CN"/>
        </w:rPr>
        <w:t>范围</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本标准规定了蓬莱海岸葡萄酒分级</w:t>
      </w:r>
      <w:r>
        <w:rPr>
          <w:rFonts w:hint="eastAsia" w:asciiTheme="minorEastAsia" w:hAnsiTheme="minorEastAsia" w:eastAsiaTheme="minorEastAsia" w:cstheme="minorEastAsia"/>
          <w:sz w:val="28"/>
          <w:szCs w:val="28"/>
          <w:lang w:eastAsia="zh-CN"/>
        </w:rPr>
        <w:t>评定（感官评定）</w:t>
      </w:r>
      <w:r>
        <w:rPr>
          <w:rFonts w:hint="eastAsia" w:asciiTheme="minorEastAsia" w:hAnsiTheme="minorEastAsia" w:eastAsiaTheme="minorEastAsia" w:cstheme="minorEastAsia"/>
          <w:sz w:val="28"/>
          <w:szCs w:val="28"/>
        </w:rPr>
        <w:t>的标准和术语、定义、参评要求、组织认定、品评标准等。</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本标准适用于获得蓬莱海岸葡萄酒地理标志证明商标区域内的葡萄酒</w:t>
      </w:r>
    </w:p>
    <w:p>
      <w:pPr>
        <w:pStyle w:val="10"/>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规范性引用文件</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本章给出了</w:t>
      </w:r>
      <w:r>
        <w:rPr>
          <w:rFonts w:hint="eastAsia" w:asciiTheme="minorEastAsia" w:hAnsiTheme="minorEastAsia" w:eastAsiaTheme="minorEastAsia" w:cstheme="minorEastAsia"/>
          <w:sz w:val="28"/>
          <w:szCs w:val="28"/>
          <w:lang w:eastAsia="zh-CN"/>
        </w:rPr>
        <w:t>标准</w:t>
      </w:r>
      <w:r>
        <w:rPr>
          <w:rFonts w:hint="eastAsia" w:asciiTheme="minorEastAsia" w:hAnsiTheme="minorEastAsia" w:eastAsiaTheme="minorEastAsia" w:cstheme="minorEastAsia"/>
          <w:sz w:val="28"/>
          <w:szCs w:val="28"/>
        </w:rPr>
        <w:t>件引用的规范性文件。</w:t>
      </w:r>
    </w:p>
    <w:p>
      <w:pPr>
        <w:keepNext w:val="0"/>
        <w:keepLines w:val="0"/>
        <w:pageBreakBefore w:val="0"/>
        <w:widowControl/>
        <w:numPr>
          <w:ilvl w:val="0"/>
          <w:numId w:val="5"/>
        </w:numPr>
        <w:kinsoku/>
        <w:wordWrap/>
        <w:overflowPunct/>
        <w:topLinePunct w:val="0"/>
        <w:bidi w:val="0"/>
        <w:adjustRightInd/>
        <w:snapToGrid/>
        <w:spacing w:before="312" w:beforeLines="100" w:after="312" w:afterLines="100" w:line="360" w:lineRule="auto"/>
        <w:ind w:leftChars="0"/>
        <w:textAlignment w:val="auto"/>
        <w:outlineLvl w:val="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0"/>
          <w:sz w:val="28"/>
          <w:szCs w:val="28"/>
        </w:rPr>
        <w:t>术语和定义</w:t>
      </w:r>
    </w:p>
    <w:p>
      <w:pPr>
        <w:keepNext w:val="0"/>
        <w:keepLines w:val="0"/>
        <w:pageBreakBefore w:val="0"/>
        <w:widowControl/>
        <w:numPr>
          <w:ilvl w:val="0"/>
          <w:numId w:val="0"/>
        </w:numPr>
        <w:kinsoku/>
        <w:wordWrap/>
        <w:overflowPunct/>
        <w:topLinePunct w:val="0"/>
        <w:bidi w:val="0"/>
        <w:adjustRightInd/>
        <w:snapToGrid/>
        <w:spacing w:before="312" w:beforeLines="100" w:after="312" w:afterLines="100" w:line="360" w:lineRule="auto"/>
        <w:ind w:firstLine="280" w:firstLineChars="100"/>
        <w:textAlignment w:val="auto"/>
        <w:outlineLvl w:val="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GB/T 15037《葡萄酒》界定的以及下列术语和定义适用于本文件</w:t>
      </w:r>
      <w:r>
        <w:rPr>
          <w:rFonts w:hint="eastAsia" w:asciiTheme="minorEastAsia" w:hAnsiTheme="minorEastAsia" w:eastAsiaTheme="minorEastAsia" w:cstheme="minorEastAsia"/>
          <w:sz w:val="28"/>
          <w:szCs w:val="28"/>
          <w:lang w:val="en-US" w:eastAsia="zh-CN"/>
        </w:rPr>
        <w:t>.蓬莱海岸葡萄酒的区域范围以及蓬莱海岸葡萄酒的主要特征。</w:t>
      </w:r>
    </w:p>
    <w:p>
      <w:pPr>
        <w:pStyle w:val="10"/>
        <w:keepNext w:val="0"/>
        <w:keepLines w:val="0"/>
        <w:pageBreakBefore w:val="0"/>
        <w:numPr>
          <w:numId w:val="0"/>
        </w:numPr>
        <w:tabs>
          <w:tab w:val="center" w:pos="4201"/>
          <w:tab w:val="right" w:leader="dot" w:pos="9298"/>
        </w:tabs>
        <w:kinsoku/>
        <w:wordWrap/>
        <w:overflowPunct/>
        <w:topLinePunct w:val="0"/>
        <w:bidi w:val="0"/>
        <w:adjustRightInd/>
        <w:snapToGrid/>
        <w:spacing w:line="360" w:lineRule="auto"/>
        <w:ind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四）分级评定规则</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本章给出了分级等级以及</w:t>
      </w:r>
      <w:r>
        <w:rPr>
          <w:rFonts w:hint="eastAsia" w:asciiTheme="minorEastAsia" w:hAnsiTheme="minorEastAsia" w:eastAsiaTheme="minorEastAsia" w:cstheme="minorEastAsia"/>
          <w:sz w:val="28"/>
          <w:szCs w:val="28"/>
          <w:lang w:eastAsia="zh-CN"/>
        </w:rPr>
        <w:t>分级评定的形式。</w:t>
      </w:r>
      <w:r>
        <w:rPr>
          <w:rFonts w:hint="eastAsia" w:asciiTheme="minorEastAsia" w:hAnsiTheme="minorEastAsia" w:eastAsiaTheme="minorEastAsia" w:cstheme="minorEastAsia"/>
          <w:sz w:val="28"/>
          <w:szCs w:val="28"/>
        </w:rPr>
        <w:t>共分为5级，由低到高分为4级（佐餐酒）、3级、2级、1级、特级，特级为最高等级。</w:t>
      </w:r>
    </w:p>
    <w:p>
      <w:pPr>
        <w:pStyle w:val="10"/>
        <w:keepNext w:val="0"/>
        <w:keepLines w:val="0"/>
        <w:pageBreakBefore w:val="0"/>
        <w:numPr>
          <w:numId w:val="0"/>
        </w:numPr>
        <w:tabs>
          <w:tab w:val="center" w:pos="4201"/>
          <w:tab w:val="right" w:leader="dot" w:pos="9298"/>
        </w:tabs>
        <w:kinsoku/>
        <w:wordWrap/>
        <w:overflowPunct/>
        <w:topLinePunct w:val="0"/>
        <w:bidi w:val="0"/>
        <w:adjustRightInd/>
        <w:snapToGrid/>
        <w:spacing w:line="360" w:lineRule="auto"/>
        <w:ind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五）分级参评要求</w:t>
      </w:r>
    </w:p>
    <w:p>
      <w:pPr>
        <w:pStyle w:val="10"/>
        <w:keepNext w:val="0"/>
        <w:keepLines w:val="0"/>
        <w:pageBreakBefore w:val="0"/>
        <w:numPr>
          <w:ilvl w:val="0"/>
          <w:numId w:val="0"/>
        </w:numPr>
        <w:tabs>
          <w:tab w:val="center" w:pos="4201"/>
          <w:tab w:val="right" w:leader="dot" w:pos="9298"/>
        </w:tabs>
        <w:kinsoku/>
        <w:wordWrap/>
        <w:overflowPunct/>
        <w:topLinePunct w:val="0"/>
        <w:bidi w:val="0"/>
        <w:adjustRightInd/>
        <w:snapToGrid/>
        <w:spacing w:line="240" w:lineRule="atLeast"/>
        <w:ind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本章给出了参评范围，参评要求。</w:t>
      </w:r>
    </w:p>
    <w:p>
      <w:pPr>
        <w:pStyle w:val="10"/>
        <w:keepNext w:val="0"/>
        <w:keepLines w:val="0"/>
        <w:pageBreakBefore w:val="0"/>
        <w:numPr>
          <w:numId w:val="0"/>
        </w:numPr>
        <w:tabs>
          <w:tab w:val="center" w:pos="4201"/>
          <w:tab w:val="right" w:leader="dot" w:pos="9298"/>
        </w:tabs>
        <w:kinsoku/>
        <w:wordWrap/>
        <w:overflowPunct/>
        <w:topLinePunct w:val="0"/>
        <w:bidi w:val="0"/>
        <w:adjustRightInd/>
        <w:snapToGrid/>
        <w:spacing w:line="240" w:lineRule="atLeast"/>
        <w:ind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六）分级评定流程</w:t>
      </w:r>
    </w:p>
    <w:p>
      <w:pPr>
        <w:pStyle w:val="10"/>
        <w:keepNext w:val="0"/>
        <w:keepLines w:val="0"/>
        <w:pageBreakBefore w:val="0"/>
        <w:numPr>
          <w:ilvl w:val="0"/>
          <w:numId w:val="0"/>
        </w:numPr>
        <w:tabs>
          <w:tab w:val="center" w:pos="4201"/>
          <w:tab w:val="right" w:leader="dot" w:pos="9298"/>
        </w:tabs>
        <w:kinsoku/>
        <w:wordWrap/>
        <w:overflowPunct/>
        <w:topLinePunct w:val="0"/>
        <w:bidi w:val="0"/>
        <w:adjustRightInd/>
        <w:snapToGrid/>
        <w:spacing w:line="240" w:lineRule="atLeast"/>
        <w:ind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本章给出了分级级别确认、评定级别最大分数值、加分项以及分级评定结果的发布。</w:t>
      </w:r>
    </w:p>
    <w:p>
      <w:pPr>
        <w:pStyle w:val="12"/>
        <w:keepNext w:val="0"/>
        <w:keepLines w:val="0"/>
        <w:pageBreakBefore w:val="0"/>
        <w:numPr>
          <w:ilvl w:val="3"/>
          <w:numId w:val="0"/>
        </w:numPr>
        <w:kinsoku/>
        <w:wordWrap/>
        <w:overflowPunct/>
        <w:topLinePunct w:val="0"/>
        <w:bidi w:val="0"/>
        <w:adjustRightInd/>
        <w:snapToGrid/>
        <w:spacing w:before="0" w:after="0" w:line="240" w:lineRule="atLeast"/>
        <w:ind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产品分类</w:t>
      </w:r>
    </w:p>
    <w:p>
      <w:pPr>
        <w:pStyle w:val="12"/>
        <w:keepNext w:val="0"/>
        <w:keepLines w:val="0"/>
        <w:pageBreakBefore w:val="0"/>
        <w:numPr>
          <w:ilvl w:val="3"/>
          <w:numId w:val="0"/>
        </w:numPr>
        <w:kinsoku/>
        <w:wordWrap/>
        <w:overflowPunct/>
        <w:topLinePunct w:val="0"/>
        <w:bidi w:val="0"/>
        <w:adjustRightInd/>
        <w:snapToGrid/>
        <w:spacing w:before="0" w:after="0" w:line="240" w:lineRule="atLeast"/>
        <w:ind w:leftChars="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本章给出了本标准</w:t>
      </w:r>
      <w:r>
        <w:rPr>
          <w:rFonts w:hint="eastAsia" w:asciiTheme="minorEastAsia" w:hAnsiTheme="minorEastAsia" w:eastAsiaTheme="minorEastAsia" w:cstheme="minorEastAsia"/>
          <w:sz w:val="28"/>
          <w:szCs w:val="28"/>
        </w:rPr>
        <w:t>按GB/T 15037执行。</w:t>
      </w:r>
    </w:p>
    <w:p>
      <w:pPr>
        <w:pStyle w:val="12"/>
        <w:keepNext w:val="0"/>
        <w:keepLines w:val="0"/>
        <w:pageBreakBefore w:val="0"/>
        <w:numPr>
          <w:ilvl w:val="0"/>
          <w:numId w:val="6"/>
        </w:numPr>
        <w:kinsoku/>
        <w:wordWrap/>
        <w:overflowPunct/>
        <w:topLinePunct w:val="0"/>
        <w:bidi w:val="0"/>
        <w:adjustRightInd/>
        <w:snapToGrid/>
        <w:spacing w:before="0" w:after="0" w:line="240" w:lineRule="atLeas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附录</w:t>
      </w:r>
      <w:r>
        <w:rPr>
          <w:rFonts w:hint="eastAsia" w:asciiTheme="minorEastAsia" w:hAnsiTheme="minorEastAsia" w:eastAsiaTheme="minorEastAsia" w:cstheme="minorEastAsia"/>
          <w:sz w:val="28"/>
          <w:szCs w:val="28"/>
          <w:lang w:eastAsia="zh-CN"/>
        </w:rPr>
        <w:fldChar w:fldCharType="begin" w:fldLock="1"/>
      </w:r>
      <w:r>
        <w:rPr>
          <w:rFonts w:hint="eastAsia" w:asciiTheme="minorEastAsia" w:hAnsiTheme="minorEastAsia" w:eastAsiaTheme="minorEastAsia" w:cstheme="minorEastAsia"/>
          <w:sz w:val="28"/>
          <w:szCs w:val="28"/>
          <w:lang w:eastAsia="zh-CN"/>
        </w:rPr>
        <w:instrText xml:space="preserve"> TOC \h \z \t"前言、引言标题,1,参考文献、索引标题,1,章标题,1,参考文献,1,附录标识,1,一级条标题, 3" \* MERGEFORMAT </w:instrText>
      </w:r>
      <w:r>
        <w:rPr>
          <w:rFonts w:hint="eastAsia" w:asciiTheme="minorEastAsia" w:hAnsiTheme="minorEastAsia" w:eastAsiaTheme="minorEastAsia" w:cstheme="minorEastAsia"/>
          <w:sz w:val="28"/>
          <w:szCs w:val="28"/>
          <w:lang w:eastAsia="zh-CN"/>
        </w:rPr>
        <w:fldChar w:fldCharType="separate"/>
      </w:r>
    </w:p>
    <w:p>
      <w:pPr>
        <w:pStyle w:val="3"/>
        <w:keepNext w:val="0"/>
        <w:keepLines w:val="0"/>
        <w:pageBreakBefore w:val="0"/>
        <w:tabs>
          <w:tab w:val="right" w:leader="dot" w:pos="9354"/>
          <w:tab w:val="clear" w:pos="9241"/>
        </w:tabs>
        <w:kinsoku/>
        <w:wordWrap/>
        <w:overflowPunct/>
        <w:topLinePunct w:val="0"/>
        <w:bidi w:val="0"/>
        <w:adjustRightInd/>
        <w:snapToGrid/>
        <w:spacing w:line="240" w:lineRule="atLeas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_Toc22127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i w:val="0"/>
          <w:spacing w:val="0"/>
          <w:w w:val="100"/>
          <w:sz w:val="28"/>
          <w:szCs w:val="28"/>
        </w:rPr>
        <w:t>附录A</w:t>
      </w: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（规范性附录）</w:t>
      </w:r>
      <w:r>
        <w:rPr>
          <w:rFonts w:hint="eastAsia" w:asciiTheme="minorEastAsia" w:hAnsiTheme="minorEastAsia" w:eastAsiaTheme="minorEastAsia" w:cstheme="minorEastAsia"/>
          <w:sz w:val="28"/>
          <w:szCs w:val="28"/>
          <w:lang w:eastAsia="zh-CN"/>
        </w:rPr>
        <w:t>蓬莱葡萄酒分级评定等级</w:t>
      </w:r>
      <w:r>
        <w:rPr>
          <w:rFonts w:hint="eastAsia" w:asciiTheme="minorEastAsia" w:hAnsiTheme="minorEastAsia" w:eastAsiaTheme="minorEastAsia" w:cstheme="minorEastAsia"/>
          <w:sz w:val="28"/>
          <w:szCs w:val="28"/>
          <w:lang w:eastAsia="zh-CN"/>
        </w:rPr>
        <w:fldChar w:fldCharType="end"/>
      </w:r>
    </w:p>
    <w:p>
      <w:pPr>
        <w:pStyle w:val="3"/>
        <w:keepNext w:val="0"/>
        <w:keepLines w:val="0"/>
        <w:pageBreakBefore w:val="0"/>
        <w:tabs>
          <w:tab w:val="right" w:leader="dot" w:pos="9354"/>
          <w:tab w:val="clear" w:pos="9241"/>
        </w:tabs>
        <w:kinsoku/>
        <w:wordWrap/>
        <w:overflowPunct/>
        <w:topLinePunct w:val="0"/>
        <w:bidi w:val="0"/>
        <w:adjustRightInd/>
        <w:snapToGrid/>
        <w:spacing w:line="240" w:lineRule="atLeast"/>
        <w:textAlignment w:val="auto"/>
        <w:rPr>
          <w:rFonts w:hint="eastAsia" w:asciiTheme="minorEastAsia" w:hAnsiTheme="minorEastAsia" w:eastAsiaTheme="minorEastAsia" w:cstheme="minorEastAsia"/>
          <w:spacing w:val="0"/>
          <w:sz w:val="28"/>
          <w:szCs w:val="28"/>
          <w:lang w:eastAsia="zh-CN"/>
        </w:rPr>
      </w:pPr>
      <w:r>
        <w:rPr>
          <w:rFonts w:hint="eastAsia" w:asciiTheme="minorEastAsia" w:hAnsiTheme="minorEastAsia" w:eastAsiaTheme="minorEastAsia" w:cstheme="minorEastAsia"/>
          <w:spacing w:val="0"/>
          <w:sz w:val="28"/>
          <w:szCs w:val="28"/>
          <w:lang w:eastAsia="zh-CN"/>
        </w:rPr>
        <w:fldChar w:fldCharType="begin"/>
      </w:r>
      <w:r>
        <w:rPr>
          <w:rFonts w:hint="eastAsia" w:asciiTheme="minorEastAsia" w:hAnsiTheme="minorEastAsia" w:eastAsiaTheme="minorEastAsia" w:cstheme="minorEastAsia"/>
          <w:spacing w:val="0"/>
          <w:sz w:val="28"/>
          <w:szCs w:val="28"/>
          <w:lang w:eastAsia="zh-CN"/>
        </w:rPr>
        <w:instrText xml:space="preserve"> HYPERLINK \l _Toc16258 </w:instrText>
      </w:r>
      <w:r>
        <w:rPr>
          <w:rFonts w:hint="eastAsia" w:asciiTheme="minorEastAsia" w:hAnsiTheme="minorEastAsia" w:eastAsiaTheme="minorEastAsia" w:cstheme="minorEastAsia"/>
          <w:spacing w:val="0"/>
          <w:sz w:val="28"/>
          <w:szCs w:val="28"/>
          <w:lang w:eastAsia="zh-CN"/>
        </w:rPr>
        <w:fldChar w:fldCharType="separate"/>
      </w:r>
      <w:r>
        <w:rPr>
          <w:rFonts w:hint="eastAsia" w:asciiTheme="minorEastAsia" w:hAnsiTheme="minorEastAsia" w:eastAsiaTheme="minorEastAsia" w:cstheme="minorEastAsia"/>
          <w:i w:val="0"/>
          <w:spacing w:val="0"/>
          <w:w w:val="100"/>
          <w:sz w:val="28"/>
          <w:szCs w:val="28"/>
        </w:rPr>
        <w:t>附录B</w:t>
      </w:r>
      <w:r>
        <w:rPr>
          <w:rFonts w:hint="eastAsia" w:asciiTheme="minorEastAsia" w:hAnsiTheme="minorEastAsia" w:eastAsiaTheme="minorEastAsia" w:cstheme="minorEastAsia"/>
          <w:spacing w:val="0"/>
          <w:sz w:val="28"/>
          <w:szCs w:val="28"/>
          <w:lang w:eastAsia="zh-CN"/>
        </w:rPr>
        <w:t>　</w:t>
      </w:r>
      <w:r>
        <w:rPr>
          <w:rFonts w:hint="eastAsia" w:asciiTheme="minorEastAsia" w:hAnsiTheme="minorEastAsia" w:eastAsiaTheme="minorEastAsia" w:cstheme="minorEastAsia"/>
          <w:spacing w:val="0"/>
          <w:sz w:val="28"/>
          <w:szCs w:val="28"/>
        </w:rPr>
        <w:t>（规范性附录）</w:t>
      </w:r>
      <w:r>
        <w:rPr>
          <w:rFonts w:hint="eastAsia" w:asciiTheme="minorEastAsia" w:hAnsiTheme="minorEastAsia" w:eastAsiaTheme="minorEastAsia" w:cstheme="minorEastAsia"/>
          <w:spacing w:val="0"/>
          <w:sz w:val="28"/>
          <w:szCs w:val="28"/>
          <w:lang w:eastAsia="zh-CN"/>
        </w:rPr>
        <w:t>蓬莱海岸葡萄酒评分细则</w:t>
      </w:r>
    </w:p>
    <w:p>
      <w:pPr>
        <w:pStyle w:val="3"/>
        <w:keepNext w:val="0"/>
        <w:keepLines w:val="0"/>
        <w:pageBreakBefore w:val="0"/>
        <w:tabs>
          <w:tab w:val="right" w:leader="dot" w:pos="9354"/>
          <w:tab w:val="clear" w:pos="9241"/>
        </w:tabs>
        <w:kinsoku/>
        <w:wordWrap/>
        <w:overflowPunct/>
        <w:topLinePunct w:val="0"/>
        <w:bidi w:val="0"/>
        <w:adjustRightInd/>
        <w:snapToGrid/>
        <w:spacing w:line="240" w:lineRule="atLeast"/>
        <w:textAlignment w:val="auto"/>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lang w:eastAsia="zh-CN"/>
        </w:rPr>
        <w:fldChar w:fldCharType="end"/>
      </w:r>
      <w:r>
        <w:rPr>
          <w:rFonts w:hint="eastAsia" w:asciiTheme="minorEastAsia" w:hAnsiTheme="minorEastAsia" w:eastAsiaTheme="minorEastAsia" w:cstheme="minorEastAsia"/>
          <w:spacing w:val="0"/>
          <w:sz w:val="28"/>
          <w:szCs w:val="28"/>
          <w:lang w:eastAsia="zh-CN"/>
        </w:rPr>
        <w:fldChar w:fldCharType="begin"/>
      </w:r>
      <w:r>
        <w:rPr>
          <w:rFonts w:hint="eastAsia" w:asciiTheme="minorEastAsia" w:hAnsiTheme="minorEastAsia" w:eastAsiaTheme="minorEastAsia" w:cstheme="minorEastAsia"/>
          <w:spacing w:val="0"/>
          <w:sz w:val="28"/>
          <w:szCs w:val="28"/>
          <w:lang w:eastAsia="zh-CN"/>
        </w:rPr>
        <w:instrText xml:space="preserve"> HYPERLINK \l _Toc10389 </w:instrText>
      </w:r>
      <w:r>
        <w:rPr>
          <w:rFonts w:hint="eastAsia" w:asciiTheme="minorEastAsia" w:hAnsiTheme="minorEastAsia" w:eastAsiaTheme="minorEastAsia" w:cstheme="minorEastAsia"/>
          <w:spacing w:val="0"/>
          <w:sz w:val="28"/>
          <w:szCs w:val="28"/>
          <w:lang w:eastAsia="zh-CN"/>
        </w:rPr>
        <w:fldChar w:fldCharType="separate"/>
      </w:r>
      <w:r>
        <w:rPr>
          <w:rFonts w:hint="eastAsia" w:asciiTheme="minorEastAsia" w:hAnsiTheme="minorEastAsia" w:eastAsiaTheme="minorEastAsia" w:cstheme="minorEastAsia"/>
          <w:i w:val="0"/>
          <w:spacing w:val="0"/>
          <w:w w:val="100"/>
          <w:sz w:val="28"/>
          <w:szCs w:val="28"/>
          <w:lang w:val="en-US" w:eastAsia="zh-CN"/>
        </w:rPr>
        <w:t>附录C</w:t>
      </w:r>
      <w:r>
        <w:rPr>
          <w:rFonts w:hint="eastAsia" w:asciiTheme="minorEastAsia" w:hAnsiTheme="minorEastAsia" w:eastAsiaTheme="minorEastAsia" w:cstheme="minorEastAsia"/>
          <w:spacing w:val="0"/>
          <w:sz w:val="28"/>
          <w:szCs w:val="28"/>
          <w:lang w:val="en-US" w:eastAsia="zh-CN"/>
        </w:rPr>
        <w:t>　（规范性附录）蓬莱海岸葡萄酒评分表</w:t>
      </w:r>
      <w:r>
        <w:rPr>
          <w:rFonts w:hint="eastAsia" w:asciiTheme="minorEastAsia" w:hAnsiTheme="minorEastAsia" w:eastAsiaTheme="minorEastAsia" w:cstheme="minorEastAsia"/>
          <w:spacing w:val="0"/>
          <w:sz w:val="28"/>
          <w:szCs w:val="28"/>
          <w:lang w:eastAsia="zh-CN"/>
        </w:rPr>
        <w:fldChar w:fldCharType="end"/>
      </w:r>
    </w:p>
    <w:p>
      <w:pPr>
        <w:pStyle w:val="10"/>
        <w:keepNext w:val="0"/>
        <w:keepLines w:val="0"/>
        <w:pageBreakBefore w:val="0"/>
        <w:tabs>
          <w:tab w:val="center" w:pos="4201"/>
          <w:tab w:val="right" w:leader="dot" w:pos="9298"/>
        </w:tabs>
        <w:kinsoku/>
        <w:wordWrap/>
        <w:overflowPunct/>
        <w:topLinePunct w:val="0"/>
        <w:bidi w:val="0"/>
        <w:adjustRightInd/>
        <w:snapToGrid/>
        <w:spacing w:line="240" w:lineRule="atLeas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附录</w:t>
      </w:r>
      <w:r>
        <w:rPr>
          <w:rFonts w:hint="eastAsia" w:asciiTheme="minorEastAsia" w:hAnsiTheme="minorEastAsia" w:eastAsiaTheme="minorEastAsia" w:cstheme="minorEastAsia"/>
          <w:sz w:val="28"/>
          <w:szCs w:val="28"/>
          <w:lang w:val="en-US" w:eastAsia="zh-CN"/>
        </w:rPr>
        <w:t>D  （规范性附录） 蓬莱海岸葡萄酒评分表（其他项）</w:t>
      </w:r>
    </w:p>
    <w:p>
      <w:pPr>
        <w:pStyle w:val="10"/>
        <w:keepNext w:val="0"/>
        <w:keepLines w:val="0"/>
        <w:pageBreakBefore w:val="0"/>
        <w:tabs>
          <w:tab w:val="center" w:pos="4201"/>
          <w:tab w:val="right" w:leader="dot" w:pos="9298"/>
        </w:tabs>
        <w:kinsoku/>
        <w:wordWrap/>
        <w:overflowPunct/>
        <w:topLinePunct w:val="0"/>
        <w:bidi w:val="0"/>
        <w:adjustRightInd/>
        <w:snapToGrid/>
        <w:spacing w:line="240" w:lineRule="atLeas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附录E   (规范性附录）蓬莱海岸葡萄酒分级申请表</w:t>
      </w:r>
    </w:p>
    <w:p>
      <w:pPr>
        <w:pStyle w:val="10"/>
        <w:keepNext w:val="0"/>
        <w:keepLines w:val="0"/>
        <w:pageBreakBefore w:val="0"/>
        <w:tabs>
          <w:tab w:val="center" w:pos="4201"/>
          <w:tab w:val="right" w:leader="dot" w:pos="9298"/>
        </w:tabs>
        <w:kinsoku/>
        <w:wordWrap/>
        <w:overflowPunct/>
        <w:topLinePunct w:val="0"/>
        <w:bidi w:val="0"/>
        <w:adjustRightInd/>
        <w:snapToGrid/>
        <w:spacing w:line="240" w:lineRule="atLeast"/>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附录F   （规范性附录）蓬莱海岸葡萄酒分级评审专家小组规范</w:t>
      </w:r>
    </w:p>
    <w:p>
      <w:pPr>
        <w:keepNext w:val="0"/>
        <w:keepLines w:val="0"/>
        <w:pageBreakBefore w:val="0"/>
        <w:kinsoku/>
        <w:wordWrap/>
        <w:overflowPunct/>
        <w:topLinePunct w:val="0"/>
        <w:bidi w:val="0"/>
        <w:adjustRightInd/>
        <w:snapToGrid/>
        <w:spacing w:line="240" w:lineRule="atLeas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六</w:t>
      </w:r>
      <w:r>
        <w:rPr>
          <w:rFonts w:hint="eastAsia" w:asciiTheme="minorEastAsia" w:hAnsiTheme="minorEastAsia" w:eastAsiaTheme="minorEastAsia" w:cstheme="minorEastAsia"/>
          <w:b/>
          <w:sz w:val="28"/>
          <w:szCs w:val="28"/>
        </w:rPr>
        <w:t>、标准实施建议</w:t>
      </w:r>
    </w:p>
    <w:p>
      <w:pPr>
        <w:keepNext w:val="0"/>
        <w:keepLines w:val="0"/>
        <w:pageBreakBefore w:val="0"/>
        <w:kinsoku/>
        <w:wordWrap/>
        <w:overflowPunct/>
        <w:topLinePunct w:val="0"/>
        <w:bidi w:val="0"/>
        <w:adjustRightInd/>
        <w:snapToGrid/>
        <w:spacing w:line="24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在本标准通过审核、批准发布之后，由</w:t>
      </w:r>
      <w:r>
        <w:rPr>
          <w:rFonts w:hint="eastAsia" w:asciiTheme="minorEastAsia" w:hAnsiTheme="minorEastAsia" w:eastAsiaTheme="minorEastAsia" w:cstheme="minorEastAsia"/>
          <w:sz w:val="28"/>
          <w:szCs w:val="28"/>
          <w:lang w:eastAsia="zh-CN"/>
        </w:rPr>
        <w:t>蓬莱葡萄酒行业协会</w:t>
      </w:r>
      <w:r>
        <w:rPr>
          <w:rFonts w:hint="eastAsia" w:asciiTheme="minorEastAsia" w:hAnsiTheme="minorEastAsia" w:eastAsiaTheme="minorEastAsia" w:cstheme="minorEastAsia"/>
          <w:sz w:val="28"/>
          <w:szCs w:val="28"/>
        </w:rPr>
        <w:t>组织</w:t>
      </w:r>
      <w:r>
        <w:rPr>
          <w:rFonts w:hint="eastAsia" w:asciiTheme="minorEastAsia" w:hAnsiTheme="minorEastAsia" w:eastAsiaTheme="minorEastAsia" w:cstheme="minorEastAsia"/>
          <w:sz w:val="28"/>
          <w:szCs w:val="28"/>
          <w:lang w:eastAsia="zh-CN"/>
        </w:rPr>
        <w:t>产区内企业</w:t>
      </w:r>
      <w:r>
        <w:rPr>
          <w:rFonts w:hint="eastAsia" w:asciiTheme="minorEastAsia" w:hAnsiTheme="minorEastAsia" w:eastAsiaTheme="minorEastAsia" w:cstheme="minorEastAsia"/>
          <w:sz w:val="28"/>
          <w:szCs w:val="28"/>
        </w:rPr>
        <w:t>对本标准进行宣贯，在行业内进行推广。建议本标准自发布</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个月之后开始实施。</w:t>
      </w:r>
    </w:p>
    <w:p>
      <w:pPr>
        <w:keepNext w:val="0"/>
        <w:keepLines w:val="0"/>
        <w:pageBreakBefore w:val="0"/>
        <w:kinsoku/>
        <w:wordWrap/>
        <w:overflowPunct/>
        <w:topLinePunct w:val="0"/>
        <w:bidi w:val="0"/>
        <w:adjustRightInd/>
        <w:snapToGrid/>
        <w:spacing w:line="240" w:lineRule="atLeast"/>
        <w:ind w:firstLine="281" w:firstLineChars="100"/>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eastAsia="zh-CN"/>
        </w:rPr>
        <w:t>七</w:t>
      </w:r>
      <w:r>
        <w:rPr>
          <w:rFonts w:hint="eastAsia" w:asciiTheme="minorEastAsia" w:hAnsiTheme="minorEastAsia" w:eastAsiaTheme="minorEastAsia" w:cstheme="minorEastAsia"/>
          <w:b/>
          <w:sz w:val="28"/>
          <w:szCs w:val="28"/>
        </w:rPr>
        <w:t>、其他需要说明的问题</w:t>
      </w:r>
    </w:p>
    <w:p>
      <w:pPr>
        <w:keepNext w:val="0"/>
        <w:keepLines w:val="0"/>
        <w:pageBreakBefore w:val="0"/>
        <w:kinsoku/>
        <w:wordWrap/>
        <w:overflowPunct/>
        <w:topLinePunct w:val="0"/>
        <w:bidi w:val="0"/>
        <w:adjustRightInd/>
        <w:snapToGrid/>
        <w:spacing w:line="240" w:lineRule="atLeas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无</w:t>
      </w:r>
    </w:p>
    <w:p>
      <w:pPr>
        <w:keepNext w:val="0"/>
        <w:keepLines w:val="0"/>
        <w:pageBreakBefore w:val="0"/>
        <w:kinsoku/>
        <w:wordWrap/>
        <w:overflowPunct/>
        <w:topLinePunct w:val="0"/>
        <w:bidi w:val="0"/>
        <w:adjustRightInd/>
        <w:snapToGrid/>
        <w:spacing w:line="240" w:lineRule="atLeast"/>
        <w:textAlignment w:val="auto"/>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cstheme="minorEastAsia"/>
          <w:b/>
          <w:sz w:val="28"/>
          <w:szCs w:val="28"/>
          <w:lang w:val="en-US" w:eastAsia="zh-CN"/>
        </w:rPr>
      </w:pPr>
      <w:r>
        <w:rPr>
          <w:rFonts w:hint="eastAsia" w:asciiTheme="minorEastAsia" w:hAnsiTheme="minorEastAsia" w:cstheme="minorEastAsia"/>
          <w:b/>
          <w:sz w:val="28"/>
          <w:szCs w:val="28"/>
          <w:lang w:val="en-US" w:eastAsia="zh-CN"/>
        </w:rPr>
        <w:t xml:space="preserve">                                       标准起草小组</w:t>
      </w:r>
    </w:p>
    <w:p>
      <w:pPr>
        <w:keepNext w:val="0"/>
        <w:keepLines w:val="0"/>
        <w:pageBreakBefore w:val="0"/>
        <w:kinsoku/>
        <w:wordWrap/>
        <w:overflowPunct/>
        <w:topLinePunct w:val="0"/>
        <w:bidi w:val="0"/>
        <w:adjustRightInd/>
        <w:snapToGrid/>
        <w:spacing w:line="360" w:lineRule="auto"/>
        <w:textAlignment w:val="auto"/>
        <w:rPr>
          <w:rFonts w:hint="default" w:asciiTheme="minorEastAsia" w:hAnsiTheme="minorEastAsia" w:cstheme="minorEastAsia"/>
          <w:b/>
          <w:sz w:val="28"/>
          <w:szCs w:val="28"/>
          <w:lang w:val="en-US" w:eastAsia="zh-CN"/>
        </w:rPr>
      </w:pPr>
      <w:r>
        <w:rPr>
          <w:rFonts w:hint="eastAsia" w:asciiTheme="minorEastAsia" w:hAnsiTheme="minorEastAsia" w:cstheme="minorEastAsia"/>
          <w:b/>
          <w:sz w:val="28"/>
          <w:szCs w:val="28"/>
          <w:lang w:val="en-US" w:eastAsia="zh-CN"/>
        </w:rPr>
        <w:t xml:space="preserve">                                       </w:t>
      </w:r>
      <w:bookmarkStart w:id="0" w:name="_GoBack"/>
      <w:bookmarkEnd w:id="0"/>
      <w:r>
        <w:rPr>
          <w:rFonts w:hint="eastAsia" w:asciiTheme="minorEastAsia" w:hAnsiTheme="minorEastAsia" w:cstheme="minorEastAsia"/>
          <w:b/>
          <w:sz w:val="28"/>
          <w:szCs w:val="28"/>
          <w:lang w:val="en-US" w:eastAsia="zh-CN"/>
        </w:rPr>
        <w:t xml:space="preserve"> 2020年10月4日</w:t>
      </w:r>
    </w:p>
    <w:p>
      <w:pPr>
        <w:keepNext w:val="0"/>
        <w:keepLines w:val="0"/>
        <w:pageBreakBefore w:val="0"/>
        <w:numPr>
          <w:ilvl w:val="0"/>
          <w:numId w:val="0"/>
        </w:numPr>
        <w:kinsoku/>
        <w:wordWrap/>
        <w:overflowPunct/>
        <w:topLinePunct w:val="0"/>
        <w:bidi w:val="0"/>
        <w:adjustRightInd/>
        <w:snapToGrid/>
        <w:spacing w:line="360" w:lineRule="auto"/>
        <w:ind w:firstLine="280" w:firstLineChars="100"/>
        <w:jc w:val="both"/>
        <w:textAlignment w:val="auto"/>
        <w:rPr>
          <w:rFonts w:hint="eastAsia" w:asciiTheme="minorEastAsia" w:hAnsiTheme="minorEastAsia" w:eastAsiaTheme="minorEastAsia" w:cstheme="min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粗黑宋简体">
    <w:altName w:val="宋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D4C9D"/>
    <w:multiLevelType w:val="singleLevel"/>
    <w:tmpl w:val="9D8D4C9D"/>
    <w:lvl w:ilvl="0" w:tentative="0">
      <w:start w:val="1"/>
      <w:numFmt w:val="chineseCounting"/>
      <w:suff w:val="nothing"/>
      <w:lvlText w:val="%1）"/>
      <w:lvlJc w:val="left"/>
      <w:rPr>
        <w:rFonts w:hint="eastAsia"/>
      </w:rPr>
    </w:lvl>
  </w:abstractNum>
  <w:abstractNum w:abstractNumId="1">
    <w:nsid w:val="B34821F9"/>
    <w:multiLevelType w:val="singleLevel"/>
    <w:tmpl w:val="B34821F9"/>
    <w:lvl w:ilvl="0" w:tentative="0">
      <w:start w:val="3"/>
      <w:numFmt w:val="chineseCounting"/>
      <w:suff w:val="space"/>
      <w:lvlText w:val="%1)"/>
      <w:lvlJc w:val="left"/>
      <w:rPr>
        <w:rFonts w:hint="eastAsia"/>
      </w:rPr>
    </w:lvl>
  </w:abstractNum>
  <w:abstractNum w:abstractNumId="2">
    <w:nsid w:val="F7941E0F"/>
    <w:multiLevelType w:val="singleLevel"/>
    <w:tmpl w:val="F7941E0F"/>
    <w:lvl w:ilvl="0" w:tentative="0">
      <w:start w:val="1"/>
      <w:numFmt w:val="chineseCounting"/>
      <w:suff w:val="nothing"/>
      <w:lvlText w:val="%1、"/>
      <w:lvlJc w:val="left"/>
      <w:rPr>
        <w:rFonts w:hint="eastAsia"/>
      </w:rPr>
    </w:lvl>
  </w:abstractNum>
  <w:abstractNum w:abstractNumId="3">
    <w:nsid w:val="217E6C0D"/>
    <w:multiLevelType w:val="singleLevel"/>
    <w:tmpl w:val="217E6C0D"/>
    <w:lvl w:ilvl="0" w:tentative="0">
      <w:start w:val="8"/>
      <w:numFmt w:val="chineseCounting"/>
      <w:suff w:val="nothing"/>
      <w:lvlText w:val="%1）"/>
      <w:lvlJc w:val="left"/>
      <w:rPr>
        <w:rFonts w:hint="eastAsia"/>
      </w:rPr>
    </w:lvl>
  </w:abstractNum>
  <w:abstractNum w:abstractNumId="4">
    <w:nsid w:val="48343976"/>
    <w:multiLevelType w:val="singleLevel"/>
    <w:tmpl w:val="48343976"/>
    <w:lvl w:ilvl="0" w:tentative="0">
      <w:start w:val="1"/>
      <w:numFmt w:val="decimal"/>
      <w:suff w:val="nothing"/>
      <w:lvlText w:val="%1、"/>
      <w:lvlJc w:val="left"/>
    </w:lvl>
  </w:abstractNum>
  <w:abstractNum w:abstractNumId="5">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pStyle w:val="9"/>
      <w:suff w:val="nothing"/>
      <w:lvlText w:val="%1%2.%3　"/>
      <w:lvlJc w:val="left"/>
      <w:rPr>
        <w:rFonts w:hint="eastAsia" w:ascii="黑体" w:hAnsi="Times New Roman" w:eastAsia="黑体" w:cs="Times New Roman"/>
        <w:b w:val="0"/>
        <w:i w:val="0"/>
        <w:sz w:val="21"/>
      </w:rPr>
    </w:lvl>
    <w:lvl w:ilvl="3" w:tentative="0">
      <w:start w:val="1"/>
      <w:numFmt w:val="decimal"/>
      <w:pStyle w:val="8"/>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75004"/>
    <w:rsid w:val="079F5922"/>
    <w:rsid w:val="0CA92FEC"/>
    <w:rsid w:val="0DA8776E"/>
    <w:rsid w:val="16682A0D"/>
    <w:rsid w:val="30BD0B6D"/>
    <w:rsid w:val="321D4D6B"/>
    <w:rsid w:val="37C75004"/>
    <w:rsid w:val="3E1C7E9B"/>
    <w:rsid w:val="51313F40"/>
    <w:rsid w:val="53AD2932"/>
    <w:rsid w:val="5F87164C"/>
    <w:rsid w:val="603B5041"/>
    <w:rsid w:val="67876352"/>
    <w:rsid w:val="7D18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华文中宋" w:hAnsi="华文中宋" w:eastAsia="华文中宋"/>
      <w:b/>
      <w:bCs/>
      <w:sz w:val="44"/>
    </w:rPr>
  </w:style>
  <w:style w:type="paragraph" w:styleId="3">
    <w:name w:val="toc 1"/>
    <w:basedOn w:val="1"/>
    <w:next w:val="1"/>
    <w:qFormat/>
    <w:uiPriority w:val="39"/>
    <w:pPr>
      <w:tabs>
        <w:tab w:val="right" w:leader="dot" w:pos="9241"/>
      </w:tabs>
      <w:spacing w:beforeLines="25" w:afterLines="25"/>
      <w:jc w:val="left"/>
    </w:pPr>
    <w:rPr>
      <w:rFonts w:ascii="宋体"/>
      <w:szCs w:val="21"/>
    </w:rPr>
  </w:style>
  <w:style w:type="paragraph" w:styleId="4">
    <w:name w:val="Normal (Web)"/>
    <w:basedOn w:val="1"/>
    <w:qFormat/>
    <w:uiPriority w:val="0"/>
    <w:pPr>
      <w:widowControl/>
      <w:spacing w:after="210"/>
      <w:jc w:val="left"/>
    </w:pPr>
    <w:rPr>
      <w:rFonts w:ascii="宋体" w:hAnsi="宋体"/>
      <w:kern w:val="0"/>
      <w:sz w:val="24"/>
    </w:rPr>
  </w:style>
  <w:style w:type="table" w:styleId="6">
    <w:name w:val="Table Grid"/>
    <w:basedOn w:val="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二级条标题"/>
    <w:basedOn w:val="9"/>
    <w:next w:val="10"/>
    <w:qFormat/>
    <w:uiPriority w:val="0"/>
    <w:pPr>
      <w:numPr>
        <w:ilvl w:val="3"/>
        <w:numId w:val="1"/>
      </w:numPr>
      <w:outlineLvl w:val="3"/>
    </w:pPr>
  </w:style>
  <w:style w:type="paragraph" w:customStyle="1" w:styleId="9">
    <w:name w:val="一级条标题"/>
    <w:next w:val="1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一级无"/>
    <w:basedOn w:val="9"/>
    <w:qFormat/>
    <w:uiPriority w:val="0"/>
    <w:pPr>
      <w:spacing w:beforeLines="0" w:afterLines="0"/>
    </w:pPr>
    <w:rPr>
      <w:rFonts w:ascii="宋体" w:eastAsia="宋体"/>
    </w:rPr>
  </w:style>
  <w:style w:type="paragraph" w:customStyle="1" w:styleId="12">
    <w:name w:val="二级无"/>
    <w:basedOn w:val="8"/>
    <w:qFormat/>
    <w:uiPriority w:val="0"/>
    <w:pPr>
      <w:spacing w:beforeLines="0" w:afterLines="0"/>
    </w:pPr>
    <w:rPr>
      <w:rFonts w:ascii="宋体"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2020-10-04T02:28:00Z</dcterms:created>
  <dc:creator>海中妖</dc:creator>
  <cp:lastModifiedBy>海中妖</cp:lastModifiedBy>
  <dcterms:modified xsi:type="dcterms:W3CDTF">2020-10-09T01:44:30Z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