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4"/>
        <w:framePr w:w="9323" w:h="644" w:hRule="exact" w:x="1432"/>
      </w:pPr>
      <w:r>
        <w:rPr>
          <w:rFonts w:hint="eastAsia"/>
          <w:sz w:val="52"/>
        </w:rPr>
        <w:t>团体</w:t>
      </w:r>
      <w:r>
        <w:rPr>
          <w:sz w:val="52"/>
        </w:rPr>
        <w:t>标准</w:t>
      </w:r>
    </w:p>
    <w:p>
      <w:pPr>
        <w:pStyle w:val="51"/>
        <w:framePr w:w="9155" w:x="1629"/>
        <w:ind w:right="105"/>
        <w:rPr>
          <w:rFonts w:hint="default" w:hAnsi="黑体" w:eastAsia="黑体" w:cs="黑体"/>
          <w:sz w:val="21"/>
          <w:szCs w:val="21"/>
          <w:lang w:val="en-US" w:eastAsia="zh-CN"/>
        </w:rPr>
      </w:pPr>
      <w:r>
        <w:rPr>
          <w:rFonts w:hint="eastAsia" w:hAnsi="黑体" w:cs="黑体"/>
          <w:color w:val="000000"/>
          <w:sz w:val="21"/>
          <w:szCs w:val="21"/>
        </w:rPr>
        <w:t>T/SFSF</w:t>
      </w:r>
      <w:r>
        <w:rPr>
          <w:rFonts w:hint="eastAsia" w:hAnsi="黑体" w:cs="黑体"/>
          <w:color w:val="000000"/>
          <w:sz w:val="21"/>
          <w:szCs w:val="21"/>
          <w:lang w:val="en-US" w:eastAsia="zh-CN"/>
        </w:rPr>
        <w:t>000010</w:t>
      </w:r>
      <w:r>
        <w:rPr>
          <w:rFonts w:hint="eastAsia" w:hAnsi="黑体" w:cs="黑体"/>
          <w:color w:val="000000"/>
          <w:sz w:val="21"/>
          <w:szCs w:val="21"/>
        </w:rPr>
        <w:t>—</w:t>
      </w:r>
      <w:r>
        <w:rPr>
          <w:rFonts w:hint="eastAsia" w:hAnsi="黑体" w:cs="黑体"/>
          <w:color w:val="000000"/>
          <w:sz w:val="21"/>
          <w:szCs w:val="21"/>
          <w:lang w:val="en-US" w:eastAsia="zh-CN"/>
        </w:rPr>
        <w:t>2020</w:t>
      </w:r>
      <w:bookmarkStart w:id="17" w:name="_GoBack"/>
      <w:bookmarkEnd w:id="17"/>
    </w:p>
    <w:tbl>
      <w:tblPr>
        <w:tblStyle w:val="36"/>
        <w:tblW w:w="18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shd w:val="clear" w:color="auto" w:fill="auto"/>
          </w:tcPr>
          <w:p>
            <w:pPr>
              <w:pStyle w:val="80"/>
              <w:framePr w:w="9155" w:x="1629"/>
              <w:rPr>
                <w:rFonts w:ascii="黑体" w:hAnsi="黑体" w:eastAsia="黑体" w:cs="黑体"/>
              </w:rPr>
            </w:pPr>
            <w:bookmarkStart w:id="0" w:name="DT"/>
            <w:r>
              <w:rPr>
                <w:rFonts w:hint="eastAsia" w:ascii="黑体" w:hAnsi="黑体" w:eastAsia="黑体" w:cs="黑体"/>
                <w:color w:val="000000"/>
              </w:rPr>
              <w:t>代替T/310104004—C001</w:t>
            </w:r>
            <w:r>
              <w:rPr>
                <w:rFonts w:ascii="黑体" w:hAnsi="黑体" w:eastAsia="黑体" w:cs="黑体"/>
              </w:rP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926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mDyy9YAAAAIAQAADwAAAAAAAAAB&#10;ACAAAAAiAAAAZHJzL2Rvd25yZXYueG1sUEsBAhQAFAAAAAgAh07iQMCBKa0SAgAAOQQAAA4AAAAA&#10;AAAAAQAgAAAAJQEAAGRycy9lMm9Eb2MueG1sUEsFBgAAAAAGAAYAWQEAAKkFAAAAAA==&#10;">
                      <v:fill on="t" focussize="0,0"/>
                      <v:stroke on="f"/>
                      <v:imagedata o:title=""/>
                      <o:lock v:ext="edit" aspectratio="f"/>
                      <v:textbox>
                        <w:txbxContent>
                          <w:p/>
                        </w:txbxContent>
                      </v:textbox>
                    </v:rect>
                  </w:pict>
                </mc:Fallback>
              </mc:AlternateContent>
            </w:r>
            <w:bookmarkEnd w:id="0"/>
          </w:p>
        </w:tc>
        <w:tc>
          <w:tcPr>
            <w:tcW w:w="9356" w:type="dxa"/>
            <w:tcBorders>
              <w:top w:val="nil"/>
              <w:left w:val="nil"/>
              <w:bottom w:val="nil"/>
              <w:right w:val="nil"/>
            </w:tcBorders>
            <w:shd w:val="clear" w:color="auto" w:fill="auto"/>
          </w:tcPr>
          <w:p>
            <w:pPr>
              <w:pStyle w:val="80"/>
              <w:framePr w:w="9155" w:x="1629"/>
              <w:rPr>
                <w:rFonts w:ascii="黑体" w:hAnsi="黑体" w:eastAsia="黑体" w:cs="黑体"/>
                <w:color w:val="000000"/>
              </w:rPr>
            </w:pPr>
          </w:p>
        </w:tc>
      </w:tr>
    </w:tbl>
    <w:p>
      <w:pPr>
        <w:pStyle w:val="51"/>
        <w:framePr w:w="9155" w:x="1629"/>
        <w:rPr>
          <w:rFonts w:hAnsi="黑体"/>
        </w:rPr>
      </w:pPr>
    </w:p>
    <w:p>
      <w:pPr>
        <w:pStyle w:val="51"/>
        <w:framePr w:w="9155" w:x="1629"/>
        <w:rPr>
          <w:rFonts w:hAnsi="黑体"/>
        </w:rPr>
      </w:pPr>
    </w:p>
    <w:p>
      <w:pPr>
        <w:pStyle w:val="82"/>
        <w:framePr/>
      </w:pPr>
      <w:r>
        <w:rPr>
          <w:rFonts w:hint="eastAsia"/>
        </w:rPr>
        <w:t>餐厨废弃油脂制B10柴油</w:t>
      </w:r>
    </w:p>
    <w:p>
      <w:pPr>
        <w:pStyle w:val="84"/>
        <w:framePr/>
        <w:rPr>
          <w:rFonts w:ascii="黑体" w:hAnsi="黑体" w:eastAsia="黑体"/>
        </w:rPr>
      </w:pPr>
      <w:bookmarkStart w:id="1" w:name="YZBS"/>
      <w:r>
        <w:rPr>
          <w:rFonts w:hint="eastAsia" w:ascii="黑体" w:hAnsi="黑体" w:eastAsia="黑体"/>
        </w:rPr>
        <w:t xml:space="preserve">B10 </w:t>
      </w:r>
      <w:r>
        <w:rPr>
          <w:rFonts w:ascii="黑体" w:hAnsi="黑体" w:eastAsia="黑体"/>
        </w:rPr>
        <w:t>diesel fue</w:t>
      </w:r>
      <w:r>
        <w:rPr>
          <w:rFonts w:hint="eastAsia" w:ascii="黑体" w:hAnsi="黑体" w:eastAsia="黑体"/>
        </w:rPr>
        <w:t>l</w:t>
      </w:r>
      <w:r>
        <w:rPr>
          <w:rFonts w:ascii="黑体" w:hAnsi="黑体" w:eastAsia="黑体"/>
        </w:rPr>
        <w:t xml:space="preserve"> </w:t>
      </w:r>
      <w:r>
        <w:rPr>
          <w:rFonts w:hint="eastAsia" w:ascii="黑体" w:hAnsi="黑体" w:eastAsia="黑体"/>
        </w:rPr>
        <w:t>produced</w:t>
      </w:r>
      <w:r>
        <w:rPr>
          <w:rFonts w:ascii="黑体" w:hAnsi="黑体" w:eastAsia="黑体"/>
        </w:rPr>
        <w:t xml:space="preserve"> from waste cooking oil</w:t>
      </w:r>
    </w:p>
    <w:bookmarkEnd w:id="1"/>
    <w:tbl>
      <w:tblPr>
        <w:tblStyle w:val="36"/>
        <w:tblW w:w="9855" w:type="dxa"/>
        <w:tblInd w:w="0" w:type="dxa"/>
        <w:tblLayout w:type="fixed"/>
        <w:tblCellMar>
          <w:top w:w="0" w:type="dxa"/>
          <w:left w:w="108" w:type="dxa"/>
          <w:bottom w:w="0" w:type="dxa"/>
          <w:right w:w="108" w:type="dxa"/>
        </w:tblCellMar>
      </w:tblPr>
      <w:tblGrid>
        <w:gridCol w:w="9855"/>
      </w:tblGrid>
      <w:tr>
        <w:tc>
          <w:tcPr>
            <w:tcW w:w="9855" w:type="dxa"/>
            <w:shd w:val="clear" w:color="auto" w:fill="auto"/>
          </w:tcPr>
          <w:p>
            <w:pPr>
              <w:pStyle w:val="85"/>
              <w:framePr/>
            </w:pPr>
            <w:r>
              <w:rPr>
                <w:sz w:val="21"/>
                <w:szCs w:val="21"/>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JrpLVAAAACgEAAA8AAAAAAAAAAQAg&#10;AAAAIgAAAGRycy9kb3ducmV2LnhtbFBLAQIUABQAAAAIAIdO4kBxDxSNEQIAADkEAAAOAAAAAAAA&#10;AAEAIAAAACQBAABkcnMvZTJvRG9jLnhtbFBLBQYAAAAABgAGAFkBAACnBQAAAAA=&#10;">
                      <v:fill on="t" focussize="0,0"/>
                      <v:stroke on="f"/>
                      <v:imagedata o:title=""/>
                      <o:lock v:ext="edit" aspectratio="f"/>
                      <v:textbox>
                        <w:txbxContent>
                          <w:p/>
                        </w:txbxContent>
                      </v:textbox>
                      <w10:anchorlock/>
                    </v:rect>
                  </w:pict>
                </mc:Fallback>
              </mc:AlternateContent>
            </w:r>
            <w:r>
              <w:rPr>
                <w:sz w:val="21"/>
                <w:szCs w:val="21"/>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4Yvl1gAAAAkBAAAPAAAAAAAAAAEA&#10;IAAAACIAAABkcnMvZG93bnJldi54bWxQSwECFAAUAAAACACHTuJApJhVtBECAAA5BAAADgAAAAAA&#10;AAABACAAAAAlAQAAZHJzL2Uyb0RvYy54bWxQSwUGAAAAAAYABgBZAQAAqAUAAAAA&#10;">
                      <v:fill on="t" focussize="0,0"/>
                      <v:stroke on="f"/>
                      <v:imagedata o:title=""/>
                      <o:lock v:ext="edit" aspectratio="f"/>
                      <v:textbox>
                        <w:txbxContent>
                          <w:p/>
                        </w:txbxContent>
                      </v:textbox>
                    </v:rect>
                  </w:pict>
                </mc:Fallback>
              </mc:AlternateContent>
            </w:r>
            <w:r>
              <w:rPr>
                <w:rFonts w:hint="eastAsia"/>
                <w:sz w:val="21"/>
                <w:szCs w:val="21"/>
              </w:rPr>
              <w:t>（征求意见稿）</w:t>
            </w:r>
          </w:p>
        </w:tc>
      </w:tr>
      <w:tr>
        <w:tblPrEx>
          <w:tblCellMar>
            <w:top w:w="0" w:type="dxa"/>
            <w:left w:w="108" w:type="dxa"/>
            <w:bottom w:w="0" w:type="dxa"/>
            <w:right w:w="108" w:type="dxa"/>
          </w:tblCellMar>
        </w:tblPrEx>
        <w:trPr>
          <w:trHeight w:val="554" w:hRule="atLeast"/>
        </w:trPr>
        <w:tc>
          <w:tcPr>
            <w:tcW w:w="9855" w:type="dxa"/>
            <w:shd w:val="clear" w:color="auto" w:fill="auto"/>
          </w:tcPr>
          <w:p>
            <w:pPr>
              <w:pStyle w:val="86"/>
              <w:framePr/>
            </w:pPr>
          </w:p>
        </w:tc>
      </w:tr>
    </w:tbl>
    <w:p>
      <w:pPr>
        <w:pStyle w:val="134"/>
        <w:framePr w:hAnchor="page" w:x="1636" w:y="14041"/>
      </w:pPr>
      <w:bookmarkStart w:id="2" w:name="FY"/>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fldChar w:fldCharType="separate"/>
      </w:r>
      <w:r>
        <w:rPr>
          <w:rFonts w:hint="eastAsia" w:ascii="黑体"/>
        </w:rPr>
        <w:t>202</w:t>
      </w:r>
      <w:r>
        <w:rPr>
          <w:rFonts w:ascii="黑体"/>
        </w:rPr>
        <w:fldChar w:fldCharType="end"/>
      </w:r>
      <w:bookmarkEnd w:id="2"/>
      <w:r>
        <w:rPr>
          <w:rFonts w:hint="eastAsia" w:ascii="黑体"/>
        </w:rPr>
        <w:t>0</w:t>
      </w:r>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3"/>
      <w:r>
        <w:rPr>
          <w:rFonts w:hint="eastAsia"/>
        </w:rPr>
        <w:t>发布</w:t>
      </w:r>
      <w:r>
        <mc:AlternateContent>
          <mc:Choice Requires="wps">
            <w:drawing>
              <wp:anchor distT="0" distB="0" distL="114300" distR="114300" simplePos="0" relativeHeight="251655168" behindDoc="0" locked="1" layoutInCell="1" allowOverlap="1">
                <wp:simplePos x="0" y="0"/>
                <wp:positionH relativeFrom="column">
                  <wp:posOffset>-95885</wp:posOffset>
                </wp:positionH>
                <wp:positionV relativeFrom="page">
                  <wp:posOffset>9251315</wp:posOffset>
                </wp:positionV>
                <wp:extent cx="6120130" cy="0"/>
                <wp:effectExtent l="0" t="0" r="0" b="0"/>
                <wp:wrapNone/>
                <wp:docPr id="1"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margin-left:-7.55pt;margin-top:728.45pt;height:0pt;width:481.9pt;mso-position-vertical-relative:page;z-index:251655168;mso-width-relative:page;mso-height-relative:page;" filled="f" stroked="t" coordsize="21600,21600" o:gfxdata="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CVROfZAAAADQEAAA8AAAAAAAAAAQAgAAAAIgAA&#10;AGRycy9kb3ducmV2LnhtbFBLAQIUABQAAAAIAIdO4kCucl85zgEAAK4DAAAOAAAAAAAAAAEAIAAA&#10;ACgBAABkcnMvZTJvRG9jLnhtbFBLBQYAAAAABgAGAFkBAABoBQAAAAA=&#10;">
                <v:fill on="f" focussize="0,0"/>
                <v:stroke color="#000000" joinstyle="round"/>
                <v:imagedata o:title=""/>
                <o:lock v:ext="edit" aspectratio="f"/>
                <w10:anchorlock/>
              </v:line>
            </w:pict>
          </mc:Fallback>
        </mc:AlternateContent>
      </w:r>
    </w:p>
    <w:p>
      <w:pPr>
        <w:pStyle w:val="135"/>
        <w:framePr/>
        <w:jc w:val="left"/>
      </w:pPr>
      <w:r>
        <w:rPr>
          <w:rFonts w:hint="eastAsia" w:ascii="黑体"/>
          <w:szCs w:val="22"/>
        </w:rPr>
        <w:t>2020</w:t>
      </w:r>
      <w:r>
        <w:rPr>
          <w:rFonts w:ascii="黑体"/>
          <w:szCs w:val="22"/>
        </w:rPr>
        <w:t xml:space="preserve"> -</w:t>
      </w:r>
      <w:r>
        <w:t xml:space="preserve"> </w:t>
      </w:r>
      <w:bookmarkStart w:id="4"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5"/>
      <w:r>
        <w:rPr>
          <w:rFonts w:hint="eastAsia"/>
        </w:rPr>
        <w:t>实施</w:t>
      </w:r>
    </w:p>
    <w:p>
      <w:pPr>
        <w:pStyle w:val="115"/>
        <w:framePr w:x="2164" w:y="14905"/>
      </w:pPr>
      <w:r>
        <w:rPr>
          <w:rFonts w:hint="eastAsia"/>
        </w:rPr>
        <w:t>上海市食品安全工作联合会</w:t>
      </w:r>
      <w:r>
        <w:rPr>
          <w:rFonts w:hint="eastAsia" w:ascii="MS Mincho" w:hAnsi="MS Mincho" w:eastAsia="MS Mincho" w:cs="MS Mincho"/>
        </w:rPr>
        <w:t>  </w:t>
      </w:r>
      <w:r>
        <w:rPr>
          <w:rStyle w:val="77"/>
          <w:rFonts w:hint="eastAsia"/>
        </w:rPr>
        <w:t>发布</w:t>
      </w:r>
    </w:p>
    <w:p>
      <w:pPr>
        <w:pStyle w:val="27"/>
        <w:ind w:firstLine="0" w:firstLineChars="0"/>
        <w:rPr>
          <w:rFonts w:ascii="黑体" w:hAnsi="黑体" w:eastAsia="黑体" w:cs="黑体"/>
          <w:szCs w:val="21"/>
        </w:rPr>
      </w:pPr>
      <w:r>
        <w:rPr>
          <w:rFonts w:ascii="黑体" w:hAnsi="黑体" w:eastAsia="黑体" w:cs="黑体"/>
          <w:szCs w:val="21"/>
        </w:rPr>
        <mc:AlternateContent>
          <mc:Choice Requires="wps">
            <w:drawing>
              <wp:anchor distT="0" distB="0" distL="114300" distR="114300" simplePos="0" relativeHeight="251656192" behindDoc="0" locked="0" layoutInCell="1" allowOverlap="1">
                <wp:simplePos x="0" y="0"/>
                <wp:positionH relativeFrom="column">
                  <wp:posOffset>-10160</wp:posOffset>
                </wp:positionH>
                <wp:positionV relativeFrom="paragraph">
                  <wp:posOffset>2205990</wp:posOffset>
                </wp:positionV>
                <wp:extent cx="6120130" cy="0"/>
                <wp:effectExtent l="0" t="0" r="0" b="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0.8pt;margin-top:173.7pt;height:0pt;width:481.9pt;z-index:251656192;mso-width-relative:page;mso-height-relative:page;" filled="f" stroked="t" coordsize="21600,21600" o:gfxdata="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&#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2NpGNgAAAAKAQAADwAAAAAAAAABACAAAAAiAAAA&#10;ZHJzL2Rvd25yZXYueG1sUEsBAhQAFAAAAAgAh07iQDdrzdrOAQAArgMAAA4AAAAAAAAAAQAgAAAA&#10;JwEAAGRycy9lMm9Eb2MueG1sUEsFBgAAAAAGAAYAWQEAAGcFAAAAAA==&#10;">
                <v:fill on="f" focussize="0,0"/>
                <v:stroke color="#000000" joinstyle="round"/>
                <v:imagedata o:title=""/>
                <o:lock v:ext="edit" aspectratio="f"/>
              </v:line>
            </w:pict>
          </mc:Fallback>
        </mc:AlternateContent>
      </w:r>
      <w:r>
        <w:rPr>
          <w:rFonts w:hint="eastAsia" w:ascii="黑体" w:hAnsi="黑体" w:eastAsia="黑体" w:cs="黑体"/>
          <w:szCs w:val="21"/>
        </w:rPr>
        <w:t>ISC 75.160.20</w:t>
      </w:r>
    </w:p>
    <w:p>
      <w:pPr>
        <w:pStyle w:val="27"/>
        <w:ind w:firstLine="0" w:firstLineChars="0"/>
        <w:rPr>
          <w:rFonts w:ascii="黑体" w:hAnsi="黑体" w:eastAsia="黑体" w:cs="黑体"/>
          <w:szCs w:val="21"/>
        </w:rPr>
      </w:pPr>
      <w:r>
        <w:rPr>
          <w:rFonts w:hint="eastAsia" w:ascii="黑体" w:hAnsi="黑体" w:eastAsia="黑体" w:cs="黑体"/>
          <w:szCs w:val="21"/>
        </w:rPr>
        <w:t>CCS E 31</w:t>
      </w:r>
    </w:p>
    <w:p>
      <w:pPr>
        <w:pStyle w:val="27"/>
        <w:ind w:firstLine="0" w:firstLineChars="0"/>
        <w:rPr>
          <w:rFonts w:ascii="黑体" w:hAnsi="黑体" w:eastAsia="黑体" w:cs="黑体"/>
          <w:szCs w:val="21"/>
        </w:rPr>
      </w:pPr>
      <w:r>
        <w:rPr>
          <w:rFonts w:hint="eastAsia" w:ascii="黑体" w:hAnsi="黑体" w:eastAsia="黑体" w:cs="黑体"/>
          <w:szCs w:val="21"/>
        </w:rPr>
        <w:t>备案号：</w:t>
      </w:r>
    </w:p>
    <w:p>
      <w:pPr>
        <w:pStyle w:val="27"/>
        <w:ind w:firstLine="0" w:firstLineChars="0"/>
        <w:rPr>
          <w:rFonts w:ascii="黑体" w:hAnsi="黑体" w:eastAsia="黑体" w:cs="黑体"/>
        </w:rPr>
        <w:sectPr>
          <w:footerReference r:id="rId5" w:type="first"/>
          <w:headerReference r:id="rId3" w:type="even"/>
          <w:footerReference r:id="rId4" w:type="even"/>
          <w:pgSz w:w="11906" w:h="16838"/>
          <w:pgMar w:top="567" w:right="1134" w:bottom="1134" w:left="1417" w:header="0" w:footer="0" w:gutter="0"/>
          <w:pgNumType w:start="1"/>
          <w:cols w:space="425" w:num="1"/>
          <w:docGrid w:type="lines" w:linePitch="312" w:charSpace="0"/>
        </w:sectPr>
      </w:pPr>
      <w:r>
        <w:rPr>
          <w:rFonts w:hint="eastAsia" w:ascii="黑体" w:hAnsi="黑体" w:eastAsia="黑体" w:cs="黑体"/>
        </w:rPr>
        <w:t xml:space="preserve"> </w:t>
      </w:r>
    </w:p>
    <w:p>
      <w:pPr>
        <w:pStyle w:val="116"/>
        <w:rPr>
          <w:szCs w:val="22"/>
        </w:rPr>
      </w:pPr>
      <w:bookmarkStart w:id="6" w:name="_Toc18283"/>
      <w:r>
        <w:rPr>
          <w:rFonts w:hint="eastAsia"/>
          <w:szCs w:val="22"/>
        </w:rPr>
        <w:t>目  次</w:t>
      </w:r>
      <w:bookmarkEnd w:id="6"/>
    </w:p>
    <w:p>
      <w:pPr>
        <w:spacing w:before="160" w:line="240" w:lineRule="exact"/>
        <w:jc w:val="left"/>
        <w:rPr>
          <w:rFonts w:ascii="宋体" w:hAnsi="宋体" w:cs="宋体"/>
          <w:color w:val="000000"/>
          <w:szCs w:val="21"/>
        </w:rPr>
      </w:pPr>
      <w:r>
        <w:rPr>
          <w:rFonts w:hint="eastAsia" w:ascii="宋体" w:hAnsi="宋体" w:cs="宋体"/>
          <w:color w:val="000000"/>
          <w:szCs w:val="21"/>
        </w:rPr>
        <w:t>前言...................................................................................</w:t>
      </w:r>
      <w:r>
        <w:rPr>
          <w:color w:val="000000"/>
          <w:szCs w:val="21"/>
        </w:rPr>
        <w:t>Ⅰ</w:t>
      </w:r>
    </w:p>
    <w:p>
      <w:pPr>
        <w:spacing w:before="160" w:line="240" w:lineRule="exact"/>
        <w:jc w:val="left"/>
        <w:rPr>
          <w:rFonts w:ascii="宋体" w:hAnsi="宋体" w:cs="宋体"/>
          <w:color w:val="000000"/>
          <w:szCs w:val="21"/>
        </w:rPr>
      </w:pPr>
      <w:r>
        <w:rPr>
          <w:rFonts w:hint="eastAsia" w:ascii="宋体" w:hAnsi="宋体" w:cs="宋体"/>
          <w:color w:val="000000"/>
          <w:szCs w:val="21"/>
        </w:rPr>
        <w:t>1  范围.................................................................................</w:t>
      </w:r>
      <w:r>
        <w:rPr>
          <w:color w:val="000000"/>
          <w:szCs w:val="21"/>
        </w:rPr>
        <w:t>1</w:t>
      </w:r>
    </w:p>
    <w:p>
      <w:pPr>
        <w:spacing w:before="160" w:line="240" w:lineRule="exact"/>
        <w:jc w:val="left"/>
        <w:rPr>
          <w:rFonts w:ascii="宋体" w:hAnsi="宋体" w:cs="宋体"/>
          <w:color w:val="000000"/>
          <w:szCs w:val="21"/>
        </w:rPr>
      </w:pPr>
      <w:r>
        <w:rPr>
          <w:rFonts w:hint="eastAsia" w:ascii="宋体" w:hAnsi="宋体" w:cs="宋体"/>
          <w:color w:val="000000"/>
          <w:szCs w:val="21"/>
        </w:rPr>
        <w:t>2  规范性引用文件.......................................................................</w:t>
      </w:r>
      <w:r>
        <w:rPr>
          <w:color w:val="000000"/>
          <w:szCs w:val="21"/>
        </w:rPr>
        <w:t>1</w:t>
      </w:r>
    </w:p>
    <w:p>
      <w:pPr>
        <w:spacing w:before="160" w:line="240" w:lineRule="exact"/>
        <w:jc w:val="left"/>
        <w:rPr>
          <w:rFonts w:ascii="宋体" w:hAnsi="宋体" w:cs="宋体"/>
          <w:color w:val="000000"/>
          <w:szCs w:val="21"/>
        </w:rPr>
      </w:pPr>
      <w:r>
        <w:rPr>
          <w:rFonts w:hint="eastAsia" w:ascii="宋体" w:hAnsi="宋体" w:cs="宋体"/>
          <w:color w:val="000000"/>
          <w:szCs w:val="21"/>
        </w:rPr>
        <w:t>3  术语和定义...........................................................................</w:t>
      </w:r>
      <w:r>
        <w:rPr>
          <w:rFonts w:hint="eastAsia"/>
          <w:color w:val="000000"/>
          <w:szCs w:val="21"/>
        </w:rPr>
        <w:t>3</w:t>
      </w:r>
    </w:p>
    <w:p>
      <w:pPr>
        <w:spacing w:before="160" w:line="240" w:lineRule="exact"/>
        <w:jc w:val="left"/>
        <w:rPr>
          <w:color w:val="000000"/>
          <w:szCs w:val="21"/>
        </w:rPr>
      </w:pPr>
      <w:r>
        <w:rPr>
          <w:rFonts w:hint="eastAsia" w:ascii="宋体" w:hAnsi="宋体" w:cs="宋体"/>
          <w:color w:val="000000"/>
          <w:szCs w:val="21"/>
        </w:rPr>
        <w:t>4  牌号和标记...........................................................................</w:t>
      </w:r>
      <w:r>
        <w:rPr>
          <w:rFonts w:hint="eastAsia"/>
          <w:color w:val="000000"/>
          <w:szCs w:val="21"/>
        </w:rPr>
        <w:t>3</w:t>
      </w:r>
    </w:p>
    <w:p>
      <w:pPr>
        <w:spacing w:before="160" w:line="240" w:lineRule="exact"/>
        <w:jc w:val="left"/>
        <w:rPr>
          <w:rFonts w:ascii="宋体" w:hAnsi="宋体" w:cs="宋体"/>
          <w:color w:val="000000"/>
          <w:szCs w:val="21"/>
        </w:rPr>
      </w:pPr>
      <w:r>
        <w:rPr>
          <w:rFonts w:hint="eastAsia" w:ascii="宋体" w:hAnsi="宋体" w:cs="宋体"/>
          <w:color w:val="000000"/>
          <w:szCs w:val="21"/>
        </w:rPr>
        <w:t>5  要求和试验方法.......................................................................</w:t>
      </w:r>
      <w:r>
        <w:rPr>
          <w:rFonts w:hint="eastAsia"/>
          <w:color w:val="000000"/>
          <w:szCs w:val="21"/>
        </w:rPr>
        <w:t>4</w:t>
      </w:r>
    </w:p>
    <w:p>
      <w:pPr>
        <w:spacing w:before="160" w:line="240" w:lineRule="exact"/>
        <w:jc w:val="left"/>
        <w:rPr>
          <w:rFonts w:ascii="宋体" w:hAnsi="宋体" w:cs="宋体"/>
          <w:color w:val="000000"/>
          <w:szCs w:val="21"/>
        </w:rPr>
      </w:pPr>
      <w:r>
        <w:rPr>
          <w:rFonts w:hint="eastAsia" w:ascii="宋体" w:hAnsi="宋体" w:cs="宋体"/>
          <w:color w:val="000000"/>
          <w:szCs w:val="21"/>
        </w:rPr>
        <w:t>6  检验规则.............................................................................</w:t>
      </w:r>
      <w:r>
        <w:rPr>
          <w:rFonts w:hint="eastAsia"/>
          <w:color w:val="000000"/>
          <w:szCs w:val="21"/>
        </w:rPr>
        <w:t>5</w:t>
      </w:r>
    </w:p>
    <w:p>
      <w:pPr>
        <w:spacing w:before="160" w:line="240" w:lineRule="exact"/>
        <w:jc w:val="left"/>
        <w:rPr>
          <w:color w:val="000000"/>
          <w:szCs w:val="21"/>
        </w:rPr>
      </w:pPr>
      <w:r>
        <w:rPr>
          <w:rFonts w:hint="eastAsia" w:ascii="宋体" w:hAnsi="宋体" w:cs="宋体"/>
          <w:color w:val="000000"/>
          <w:szCs w:val="21"/>
        </w:rPr>
        <w:t>7  标志、包装、运输、贮存和安全............................................................</w:t>
      </w:r>
      <w:r>
        <w:rPr>
          <w:rFonts w:hint="eastAsia"/>
          <w:color w:val="000000"/>
          <w:szCs w:val="21"/>
        </w:rPr>
        <w:t>5</w:t>
      </w:r>
    </w:p>
    <w:p>
      <w:pPr>
        <w:spacing w:before="160" w:line="240" w:lineRule="exact"/>
        <w:jc w:val="left"/>
        <w:rPr>
          <w:rFonts w:ascii="宋体" w:hAnsi="宋体" w:cs="宋体"/>
          <w:color w:val="000000"/>
          <w:szCs w:val="21"/>
        </w:rPr>
      </w:pPr>
      <w:r>
        <w:rPr>
          <w:rFonts w:hint="eastAsia" w:ascii="宋体" w:hAnsi="宋体" w:cs="宋体"/>
          <w:color w:val="000000"/>
          <w:szCs w:val="21"/>
        </w:rPr>
        <w:t>附录A（规范性）  柴油中硝酸酯型十六烷值改进剂的检验方法..................................</w:t>
      </w:r>
      <w:r>
        <w:rPr>
          <w:rFonts w:hint="eastAsia"/>
          <w:color w:val="000000"/>
          <w:szCs w:val="21"/>
        </w:rPr>
        <w:t>7</w:t>
      </w:r>
    </w:p>
    <w:p>
      <w:pPr>
        <w:spacing w:before="160" w:line="240" w:lineRule="exact"/>
        <w:jc w:val="left"/>
        <w:rPr>
          <w:color w:val="000000"/>
          <w:szCs w:val="21"/>
        </w:rPr>
      </w:pPr>
      <w:r>
        <w:rPr>
          <w:rFonts w:hint="eastAsia" w:ascii="宋体" w:hAnsi="宋体" w:cs="宋体"/>
          <w:color w:val="000000"/>
          <w:szCs w:val="21"/>
        </w:rPr>
        <w:t>附录B（规范性）  上海市餐厨废弃油脂收运、处置作业管理规范................................</w:t>
      </w:r>
      <w:r>
        <w:rPr>
          <w:rFonts w:hint="eastAsia"/>
          <w:color w:val="000000"/>
          <w:szCs w:val="21"/>
        </w:rPr>
        <w:t>9</w:t>
      </w:r>
    </w:p>
    <w:p>
      <w:pPr>
        <w:spacing w:before="160" w:line="240" w:lineRule="exact"/>
        <w:jc w:val="left"/>
        <w:rPr>
          <w:color w:val="000000"/>
          <w:szCs w:val="21"/>
        </w:rPr>
      </w:pPr>
      <w:r>
        <w:rPr>
          <w:rFonts w:hint="eastAsia"/>
          <w:color w:val="000000"/>
          <w:szCs w:val="21"/>
        </w:rPr>
        <w:t>参考文献</w:t>
      </w:r>
      <w:r>
        <w:rPr>
          <w:rFonts w:hint="eastAsia" w:ascii="宋体" w:hAnsi="宋体" w:cs="宋体"/>
          <w:color w:val="000000"/>
          <w:szCs w:val="21"/>
        </w:rPr>
        <w:t>...............................................................................</w:t>
      </w:r>
      <w:r>
        <w:rPr>
          <w:rFonts w:hint="eastAsia"/>
          <w:color w:val="000000"/>
          <w:szCs w:val="21"/>
        </w:rPr>
        <w:t>12</w:t>
      </w:r>
    </w:p>
    <w:p>
      <w:pPr>
        <w:spacing w:before="160" w:line="240" w:lineRule="exact"/>
        <w:jc w:val="left"/>
        <w:rPr>
          <w:color w:val="000000"/>
          <w:szCs w:val="21"/>
        </w:rPr>
      </w:pPr>
    </w:p>
    <w:p>
      <w:pPr>
        <w:spacing w:before="0" w:line="240" w:lineRule="auto"/>
        <w:jc w:val="both"/>
        <w:rPr>
          <w:color w:val="auto"/>
          <w:szCs w:val="21"/>
        </w:rPr>
      </w:pPr>
    </w:p>
    <w:p>
      <w:pPr>
        <w:spacing w:before="0" w:line="240" w:lineRule="auto"/>
        <w:jc w:val="both"/>
        <w:rPr>
          <w:color w:val="auto"/>
          <w:szCs w:val="21"/>
        </w:rPr>
      </w:pPr>
    </w:p>
    <w:p>
      <w:pPr>
        <w:spacing w:before="0" w:line="240" w:lineRule="auto"/>
        <w:jc w:val="both"/>
        <w:rPr>
          <w:color w:val="auto"/>
          <w:szCs w:val="21"/>
        </w:rPr>
      </w:pPr>
    </w:p>
    <w:p>
      <w:pPr>
        <w:spacing w:before="0" w:line="240" w:lineRule="auto"/>
        <w:jc w:val="both"/>
        <w:rPr>
          <w:color w:val="auto"/>
          <w:szCs w:val="21"/>
        </w:rPr>
      </w:pPr>
    </w:p>
    <w:p>
      <w:pPr>
        <w:spacing w:before="0" w:line="240" w:lineRule="auto"/>
        <w:jc w:val="both"/>
        <w:rPr>
          <w:color w:val="auto"/>
          <w:szCs w:val="21"/>
        </w:rPr>
      </w:pPr>
    </w:p>
    <w:p>
      <w:pPr>
        <w:spacing w:before="0" w:line="240" w:lineRule="auto"/>
        <w:jc w:val="both"/>
        <w:rPr>
          <w:color w:val="auto"/>
          <w:szCs w:val="21"/>
        </w:rPr>
      </w:pPr>
    </w:p>
    <w:p>
      <w:pPr>
        <w:spacing w:before="0" w:line="240" w:lineRule="auto"/>
        <w:jc w:val="both"/>
        <w:rPr>
          <w:color w:val="auto"/>
          <w:szCs w:val="21"/>
        </w:rPr>
      </w:pPr>
    </w:p>
    <w:p>
      <w:pPr>
        <w:spacing w:before="0" w:line="240" w:lineRule="auto"/>
        <w:jc w:val="both"/>
        <w:rPr>
          <w:color w:val="auto"/>
          <w:szCs w:val="21"/>
        </w:rPr>
      </w:pPr>
    </w:p>
    <w:p>
      <w:pPr>
        <w:spacing w:before="0" w:line="240" w:lineRule="auto"/>
        <w:jc w:val="center"/>
        <w:rPr>
          <w:color w:val="auto"/>
          <w:szCs w:val="21"/>
        </w:rPr>
      </w:pPr>
    </w:p>
    <w:p>
      <w:pPr>
        <w:spacing w:before="0" w:line="240" w:lineRule="auto"/>
        <w:jc w:val="both"/>
        <w:rPr>
          <w:color w:val="auto"/>
          <w:szCs w:val="21"/>
        </w:rPr>
      </w:pPr>
    </w:p>
    <w:p>
      <w:pPr>
        <w:pStyle w:val="116"/>
      </w:pPr>
      <w:bookmarkStart w:id="7" w:name="_Toc12542"/>
      <w:r>
        <w:rPr>
          <w:rFonts w:hint="eastAsia"/>
        </w:rPr>
        <w:t>前  言</w:t>
      </w:r>
      <w:bookmarkEnd w:id="7"/>
    </w:p>
    <w:p>
      <w:pPr>
        <w:pStyle w:val="27"/>
      </w:pPr>
      <w:r>
        <w:t>本文件按照GB/T 1.1—2020《标准化工作导则  第1部分：标准化文件的结构和起草规则》的规定起草。</w:t>
      </w:r>
    </w:p>
    <w:p>
      <w:pPr>
        <w:pStyle w:val="27"/>
      </w:pPr>
      <w:r>
        <w:t>本文件代替T/310104004—C001《餐厨废弃油脂制车用生物柴油调合燃料（B10）》，本文件与T/310104004—C001相比主要技术变化如下：</w:t>
      </w:r>
    </w:p>
    <w:p>
      <w:pPr>
        <w:pStyle w:val="63"/>
      </w:pPr>
      <w:r>
        <w:rPr>
          <w:rFonts w:hint="eastAsia"/>
        </w:rPr>
        <w:t>文件名称由《餐厨废弃油脂制车用生物柴油调合燃料（B10）》修改为《餐厨废弃油脂制B10柴油》；</w:t>
      </w:r>
    </w:p>
    <w:p>
      <w:pPr>
        <w:pStyle w:val="63"/>
      </w:pPr>
      <w:r>
        <w:rPr>
          <w:rFonts w:hint="eastAsia"/>
        </w:rPr>
        <w:t>删除附录B“餐厨废弃油脂制车用生物柴油工艺流程图”；</w:t>
      </w:r>
    </w:p>
    <w:p>
      <w:pPr>
        <w:pStyle w:val="63"/>
      </w:pPr>
      <w:r>
        <w:rPr>
          <w:rFonts w:hint="eastAsia"/>
        </w:rPr>
        <w:t>酸值（以KOH计）由不大于0.16</w:t>
      </w:r>
      <w:r>
        <w:t xml:space="preserve"> </w:t>
      </w:r>
      <w:r>
        <w:rPr>
          <w:rFonts w:hint="eastAsia"/>
        </w:rPr>
        <w:t>mg/g修改为不大于0.09</w:t>
      </w:r>
      <w:r>
        <w:t xml:space="preserve"> </w:t>
      </w:r>
      <w:r>
        <w:rPr>
          <w:rFonts w:hint="eastAsia"/>
        </w:rPr>
        <w:t>mg/g；</w:t>
      </w:r>
    </w:p>
    <w:p>
      <w:pPr>
        <w:pStyle w:val="63"/>
      </w:pPr>
      <w:r>
        <w:rPr>
          <w:rFonts w:hint="eastAsia"/>
        </w:rPr>
        <w:t>水含量（质量分数）由不大于0.035%修改为不大于0.030%；</w:t>
      </w:r>
    </w:p>
    <w:p>
      <w:pPr>
        <w:pStyle w:val="63"/>
      </w:pPr>
      <w:r>
        <w:rPr>
          <w:rFonts w:hint="eastAsia"/>
        </w:rPr>
        <w:t>取消机械杂质指标，增加了总污染物含量指标，限值为不大于24</w:t>
      </w:r>
      <w:r>
        <w:t xml:space="preserve"> </w:t>
      </w:r>
      <w:r>
        <w:rPr>
          <w:rFonts w:hint="eastAsia"/>
        </w:rPr>
        <w:t>mg/kg；</w:t>
      </w:r>
    </w:p>
    <w:p>
      <w:pPr>
        <w:pStyle w:val="63"/>
      </w:pPr>
      <w:r>
        <w:rPr>
          <w:rFonts w:hint="eastAsia"/>
        </w:rPr>
        <w:t>闪点（闭口）由不低于55</w:t>
      </w:r>
      <w:r>
        <w:rPr>
          <w:rFonts w:hint="eastAsia" w:hAnsi="宋体" w:cs="宋体"/>
        </w:rPr>
        <w:t>℃</w:t>
      </w:r>
      <w:r>
        <w:rPr>
          <w:rFonts w:hint="eastAsia"/>
        </w:rPr>
        <w:t>修改为不低于60</w:t>
      </w:r>
      <w:r>
        <w:rPr>
          <w:rFonts w:hint="eastAsia" w:hAnsi="宋体" w:cs="宋体"/>
        </w:rPr>
        <w:t>℃</w:t>
      </w:r>
      <w:r>
        <w:rPr>
          <w:rFonts w:hint="eastAsia"/>
        </w:rPr>
        <w:t>；</w:t>
      </w:r>
    </w:p>
    <w:p>
      <w:pPr>
        <w:pStyle w:val="63"/>
      </w:pPr>
      <w:r>
        <w:rPr>
          <w:rFonts w:hint="eastAsia"/>
        </w:rPr>
        <w:t>密度（</w:t>
      </w:r>
      <w:r>
        <w:t>20</w:t>
      </w:r>
      <w:r>
        <w:rPr>
          <w:rFonts w:hint="eastAsia" w:hAnsi="宋体" w:cs="宋体"/>
        </w:rPr>
        <w:t>℃</w:t>
      </w:r>
      <w:r>
        <w:rPr>
          <w:rFonts w:hint="eastAsia"/>
        </w:rPr>
        <w:t>）由（810～850）</w:t>
      </w:r>
      <w:r>
        <w:t>kg/m³</w:t>
      </w:r>
      <w:r>
        <w:rPr>
          <w:rFonts w:hint="eastAsia"/>
        </w:rPr>
        <w:t>修改为（810～845）kg/m</w:t>
      </w:r>
      <w:r>
        <w:t>³</w:t>
      </w:r>
      <w:r>
        <w:rPr>
          <w:rFonts w:hint="eastAsia"/>
        </w:rPr>
        <w:t>；</w:t>
      </w:r>
    </w:p>
    <w:p>
      <w:pPr>
        <w:pStyle w:val="63"/>
      </w:pPr>
      <w:r>
        <w:rPr>
          <w:rFonts w:hint="eastAsia"/>
        </w:rPr>
        <w:t>脂肪酸甲酯（FAME）含量（体积分数）由（6.0%～10%）修改为大于5.0%、不大于10.0%；</w:t>
      </w:r>
    </w:p>
    <w:p>
      <w:pPr>
        <w:pStyle w:val="63"/>
      </w:pPr>
      <w:r>
        <w:rPr>
          <w:rFonts w:hint="eastAsia"/>
        </w:rPr>
        <w:t>多环芳烃含量（质量分数）由不大于11%修改为不大于7%。</w:t>
      </w:r>
    </w:p>
    <w:p>
      <w:pPr>
        <w:pStyle w:val="27"/>
      </w:pPr>
      <w:r>
        <w:t>请注意本文件的某些内容可能涉及专利。本文件的发布机构不承担识别专利的责任。</w:t>
      </w:r>
    </w:p>
    <w:p>
      <w:pPr>
        <w:pStyle w:val="27"/>
      </w:pPr>
      <w:r>
        <w:t>本文件由上海市食品药品安全委员会办公室提出。</w:t>
      </w:r>
    </w:p>
    <w:p>
      <w:pPr>
        <w:pStyle w:val="27"/>
      </w:pPr>
      <w:r>
        <w:t>本文件由上海市食品安全工作联合会归口。</w:t>
      </w:r>
    </w:p>
    <w:p>
      <w:pPr>
        <w:pStyle w:val="27"/>
      </w:pPr>
      <w:r>
        <w:t>本文件起草单位：上海市食品安全工作联合会、同济大学、中国石化销售股份有限公司上海石油分公司、上海市石油化工产品质量监督检验站、上海海事大学、上海中器环保科技有限公司。</w:t>
      </w:r>
    </w:p>
    <w:p>
      <w:pPr>
        <w:pStyle w:val="27"/>
      </w:pPr>
      <w:r>
        <w:t>本文件承诺执行单位：上海市食品安全工作联合会</w:t>
      </w:r>
      <w:r>
        <w:rPr>
          <w:rFonts w:hint="eastAsia"/>
        </w:rPr>
        <w:t>、上海市废弃物管理处、</w:t>
      </w:r>
      <w:r>
        <w:t>同济大学</w:t>
      </w:r>
      <w:r>
        <w:rPr>
          <w:rFonts w:hint="eastAsia"/>
        </w:rPr>
        <w:t>、上海交通大学、上海海事大学、</w:t>
      </w:r>
      <w:r>
        <w:t>中国石化销售股份有限公司上海石油分公司</w:t>
      </w:r>
      <w:r>
        <w:rPr>
          <w:rFonts w:hint="eastAsia"/>
        </w:rPr>
        <w:t>、中国石油天然气股份有限公司上海销售分公司、</w:t>
      </w:r>
      <w:r>
        <w:rPr>
          <w:rFonts w:hint="eastAsia"/>
          <w:szCs w:val="21"/>
        </w:rPr>
        <w:t>中海油销售上海有限公司、</w:t>
      </w:r>
      <w:r>
        <w:rPr>
          <w:rFonts w:hint="eastAsia" w:cs="宋体"/>
          <w:color w:val="000000"/>
          <w:szCs w:val="21"/>
        </w:rPr>
        <w:t>上海巴士公交（集团）有限公司、上海</w:t>
      </w:r>
      <w:r>
        <w:rPr>
          <w:rFonts w:hint="eastAsia"/>
        </w:rPr>
        <w:t>市环境科学研究院、上海工业锅炉研究所有限公司、</w:t>
      </w:r>
      <w:r>
        <w:t>上海中器环保科技有限公司</w:t>
      </w:r>
      <w:r>
        <w:rPr>
          <w:rFonts w:hint="eastAsia"/>
        </w:rPr>
        <w:t>、中交上海航道局有限公司、上海水域环境发展有限公司、上海工博石化科技有限公司等。</w:t>
      </w:r>
    </w:p>
    <w:p>
      <w:pPr>
        <w:pStyle w:val="27"/>
      </w:pPr>
      <w:r>
        <w:t>本文件主要起草人：</w:t>
      </w:r>
      <w:r>
        <w:rPr>
          <w:rFonts w:hint="eastAsia" w:cs="宋体"/>
          <w:color w:val="000000"/>
          <w:szCs w:val="21"/>
        </w:rPr>
        <w:t>郑树松、胡志远、吕伟、叶志良、江国和、杨建斌、楼狄明、沈贤、支菁、吴刚、张学旺。</w:t>
      </w:r>
    </w:p>
    <w:p>
      <w:pPr>
        <w:pStyle w:val="27"/>
      </w:pPr>
      <w:r>
        <w:t>本文件及其所代替文件的历次版本发布情况为：2016年首次发布为T/310104004—C001</w:t>
      </w:r>
      <w:r>
        <w:rPr>
          <w:rFonts w:hint="eastAsia"/>
        </w:rPr>
        <w:t>，</w:t>
      </w:r>
      <w:r>
        <w:t>本次为第一次修订。</w:t>
      </w:r>
    </w:p>
    <w:p>
      <w:pPr>
        <w:pStyle w:val="27"/>
        <w:sectPr>
          <w:footerReference r:id="rId9" w:type="first"/>
          <w:headerReference r:id="rId6" w:type="default"/>
          <w:footerReference r:id="rId7" w:type="default"/>
          <w:footerReference r:id="rId8" w:type="even"/>
          <w:pgSz w:w="11906" w:h="16838"/>
          <w:pgMar w:top="567" w:right="1134" w:bottom="1134" w:left="1418" w:header="1418" w:footer="1134" w:gutter="0"/>
          <w:pgNumType w:fmt="upperRoman" w:start="1"/>
          <w:cols w:space="425" w:num="1"/>
          <w:formProt w:val="0"/>
          <w:docGrid w:type="lines" w:linePitch="312" w:charSpace="0"/>
        </w:sectPr>
      </w:pPr>
    </w:p>
    <w:p>
      <w:pPr>
        <w:pStyle w:val="54"/>
      </w:pPr>
      <w:bookmarkStart w:id="8" w:name="_Toc456608512"/>
      <w:bookmarkStart w:id="9" w:name="_Toc451260007"/>
      <w:bookmarkStart w:id="10" w:name="_Toc2766"/>
      <w:r>
        <w:rPr>
          <w:rFonts w:hint="eastAsia"/>
        </w:rPr>
        <w:t>餐厨废弃油脂制B10柴油</w:t>
      </w:r>
      <w:bookmarkEnd w:id="8"/>
      <w:bookmarkEnd w:id="9"/>
      <w:bookmarkEnd w:id="10"/>
    </w:p>
    <w:p>
      <w:pPr>
        <w:pStyle w:val="27"/>
        <w:rPr>
          <w:rFonts w:ascii="黑体" w:hAnsi="黑体" w:eastAsia="黑体" w:cs="黑体"/>
        </w:rPr>
      </w:pPr>
      <w:r>
        <w:rPr>
          <w:rFonts w:hint="eastAsia" w:ascii="黑体" w:hAnsi="黑体" w:eastAsia="黑体"/>
        </w:rPr>
        <w:t>警告——如果</w:t>
      </w:r>
      <w:r>
        <w:rPr>
          <w:rFonts w:hint="eastAsia" w:ascii="黑体" w:hAnsi="黑体" w:eastAsia="黑体"/>
          <w:color w:val="000000"/>
        </w:rPr>
        <w:t>不采取</w:t>
      </w:r>
      <w:r>
        <w:rPr>
          <w:rFonts w:hint="eastAsia" w:ascii="黑体" w:hAnsi="黑体" w:eastAsia="黑体"/>
        </w:rPr>
        <w:t>适当的防范措施，本文件所属产品在生产、运输、装卸、贮运和使用等过程中可能存在危险。本文件无意对与本产品有关的所有安全问题提出建议。使用者有责任采用适当的安全和防范措施，并保证符合国家有关法规规定的条件。</w:t>
      </w:r>
    </w:p>
    <w:p>
      <w:pPr>
        <w:pStyle w:val="45"/>
        <w:spacing w:before="312" w:after="312"/>
      </w:pPr>
      <w:bookmarkStart w:id="11" w:name="_Toc20980"/>
      <w:r>
        <w:rPr>
          <w:rFonts w:hint="eastAsia"/>
        </w:rPr>
        <w:t>范围</w:t>
      </w:r>
      <w:bookmarkEnd w:id="11"/>
    </w:p>
    <w:p>
      <w:pPr>
        <w:pStyle w:val="27"/>
      </w:pPr>
      <w:r>
        <w:rPr>
          <w:rFonts w:hint="eastAsia"/>
        </w:rPr>
        <w:t>本文件规定了由餐厨废弃油脂制得的BD100生物柴油和石油柴油调合而成的B10柴油的牌号和标记，要求和试验方法，检验规则，标志、包装、运输和贮存及安全等要求。</w:t>
      </w:r>
    </w:p>
    <w:p>
      <w:pPr>
        <w:pStyle w:val="27"/>
      </w:pPr>
      <w:r>
        <w:rPr>
          <w:rFonts w:hint="eastAsia"/>
        </w:rPr>
        <w:t>本文件适用于柴油车、船舶、工程机械、农业机械等压燃式发动机使用的B10柴油。</w:t>
      </w:r>
    </w:p>
    <w:p>
      <w:pPr>
        <w:pStyle w:val="45"/>
        <w:spacing w:before="312" w:after="312"/>
      </w:pPr>
      <w:bookmarkStart w:id="12" w:name="_Toc30255"/>
      <w:r>
        <w:rPr>
          <w:rFonts w:hint="eastAsia"/>
        </w:rPr>
        <w:t>规范性引用文件</w:t>
      </w:r>
      <w:bookmarkEnd w:id="12"/>
    </w:p>
    <w:p>
      <w:pPr>
        <w:pStyle w:val="27"/>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7"/>
      </w:pPr>
      <w:r>
        <w:rPr>
          <w:rFonts w:hint="eastAsia"/>
        </w:rPr>
        <w:t>GB 190  危险货物包装标志</w:t>
      </w:r>
    </w:p>
    <w:p>
      <w:pPr>
        <w:pStyle w:val="27"/>
      </w:pPr>
      <w:r>
        <w:rPr>
          <w:rFonts w:hint="eastAsia"/>
        </w:rPr>
        <w:t>GB/T 261  闪点的测定  宾斯基-马丁闭口杯法</w:t>
      </w:r>
    </w:p>
    <w:p>
      <w:pPr>
        <w:pStyle w:val="27"/>
      </w:pPr>
      <w:r>
        <w:rPr>
          <w:rFonts w:hint="eastAsia"/>
        </w:rPr>
        <w:t>GB/T 264  石油产品酸值测定法</w:t>
      </w:r>
    </w:p>
    <w:p>
      <w:pPr>
        <w:pStyle w:val="27"/>
      </w:pPr>
      <w:r>
        <w:rPr>
          <w:rFonts w:hint="eastAsia"/>
        </w:rPr>
        <w:t>GB/T 265  石油产品运动粘度测定法和动力粘度计算法</w:t>
      </w:r>
    </w:p>
    <w:p>
      <w:pPr>
        <w:pStyle w:val="27"/>
      </w:pPr>
      <w:r>
        <w:rPr>
          <w:rFonts w:hint="eastAsia"/>
        </w:rPr>
        <w:t>GB/T 268  石油产品残炭测定法（康氏法）</w:t>
      </w:r>
    </w:p>
    <w:p>
      <w:pPr>
        <w:pStyle w:val="27"/>
      </w:pPr>
      <w:r>
        <w:rPr>
          <w:rFonts w:hint="eastAsia"/>
        </w:rPr>
        <w:t>GB/T 386  柴油十六烷值测定法</w:t>
      </w:r>
    </w:p>
    <w:p>
      <w:pPr>
        <w:pStyle w:val="27"/>
      </w:pPr>
      <w:r>
        <w:rPr>
          <w:rFonts w:hint="eastAsia"/>
        </w:rPr>
        <w:t>GB/T 508  石油产品灰分测定法</w:t>
      </w:r>
    </w:p>
    <w:p>
      <w:pPr>
        <w:pStyle w:val="27"/>
      </w:pPr>
      <w:r>
        <w:rPr>
          <w:rFonts w:hint="eastAsia"/>
        </w:rPr>
        <w:t>GB/T 510  石油产品凝点测定法</w:t>
      </w:r>
    </w:p>
    <w:p>
      <w:pPr>
        <w:pStyle w:val="27"/>
      </w:pPr>
      <w:r>
        <w:t>GB/T 1884</w:t>
      </w:r>
      <w:r>
        <w:rPr>
          <w:rFonts w:hint="eastAsia"/>
        </w:rPr>
        <w:t xml:space="preserve">  原油和液体石油产品密度实验室测定法（密度计法）</w:t>
      </w:r>
    </w:p>
    <w:p>
      <w:pPr>
        <w:pStyle w:val="27"/>
      </w:pPr>
      <w:r>
        <w:t>GB/T 1885</w:t>
      </w:r>
      <w:r>
        <w:rPr>
          <w:rFonts w:hint="eastAsia"/>
        </w:rPr>
        <w:t xml:space="preserve">  石油计量表</w:t>
      </w:r>
    </w:p>
    <w:p>
      <w:pPr>
        <w:pStyle w:val="27"/>
      </w:pPr>
      <w:r>
        <w:t>GB/T 4756</w:t>
      </w:r>
      <w:r>
        <w:rPr>
          <w:rFonts w:hint="eastAsia"/>
        </w:rPr>
        <w:t xml:space="preserve">  石油液体手工取样法</w:t>
      </w:r>
    </w:p>
    <w:p>
      <w:pPr>
        <w:pStyle w:val="27"/>
      </w:pPr>
      <w:r>
        <w:t>GB/T 5096</w:t>
      </w:r>
      <w:r>
        <w:rPr>
          <w:rFonts w:hint="eastAsia"/>
        </w:rPr>
        <w:t xml:space="preserve">  石油产品铜片腐蚀试验法</w:t>
      </w:r>
    </w:p>
    <w:p>
      <w:pPr>
        <w:pStyle w:val="27"/>
      </w:pPr>
      <w:r>
        <w:t>GB/T 6536</w:t>
      </w:r>
      <w:r>
        <w:rPr>
          <w:rFonts w:hint="eastAsia"/>
        </w:rPr>
        <w:t xml:space="preserve">  石油产品常压蒸馏特性测定法</w:t>
      </w:r>
    </w:p>
    <w:p>
      <w:pPr>
        <w:pStyle w:val="27"/>
      </w:pPr>
      <w:r>
        <w:t xml:space="preserve">GB/T </w:t>
      </w:r>
      <w:r>
        <w:rPr>
          <w:rFonts w:hint="eastAsia"/>
        </w:rPr>
        <w:t>7304  石油产品酸值的测定  电位滴定法</w:t>
      </w:r>
    </w:p>
    <w:p>
      <w:pPr>
        <w:pStyle w:val="27"/>
      </w:pPr>
      <w:r>
        <w:t>GB/T 11140</w:t>
      </w:r>
      <w:r>
        <w:rPr>
          <w:rFonts w:hint="eastAsia"/>
        </w:rPr>
        <w:t xml:space="preserve">  石油产品硫含量的测定  波长色散</w:t>
      </w:r>
      <w:r>
        <w:t>X</w:t>
      </w:r>
      <w:r>
        <w:rPr>
          <w:rFonts w:hint="eastAsia"/>
        </w:rPr>
        <w:t>射线荧光光谱法</w:t>
      </w:r>
    </w:p>
    <w:p>
      <w:pPr>
        <w:pStyle w:val="27"/>
      </w:pPr>
      <w:r>
        <w:t>GB/T 13377</w:t>
      </w:r>
      <w:r>
        <w:rPr>
          <w:rFonts w:hint="eastAsia"/>
        </w:rPr>
        <w:t xml:space="preserve">  原油和液体或固体石油产品  密度或相对密度的测定  毛细管塞比重瓶和带刻度双毛细管比重瓶法</w:t>
      </w:r>
    </w:p>
    <w:p>
      <w:pPr>
        <w:pStyle w:val="27"/>
      </w:pPr>
      <w:r>
        <w:t>GB/T 17144</w:t>
      </w:r>
      <w:r>
        <w:rPr>
          <w:rFonts w:hint="eastAsia"/>
        </w:rPr>
        <w:t xml:space="preserve">  石油产品残炭测定法（微量法）</w:t>
      </w:r>
    </w:p>
    <w:p>
      <w:pPr>
        <w:pStyle w:val="27"/>
      </w:pPr>
      <w:r>
        <w:t>GB 19147</w:t>
      </w:r>
      <w:r>
        <w:rPr>
          <w:rFonts w:hint="eastAsia"/>
        </w:rPr>
        <w:t xml:space="preserve">  车用柴油</w:t>
      </w:r>
    </w:p>
    <w:p>
      <w:pPr>
        <w:pStyle w:val="27"/>
      </w:pPr>
      <w:r>
        <w:t>GB/T 23801</w:t>
      </w:r>
      <w:r>
        <w:rPr>
          <w:rFonts w:hint="eastAsia"/>
        </w:rPr>
        <w:t xml:space="preserve">  中间馏分油中脂肪酸甲酯含量的测定  红外光谱法</w:t>
      </w:r>
    </w:p>
    <w:p>
      <w:pPr>
        <w:pStyle w:val="27"/>
      </w:pPr>
      <w:r>
        <w:t>GB</w:t>
      </w:r>
      <w:r>
        <w:rPr>
          <w:rFonts w:hint="eastAsia"/>
        </w:rPr>
        <w:t xml:space="preserve"> </w:t>
      </w:r>
      <w:r>
        <w:t>2</w:t>
      </w:r>
      <w:r>
        <w:rPr>
          <w:rFonts w:hint="eastAsia"/>
        </w:rPr>
        <w:t>5199-2017  B5柴油</w:t>
      </w:r>
    </w:p>
    <w:p>
      <w:pPr>
        <w:pStyle w:val="27"/>
      </w:pPr>
      <w:r>
        <w:t>GB/T 25963</w:t>
      </w:r>
      <w:r>
        <w:rPr>
          <w:rFonts w:hint="eastAsia"/>
        </w:rPr>
        <w:t xml:space="preserve">  含脂肪酸甲酯中间馏分芳烃含量的测定  示差折光检测器高效液相色谱法</w:t>
      </w:r>
    </w:p>
    <w:p>
      <w:pPr>
        <w:pStyle w:val="27"/>
      </w:pPr>
      <w:r>
        <w:t>GB 30000.7</w:t>
      </w:r>
      <w:r>
        <w:rPr>
          <w:rFonts w:hint="eastAsia"/>
        </w:rPr>
        <w:t xml:space="preserve">  化学品分类和标签规范  第</w:t>
      </w:r>
      <w:r>
        <w:t>7</w:t>
      </w:r>
      <w:r>
        <w:rPr>
          <w:rFonts w:hint="eastAsia"/>
        </w:rPr>
        <w:t>部分：易燃液体</w:t>
      </w:r>
    </w:p>
    <w:p>
      <w:pPr>
        <w:pStyle w:val="27"/>
      </w:pPr>
      <w:r>
        <w:t>GB</w:t>
      </w:r>
      <w:r>
        <w:rPr>
          <w:rFonts w:hint="eastAsia"/>
        </w:rPr>
        <w:t>/T</w:t>
      </w:r>
      <w:r>
        <w:t xml:space="preserve"> 3</w:t>
      </w:r>
      <w:r>
        <w:rPr>
          <w:rFonts w:hint="eastAsia"/>
        </w:rPr>
        <w:t>34</w:t>
      </w:r>
      <w:r>
        <w:t>00</w:t>
      </w:r>
      <w:r>
        <w:rPr>
          <w:rFonts w:hint="eastAsia"/>
        </w:rPr>
        <w:t xml:space="preserve">  中间馏分油、柴油及脂肪酸甲酯中总污染物含量的测定</w:t>
      </w:r>
    </w:p>
    <w:p>
      <w:pPr>
        <w:pStyle w:val="27"/>
      </w:pPr>
      <w:r>
        <w:rPr>
          <w:rFonts w:hint="eastAsia"/>
        </w:rPr>
        <w:t>NB/</w:t>
      </w:r>
      <w:r>
        <w:t>SH</w:t>
      </w:r>
      <w:r>
        <w:rPr>
          <w:rFonts w:hint="eastAsia"/>
        </w:rPr>
        <w:t>/T</w:t>
      </w:r>
      <w:r>
        <w:t xml:space="preserve"> 0164</w:t>
      </w:r>
      <w:r>
        <w:rPr>
          <w:rFonts w:hint="eastAsia"/>
        </w:rPr>
        <w:t xml:space="preserve">  石油及相关产品包装、贮运及交货验收规则</w:t>
      </w:r>
    </w:p>
    <w:p>
      <w:pPr>
        <w:pStyle w:val="27"/>
      </w:pPr>
      <w:r>
        <w:rPr>
          <w:rFonts w:hint="eastAsia"/>
        </w:rPr>
        <w:t>NB/</w:t>
      </w:r>
      <w:r>
        <w:t>SH/T 0248</w:t>
      </w:r>
      <w:r>
        <w:rPr>
          <w:rFonts w:hint="eastAsia"/>
        </w:rPr>
        <w:t xml:space="preserve"> </w:t>
      </w:r>
      <w:r>
        <w:t xml:space="preserve"> </w:t>
      </w:r>
      <w:r>
        <w:rPr>
          <w:rFonts w:hint="eastAsia"/>
        </w:rPr>
        <w:t>柴油和民用取暖油冷滤点测定法</w:t>
      </w:r>
    </w:p>
    <w:p>
      <w:pPr>
        <w:pStyle w:val="27"/>
      </w:pPr>
      <w:r>
        <w:rPr>
          <w:rFonts w:hint="eastAsia"/>
        </w:rPr>
        <w:t>NB/</w:t>
      </w:r>
      <w:r>
        <w:t>SH/T 0606</w:t>
      </w:r>
      <w:r>
        <w:rPr>
          <w:rFonts w:hint="eastAsia"/>
        </w:rPr>
        <w:t xml:space="preserve">  中间馏分烃类组成测定法  质谱法</w:t>
      </w:r>
    </w:p>
    <w:p>
      <w:pPr>
        <w:pStyle w:val="27"/>
      </w:pPr>
      <w:r>
        <w:rPr>
          <w:rFonts w:hint="eastAsia"/>
        </w:rPr>
        <w:t xml:space="preserve">NB/SH/T 0842  </w:t>
      </w:r>
      <w:r>
        <w:t xml:space="preserve">轻质液体燃料中硫含量的测定 </w:t>
      </w:r>
      <w:r>
        <w:rPr>
          <w:rFonts w:hint="eastAsia"/>
        </w:rPr>
        <w:t xml:space="preserve"> </w:t>
      </w:r>
      <w:r>
        <w:t>单波长色散X射线荧光光谱法</w:t>
      </w:r>
    </w:p>
    <w:p>
      <w:pPr>
        <w:pStyle w:val="27"/>
      </w:pPr>
      <w:r>
        <w:rPr>
          <w:rFonts w:hint="eastAsia"/>
        </w:rPr>
        <w:t>NB/SH/T 0916  柴油燃料中生物柴油（脂肪酸甲酯）含量的测定  红外光谱法</w:t>
      </w:r>
    </w:p>
    <w:p>
      <w:pPr>
        <w:pStyle w:val="27"/>
      </w:pPr>
      <w:r>
        <w:t>SH/T 0175</w:t>
      </w:r>
      <w:r>
        <w:rPr>
          <w:rFonts w:hint="eastAsia"/>
        </w:rPr>
        <w:t xml:space="preserve">  馏分燃料油氧化安定性测定法（加速法）</w:t>
      </w:r>
    </w:p>
    <w:p>
      <w:pPr>
        <w:pStyle w:val="27"/>
      </w:pPr>
      <w:r>
        <w:t>SH/T 0246</w:t>
      </w:r>
      <w:r>
        <w:rPr>
          <w:rFonts w:hint="eastAsia"/>
        </w:rPr>
        <w:t xml:space="preserve">  轻质石油产品中水含量测定法（电量法）</w:t>
      </w:r>
    </w:p>
    <w:p>
      <w:pPr>
        <w:pStyle w:val="27"/>
      </w:pPr>
      <w:r>
        <w:t>SH/T 0253</w:t>
      </w:r>
      <w:r>
        <w:rPr>
          <w:rFonts w:hint="eastAsia"/>
        </w:rPr>
        <w:t xml:space="preserve">  轻质石油产品中总硫含量测定法（电量法）</w:t>
      </w:r>
    </w:p>
    <w:p>
      <w:pPr>
        <w:pStyle w:val="27"/>
      </w:pPr>
      <w:r>
        <w:t>SH/T 0604</w:t>
      </w:r>
      <w:r>
        <w:rPr>
          <w:rFonts w:hint="eastAsia"/>
        </w:rPr>
        <w:t xml:space="preserve">  原油和石油产品密度测定法（</w:t>
      </w:r>
      <w:r>
        <w:t>U</w:t>
      </w:r>
      <w:r>
        <w:rPr>
          <w:rFonts w:hint="eastAsia"/>
        </w:rPr>
        <w:t>型振动管法）</w:t>
      </w:r>
    </w:p>
    <w:p>
      <w:pPr>
        <w:pStyle w:val="27"/>
      </w:pPr>
      <w:r>
        <w:t>SH/T 0689</w:t>
      </w:r>
      <w:r>
        <w:rPr>
          <w:rFonts w:hint="eastAsia"/>
        </w:rPr>
        <w:t xml:space="preserve">  轻质烃及发动机燃料和其它油品的总硫含量测定法（紫外荧光法）</w:t>
      </w:r>
    </w:p>
    <w:p>
      <w:pPr>
        <w:pStyle w:val="27"/>
      </w:pPr>
      <w:r>
        <w:t>SH/T 0</w:t>
      </w:r>
      <w:r>
        <w:rPr>
          <w:rFonts w:hint="eastAsia"/>
        </w:rPr>
        <w:t>765  柴油润滑性评定法（高频往复试验机法）</w:t>
      </w:r>
    </w:p>
    <w:p>
      <w:pPr>
        <w:pStyle w:val="45"/>
        <w:spacing w:before="312" w:after="312"/>
      </w:pPr>
      <w:bookmarkStart w:id="13" w:name="_Toc30254"/>
      <w:r>
        <w:rPr>
          <w:rFonts w:hint="eastAsia"/>
        </w:rPr>
        <w:t>术语和定义</w:t>
      </w:r>
      <w:bookmarkEnd w:id="13"/>
    </w:p>
    <w:p>
      <w:pPr>
        <w:pStyle w:val="27"/>
      </w:pPr>
      <w:r>
        <w:rPr>
          <w:rFonts w:hint="eastAsia"/>
        </w:rPr>
        <w:t>下列术语和定义适用于本文件。</w:t>
      </w:r>
    </w:p>
    <w:p>
      <w:pPr>
        <w:pStyle w:val="27"/>
        <w:ind w:firstLine="0" w:firstLineChars="0"/>
        <w:rPr>
          <w:rFonts w:ascii="黑体" w:hAnsi="黑体" w:eastAsia="黑体"/>
        </w:rPr>
      </w:pPr>
      <w:r>
        <w:rPr>
          <w:rFonts w:hint="eastAsia" w:ascii="黑体" w:hAnsi="黑体" w:eastAsia="黑体"/>
        </w:rPr>
        <w:t>3.1</w:t>
      </w:r>
    </w:p>
    <w:p>
      <w:pPr>
        <w:pStyle w:val="27"/>
        <w:rPr>
          <w:rFonts w:ascii="黑体" w:hAnsi="黑体" w:eastAsia="黑体"/>
        </w:rPr>
      </w:pPr>
      <w:r>
        <w:rPr>
          <w:rFonts w:hint="eastAsia" w:ascii="黑体" w:hAnsi="黑体" w:eastAsia="黑体"/>
        </w:rPr>
        <w:t xml:space="preserve">餐厨废弃油脂  </w:t>
      </w:r>
      <w:r>
        <w:rPr>
          <w:rFonts w:ascii="黑体" w:hAnsi="黑体" w:eastAsia="黑体"/>
        </w:rPr>
        <w:t>waste cooking oil</w:t>
      </w:r>
    </w:p>
    <w:p>
      <w:pPr>
        <w:pStyle w:val="27"/>
      </w:pPr>
      <w:r>
        <w:rPr>
          <w:rFonts w:hint="eastAsia"/>
        </w:rPr>
        <w:t>除居民日常生活以外的在餐饮服务（含单位供餐）、食品生产加工以及食品现制现售等活动中产</w:t>
      </w:r>
    </w:p>
    <w:p>
      <w:pPr>
        <w:pStyle w:val="27"/>
      </w:pPr>
      <w:r>
        <w:rPr>
          <w:rFonts w:hint="eastAsia"/>
        </w:rPr>
        <w:t>生的废弃食用动植物油脂和含食用动植物油脂的废水。</w:t>
      </w:r>
    </w:p>
    <w:p>
      <w:pPr>
        <w:pStyle w:val="27"/>
        <w:ind w:firstLine="0" w:firstLineChars="0"/>
        <w:rPr>
          <w:rFonts w:ascii="黑体" w:hAnsi="黑体" w:eastAsia="黑体"/>
        </w:rPr>
      </w:pPr>
      <w:r>
        <w:rPr>
          <w:rFonts w:hint="eastAsia" w:ascii="黑体" w:hAnsi="黑体" w:eastAsia="黑体"/>
        </w:rPr>
        <w:t>3.2</w:t>
      </w:r>
    </w:p>
    <w:p>
      <w:pPr>
        <w:pStyle w:val="27"/>
        <w:rPr>
          <w:rFonts w:ascii="黑体" w:hAnsi="黑体" w:eastAsia="黑体"/>
        </w:rPr>
      </w:pPr>
      <w:r>
        <w:rPr>
          <w:rFonts w:hint="eastAsia" w:ascii="黑体" w:hAnsi="黑体" w:eastAsia="黑体"/>
        </w:rPr>
        <w:t>BD100生物柴油  BD100 biodiesel</w:t>
      </w:r>
    </w:p>
    <w:p>
      <w:pPr>
        <w:pStyle w:val="27"/>
      </w:pPr>
      <w:r>
        <w:rPr>
          <w:rFonts w:hint="eastAsia"/>
        </w:rPr>
        <w:t>由餐厨废弃油脂与醇（例如甲醇或乙醇）反应制得的脂肪酸单烷基酯，最典型的为脂肪酸甲酯（FAME），以BD100表示。</w:t>
      </w:r>
    </w:p>
    <w:p>
      <w:pPr>
        <w:pStyle w:val="27"/>
        <w:ind w:firstLine="0" w:firstLineChars="0"/>
        <w:rPr>
          <w:rFonts w:ascii="黑体" w:hAnsi="黑体" w:eastAsia="黑体"/>
        </w:rPr>
      </w:pPr>
      <w:r>
        <w:rPr>
          <w:rFonts w:hint="eastAsia" w:ascii="黑体" w:hAnsi="黑体" w:eastAsia="黑体"/>
        </w:rPr>
        <w:t>3.3</w:t>
      </w:r>
    </w:p>
    <w:p>
      <w:pPr>
        <w:pStyle w:val="27"/>
        <w:rPr>
          <w:rFonts w:ascii="黑体" w:hAnsi="黑体" w:eastAsia="黑体"/>
        </w:rPr>
      </w:pPr>
      <w:r>
        <w:rPr>
          <w:rFonts w:hint="eastAsia" w:ascii="黑体" w:hAnsi="黑体" w:eastAsia="黑体"/>
        </w:rPr>
        <w:t>石油柴油  petrodiesel</w:t>
      </w:r>
    </w:p>
    <w:p>
      <w:pPr>
        <w:pStyle w:val="27"/>
      </w:pPr>
      <w:r>
        <w:rPr>
          <w:rFonts w:hint="eastAsia"/>
        </w:rPr>
        <w:t>由石油制取的，或加有添加剂的用于压燃式发动机的烃类液体燃料。</w:t>
      </w:r>
    </w:p>
    <w:p>
      <w:pPr>
        <w:pStyle w:val="27"/>
        <w:ind w:firstLine="0" w:firstLineChars="0"/>
        <w:rPr>
          <w:rFonts w:ascii="黑体" w:hAnsi="黑体" w:eastAsia="黑体"/>
        </w:rPr>
      </w:pPr>
      <w:r>
        <w:rPr>
          <w:rFonts w:hint="eastAsia" w:ascii="黑体" w:hAnsi="黑体" w:eastAsia="黑体"/>
        </w:rPr>
        <w:t>3.4</w:t>
      </w:r>
    </w:p>
    <w:p>
      <w:pPr>
        <w:pStyle w:val="27"/>
        <w:rPr>
          <w:rFonts w:ascii="黑体" w:hAnsi="黑体" w:eastAsia="黑体"/>
        </w:rPr>
      </w:pPr>
      <w:r>
        <w:rPr>
          <w:rFonts w:hint="eastAsia" w:ascii="黑体" w:hAnsi="黑体" w:eastAsia="黑体"/>
        </w:rPr>
        <w:t xml:space="preserve">B10柴油  B10 diesel fuel </w:t>
      </w:r>
    </w:p>
    <w:p>
      <w:pPr>
        <w:pStyle w:val="27"/>
      </w:pPr>
      <w:r>
        <w:rPr>
          <w:rFonts w:hint="eastAsia"/>
        </w:rPr>
        <w:t>体积分数为5%～10%的BD100生物柴油与体积分数90%～95%的石油柴油的调合燃料。</w:t>
      </w:r>
    </w:p>
    <w:p>
      <w:pPr>
        <w:pStyle w:val="45"/>
        <w:spacing w:before="312" w:after="312"/>
      </w:pPr>
      <w:bookmarkStart w:id="14" w:name="_Toc25361"/>
      <w:r>
        <w:rPr>
          <w:rFonts w:hint="eastAsia"/>
        </w:rPr>
        <w:t>牌号和标记</w:t>
      </w:r>
      <w:bookmarkEnd w:id="14"/>
    </w:p>
    <w:p>
      <w:pPr>
        <w:pStyle w:val="47"/>
        <w:spacing w:before="156" w:after="156"/>
      </w:pPr>
      <w:r>
        <w:rPr>
          <w:rFonts w:hint="eastAsia"/>
        </w:rPr>
        <w:t>牌号</w:t>
      </w:r>
    </w:p>
    <w:p>
      <w:pPr>
        <w:pStyle w:val="27"/>
      </w:pPr>
      <w:r>
        <w:t>B10</w:t>
      </w:r>
      <w:r>
        <w:rPr>
          <w:rFonts w:hint="eastAsia"/>
        </w:rPr>
        <w:t>柴油按凝点分为</w:t>
      </w:r>
      <w:r>
        <w:t>3</w:t>
      </w:r>
      <w:r>
        <w:rPr>
          <w:rFonts w:hint="eastAsia"/>
        </w:rPr>
        <w:t>个牌号：</w:t>
      </w:r>
    </w:p>
    <w:p>
      <w:pPr>
        <w:pStyle w:val="63"/>
        <w:numPr>
          <w:ilvl w:val="0"/>
          <w:numId w:val="12"/>
        </w:numPr>
      </w:pPr>
      <w:bookmarkStart w:id="15" w:name="_Toc31990"/>
      <w:r>
        <w:t>5</w:t>
      </w:r>
      <w:r>
        <w:rPr>
          <w:rFonts w:hint="eastAsia"/>
        </w:rPr>
        <w:t>号：适用于气温在</w:t>
      </w:r>
      <w:r>
        <w:t>8</w:t>
      </w:r>
      <w:r>
        <w:rPr>
          <w:rFonts w:hint="eastAsia"/>
        </w:rPr>
        <w:t>℃以上的时段使用；</w:t>
      </w:r>
      <w:bookmarkEnd w:id="15"/>
    </w:p>
    <w:p>
      <w:pPr>
        <w:pStyle w:val="63"/>
        <w:numPr>
          <w:ilvl w:val="0"/>
          <w:numId w:val="13"/>
        </w:numPr>
      </w:pPr>
      <w:r>
        <w:t>0</w:t>
      </w:r>
      <w:r>
        <w:rPr>
          <w:rFonts w:hint="eastAsia"/>
        </w:rPr>
        <w:t>号：适用于气温在</w:t>
      </w:r>
      <w:r>
        <w:t>4</w:t>
      </w:r>
      <w:r>
        <w:rPr>
          <w:rFonts w:hint="eastAsia"/>
        </w:rPr>
        <w:t>℃以上的时段使用；</w:t>
      </w:r>
    </w:p>
    <w:p>
      <w:pPr>
        <w:pStyle w:val="63"/>
      </w:pPr>
      <w:r>
        <w:rPr>
          <w:rFonts w:hint="eastAsia"/>
        </w:rPr>
        <w:t>－</w:t>
      </w:r>
      <w:r>
        <w:t>10</w:t>
      </w:r>
      <w:r>
        <w:rPr>
          <w:rFonts w:hint="eastAsia"/>
        </w:rPr>
        <w:t>号：适用于气温在</w:t>
      </w:r>
      <w:r>
        <w:t>-5</w:t>
      </w:r>
      <w:r>
        <w:rPr>
          <w:rFonts w:hint="eastAsia"/>
        </w:rPr>
        <w:t>℃以上时段使用。</w:t>
      </w:r>
    </w:p>
    <w:p>
      <w:pPr>
        <w:pStyle w:val="47"/>
        <w:spacing w:before="156" w:after="156"/>
      </w:pPr>
      <w:r>
        <w:rPr>
          <w:rFonts w:hint="eastAsia"/>
        </w:rPr>
        <w:t>产品标记</w:t>
      </w:r>
    </w:p>
    <w:p>
      <w:pPr>
        <w:pStyle w:val="27"/>
        <w:rPr>
          <w:color w:val="FF0000"/>
          <w:sz w:val="24"/>
        </w:rPr>
      </w:pPr>
      <w:r>
        <w:rPr>
          <w:rFonts w:hint="eastAsia"/>
        </w:rPr>
        <w:t>本产品标记为：</w:t>
      </w:r>
      <w:r>
        <w:rPr>
          <w:rFonts w:hint="eastAsia"/>
          <w:szCs w:val="21"/>
          <w:bdr w:val="single" w:color="auto" w:sz="4" w:space="0"/>
        </w:rPr>
        <w:t>产品牌号</w:t>
      </w:r>
      <w:r>
        <w:rPr>
          <w:rFonts w:hint="eastAsia"/>
          <w:sz w:val="20"/>
        </w:rPr>
        <w:t xml:space="preserve">  </w:t>
      </w:r>
      <w:r>
        <w:rPr>
          <w:rFonts w:hint="eastAsia"/>
          <w:sz w:val="4"/>
          <w:szCs w:val="4"/>
        </w:rPr>
        <w:t xml:space="preserve"> </w:t>
      </w:r>
      <w:r>
        <w:rPr>
          <w:rFonts w:hint="eastAsia"/>
          <w:szCs w:val="21"/>
          <w:bdr w:val="single" w:color="auto" w:sz="4" w:space="0"/>
        </w:rPr>
        <w:t>产品类别</w:t>
      </w:r>
    </w:p>
    <w:p>
      <w:pPr>
        <w:pStyle w:val="56"/>
        <w:rPr>
          <w:rFonts w:ascii="黑体" w:eastAsia="黑体"/>
          <w:szCs w:val="21"/>
        </w:rPr>
      </w:pPr>
      <w:r>
        <w:rPr>
          <w:rFonts w:hint="eastAsia" w:ascii="黑体" w:eastAsia="黑体"/>
          <w:szCs w:val="21"/>
        </w:rPr>
        <w:t>示例：</w:t>
      </w:r>
      <w:r>
        <w:rPr>
          <w:rFonts w:hint="eastAsia"/>
        </w:rPr>
        <w:t>0号B10柴油（Ⅵ）</w:t>
      </w:r>
    </w:p>
    <w:p>
      <w:pPr>
        <w:pStyle w:val="45"/>
        <w:spacing w:before="312" w:after="312"/>
      </w:pPr>
      <w:r>
        <w:rPr>
          <w:rFonts w:hint="eastAsia"/>
        </w:rPr>
        <w:t>要求和试验方法</w:t>
      </w:r>
    </w:p>
    <w:p>
      <w:pPr>
        <w:pStyle w:val="129"/>
      </w:pPr>
      <w:r>
        <w:rPr>
          <w:rFonts w:hint="eastAsia"/>
        </w:rPr>
        <w:t>B10柴油中所使用的添加剂应无公知的有害作用，并按推荐的适宜用量使用。B10柴油中不应含有任何可导致发动机无法正常工作的添加物或污染物，不准许人为加入甲醇。</w:t>
      </w:r>
    </w:p>
    <w:p>
      <w:pPr>
        <w:pStyle w:val="129"/>
      </w:pPr>
      <w:r>
        <w:rPr>
          <w:rFonts w:hint="eastAsia"/>
        </w:rPr>
        <w:t>B10柴油的技术要求和试验方法见表1。</w:t>
      </w:r>
    </w:p>
    <w:p>
      <w:pPr>
        <w:pStyle w:val="129"/>
      </w:pPr>
      <w:r>
        <w:rPr>
          <w:rFonts w:hint="eastAsia"/>
        </w:rPr>
        <w:t>用于调合B10柴油的BD100生物柴油应符合GB 25199-2017附录C的规定。</w:t>
      </w:r>
    </w:p>
    <w:p>
      <w:pPr>
        <w:pStyle w:val="130"/>
        <w:adjustRightInd w:val="0"/>
        <w:snapToGrid w:val="0"/>
        <w:spacing w:before="156" w:afterLines="0"/>
      </w:pPr>
      <w:r>
        <w:rPr>
          <w:rFonts w:hint="eastAsia"/>
        </w:rPr>
        <w:t>B10柴油的技术要求和试验方法</w:t>
      </w:r>
    </w:p>
    <w:tbl>
      <w:tblPr>
        <w:tblStyle w:val="36"/>
        <w:tblpPr w:leftFromText="180" w:rightFromText="180" w:vertAnchor="text" w:horzAnchor="page" w:tblpX="1452" w:tblpY="262"/>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96"/>
        <w:gridCol w:w="675"/>
        <w:gridCol w:w="1031"/>
        <w:gridCol w:w="982"/>
        <w:gridCol w:w="961"/>
        <w:gridCol w:w="1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6" w:type="pct"/>
            <w:gridSpan w:val="2"/>
            <w:vMerge w:val="restar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项目</w:t>
            </w:r>
          </w:p>
        </w:tc>
        <w:tc>
          <w:tcPr>
            <w:tcW w:w="1554" w:type="pct"/>
            <w:gridSpan w:val="3"/>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质量指标</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6" w:type="pct"/>
            <w:gridSpan w:val="2"/>
            <w:vMerge w:val="continue"/>
          </w:tcPr>
          <w:p>
            <w:pPr>
              <w:spacing w:line="360" w:lineRule="exact"/>
              <w:rPr>
                <w:rFonts w:asciiTheme="minorEastAsia" w:hAnsiTheme="minorEastAsia" w:eastAsiaTheme="minorEastAsia"/>
                <w:sz w:val="18"/>
                <w:szCs w:val="18"/>
              </w:rPr>
            </w:pPr>
          </w:p>
        </w:tc>
        <w:tc>
          <w:tcPr>
            <w:tcW w:w="539"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5号</w:t>
            </w:r>
          </w:p>
        </w:tc>
        <w:tc>
          <w:tcPr>
            <w:tcW w:w="513"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0号</w:t>
            </w:r>
          </w:p>
        </w:tc>
        <w:tc>
          <w:tcPr>
            <w:tcW w:w="501"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－10号</w:t>
            </w:r>
          </w:p>
        </w:tc>
        <w:tc>
          <w:tcPr>
            <w:tcW w:w="898" w:type="pct"/>
            <w:vAlign w:val="center"/>
          </w:tcPr>
          <w:p>
            <w:pPr>
              <w:spacing w:line="360" w:lineRule="exact"/>
              <w:jc w:val="center"/>
              <w:rPr>
                <w:rFonts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氧化安定性（总不溶物含量）/（mg/100ml）       </w:t>
            </w:r>
          </w:p>
        </w:tc>
        <w:tc>
          <w:tcPr>
            <w:tcW w:w="352" w:type="pct"/>
            <w:tcBorders>
              <w:left w:val="nil"/>
            </w:tcBorders>
          </w:tcPr>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54" w:type="pct"/>
            <w:gridSpan w:val="3"/>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SH/T 0175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硫含量/（mg/kg）                                </w:t>
            </w:r>
          </w:p>
        </w:tc>
        <w:tc>
          <w:tcPr>
            <w:tcW w:w="352" w:type="pct"/>
            <w:tcBorders>
              <w:left w:val="nil"/>
            </w:tcBorders>
          </w:tcPr>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54" w:type="pct"/>
            <w:gridSpan w:val="3"/>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SH/T 0689</w:t>
            </w:r>
            <w:r>
              <w:rPr>
                <w:rFonts w:asciiTheme="minorEastAsia" w:hAnsiTheme="minorEastAsia" w:eastAsiaTheme="minorEastAsia"/>
                <w:sz w:val="18"/>
                <w:szCs w:val="18"/>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酸值（以KOH计）/（mg/g）                      </w:t>
            </w:r>
          </w:p>
        </w:tc>
        <w:tc>
          <w:tcPr>
            <w:tcW w:w="352" w:type="pct"/>
            <w:tcBorders>
              <w:left w:val="nil"/>
            </w:tcBorders>
          </w:tcPr>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54" w:type="pct"/>
            <w:gridSpan w:val="3"/>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09</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GB/T 7304</w:t>
            </w:r>
            <w:r>
              <w:rPr>
                <w:rFonts w:asciiTheme="minorEastAsia" w:hAnsiTheme="minorEastAsia" w:eastAsiaTheme="minorEastAsia"/>
                <w:sz w:val="18"/>
                <w:szCs w:val="18"/>
                <w:vertAlign w:val="superscript"/>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10%蒸余物残炭</w:t>
            </w:r>
            <w:r>
              <w:rPr>
                <w:rFonts w:asciiTheme="minorEastAsia" w:hAnsiTheme="minorEastAsia" w:eastAsiaTheme="minorEastAsia"/>
                <w:sz w:val="18"/>
                <w:szCs w:val="18"/>
                <w:vertAlign w:val="superscript"/>
              </w:rPr>
              <w:t>c</w:t>
            </w:r>
            <w:r>
              <w:rPr>
                <w:rFonts w:asciiTheme="minorEastAsia" w:hAnsiTheme="minorEastAsia" w:eastAsiaTheme="minorEastAsia"/>
                <w:sz w:val="18"/>
                <w:szCs w:val="18"/>
              </w:rPr>
              <w:t xml:space="preserve">（质量分数）/%                  </w:t>
            </w:r>
          </w:p>
        </w:tc>
        <w:tc>
          <w:tcPr>
            <w:tcW w:w="352" w:type="pct"/>
            <w:tcBorders>
              <w:left w:val="nil"/>
            </w:tcBorders>
          </w:tcPr>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54" w:type="pct"/>
            <w:gridSpan w:val="3"/>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0.3</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GB/T 17144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灰分（质量分数）/%                             </w:t>
            </w:r>
          </w:p>
        </w:tc>
        <w:tc>
          <w:tcPr>
            <w:tcW w:w="352" w:type="pct"/>
            <w:tcBorders>
              <w:left w:val="nil"/>
            </w:tcBorders>
          </w:tcPr>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54" w:type="pct"/>
            <w:gridSpan w:val="3"/>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0.01</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GB/T 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铜片腐蚀（50℃，3h）/级                       </w:t>
            </w:r>
          </w:p>
        </w:tc>
        <w:tc>
          <w:tcPr>
            <w:tcW w:w="352" w:type="pct"/>
            <w:tcBorders>
              <w:left w:val="nil"/>
            </w:tcBorders>
          </w:tcPr>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54" w:type="pct"/>
            <w:gridSpan w:val="3"/>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GB/T 5096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水含量（质量分数）/%                            </w:t>
            </w:r>
          </w:p>
        </w:tc>
        <w:tc>
          <w:tcPr>
            <w:tcW w:w="352" w:type="pct"/>
            <w:tcBorders>
              <w:left w:val="nil"/>
            </w:tcBorders>
          </w:tcPr>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54" w:type="pct"/>
            <w:gridSpan w:val="3"/>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0.030</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SH/T 0246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总污染物含量（mg/kg）                           </w:t>
            </w:r>
          </w:p>
        </w:tc>
        <w:tc>
          <w:tcPr>
            <w:tcW w:w="352" w:type="pct"/>
            <w:tcBorders>
              <w:left w:val="nil"/>
            </w:tcBorders>
          </w:tcPr>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54" w:type="pct"/>
            <w:gridSpan w:val="3"/>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24</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GB/T 33400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运动</w:t>
            </w:r>
            <w:r>
              <w:rPr>
                <w:rFonts w:hint="eastAsia" w:asciiTheme="minorEastAsia" w:hAnsiTheme="minorEastAsia" w:eastAsiaTheme="minorEastAsia"/>
                <w:sz w:val="18"/>
                <w:szCs w:val="18"/>
              </w:rPr>
              <w:t>黏</w:t>
            </w:r>
            <w:r>
              <w:rPr>
                <w:rFonts w:asciiTheme="minorEastAsia" w:hAnsiTheme="minorEastAsia" w:eastAsiaTheme="minorEastAsia"/>
                <w:sz w:val="18"/>
                <w:szCs w:val="18"/>
              </w:rPr>
              <w:t>度（20°C）/（mm</w:t>
            </w:r>
            <w:r>
              <w:rPr>
                <w:rFonts w:asciiTheme="minorEastAsia" w:hAnsiTheme="minorEastAsia" w:eastAsiaTheme="minorEastAsia"/>
                <w:sz w:val="18"/>
                <w:szCs w:val="18"/>
                <w:vertAlign w:val="superscript"/>
              </w:rPr>
              <w:t xml:space="preserve">2 </w:t>
            </w:r>
            <w:r>
              <w:rPr>
                <w:rFonts w:asciiTheme="minorEastAsia" w:hAnsiTheme="minorEastAsia" w:eastAsiaTheme="minorEastAsia"/>
                <w:sz w:val="18"/>
                <w:szCs w:val="18"/>
              </w:rPr>
              <w:t>/s）</w:t>
            </w:r>
          </w:p>
        </w:tc>
        <w:tc>
          <w:tcPr>
            <w:tcW w:w="352" w:type="pct"/>
            <w:tcBorders>
              <w:left w:val="nil"/>
            </w:tcBorders>
          </w:tcPr>
          <w:p>
            <w:pPr>
              <w:spacing w:line="360" w:lineRule="exact"/>
              <w:jc w:val="right"/>
              <w:rPr>
                <w:rFonts w:asciiTheme="minorEastAsia" w:hAnsiTheme="minorEastAsia" w:eastAsiaTheme="minorEastAsia"/>
                <w:sz w:val="18"/>
                <w:szCs w:val="18"/>
              </w:rPr>
            </w:pPr>
          </w:p>
        </w:tc>
        <w:tc>
          <w:tcPr>
            <w:tcW w:w="1554" w:type="pct"/>
            <w:gridSpan w:val="3"/>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2.5～8.0</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GB/T 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闪点（闭口）/℃                                 </w:t>
            </w:r>
          </w:p>
        </w:tc>
        <w:tc>
          <w:tcPr>
            <w:tcW w:w="352" w:type="pct"/>
            <w:tcBorders>
              <w:left w:val="nil"/>
            </w:tcBorders>
          </w:tcPr>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54" w:type="pct"/>
            <w:gridSpan w:val="3"/>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60</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GB/T 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冷滤点</w:t>
            </w:r>
            <w:r>
              <w:rPr>
                <w:rFonts w:asciiTheme="minorEastAsia" w:hAnsiTheme="minorEastAsia" w:eastAsiaTheme="minorEastAsia"/>
                <w:sz w:val="18"/>
                <w:szCs w:val="18"/>
                <w:vertAlign w:val="superscript"/>
              </w:rPr>
              <w:t>d</w:t>
            </w:r>
            <w:r>
              <w:rPr>
                <w:rFonts w:asciiTheme="minorEastAsia" w:hAnsiTheme="minorEastAsia" w:eastAsiaTheme="minorEastAsia"/>
                <w:sz w:val="18"/>
                <w:szCs w:val="18"/>
              </w:rPr>
              <w:t xml:space="preserve">/℃                                    </w:t>
            </w:r>
          </w:p>
        </w:tc>
        <w:tc>
          <w:tcPr>
            <w:tcW w:w="352" w:type="pct"/>
            <w:tcBorders>
              <w:left w:val="nil"/>
            </w:tcBorders>
          </w:tcPr>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539"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513"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501"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SH/T 0248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凝点/℃                                         </w:t>
            </w:r>
          </w:p>
        </w:tc>
        <w:tc>
          <w:tcPr>
            <w:tcW w:w="352" w:type="pct"/>
            <w:tcBorders>
              <w:left w:val="nil"/>
            </w:tcBorders>
          </w:tcPr>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539"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513"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0</w:t>
            </w:r>
          </w:p>
        </w:tc>
        <w:tc>
          <w:tcPr>
            <w:tcW w:w="501"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GB/T 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十六烷值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 xml:space="preserve"> </w:t>
            </w:r>
          </w:p>
        </w:tc>
        <w:tc>
          <w:tcPr>
            <w:tcW w:w="352" w:type="pct"/>
            <w:tcBorders>
              <w:left w:val="nil"/>
            </w:tcBorders>
          </w:tcPr>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54" w:type="pct"/>
            <w:gridSpan w:val="3"/>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51</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GB/T 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vAlign w:val="center"/>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密度（20°C）/（kg/m</w:t>
            </w:r>
            <w:r>
              <w:rPr>
                <w:rFonts w:asciiTheme="minorEastAsia" w:hAnsiTheme="minorEastAsia" w:eastAsiaTheme="minorEastAsia"/>
                <w:sz w:val="18"/>
                <w:szCs w:val="18"/>
                <w:vertAlign w:val="superscript"/>
              </w:rPr>
              <w:t>3</w:t>
            </w:r>
            <w:r>
              <w:rPr>
                <w:rFonts w:asciiTheme="minorEastAsia" w:hAnsiTheme="minorEastAsia" w:eastAsiaTheme="minorEastAsia"/>
                <w:sz w:val="18"/>
                <w:szCs w:val="18"/>
              </w:rPr>
              <w:t>）</w:t>
            </w:r>
          </w:p>
        </w:tc>
        <w:tc>
          <w:tcPr>
            <w:tcW w:w="352" w:type="pct"/>
            <w:tcBorders>
              <w:left w:val="nil"/>
            </w:tcBorders>
          </w:tcPr>
          <w:p>
            <w:pPr>
              <w:spacing w:line="360" w:lineRule="exact"/>
              <w:jc w:val="right"/>
              <w:rPr>
                <w:rFonts w:asciiTheme="minorEastAsia" w:hAnsiTheme="minorEastAsia" w:eastAsiaTheme="minorEastAsia"/>
                <w:sz w:val="18"/>
                <w:szCs w:val="18"/>
              </w:rPr>
            </w:pPr>
          </w:p>
        </w:tc>
        <w:tc>
          <w:tcPr>
            <w:tcW w:w="1554" w:type="pct"/>
            <w:gridSpan w:val="3"/>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810～845</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GB/T 1884</w:t>
            </w:r>
          </w:p>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GB/T 1885</w:t>
            </w:r>
            <w:r>
              <w:rPr>
                <w:rFonts w:asciiTheme="minorEastAsia" w:hAnsiTheme="minorEastAsia" w:eastAsiaTheme="minorEastAsia"/>
                <w:sz w:val="18"/>
                <w:szCs w:val="18"/>
                <w:vertAlign w:val="superscript"/>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馏程：</w:t>
            </w:r>
          </w:p>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    50%回收温度/℃                              </w:t>
            </w:r>
          </w:p>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    90%回收温度/℃                              </w:t>
            </w:r>
          </w:p>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    95%回收温度/℃                             </w:t>
            </w:r>
          </w:p>
        </w:tc>
        <w:tc>
          <w:tcPr>
            <w:tcW w:w="352" w:type="pct"/>
            <w:tcBorders>
              <w:left w:val="nil"/>
            </w:tcBorders>
          </w:tcPr>
          <w:p>
            <w:pPr>
              <w:spacing w:line="360" w:lineRule="exact"/>
              <w:jc w:val="right"/>
              <w:rPr>
                <w:rFonts w:asciiTheme="minorEastAsia" w:hAnsiTheme="minorEastAsia" w:eastAsiaTheme="minorEastAsia"/>
                <w:sz w:val="18"/>
                <w:szCs w:val="18"/>
              </w:rPr>
            </w:pPr>
          </w:p>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54" w:type="pct"/>
            <w:gridSpan w:val="3"/>
            <w:vAlign w:val="center"/>
          </w:tcPr>
          <w:p>
            <w:pPr>
              <w:spacing w:line="360" w:lineRule="exact"/>
              <w:jc w:val="center"/>
              <w:rPr>
                <w:rFonts w:asciiTheme="minorEastAsia" w:hAnsiTheme="minorEastAsia" w:eastAsiaTheme="minorEastAsia"/>
                <w:sz w:val="18"/>
                <w:szCs w:val="18"/>
              </w:rPr>
            </w:pPr>
          </w:p>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300</w:t>
            </w:r>
          </w:p>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350</w:t>
            </w:r>
          </w:p>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365</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GB/T 6536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润滑性</w:t>
            </w:r>
          </w:p>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    校正磨斑直径（60</w:t>
            </w:r>
            <w:r>
              <w:rPr>
                <w:rFonts w:hint="eastAsia" w:cs="宋体" w:asciiTheme="minorEastAsia" w:hAnsiTheme="minorEastAsia" w:eastAsiaTheme="minorEastAsia"/>
                <w:sz w:val="18"/>
                <w:szCs w:val="18"/>
              </w:rPr>
              <w:t>℃</w:t>
            </w:r>
            <w:r>
              <w:rPr>
                <w:rFonts w:asciiTheme="minorEastAsia" w:hAnsiTheme="minorEastAsia" w:eastAsiaTheme="minorEastAsia"/>
                <w:sz w:val="18"/>
                <w:szCs w:val="18"/>
              </w:rPr>
              <w:t xml:space="preserve">）/μm                     </w:t>
            </w:r>
          </w:p>
        </w:tc>
        <w:tc>
          <w:tcPr>
            <w:tcW w:w="352" w:type="pct"/>
            <w:tcBorders>
              <w:left w:val="nil"/>
            </w:tcBorders>
          </w:tcPr>
          <w:p>
            <w:pPr>
              <w:spacing w:line="360" w:lineRule="exact"/>
              <w:jc w:val="right"/>
              <w:rPr>
                <w:rFonts w:asciiTheme="minorEastAsia" w:hAnsiTheme="minorEastAsia" w:eastAsiaTheme="minorEastAsia"/>
                <w:sz w:val="18"/>
                <w:szCs w:val="18"/>
              </w:rPr>
            </w:pPr>
          </w:p>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54" w:type="pct"/>
            <w:gridSpan w:val="3"/>
            <w:vAlign w:val="center"/>
          </w:tcPr>
          <w:p>
            <w:pPr>
              <w:spacing w:line="360" w:lineRule="exact"/>
              <w:jc w:val="center"/>
              <w:rPr>
                <w:rFonts w:asciiTheme="minorEastAsia" w:hAnsiTheme="minorEastAsia" w:eastAsiaTheme="minorEastAsia"/>
                <w:sz w:val="18"/>
                <w:szCs w:val="18"/>
              </w:rPr>
            </w:pPr>
          </w:p>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460</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SH/T</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0765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脂肪酸甲酯（FAME）含量（体积分数）/%</w:t>
            </w:r>
          </w:p>
        </w:tc>
        <w:tc>
          <w:tcPr>
            <w:tcW w:w="352" w:type="pct"/>
            <w:tcBorders>
              <w:left w:val="nil"/>
            </w:tcBorders>
          </w:tcPr>
          <w:p>
            <w:pPr>
              <w:spacing w:line="360" w:lineRule="exact"/>
              <w:jc w:val="right"/>
              <w:rPr>
                <w:rFonts w:asciiTheme="minorEastAsia" w:hAnsiTheme="minorEastAsia" w:eastAsiaTheme="minorEastAsia"/>
                <w:sz w:val="18"/>
                <w:szCs w:val="18"/>
              </w:rPr>
            </w:pPr>
          </w:p>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54" w:type="pct"/>
            <w:gridSpan w:val="3"/>
            <w:vAlign w:val="center"/>
          </w:tcPr>
          <w:p>
            <w:pPr>
              <w:spacing w:line="360" w:lineRule="exact"/>
              <w:jc w:val="center"/>
              <w:rPr>
                <w:rFonts w:asciiTheme="minorEastAsia" w:hAnsiTheme="minorEastAsia" w:eastAsiaTheme="minorEastAsia"/>
                <w:sz w:val="18"/>
                <w:szCs w:val="18"/>
              </w:rPr>
            </w:pPr>
          </w:p>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5.0</w:t>
            </w:r>
          </w:p>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10.0</w:t>
            </w:r>
          </w:p>
        </w:tc>
        <w:tc>
          <w:tcPr>
            <w:tcW w:w="898" w:type="pct"/>
            <w:vAlign w:val="center"/>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GB/T</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23801</w:t>
            </w:r>
            <w:r>
              <w:rPr>
                <w:rFonts w:asciiTheme="minorEastAsia" w:hAnsiTheme="minorEastAsia" w:eastAsiaTheme="minorEastAsia"/>
                <w:sz w:val="18"/>
                <w:szCs w:val="18"/>
                <w:vertAlign w:val="superscript"/>
              </w:rPr>
              <w: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3" w:type="pct"/>
            <w:tcBorders>
              <w:right w:val="nil"/>
            </w:tcBorders>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多环芳烃</w:t>
            </w:r>
            <w:r>
              <w:rPr>
                <w:rFonts w:hint="eastAsia" w:asciiTheme="minorEastAsia" w:hAnsiTheme="minorEastAsia" w:eastAsiaTheme="minorEastAsia"/>
                <w:sz w:val="18"/>
                <w:szCs w:val="18"/>
              </w:rPr>
              <w:t>含量</w:t>
            </w:r>
            <w:r>
              <w:rPr>
                <w:rFonts w:asciiTheme="minorEastAsia" w:hAnsiTheme="minorEastAsia" w:eastAsiaTheme="minorEastAsia"/>
                <w:sz w:val="18"/>
                <w:szCs w:val="18"/>
              </w:rPr>
              <w:t xml:space="preserve">（质量分数）/%                         </w:t>
            </w:r>
          </w:p>
        </w:tc>
        <w:tc>
          <w:tcPr>
            <w:tcW w:w="352" w:type="pct"/>
            <w:tcBorders>
              <w:left w:val="nil"/>
            </w:tcBorders>
          </w:tcPr>
          <w:p>
            <w:pPr>
              <w:spacing w:line="360" w:lineRule="exact"/>
              <w:jc w:val="right"/>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554" w:type="pct"/>
            <w:gridSpan w:val="3"/>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898" w:type="pct"/>
          </w:tcPr>
          <w:p>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GB/T 259</w:t>
            </w:r>
            <w:r>
              <w:rPr>
                <w:rFonts w:hint="eastAsia" w:asciiTheme="minorEastAsia" w:hAnsiTheme="minorEastAsia" w:eastAsiaTheme="minorEastAsia"/>
                <w:sz w:val="18"/>
                <w:szCs w:val="18"/>
              </w:rPr>
              <w:t>63</w:t>
            </w:r>
            <w:r>
              <w:rPr>
                <w:rFonts w:asciiTheme="minorEastAsia" w:hAnsiTheme="minorEastAsia" w:eastAsiaTheme="minorEastAsia"/>
                <w:sz w:val="18"/>
                <w:szCs w:val="18"/>
                <w:vertAlign w:val="superscript"/>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6"/>
          </w:tcPr>
          <w:p>
            <w:pPr>
              <w:spacing w:line="360" w:lineRule="exact"/>
              <w:ind w:firstLine="300" w:firstLineChars="200"/>
              <w:rPr>
                <w:rFonts w:asciiTheme="minorEastAsia" w:hAnsiTheme="minorEastAsia" w:eastAsiaTheme="minorEastAsia"/>
                <w:sz w:val="18"/>
                <w:szCs w:val="18"/>
              </w:rPr>
            </w:pPr>
            <w:r>
              <w:rPr>
                <w:rFonts w:asciiTheme="minorEastAsia" w:hAnsiTheme="minorEastAsia" w:eastAsiaTheme="minorEastAsia"/>
                <w:sz w:val="15"/>
                <w:szCs w:val="15"/>
              </w:rPr>
              <w:t>a</w:t>
            </w:r>
            <w:r>
              <w:rPr>
                <w:rFonts w:asciiTheme="minorEastAsia" w:hAnsiTheme="minorEastAsia" w:eastAsiaTheme="minorEastAsia"/>
                <w:sz w:val="18"/>
                <w:szCs w:val="18"/>
              </w:rPr>
              <w:t xml:space="preserve">  可用GB/T 11140</w:t>
            </w:r>
            <w:r>
              <w:rPr>
                <w:rFonts w:hint="eastAsia" w:asciiTheme="minorEastAsia" w:hAnsiTheme="minorEastAsia" w:eastAsiaTheme="minorEastAsia"/>
                <w:sz w:val="18"/>
                <w:szCs w:val="18"/>
              </w:rPr>
              <w:t>、</w:t>
            </w:r>
            <w:r>
              <w:rPr>
                <w:rFonts w:asciiTheme="minorEastAsia" w:hAnsiTheme="minorEastAsia" w:eastAsiaTheme="minorEastAsia"/>
                <w:sz w:val="18"/>
                <w:szCs w:val="18"/>
              </w:rPr>
              <w:t>SH/T 0253和</w:t>
            </w:r>
            <w:r>
              <w:rPr>
                <w:rFonts w:hint="eastAsia" w:asciiTheme="minorEastAsia" w:hAnsiTheme="minorEastAsia" w:eastAsiaTheme="minorEastAsia"/>
                <w:sz w:val="18"/>
                <w:szCs w:val="18"/>
              </w:rPr>
              <w:t>NB/SH/T 0842</w:t>
            </w:r>
            <w:r>
              <w:rPr>
                <w:rFonts w:asciiTheme="minorEastAsia" w:hAnsiTheme="minorEastAsia" w:eastAsiaTheme="minorEastAsia"/>
                <w:sz w:val="18"/>
                <w:szCs w:val="18"/>
              </w:rPr>
              <w:t>方法测定，结果有争议时，以SH/T 0689方法仲裁。</w:t>
            </w:r>
          </w:p>
          <w:p>
            <w:pPr>
              <w:spacing w:line="360" w:lineRule="exact"/>
              <w:ind w:firstLine="300" w:firstLineChars="200"/>
              <w:rPr>
                <w:rFonts w:asciiTheme="minorEastAsia" w:hAnsiTheme="minorEastAsia" w:eastAsiaTheme="minorEastAsia"/>
                <w:sz w:val="18"/>
                <w:szCs w:val="18"/>
              </w:rPr>
            </w:pPr>
            <w:r>
              <w:rPr>
                <w:rFonts w:asciiTheme="minorEastAsia" w:hAnsiTheme="minorEastAsia" w:eastAsiaTheme="minorEastAsia"/>
                <w:sz w:val="15"/>
                <w:szCs w:val="15"/>
              </w:rPr>
              <w:t>b</w:t>
            </w:r>
            <w:r>
              <w:rPr>
                <w:rFonts w:asciiTheme="minorEastAsia" w:hAnsiTheme="minorEastAsia" w:eastAsiaTheme="minorEastAsia"/>
                <w:sz w:val="18"/>
                <w:szCs w:val="18"/>
              </w:rPr>
              <w:t xml:space="preserve">  可用GB/T 264方法测定，结果有争议时，以GB/T 7304方法仲裁。</w:t>
            </w:r>
          </w:p>
          <w:p>
            <w:pPr>
              <w:spacing w:line="360" w:lineRule="exact"/>
              <w:ind w:firstLine="300" w:firstLineChars="200"/>
              <w:rPr>
                <w:rFonts w:asciiTheme="minorEastAsia" w:hAnsiTheme="minorEastAsia" w:eastAsiaTheme="minorEastAsia"/>
                <w:sz w:val="18"/>
                <w:szCs w:val="18"/>
              </w:rPr>
            </w:pPr>
            <w:r>
              <w:rPr>
                <w:rFonts w:asciiTheme="minorEastAsia" w:hAnsiTheme="minorEastAsia" w:eastAsiaTheme="minorEastAsia"/>
                <w:sz w:val="15"/>
                <w:szCs w:val="15"/>
              </w:rPr>
              <w:t>c</w:t>
            </w:r>
            <w:r>
              <w:rPr>
                <w:rFonts w:asciiTheme="minorEastAsia" w:hAnsiTheme="minorEastAsia" w:eastAsiaTheme="minorEastAsia"/>
                <w:sz w:val="18"/>
                <w:szCs w:val="18"/>
              </w:rPr>
              <w:t xml:space="preserve">  若柴油中含有硝酸酯型十六烷值改进剂，10%蒸余物残炭值的测定，应用不加硝酸酯的基础燃料进行。柴油中是否含有硝酸酯型十六烷值改进剂的检验方法见附录</w:t>
            </w:r>
            <w:r>
              <w:rPr>
                <w:rFonts w:hint="eastAsia" w:asciiTheme="minorEastAsia" w:hAnsiTheme="minorEastAsia" w:eastAsiaTheme="minorEastAsia"/>
                <w:sz w:val="18"/>
                <w:szCs w:val="18"/>
              </w:rPr>
              <w:t>A</w:t>
            </w:r>
            <w:r>
              <w:rPr>
                <w:rFonts w:asciiTheme="minorEastAsia" w:hAnsiTheme="minorEastAsia" w:eastAsiaTheme="minorEastAsia"/>
                <w:sz w:val="18"/>
                <w:szCs w:val="18"/>
              </w:rPr>
              <w:t>。可用GB/T 268方法测定，结果有争议时，以GB/T 17144方法仲裁。</w:t>
            </w:r>
          </w:p>
          <w:p>
            <w:pPr>
              <w:spacing w:line="360" w:lineRule="exact"/>
              <w:ind w:firstLine="300" w:firstLineChars="200"/>
              <w:rPr>
                <w:rFonts w:asciiTheme="minorEastAsia" w:hAnsiTheme="minorEastAsia" w:eastAsiaTheme="minorEastAsia"/>
                <w:sz w:val="18"/>
                <w:szCs w:val="18"/>
              </w:rPr>
            </w:pPr>
            <w:r>
              <w:rPr>
                <w:rFonts w:asciiTheme="minorEastAsia" w:hAnsiTheme="minorEastAsia" w:eastAsiaTheme="minorEastAsia"/>
                <w:sz w:val="15"/>
                <w:szCs w:val="15"/>
              </w:rPr>
              <w:t xml:space="preserve">d </w:t>
            </w:r>
            <w:r>
              <w:rPr>
                <w:rFonts w:asciiTheme="minorEastAsia" w:hAnsiTheme="minorEastAsia" w:eastAsiaTheme="minorEastAsia"/>
                <w:sz w:val="18"/>
                <w:szCs w:val="18"/>
              </w:rPr>
              <w:t xml:space="preserve"> 对于调配当年11月15日至次年3月15日使用的B10柴油时，BD100生物柴油冷滤点不得大于8℃。</w:t>
            </w:r>
          </w:p>
          <w:p>
            <w:pPr>
              <w:spacing w:line="360" w:lineRule="exact"/>
              <w:ind w:firstLine="300" w:firstLineChars="200"/>
              <w:rPr>
                <w:rFonts w:asciiTheme="minorEastAsia" w:hAnsiTheme="minorEastAsia" w:eastAsiaTheme="minorEastAsia"/>
                <w:sz w:val="18"/>
                <w:szCs w:val="18"/>
              </w:rPr>
            </w:pPr>
            <w:r>
              <w:rPr>
                <w:rFonts w:asciiTheme="minorEastAsia" w:hAnsiTheme="minorEastAsia" w:eastAsiaTheme="minorEastAsia"/>
                <w:sz w:val="15"/>
                <w:szCs w:val="15"/>
              </w:rPr>
              <w:t>e</w:t>
            </w:r>
            <w:r>
              <w:rPr>
                <w:rFonts w:asciiTheme="minorEastAsia" w:hAnsiTheme="minorEastAsia" w:eastAsiaTheme="minorEastAsia"/>
                <w:sz w:val="18"/>
                <w:szCs w:val="18"/>
              </w:rPr>
              <w:t xml:space="preserve">  可用SH/T 0604、GB/T 13377方法测定，结果有争议时，以GB/T 1884和GB/T 1885方法仲裁。</w:t>
            </w:r>
          </w:p>
          <w:p>
            <w:pPr>
              <w:spacing w:line="360" w:lineRule="exact"/>
              <w:ind w:firstLine="300" w:firstLineChars="200"/>
              <w:rPr>
                <w:rFonts w:asciiTheme="minorEastAsia" w:hAnsiTheme="minorEastAsia" w:eastAsiaTheme="minorEastAsia"/>
                <w:sz w:val="18"/>
                <w:szCs w:val="18"/>
              </w:rPr>
            </w:pPr>
            <w:r>
              <w:rPr>
                <w:rFonts w:asciiTheme="minorEastAsia" w:hAnsiTheme="minorEastAsia" w:eastAsiaTheme="minorEastAsia"/>
                <w:sz w:val="15"/>
                <w:szCs w:val="15"/>
              </w:rPr>
              <w:t>f</w:t>
            </w:r>
            <w:r>
              <w:rPr>
                <w:rFonts w:asciiTheme="minorEastAsia" w:hAnsiTheme="minorEastAsia" w:eastAsiaTheme="minorEastAsia"/>
                <w:sz w:val="18"/>
                <w:szCs w:val="18"/>
              </w:rPr>
              <w:t xml:space="preserve">  可用NB/SH/T 0916方法测定，结果有争议时，以GB/T 23801方法仲裁。</w:t>
            </w:r>
          </w:p>
          <w:p>
            <w:pPr>
              <w:spacing w:line="360" w:lineRule="exact"/>
              <w:ind w:firstLine="300" w:firstLineChars="200"/>
              <w:rPr>
                <w:rFonts w:asciiTheme="minorEastAsia" w:hAnsiTheme="minorEastAsia" w:eastAsiaTheme="minorEastAsia"/>
                <w:sz w:val="18"/>
                <w:szCs w:val="18"/>
              </w:rPr>
            </w:pPr>
            <w:r>
              <w:rPr>
                <w:rFonts w:asciiTheme="minorEastAsia" w:hAnsiTheme="minorEastAsia" w:eastAsiaTheme="minorEastAsia"/>
                <w:sz w:val="15"/>
                <w:szCs w:val="15"/>
              </w:rPr>
              <w:t>g</w:t>
            </w:r>
            <w:r>
              <w:rPr>
                <w:rFonts w:asciiTheme="minorEastAsia" w:hAnsiTheme="minorEastAsia" w:eastAsiaTheme="minorEastAsia"/>
                <w:sz w:val="18"/>
                <w:szCs w:val="18"/>
              </w:rPr>
              <w:t xml:space="preserve">  可</w:t>
            </w:r>
            <w:r>
              <w:rPr>
                <w:rFonts w:hint="eastAsia" w:asciiTheme="minorEastAsia" w:hAnsiTheme="minorEastAsia" w:eastAsiaTheme="minorEastAsia"/>
                <w:sz w:val="18"/>
                <w:szCs w:val="18"/>
              </w:rPr>
              <w:t>用NB/</w:t>
            </w:r>
            <w:r>
              <w:rPr>
                <w:rFonts w:asciiTheme="minorEastAsia" w:hAnsiTheme="minorEastAsia" w:eastAsiaTheme="minorEastAsia"/>
                <w:sz w:val="18"/>
                <w:szCs w:val="18"/>
              </w:rPr>
              <w:t>SH/T 0606方法测定，结果有争议时，以GB/T 25963方法仲裁。</w:t>
            </w:r>
          </w:p>
        </w:tc>
      </w:tr>
    </w:tbl>
    <w:p>
      <w:pPr>
        <w:pStyle w:val="45"/>
        <w:spacing w:before="312" w:after="312"/>
      </w:pPr>
      <w:r>
        <w:rPr>
          <w:rFonts w:hint="eastAsia"/>
        </w:rPr>
        <w:t>检验规则</w:t>
      </w:r>
    </w:p>
    <w:p>
      <w:pPr>
        <w:pStyle w:val="47"/>
        <w:spacing w:before="156" w:after="156"/>
      </w:pPr>
      <w:r>
        <w:rPr>
          <w:rFonts w:hint="eastAsia"/>
        </w:rPr>
        <w:t>检验分类</w:t>
      </w:r>
    </w:p>
    <w:p>
      <w:pPr>
        <w:pStyle w:val="50"/>
        <w:spacing w:before="156" w:after="156"/>
      </w:pPr>
      <w:r>
        <w:rPr>
          <w:rFonts w:hint="eastAsia"/>
        </w:rPr>
        <w:t>出厂检验</w:t>
      </w:r>
    </w:p>
    <w:p>
      <w:pPr>
        <w:pStyle w:val="27"/>
      </w:pPr>
      <w:r>
        <w:rPr>
          <w:rFonts w:hint="eastAsia"/>
        </w:rPr>
        <w:t>出厂批次检验项目：硫含量、酸值、铜片腐蚀、水含量、总污染物含量、运动黏度、闪点（闭口）、冷滤点、凝点、密度、馏程、润滑性、脂肪酸甲酯含量。</w:t>
      </w:r>
    </w:p>
    <w:p>
      <w:pPr>
        <w:pStyle w:val="27"/>
      </w:pPr>
      <w:r>
        <w:rPr>
          <w:rFonts w:hint="eastAsia"/>
        </w:rPr>
        <w:t>出厂周期检验项目：氧化安定性、10%蒸余物残炭、灰分、十六烷值、多环芳烃含量，每月检测一次。</w:t>
      </w:r>
    </w:p>
    <w:p>
      <w:pPr>
        <w:pStyle w:val="50"/>
        <w:spacing w:before="156" w:after="156"/>
      </w:pPr>
      <w:r>
        <w:rPr>
          <w:rFonts w:hint="eastAsia"/>
        </w:rPr>
        <w:t>型式检验</w:t>
      </w:r>
    </w:p>
    <w:p>
      <w:pPr>
        <w:pStyle w:val="27"/>
      </w:pPr>
      <w:r>
        <w:rPr>
          <w:rFonts w:hint="eastAsia"/>
        </w:rPr>
        <w:t>型式检验项目为表1规定的所有检验项目。</w:t>
      </w:r>
    </w:p>
    <w:p>
      <w:pPr>
        <w:pStyle w:val="27"/>
      </w:pPr>
      <w:r>
        <w:rPr>
          <w:rFonts w:hint="eastAsia"/>
        </w:rPr>
        <w:t>在下列情况下进行型式检验：</w:t>
      </w:r>
    </w:p>
    <w:p>
      <w:pPr>
        <w:pStyle w:val="63"/>
        <w:numPr>
          <w:ilvl w:val="0"/>
          <w:numId w:val="14"/>
        </w:numPr>
      </w:pPr>
      <w:r>
        <w:rPr>
          <w:rFonts w:hint="eastAsia"/>
        </w:rPr>
        <w:t>新产品投产或产品定型鉴定时；</w:t>
      </w:r>
    </w:p>
    <w:p>
      <w:pPr>
        <w:pStyle w:val="63"/>
        <w:numPr>
          <w:ilvl w:val="0"/>
          <w:numId w:val="15"/>
        </w:numPr>
      </w:pPr>
      <w:r>
        <w:rPr>
          <w:rFonts w:hint="eastAsia"/>
        </w:rPr>
        <w:t>原材料、工艺等发生较大变化时，可能影响产品质量时；</w:t>
      </w:r>
    </w:p>
    <w:p>
      <w:pPr>
        <w:pStyle w:val="63"/>
      </w:pPr>
      <w:r>
        <w:rPr>
          <w:rFonts w:hint="eastAsia"/>
        </w:rPr>
        <w:t>出厂检验或周期检验结果与上次型式检验结果有较大差异时。</w:t>
      </w:r>
    </w:p>
    <w:p>
      <w:pPr>
        <w:pStyle w:val="47"/>
        <w:spacing w:before="156" w:after="156"/>
      </w:pPr>
      <w:r>
        <w:rPr>
          <w:rFonts w:hint="eastAsia"/>
        </w:rPr>
        <w:t>组批</w:t>
      </w:r>
    </w:p>
    <w:p>
      <w:pPr>
        <w:pStyle w:val="27"/>
      </w:pPr>
      <w:r>
        <w:rPr>
          <w:rFonts w:hint="eastAsia"/>
        </w:rPr>
        <w:t>在原材料、工艺不变的条件下，产品每生产一罐或一釜为一批。</w:t>
      </w:r>
    </w:p>
    <w:p>
      <w:pPr>
        <w:pStyle w:val="47"/>
        <w:spacing w:before="156" w:after="156"/>
      </w:pPr>
      <w:r>
        <w:rPr>
          <w:rFonts w:hint="eastAsia"/>
        </w:rPr>
        <w:t>取样</w:t>
      </w:r>
    </w:p>
    <w:p>
      <w:pPr>
        <w:pStyle w:val="27"/>
      </w:pPr>
      <w:r>
        <w:rPr>
          <w:rFonts w:hint="eastAsia"/>
        </w:rPr>
        <w:t>取样按GB/T 4756进行，取4L作为检验和留样用。</w:t>
      </w:r>
    </w:p>
    <w:p>
      <w:pPr>
        <w:pStyle w:val="47"/>
        <w:spacing w:before="156" w:after="156"/>
      </w:pPr>
      <w:r>
        <w:rPr>
          <w:rFonts w:hint="eastAsia"/>
        </w:rPr>
        <w:t>判定规则</w:t>
      </w:r>
    </w:p>
    <w:p>
      <w:pPr>
        <w:pStyle w:val="27"/>
      </w:pPr>
      <w:r>
        <w:rPr>
          <w:rFonts w:hint="eastAsia"/>
        </w:rPr>
        <w:t>出厂检验的结果全部符合表1的技术要求时，则判定该批产品合格。</w:t>
      </w:r>
    </w:p>
    <w:p>
      <w:pPr>
        <w:pStyle w:val="47"/>
        <w:spacing w:before="156" w:after="156"/>
      </w:pPr>
      <w:r>
        <w:rPr>
          <w:rFonts w:hint="eastAsia"/>
        </w:rPr>
        <w:t>复验规则</w:t>
      </w:r>
    </w:p>
    <w:p>
      <w:pPr>
        <w:pStyle w:val="27"/>
      </w:pPr>
      <w:r>
        <w:rPr>
          <w:rFonts w:hint="eastAsia"/>
        </w:rPr>
        <w:t>如果出厂检验结果中有不符合表1的技术要求时，按GB/T 4756的规定自同批产品中重新抽取双倍量样品，对不合格项目进行复验，复检结果如仍不符合要求时，则判定该批产品为不合格。</w:t>
      </w:r>
    </w:p>
    <w:p>
      <w:pPr>
        <w:pStyle w:val="45"/>
        <w:spacing w:before="312" w:after="312"/>
      </w:pPr>
      <w:r>
        <w:rPr>
          <w:rFonts w:hint="eastAsia"/>
        </w:rPr>
        <w:t>标志、包装、运输、贮存和安全</w:t>
      </w:r>
    </w:p>
    <w:p>
      <w:pPr>
        <w:pStyle w:val="129"/>
      </w:pPr>
      <w:r>
        <w:rPr>
          <w:rFonts w:hint="eastAsia"/>
        </w:rPr>
        <w:t>向用户销售的符合表1要求的B10柴油应标示产品的名称、牌号和等级（Ⅵ），如0号B10柴油（Ⅵ）等。</w:t>
      </w:r>
    </w:p>
    <w:p>
      <w:pPr>
        <w:pStyle w:val="129"/>
      </w:pPr>
      <w:r>
        <w:rPr>
          <w:rFonts w:hint="eastAsia"/>
        </w:rPr>
        <w:t>B10柴油属于易燃液体，产品的标志、包装、运输和贮存及交货验收按NB/SH/T 0164、GB 30000.7和GB 190进行。</w:t>
      </w:r>
    </w:p>
    <w:p>
      <w:pPr>
        <w:pStyle w:val="129"/>
      </w:pPr>
      <w:r>
        <w:rPr>
          <w:rFonts w:hint="eastAsia"/>
        </w:rPr>
        <w:t>用于生产B10柴油的餐厨废弃油脂的收运、处置作业管理要求见附录B。</w:t>
      </w:r>
    </w:p>
    <w:p>
      <w:pPr>
        <w:pStyle w:val="129"/>
      </w:pPr>
      <w:r>
        <w:rPr>
          <w:rFonts w:hint="eastAsia"/>
        </w:rPr>
        <w:t>B10柴油属于易燃液体，其危险说明和防范说明见GB 30000.7的附录D。</w:t>
      </w:r>
    </w:p>
    <w:p>
      <w:pPr>
        <w:pStyle w:val="90"/>
      </w:pPr>
    </w:p>
    <w:p>
      <w:pPr>
        <w:pStyle w:val="102"/>
      </w:pPr>
    </w:p>
    <w:p>
      <w:pPr>
        <w:pStyle w:val="90"/>
      </w:pPr>
    </w:p>
    <w:p>
      <w:pPr>
        <w:pStyle w:val="88"/>
      </w:pPr>
      <w:r>
        <w:br w:type="textWrapping"/>
      </w:r>
      <w:r>
        <w:rPr>
          <w:rFonts w:hint="eastAsia"/>
        </w:rPr>
        <w:t>（规范性）</w:t>
      </w:r>
      <w:r>
        <w:br w:type="textWrapping"/>
      </w:r>
      <w:r>
        <w:rPr>
          <w:rFonts w:hint="eastAsia"/>
        </w:rPr>
        <w:t>柴油中硝酸酯型十六烷值改进剂的检验方法</w:t>
      </w:r>
    </w:p>
    <w:p>
      <w:pPr>
        <w:pStyle w:val="106"/>
        <w:spacing w:beforeLines="50" w:afterLines="50"/>
      </w:pPr>
      <w:r>
        <w:rPr>
          <w:rFonts w:hint="eastAsia"/>
        </w:rPr>
        <w:t>方法概要</w:t>
      </w:r>
    </w:p>
    <w:p>
      <w:pPr>
        <w:pStyle w:val="27"/>
      </w:pPr>
      <w:r>
        <w:t>柴油试样在氢氧化钾—正丁醇混合物中皂化，用玻璃纤维滤纸过滤，留在滤纸上的物质干燥后用二苯胺试剂处理。二苯胺被硝酸盐氧化成深蓝色醌型化合物。生成的蓝色或蓝黑色斑点显示有硝酸酯型十六烷值改进剂。无颜色变化可确定没有十六烷值改进剂。</w:t>
      </w:r>
    </w:p>
    <w:p>
      <w:pPr>
        <w:pStyle w:val="106"/>
        <w:spacing w:beforeLines="50" w:afterLines="50"/>
      </w:pPr>
      <w:r>
        <w:rPr>
          <w:rFonts w:hint="eastAsia"/>
        </w:rPr>
        <w:t>仪器或设备</w:t>
      </w:r>
    </w:p>
    <w:p>
      <w:pPr>
        <w:pStyle w:val="108"/>
      </w:pPr>
      <w:r>
        <w:t>反应瓶：容量30 mL广口瓶，带螺帽盖，盖内侧有锡或塑料衬里。</w:t>
      </w:r>
    </w:p>
    <w:p>
      <w:pPr>
        <w:pStyle w:val="108"/>
      </w:pPr>
      <w:r>
        <w:t>玻璃纤维滤纸：直径37 mm。</w:t>
      </w:r>
    </w:p>
    <w:p>
      <w:pPr>
        <w:pStyle w:val="108"/>
      </w:pPr>
      <w:r>
        <w:t>移液管：容量10 mL，带吸球。</w:t>
      </w:r>
    </w:p>
    <w:p>
      <w:pPr>
        <w:pStyle w:val="108"/>
      </w:pPr>
      <w:r>
        <w:t>量筒：10 mL和25 mL。</w:t>
      </w:r>
    </w:p>
    <w:p>
      <w:pPr>
        <w:pStyle w:val="108"/>
      </w:pPr>
      <w:r>
        <w:t>吸滤瓶：适合与60 mL玻璃烧结过滤器连接。</w:t>
      </w:r>
    </w:p>
    <w:p>
      <w:pPr>
        <w:pStyle w:val="108"/>
      </w:pPr>
      <w:r>
        <w:t>玻璃烧结过滤器：容量60 mL。</w:t>
      </w:r>
    </w:p>
    <w:p>
      <w:pPr>
        <w:pStyle w:val="108"/>
      </w:pPr>
      <w:r>
        <w:t>烘箱：适用于在110</w:t>
      </w:r>
      <w:r>
        <w:rPr>
          <w:rFonts w:hint="eastAsia"/>
        </w:rPr>
        <w:t>℃</w:t>
      </w:r>
      <w:r>
        <w:t>干燥玻璃纤维滤纸。</w:t>
      </w:r>
    </w:p>
    <w:p>
      <w:pPr>
        <w:pStyle w:val="106"/>
        <w:spacing w:beforeLines="50" w:afterLines="50"/>
      </w:pPr>
      <w:r>
        <w:rPr>
          <w:rFonts w:hint="eastAsia"/>
        </w:rPr>
        <w:t>试剂</w:t>
      </w:r>
    </w:p>
    <w:p>
      <w:pPr>
        <w:pStyle w:val="27"/>
      </w:pPr>
      <w:r>
        <w:t>在本检验过程中所用试剂均为分析纯试剂</w:t>
      </w:r>
      <w:r>
        <w:rPr>
          <w:rFonts w:hint="eastAsia"/>
        </w:rPr>
        <w:t>，包括：</w:t>
      </w:r>
    </w:p>
    <w:p>
      <w:pPr>
        <w:pStyle w:val="63"/>
        <w:numPr>
          <w:ilvl w:val="0"/>
          <w:numId w:val="16"/>
        </w:numPr>
      </w:pPr>
      <w:r>
        <w:t>氢氧化钾</w:t>
      </w:r>
      <w:r>
        <w:rPr>
          <w:rFonts w:hint="eastAsia"/>
        </w:rPr>
        <w:t>；</w:t>
      </w:r>
    </w:p>
    <w:p>
      <w:pPr>
        <w:pStyle w:val="63"/>
      </w:pPr>
      <w:r>
        <w:t>正丁醇</w:t>
      </w:r>
      <w:r>
        <w:rPr>
          <w:rFonts w:hint="eastAsia"/>
        </w:rPr>
        <w:t>；</w:t>
      </w:r>
    </w:p>
    <w:p>
      <w:pPr>
        <w:pStyle w:val="63"/>
      </w:pPr>
      <w:r>
        <w:t>硫酸</w:t>
      </w:r>
      <w:r>
        <w:rPr>
          <w:rFonts w:hint="eastAsia"/>
        </w:rPr>
        <w:t>；</w:t>
      </w:r>
    </w:p>
    <w:p>
      <w:pPr>
        <w:pStyle w:val="63"/>
      </w:pPr>
      <w:r>
        <w:t>二苯胺溶液</w:t>
      </w:r>
      <w:r>
        <w:rPr>
          <w:rFonts w:hint="eastAsia"/>
        </w:rPr>
        <w:t>（</w:t>
      </w:r>
      <w:r>
        <w:t>1 g</w:t>
      </w:r>
      <w:r>
        <w:rPr>
          <w:rFonts w:hint="eastAsia"/>
        </w:rPr>
        <w:t>/</w:t>
      </w:r>
      <w:r>
        <w:t>100 mL</w:t>
      </w:r>
      <w:r>
        <w:rPr>
          <w:rFonts w:hint="eastAsia"/>
        </w:rPr>
        <w:t>）（</w:t>
      </w:r>
      <w:r>
        <w:t>用0.250 g二苯胺溶解在25 mL硫酸中配制</w:t>
      </w:r>
      <w:r>
        <w:rPr>
          <w:rFonts w:hint="eastAsia"/>
        </w:rPr>
        <w:t>）；</w:t>
      </w:r>
    </w:p>
    <w:p>
      <w:pPr>
        <w:pStyle w:val="63"/>
      </w:pPr>
      <w:r>
        <w:t>甲苯。</w:t>
      </w:r>
    </w:p>
    <w:p>
      <w:pPr>
        <w:pStyle w:val="27"/>
        <w:rPr>
          <w:rFonts w:ascii="黑体" w:hAnsi="黑体" w:eastAsia="黑体"/>
        </w:rPr>
      </w:pPr>
      <w:r>
        <w:rPr>
          <w:rFonts w:ascii="黑体" w:hAnsi="黑体" w:eastAsia="黑体"/>
        </w:rPr>
        <w:t>警告：甲苯为有毒可燃物，应避免吸入其蒸气，并避免与皮肤接触。</w:t>
      </w:r>
    </w:p>
    <w:p>
      <w:pPr>
        <w:pStyle w:val="106"/>
        <w:spacing w:beforeLines="50" w:afterLines="50"/>
      </w:pPr>
      <w:r>
        <w:rPr>
          <w:rFonts w:hint="eastAsia"/>
        </w:rPr>
        <w:t>试验步骤</w:t>
      </w:r>
    </w:p>
    <w:p>
      <w:pPr>
        <w:pStyle w:val="108"/>
      </w:pPr>
      <w:r>
        <w:t>用6.5 g氢氧化钾与100 mL正丁醇混合，加热使氢氧化钾溶解，待溶液冷却后用玻璃纤维滤纸过滤混合物，即得到皂化混合物。</w:t>
      </w:r>
    </w:p>
    <w:p>
      <w:pPr>
        <w:pStyle w:val="108"/>
      </w:pPr>
      <w:r>
        <w:t>用移液管把10 mL试样注入反应瓶，加入5 mL甲苯，再加入10 mL皂化混合物。</w:t>
      </w:r>
    </w:p>
    <w:p>
      <w:pPr>
        <w:pStyle w:val="27"/>
        <w:rPr>
          <w:rFonts w:ascii="黑体" w:hAnsi="黑体" w:eastAsia="黑体"/>
        </w:rPr>
      </w:pPr>
      <w:r>
        <w:rPr>
          <w:rFonts w:ascii="黑体" w:hAnsi="黑体" w:eastAsia="黑体"/>
        </w:rPr>
        <w:t>警告：不应当用口吸移液管，因为检验中存在有毒物质。</w:t>
      </w:r>
    </w:p>
    <w:p>
      <w:pPr>
        <w:pStyle w:val="108"/>
      </w:pPr>
      <w:r>
        <w:t>用螺帽盖牢固地盖在反应瓶上，混合内盛物后，放在110</w:t>
      </w:r>
      <w:r>
        <w:rPr>
          <w:rFonts w:hint="eastAsia"/>
        </w:rPr>
        <w:t>℃</w:t>
      </w:r>
      <w:r>
        <w:t>烘箱中保持4 h。</w:t>
      </w:r>
    </w:p>
    <w:p>
      <w:pPr>
        <w:pStyle w:val="108"/>
      </w:pPr>
      <w:r>
        <w:t>从烘箱中取出的反应瓶冷却到25</w:t>
      </w:r>
      <w:r>
        <w:rPr>
          <w:rFonts w:hint="eastAsia"/>
        </w:rPr>
        <w:t>℃</w:t>
      </w:r>
      <w:r>
        <w:t>±3</w:t>
      </w:r>
      <w:r>
        <w:rPr>
          <w:rFonts w:hint="eastAsia"/>
        </w:rPr>
        <w:t>℃</w:t>
      </w:r>
      <w:r>
        <w:t>。</w:t>
      </w:r>
    </w:p>
    <w:p>
      <w:pPr>
        <w:pStyle w:val="108"/>
      </w:pPr>
      <w:r>
        <w:t>将反应瓶中的内盛物在装有玻璃纤维滤纸的玻璃烧结过滤器内过滤。</w:t>
      </w:r>
    </w:p>
    <w:p>
      <w:pPr>
        <w:pStyle w:val="108"/>
      </w:pPr>
      <w:r>
        <w:t>用2.5 mL甲苯洗涤反应瓶，并转移到玻璃烧结过滤器内过滤。</w:t>
      </w:r>
    </w:p>
    <w:p>
      <w:pPr>
        <w:pStyle w:val="108"/>
      </w:pPr>
      <w:r>
        <w:t>小心取出玻璃纤维滤纸，放在110</w:t>
      </w:r>
      <w:r>
        <w:rPr>
          <w:rFonts w:hint="eastAsia"/>
        </w:rPr>
        <w:t>℃</w:t>
      </w:r>
      <w:r>
        <w:t>烘箱中干燥15min。</w:t>
      </w:r>
    </w:p>
    <w:p>
      <w:pPr>
        <w:pStyle w:val="108"/>
      </w:pPr>
      <w:r>
        <w:t>取出玻璃纤维滤纸，冷却到25</w:t>
      </w:r>
      <w:r>
        <w:rPr>
          <w:rFonts w:hint="eastAsia"/>
        </w:rPr>
        <w:t>℃</w:t>
      </w:r>
      <w:r>
        <w:t>土3</w:t>
      </w:r>
      <w:r>
        <w:rPr>
          <w:rFonts w:hint="eastAsia"/>
        </w:rPr>
        <w:t>℃</w:t>
      </w:r>
      <w:r>
        <w:t>。</w:t>
      </w:r>
    </w:p>
    <w:p>
      <w:pPr>
        <w:pStyle w:val="108"/>
      </w:pPr>
      <w:r>
        <w:t>向滤纸中央滴入3滴二苯胺溶液，观察是否形成蓝色或蓝黑色。</w:t>
      </w:r>
    </w:p>
    <w:p>
      <w:pPr>
        <w:pStyle w:val="106"/>
        <w:spacing w:beforeLines="50" w:afterLines="50"/>
      </w:pPr>
      <w:r>
        <w:rPr>
          <w:rFonts w:hint="eastAsia"/>
        </w:rPr>
        <w:t>报告</w:t>
      </w:r>
    </w:p>
    <w:p>
      <w:pPr>
        <w:pStyle w:val="27"/>
      </w:pPr>
      <w:r>
        <w:t>如果出现蓝色，应报告有硝酸酯型十六烷值改进剂。含有0.5</w:t>
      </w:r>
      <w:r>
        <w:rPr>
          <w:rFonts w:hint="eastAsia"/>
        </w:rPr>
        <w:t>%</w:t>
      </w:r>
      <w:r>
        <w:t>硝酸酯型十六烷值改进剂的柴油参比试样会使整个试剂部位呈现深蓝色至蓝黑色。而仅含0.1</w:t>
      </w:r>
      <w:r>
        <w:rPr>
          <w:rFonts w:hint="eastAsia"/>
        </w:rPr>
        <w:t>%</w:t>
      </w:r>
      <w:r>
        <w:t>硝酸酯型十六烷值改进剂的柴油参比试样会使试剂部位的外缘呈现蓝色环。</w:t>
      </w:r>
    </w:p>
    <w:p>
      <w:pPr>
        <w:pStyle w:val="27"/>
      </w:pPr>
      <w:r>
        <w:t>如果出现上述的蓝色、深蓝色或蓝黑色，则试样为阳性反应。残炭的测定必需用不加硝酸酯型十六烷值改进剂的基础燃料进行。</w:t>
      </w:r>
    </w:p>
    <w:p>
      <w:pPr>
        <w:pStyle w:val="102"/>
        <w:numPr>
          <w:ilvl w:val="0"/>
          <w:numId w:val="0"/>
        </w:numPr>
        <w:ind w:left="363"/>
      </w:pPr>
    </w:p>
    <w:p>
      <w:pPr>
        <w:pStyle w:val="88"/>
      </w:pPr>
      <w:r>
        <w:br w:type="textWrapping"/>
      </w:r>
      <w:r>
        <w:rPr>
          <w:rFonts w:hint="eastAsia"/>
        </w:rPr>
        <w:t>（规范性）</w:t>
      </w:r>
      <w:r>
        <w:br w:type="textWrapping"/>
      </w:r>
      <w:r>
        <w:rPr>
          <w:rFonts w:hint="eastAsia"/>
        </w:rPr>
        <w:t>上海市餐厨废弃油脂收运、处置作业管理规范</w:t>
      </w:r>
    </w:p>
    <w:p>
      <w:pPr>
        <w:pStyle w:val="106"/>
        <w:spacing w:beforeLines="50" w:afterLines="50"/>
      </w:pPr>
      <w:r>
        <w:rPr>
          <w:rFonts w:hint="eastAsia"/>
        </w:rPr>
        <w:t>餐厨废弃油脂收运企业要求</w:t>
      </w:r>
    </w:p>
    <w:p>
      <w:pPr>
        <w:pStyle w:val="107"/>
        <w:spacing w:before="156" w:after="156"/>
      </w:pPr>
      <w:r>
        <w:rPr>
          <w:rFonts w:hint="eastAsia"/>
        </w:rPr>
        <w:t>资质要求</w:t>
      </w:r>
    </w:p>
    <w:p>
      <w:pPr>
        <w:pStyle w:val="27"/>
      </w:pPr>
      <w:r>
        <w:rPr>
          <w:rFonts w:hint="eastAsia"/>
        </w:rPr>
        <w:t>收运企业应符合从事餐厨废弃油脂经营性收集、运输服务行政许可资质要求，并具备企业法人资格，注册资金不得少于人民币500万元。</w:t>
      </w:r>
    </w:p>
    <w:p>
      <w:pPr>
        <w:pStyle w:val="107"/>
        <w:spacing w:before="156" w:after="156"/>
      </w:pPr>
      <w:r>
        <w:rPr>
          <w:rFonts w:hint="eastAsia"/>
        </w:rPr>
        <w:t>设施设备要求</w:t>
      </w:r>
    </w:p>
    <w:p>
      <w:pPr>
        <w:pStyle w:val="93"/>
      </w:pPr>
      <w:r>
        <w:rPr>
          <w:rFonts w:hint="eastAsia"/>
        </w:rPr>
        <w:t>收运企业有责任选用新设备、新工艺和新设施，不断更新设备、工艺和设施，淘汰落后的设备、工艺和设施，以适应上海市不断发展的需要。</w:t>
      </w:r>
    </w:p>
    <w:p>
      <w:pPr>
        <w:pStyle w:val="93"/>
      </w:pPr>
      <w:r>
        <w:rPr>
          <w:rFonts w:hint="eastAsia"/>
        </w:rPr>
        <w:t>收运企业有与餐厨废弃油脂收运量相适应并取得道路运输车辆营运证的自有厢式货运车辆和收集容器；车辆和收集容器安装电子监控设备。</w:t>
      </w:r>
    </w:p>
    <w:p>
      <w:pPr>
        <w:pStyle w:val="93"/>
      </w:pPr>
      <w:r>
        <w:rPr>
          <w:rFonts w:hint="eastAsia"/>
        </w:rPr>
        <w:t>收运企业有与餐厨废弃油脂收运量相适应的贮存、初加工场所以及车辆停放场地；贮存、初加工场所的选址和污染防治设施符合国家和本市环境保护管理的有关规定，并安装电子监控设备。</w:t>
      </w:r>
    </w:p>
    <w:p>
      <w:pPr>
        <w:pStyle w:val="93"/>
      </w:pPr>
      <w:r>
        <w:rPr>
          <w:rFonts w:hint="eastAsia"/>
        </w:rPr>
        <w:t>收运企业有符合市绿化市容行政管理部门规定的信息管理系统。</w:t>
      </w:r>
    </w:p>
    <w:p>
      <w:pPr>
        <w:pStyle w:val="107"/>
        <w:spacing w:before="156" w:after="156"/>
      </w:pPr>
      <w:r>
        <w:rPr>
          <w:rFonts w:hint="eastAsia"/>
        </w:rPr>
        <w:t>管理要求</w:t>
      </w:r>
    </w:p>
    <w:p>
      <w:pPr>
        <w:pStyle w:val="93"/>
      </w:pPr>
      <w:r>
        <w:rPr>
          <w:rFonts w:hint="eastAsia"/>
        </w:rPr>
        <w:t>收运企业应建立设备、车辆台账制度，主要内容包括：车辆型号、购置时间、主要部件、易损件、备件名称（规格、型号、数量）、工作情况、保养和维修情况等。</w:t>
      </w:r>
    </w:p>
    <w:p>
      <w:pPr>
        <w:pStyle w:val="93"/>
      </w:pPr>
      <w:r>
        <w:rPr>
          <w:rFonts w:hint="eastAsia"/>
        </w:rPr>
        <w:t>收运企业应建立设备、车辆运行记录制度，主要内容包括：能耗、开始和停止工作时间、故障情况等。</w:t>
      </w:r>
    </w:p>
    <w:p>
      <w:pPr>
        <w:pStyle w:val="93"/>
      </w:pPr>
      <w:r>
        <w:rPr>
          <w:rFonts w:hint="eastAsia"/>
        </w:rPr>
        <w:t>收运企业应建立设备、车辆维修、保养、年检和故障排除制度，确保按时、按质完成餐厨废弃油脂的收运任务。</w:t>
      </w:r>
    </w:p>
    <w:p>
      <w:pPr>
        <w:pStyle w:val="107"/>
        <w:spacing w:before="156" w:after="156"/>
      </w:pPr>
      <w:r>
        <w:rPr>
          <w:rFonts w:hint="eastAsia"/>
        </w:rPr>
        <w:t>收运人员要求</w:t>
      </w:r>
    </w:p>
    <w:p>
      <w:pPr>
        <w:pStyle w:val="93"/>
      </w:pPr>
      <w:r>
        <w:rPr>
          <w:rFonts w:hint="eastAsia"/>
        </w:rPr>
        <w:t>收运人员从事餐厨废弃油脂收运作业时，应当按照市市容环境卫生行业协会的要求，穿着统一的作业服装，并佩戴身份标识牌。</w:t>
      </w:r>
    </w:p>
    <w:p>
      <w:pPr>
        <w:pStyle w:val="93"/>
      </w:pPr>
      <w:r>
        <w:rPr>
          <w:rFonts w:hint="eastAsia"/>
        </w:rPr>
        <w:t>收运人员应当参加市市容环境卫生行业协会组织的培训并经考核合格。</w:t>
      </w:r>
    </w:p>
    <w:p>
      <w:pPr>
        <w:pStyle w:val="107"/>
        <w:spacing w:before="156" w:after="156"/>
      </w:pPr>
      <w:r>
        <w:rPr>
          <w:rFonts w:hint="eastAsia"/>
        </w:rPr>
        <w:t>信息要求</w:t>
      </w:r>
    </w:p>
    <w:p>
      <w:pPr>
        <w:pStyle w:val="93"/>
      </w:pPr>
      <w:r>
        <w:rPr>
          <w:rFonts w:hint="eastAsia"/>
        </w:rPr>
        <w:t>收运企业应按有关规定做好餐厨废弃油脂收运的记录、备份、报送等项工作。</w:t>
      </w:r>
    </w:p>
    <w:p>
      <w:pPr>
        <w:pStyle w:val="93"/>
      </w:pPr>
      <w:r>
        <w:rPr>
          <w:rFonts w:hint="eastAsia"/>
        </w:rPr>
        <w:t>收运企业对信息数据的收集、整理和报送应及时、准确、完整，不得虚报、瞒报和迟报或伪造篡改。</w:t>
      </w:r>
    </w:p>
    <w:p>
      <w:pPr>
        <w:pStyle w:val="93"/>
      </w:pPr>
      <w:r>
        <w:rPr>
          <w:rFonts w:hint="eastAsia"/>
        </w:rPr>
        <w:t>收运企业应建立“运行工作日志”制度，日志内容主要包括：餐厨废弃油脂收运量、设备维修保养、设备运行状况等。</w:t>
      </w:r>
    </w:p>
    <w:p>
      <w:pPr>
        <w:pStyle w:val="93"/>
      </w:pPr>
      <w:r>
        <w:rPr>
          <w:rFonts w:hint="eastAsia"/>
        </w:rPr>
        <w:t>收运企业应按时向行政主管部门提交餐厨废弃油脂收运情况年度报告，主要内容包括：作业量、工艺、设备、人员和成本等。</w:t>
      </w:r>
    </w:p>
    <w:p>
      <w:pPr>
        <w:pStyle w:val="107"/>
        <w:spacing w:before="156" w:after="156"/>
      </w:pPr>
      <w:r>
        <w:rPr>
          <w:rFonts w:hint="eastAsia"/>
        </w:rPr>
        <w:t>餐厨废弃油脂收集作业要求</w:t>
      </w:r>
    </w:p>
    <w:p>
      <w:pPr>
        <w:pStyle w:val="93"/>
      </w:pPr>
      <w:r>
        <w:rPr>
          <w:rFonts w:hint="eastAsia"/>
        </w:rPr>
        <w:t>餐厨废弃油脂应密闭收集，防止造成环境污染。</w:t>
      </w:r>
    </w:p>
    <w:p>
      <w:pPr>
        <w:pStyle w:val="93"/>
      </w:pPr>
      <w:r>
        <w:rPr>
          <w:rFonts w:hint="eastAsia"/>
        </w:rPr>
        <w:t>收集人员应做好餐厨废弃油脂收集记录。</w:t>
      </w:r>
    </w:p>
    <w:p>
      <w:pPr>
        <w:pStyle w:val="93"/>
      </w:pPr>
      <w:r>
        <w:rPr>
          <w:rFonts w:hint="eastAsia"/>
        </w:rPr>
        <w:t>餐厨废弃油脂收集容器周围应整洁，无明显异味。</w:t>
      </w:r>
    </w:p>
    <w:p>
      <w:pPr>
        <w:pStyle w:val="93"/>
      </w:pPr>
      <w:r>
        <w:rPr>
          <w:rFonts w:hint="eastAsia"/>
        </w:rPr>
        <w:t>餐厨废弃油脂收集车应按规定路线和时间进行收集，不得甩点，到达收集点时应有明显声响作为提示。</w:t>
      </w:r>
    </w:p>
    <w:p>
      <w:pPr>
        <w:pStyle w:val="107"/>
        <w:spacing w:before="156" w:after="156"/>
      </w:pPr>
      <w:r>
        <w:rPr>
          <w:rFonts w:hint="eastAsia"/>
        </w:rPr>
        <w:t>餐厨废弃油脂运输作业要求</w:t>
      </w:r>
    </w:p>
    <w:p>
      <w:pPr>
        <w:pStyle w:val="93"/>
      </w:pPr>
      <w:r>
        <w:rPr>
          <w:rFonts w:hint="eastAsia"/>
        </w:rPr>
        <w:t>餐厨废弃油脂运输应符合国家和上海市的有关法律法规及安全技术操作规程等。</w:t>
      </w:r>
    </w:p>
    <w:p>
      <w:pPr>
        <w:pStyle w:val="93"/>
      </w:pPr>
      <w:r>
        <w:rPr>
          <w:rFonts w:hint="eastAsia"/>
        </w:rPr>
        <w:t>日常运行的餐厨废弃油脂收运车完好率应在</w:t>
      </w:r>
      <w:r>
        <w:t>85%</w:t>
      </w:r>
      <w:r>
        <w:rPr>
          <w:rFonts w:hint="eastAsia"/>
        </w:rPr>
        <w:t>以上。</w:t>
      </w:r>
    </w:p>
    <w:p>
      <w:pPr>
        <w:pStyle w:val="93"/>
      </w:pPr>
      <w:r>
        <w:rPr>
          <w:rFonts w:hint="eastAsia"/>
        </w:rPr>
        <w:t>企业应建立和完善餐厨废弃油脂收运车使用、保养、维修及监督检查等各项内部制度。编写并组织实施车辆运营计划，负责统计、考核和评比检查工作。</w:t>
      </w:r>
    </w:p>
    <w:p>
      <w:pPr>
        <w:pStyle w:val="93"/>
      </w:pPr>
      <w:r>
        <w:rPr>
          <w:rFonts w:hint="eastAsia"/>
        </w:rPr>
        <w:t>餐厨废弃油脂收运车应装备作业信息数据采集系统，并按有关规定提供作业记录信息。</w:t>
      </w:r>
    </w:p>
    <w:p>
      <w:pPr>
        <w:pStyle w:val="93"/>
      </w:pPr>
      <w:r>
        <w:rPr>
          <w:rFonts w:hint="eastAsia"/>
        </w:rPr>
        <w:t>餐厨废弃油脂收运车应保持车容整洁，如有污迹，应及时清理，每日工作完毕，应对收运车进行清洗。</w:t>
      </w:r>
    </w:p>
    <w:p>
      <w:pPr>
        <w:pStyle w:val="93"/>
      </w:pPr>
      <w:r>
        <w:rPr>
          <w:rFonts w:hint="eastAsia"/>
        </w:rPr>
        <w:t>餐厨废弃油脂收运车应设有防遗洒、渗漏装置，在作业过程中不得遗洒。</w:t>
      </w:r>
    </w:p>
    <w:p>
      <w:pPr>
        <w:pStyle w:val="93"/>
      </w:pPr>
      <w:r>
        <w:rPr>
          <w:rFonts w:hint="eastAsia"/>
        </w:rPr>
        <w:t>餐厨废弃油脂收运车外部应完好无损，如遇磕、碰、漆皮脱落等情况，应及时修补。餐厨废弃油脂收集桶应定期清洁、维护，发现丢失、破损应及时更新。</w:t>
      </w:r>
    </w:p>
    <w:p>
      <w:pPr>
        <w:pStyle w:val="93"/>
      </w:pPr>
      <w:r>
        <w:rPr>
          <w:rFonts w:hint="eastAsia"/>
        </w:rPr>
        <w:t>餐厨废弃油脂收运车在收集、运输时车辆不得超载。</w:t>
      </w:r>
    </w:p>
    <w:p>
      <w:pPr>
        <w:pStyle w:val="93"/>
      </w:pPr>
      <w:r>
        <w:rPr>
          <w:rFonts w:hint="eastAsia"/>
        </w:rPr>
        <w:t>企业应配有应急备用车辆，收运车出现故障时，要及时调用备用车辆，尽快到达指定地点完成收运工作。</w:t>
      </w:r>
    </w:p>
    <w:p>
      <w:pPr>
        <w:pStyle w:val="93"/>
      </w:pPr>
      <w:r>
        <w:rPr>
          <w:rFonts w:hint="eastAsia"/>
        </w:rPr>
        <w:t>餐厨废弃油脂运输车应按规定路线和时间进行运输，应运送到指定地点处理或处置，不得自行乱倒。</w:t>
      </w:r>
    </w:p>
    <w:p>
      <w:pPr>
        <w:pStyle w:val="93"/>
      </w:pPr>
      <w:r>
        <w:rPr>
          <w:rFonts w:hint="eastAsia"/>
        </w:rPr>
        <w:t>餐厨废弃油脂运输车到达处理设施后应遵守其管理规定。</w:t>
      </w:r>
    </w:p>
    <w:p>
      <w:pPr>
        <w:pStyle w:val="106"/>
        <w:spacing w:beforeLines="50" w:afterLines="50"/>
      </w:pPr>
      <w:r>
        <w:rPr>
          <w:rFonts w:hint="eastAsia"/>
        </w:rPr>
        <w:t>餐厨废弃油脂处置企业要求</w:t>
      </w:r>
    </w:p>
    <w:p>
      <w:pPr>
        <w:pStyle w:val="107"/>
        <w:spacing w:before="156" w:after="156"/>
      </w:pPr>
      <w:r>
        <w:rPr>
          <w:rFonts w:hint="eastAsia"/>
        </w:rPr>
        <w:t>资质要求</w:t>
      </w:r>
    </w:p>
    <w:p>
      <w:pPr>
        <w:pStyle w:val="27"/>
      </w:pPr>
      <w:r>
        <w:rPr>
          <w:rFonts w:hint="eastAsia"/>
        </w:rPr>
        <w:t>处置企业应符合从事餐厨废弃油脂处置服务行政许可资质要求，并具备企业法人资格，注册资金不得少于人民币1000万元。</w:t>
      </w:r>
    </w:p>
    <w:p>
      <w:pPr>
        <w:pStyle w:val="107"/>
        <w:spacing w:before="156" w:after="156"/>
      </w:pPr>
      <w:r>
        <w:rPr>
          <w:rFonts w:hint="eastAsia"/>
        </w:rPr>
        <w:t>一般要求</w:t>
      </w:r>
    </w:p>
    <w:p>
      <w:pPr>
        <w:pStyle w:val="93"/>
      </w:pPr>
      <w:r>
        <w:rPr>
          <w:rFonts w:hint="eastAsia"/>
        </w:rPr>
        <w:t>处置企业有满足处置需求的处置设施、计量与原料检测设备；经处置后的产品符合本市产业发展导向要求，采用的处置技术、工艺符合国家有关标准。</w:t>
      </w:r>
    </w:p>
    <w:p>
      <w:pPr>
        <w:pStyle w:val="93"/>
      </w:pPr>
      <w:r>
        <w:rPr>
          <w:rFonts w:hint="eastAsia"/>
        </w:rPr>
        <w:t>处置企业处置场所的选址和污染防治设施符合国家和本市环境保护管理的有关规定，并安装电子监控设备。</w:t>
      </w:r>
    </w:p>
    <w:p>
      <w:pPr>
        <w:pStyle w:val="93"/>
      </w:pPr>
      <w:r>
        <w:rPr>
          <w:rFonts w:hint="eastAsia"/>
        </w:rPr>
        <w:t>处置企业有</w:t>
      </w:r>
      <w:r>
        <w:t>5</w:t>
      </w:r>
      <w:r>
        <w:rPr>
          <w:rFonts w:hint="eastAsia"/>
        </w:rPr>
        <w:t>名以上具有专业技术职称的人员。</w:t>
      </w:r>
    </w:p>
    <w:p>
      <w:pPr>
        <w:pStyle w:val="93"/>
      </w:pPr>
      <w:r>
        <w:rPr>
          <w:rFonts w:hint="eastAsia"/>
        </w:rPr>
        <w:t>处置企业有符合市绿化市容行政管理部门规定的信息管理系统。</w:t>
      </w:r>
    </w:p>
    <w:p>
      <w:pPr>
        <w:pStyle w:val="93"/>
      </w:pPr>
      <w:r>
        <w:rPr>
          <w:rFonts w:hint="eastAsia"/>
        </w:rPr>
        <w:t>处置企业有健全的管理制度。</w:t>
      </w:r>
    </w:p>
    <w:p>
      <w:pPr>
        <w:pStyle w:val="107"/>
        <w:spacing w:before="156" w:after="156"/>
      </w:pPr>
      <w:r>
        <w:rPr>
          <w:rFonts w:hint="eastAsia"/>
        </w:rPr>
        <w:t>管理要求</w:t>
      </w:r>
    </w:p>
    <w:p>
      <w:pPr>
        <w:pStyle w:val="93"/>
      </w:pPr>
      <w:r>
        <w:rPr>
          <w:rFonts w:hint="eastAsia"/>
        </w:rPr>
        <w:t>处置企业应当按照处置服务协议的要求，对餐厨废弃油脂进行处置。餐厨废弃油脂经处置后的产品应当符合相应的产品质量标准。</w:t>
      </w:r>
    </w:p>
    <w:p>
      <w:pPr>
        <w:pStyle w:val="93"/>
      </w:pPr>
      <w:r>
        <w:rPr>
          <w:rFonts w:hint="eastAsia"/>
        </w:rPr>
        <w:t>处置企业处置场所安装的电子监控设备应当全天保持开启状态，并与市绿化市容行政管理部门的信息管理系统实时联网。</w:t>
      </w:r>
    </w:p>
    <w:p>
      <w:pPr>
        <w:pStyle w:val="93"/>
      </w:pPr>
      <w:r>
        <w:rPr>
          <w:rFonts w:hint="eastAsia"/>
        </w:rPr>
        <w:t>处置企业应当保持餐厨废弃油脂处置设施、设备的完好，定期对相关设施、设备的性能和环保指标进行检测、评价。</w:t>
      </w:r>
    </w:p>
    <w:p>
      <w:pPr>
        <w:pStyle w:val="93"/>
      </w:pPr>
      <w:r>
        <w:rPr>
          <w:rFonts w:hint="eastAsia"/>
        </w:rPr>
        <w:t>处置企业处置场所排放的废水、废气、废渣，应当符合国家和本市环境保护管理的有关要求。</w:t>
      </w:r>
    </w:p>
    <w:p>
      <w:pPr>
        <w:pStyle w:val="106"/>
        <w:spacing w:beforeLines="50" w:afterLines="50"/>
      </w:pPr>
      <w:r>
        <w:rPr>
          <w:rFonts w:hint="eastAsia"/>
        </w:rPr>
        <w:t>餐厨废弃油脂收运、处置作业流程</w:t>
      </w:r>
    </w:p>
    <w:p>
      <w:pPr>
        <w:spacing w:before="260"/>
        <w:ind w:left="420"/>
        <w:jc w:val="left"/>
        <w:rPr>
          <w:rFonts w:ascii="宋体" w:cs="宋体"/>
          <w:color w:val="000000"/>
          <w:szCs w:val="21"/>
        </w:rPr>
      </w:pPr>
      <w:r>
        <w:rPr>
          <w:rFonts w:hint="eastAsia" w:ascii="宋体" w:cs="宋体"/>
          <w:color w:val="000000"/>
          <w:szCs w:val="21"/>
        </w:rPr>
        <w:t>上海市餐厨废弃油脂收运、处置作业流程见图B.1。</w:t>
      </w:r>
    </w:p>
    <w:p>
      <w:pPr>
        <w:spacing w:before="260"/>
        <w:jc w:val="center"/>
        <w:rPr>
          <w:rFonts w:ascii="宋体" w:cs="宋体"/>
          <w:color w:val="000000"/>
          <w:szCs w:val="21"/>
        </w:rPr>
      </w:pPr>
      <w:r>
        <w:rPr>
          <w:rFonts w:ascii="Times New Roman" w:eastAsia="宋体"/>
          <w:kern w:val="2"/>
          <w:szCs w:val="24"/>
        </w:rPr>
        <w:drawing>
          <wp:inline distT="0" distB="0" distL="114300" distR="114300">
            <wp:extent cx="3364230" cy="4809490"/>
            <wp:effectExtent l="19050" t="0" r="7584"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cstate="print"/>
                    <a:stretch>
                      <a:fillRect/>
                    </a:stretch>
                  </pic:blipFill>
                  <pic:spPr>
                    <a:xfrm>
                      <a:off x="0" y="0"/>
                      <a:ext cx="3364762" cy="4810558"/>
                    </a:xfrm>
                    <a:prstGeom prst="rect">
                      <a:avLst/>
                    </a:prstGeom>
                    <a:noFill/>
                    <a:ln>
                      <a:noFill/>
                    </a:ln>
                  </pic:spPr>
                </pic:pic>
              </a:graphicData>
            </a:graphic>
          </wp:inline>
        </w:drawing>
      </w:r>
    </w:p>
    <w:p>
      <w:pPr>
        <w:pStyle w:val="103"/>
        <w:numPr>
          <w:ilvl w:val="0"/>
          <w:numId w:val="0"/>
        </w:numPr>
        <w:spacing w:before="156" w:after="156"/>
      </w:pPr>
      <w:r>
        <w:rPr>
          <w:rFonts w:hint="eastAsia"/>
        </w:rPr>
        <w:t>图B.1  上海市餐厨废弃油脂收运、处置作业流程图</w:t>
      </w:r>
    </w:p>
    <w:p>
      <w:pPr>
        <w:pStyle w:val="75"/>
      </w:pPr>
      <w:bookmarkStart w:id="16" w:name="BKCKWX"/>
      <w:r>
        <w:rPr>
          <w:rFonts w:hint="eastAsia"/>
        </w:rPr>
        <w:t>参</w:t>
      </w:r>
      <w:r>
        <w:rPr>
          <w:rFonts w:hint="eastAsia" w:ascii="MS Mincho" w:hAnsi="MS Mincho" w:eastAsia="MS Mincho" w:cs="MS Mincho"/>
        </w:rPr>
        <w:t> </w:t>
      </w:r>
      <w:r>
        <w:rPr>
          <w:rFonts w:hint="eastAsia"/>
        </w:rPr>
        <w:t>考</w:t>
      </w:r>
      <w:r>
        <w:rPr>
          <w:rFonts w:hint="eastAsia" w:ascii="MS Mincho" w:hAnsi="MS Mincho" w:eastAsia="MS Mincho" w:cs="MS Mincho"/>
        </w:rPr>
        <w:t> </w:t>
      </w:r>
      <w:r>
        <w:rPr>
          <w:rFonts w:hint="eastAsia"/>
        </w:rPr>
        <w:t>文</w:t>
      </w:r>
      <w:r>
        <w:rPr>
          <w:rFonts w:hint="eastAsia" w:ascii="MS Mincho" w:hAnsi="MS Mincho" w:eastAsia="MS Mincho" w:cs="MS Mincho"/>
        </w:rPr>
        <w:t> </w:t>
      </w:r>
      <w:r>
        <w:rPr>
          <w:rFonts w:hint="eastAsia"/>
        </w:rPr>
        <w:t>献</w:t>
      </w:r>
      <w:bookmarkEnd w:id="16"/>
    </w:p>
    <w:p>
      <w:pPr>
        <w:pStyle w:val="27"/>
      </w:pPr>
      <w:r>
        <w:rPr>
          <w:rFonts w:hint="eastAsia"/>
        </w:rPr>
        <w:t>[1]《上海市餐厨废弃油脂处理管理办法》（上海市人民政府令97号）</w:t>
      </w:r>
    </w:p>
    <w:p>
      <w:pPr>
        <w:pStyle w:val="27"/>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1901825</wp:posOffset>
                </wp:positionH>
                <wp:positionV relativeFrom="paragraph">
                  <wp:posOffset>631190</wp:posOffset>
                </wp:positionV>
                <wp:extent cx="1652905" cy="0"/>
                <wp:effectExtent l="0" t="0" r="0" b="0"/>
                <wp:wrapNone/>
                <wp:docPr id="7" name="自选图形 9"/>
                <wp:cNvGraphicFramePr/>
                <a:graphic xmlns:a="http://schemas.openxmlformats.org/drawingml/2006/main">
                  <a:graphicData uri="http://schemas.microsoft.com/office/word/2010/wordprocessingShape">
                    <wps:wsp>
                      <wps:cNvCnPr/>
                      <wps:spPr>
                        <a:xfrm flipV="1">
                          <a:off x="0" y="0"/>
                          <a:ext cx="16529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flip:y;margin-left:149.75pt;margin-top:49.7pt;height:0pt;width:130.15pt;z-index:251661312;mso-width-relative:page;mso-height-relative:page;" filled="f" stroked="t" coordsize="21600,21600" o:gfxdata="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sWj9NYAAAAJAQAADwAAAAAAAAABACAAAAAiAAAAZHJzL2Rvd25yZXYueG1s&#10;UEsBAhQAFAAAAAgAh07iQAadi1v6AQAA7QMAAA4AAAAAAAAAAQAgAAAAJQEAAGRycy9lMm9Eb2Mu&#10;eG1sUEsFBgAAAAAGAAYAWQEAAJEFAAAAAA==&#10;">
                <v:fill on="f" focussize="0,0"/>
                <v:stroke color="#000000" joinstyle="round"/>
                <v:imagedata o:title=""/>
                <o:lock v:ext="edit" aspectratio="f"/>
              </v:shape>
            </w:pict>
          </mc:Fallback>
        </mc:AlternateContent>
      </w:r>
      <w:r>
        <w:rPr>
          <w:rFonts w:hint="eastAsia"/>
        </w:rPr>
        <w:t>[2]《上海市餐厨垃圾处理管理办法》（上海市人民政府令98号）</w:t>
      </w:r>
    </w:p>
    <w:sectPr>
      <w:headerReference r:id="rId10" w:type="default"/>
      <w:footerReference r:id="rId11" w:type="default"/>
      <w:footerReference r:id="rId12" w:type="even"/>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74276"/>
      <w:docPartObj>
        <w:docPartGallery w:val="AutoText"/>
      </w:docPartObj>
    </w:sdtPr>
    <w:sdtContent>
      <w:p>
        <w:pPr>
          <w:pStyle w:val="21"/>
          <w:jc w:val="left"/>
        </w:pPr>
        <w:r>
          <w:fldChar w:fldCharType="begin"/>
        </w:r>
        <w:r>
          <w:instrText xml:space="preserve"> PAGE   \* MERGEFORMAT </w:instrText>
        </w:r>
        <w:r>
          <w:fldChar w:fldCharType="separate"/>
        </w:r>
        <w:r>
          <w:rPr>
            <w:lang w:val="zh-CN"/>
          </w:rPr>
          <w:t>I</w:t>
        </w:r>
        <w:r>
          <w:fldChar w:fldCharType="end"/>
        </w:r>
      </w:p>
    </w:sdtContent>
  </w:sdt>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74318"/>
      <w:docPartObj>
        <w:docPartGallery w:val="AutoText"/>
      </w:docPartObj>
    </w:sdtPr>
    <w:sdtContent>
      <w:p>
        <w:pPr>
          <w:pStyle w:val="21"/>
          <w:jc w:val="center"/>
        </w:pPr>
        <w:r>
          <w:fldChar w:fldCharType="begin"/>
        </w:r>
        <w:r>
          <w:instrText xml:space="preserve"> PAGE   \* MERGEFORMAT </w:instrText>
        </w:r>
        <w:r>
          <w:fldChar w:fldCharType="separate"/>
        </w:r>
        <w:r>
          <w:rPr>
            <w:lang w:val="zh-CN"/>
          </w:rPr>
          <w:t>I</w:t>
        </w:r>
        <w:r>
          <w:fldChar w:fldCharType="end"/>
        </w:r>
      </w:p>
    </w:sdtContent>
  </w:sdt>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PAGE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PAGE  \* MERGEFORMAT </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T/SFSF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rPr>
        <w:rFonts w:hint="eastAsia" w:hAnsi="黑体" w:cs="黑体"/>
      </w:rPr>
      <w:t xml:space="preserve">T/SFSF </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rPr>
        <w:rFonts w:hint="eastAsia" w:hAnsi="黑体" w:cs="黑体"/>
      </w:rPr>
      <w:t>T/SFSF</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CB"/>
    <w:multiLevelType w:val="multilevel"/>
    <w:tmpl w:val="0A8B18CB"/>
    <w:lvl w:ilvl="0" w:tentative="0">
      <w:start w:val="1"/>
      <w:numFmt w:val="lowerLetter"/>
      <w:pStyle w:val="6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8"/>
      <w:lvlText w:val="%2)"/>
      <w:lvlJc w:val="left"/>
      <w:pPr>
        <w:tabs>
          <w:tab w:val="left" w:pos="1260"/>
        </w:tabs>
        <w:ind w:left="1259" w:hanging="419"/>
      </w:pPr>
      <w:rPr>
        <w:rFonts w:hint="eastAsia"/>
      </w:rPr>
    </w:lvl>
    <w:lvl w:ilvl="2" w:tentative="0">
      <w:start w:val="1"/>
      <w:numFmt w:val="decimal"/>
      <w:pStyle w:val="6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1DBF583A"/>
    <w:multiLevelType w:val="multilevel"/>
    <w:tmpl w:val="1DBF583A"/>
    <w:lvl w:ilvl="0" w:tentative="0">
      <w:start w:val="1"/>
      <w:numFmt w:val="decimal"/>
      <w:pStyle w:val="6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0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451247"/>
    <w:multiLevelType w:val="multilevel"/>
    <w:tmpl w:val="2C45124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2C5917C3"/>
    <w:multiLevelType w:val="multilevel"/>
    <w:tmpl w:val="2C5917C3"/>
    <w:lvl w:ilvl="0" w:tentative="0">
      <w:start w:val="1"/>
      <w:numFmt w:val="none"/>
      <w:pStyle w:val="52"/>
      <w:suff w:val="nothing"/>
      <w:lvlText w:val="%1——"/>
      <w:lvlJc w:val="left"/>
      <w:pPr>
        <w:ind w:left="833" w:hanging="408"/>
      </w:pPr>
      <w:rPr>
        <w:rFonts w:hint="eastAsia"/>
      </w:rPr>
    </w:lvl>
    <w:lvl w:ilvl="1" w:tentative="0">
      <w:start w:val="1"/>
      <w:numFmt w:val="bullet"/>
      <w:pStyle w:val="53"/>
      <w:lvlText w:val=""/>
      <w:lvlJc w:val="left"/>
      <w:pPr>
        <w:tabs>
          <w:tab w:val="left" w:pos="760"/>
        </w:tabs>
        <w:ind w:left="1264" w:hanging="413"/>
      </w:pPr>
      <w:rPr>
        <w:rFonts w:hint="default" w:ascii="Symbol" w:hAnsi="Symbol"/>
        <w:color w:val="auto"/>
      </w:rPr>
    </w:lvl>
    <w:lvl w:ilvl="2" w:tentative="0">
      <w:start w:val="1"/>
      <w:numFmt w:val="bullet"/>
      <w:pStyle w:val="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359853BB"/>
    <w:multiLevelType w:val="multilevel"/>
    <w:tmpl w:val="359853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FF64A90"/>
    <w:multiLevelType w:val="multilevel"/>
    <w:tmpl w:val="4FF64A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60B55DC2"/>
    <w:multiLevelType w:val="multilevel"/>
    <w:tmpl w:val="60B55DC2"/>
    <w:lvl w:ilvl="0" w:tentative="0">
      <w:start w:val="1"/>
      <w:numFmt w:val="upperLetter"/>
      <w:pStyle w:val="90"/>
      <w:lvlText w:val="%1"/>
      <w:lvlJc w:val="left"/>
      <w:pPr>
        <w:tabs>
          <w:tab w:val="left" w:pos="0"/>
        </w:tabs>
        <w:ind w:left="0" w:hanging="425"/>
      </w:pPr>
      <w:rPr>
        <w:rFonts w:hint="eastAsia"/>
      </w:rPr>
    </w:lvl>
    <w:lvl w:ilvl="1" w:tentative="0">
      <w:start w:val="1"/>
      <w:numFmt w:val="decimal"/>
      <w:pStyle w:val="9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0">
    <w:nsid w:val="646260FA"/>
    <w:multiLevelType w:val="multilevel"/>
    <w:tmpl w:val="646260FA"/>
    <w:lvl w:ilvl="0" w:tentative="0">
      <w:start w:val="1"/>
      <w:numFmt w:val="decimal"/>
      <w:pStyle w:val="13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92"/>
      <w:suff w:val="nothing"/>
      <w:lvlText w:val="%1.%2.%3.%4　"/>
      <w:lvlJc w:val="left"/>
      <w:pPr>
        <w:ind w:left="0" w:firstLine="0"/>
      </w:pPr>
      <w:rPr>
        <w:rFonts w:hint="eastAsia" w:ascii="黑体" w:hAnsi="Times New Roman" w:eastAsia="黑体"/>
        <w:b w:val="0"/>
        <w:i w:val="0"/>
        <w:sz w:val="21"/>
      </w:rPr>
    </w:lvl>
    <w:lvl w:ilvl="4" w:tentative="0">
      <w:start w:val="1"/>
      <w:numFmt w:val="decimal"/>
      <w:pStyle w:val="97"/>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D6C07CD"/>
    <w:multiLevelType w:val="multilevel"/>
    <w:tmpl w:val="6D6C07CD"/>
    <w:lvl w:ilvl="0" w:tentative="0">
      <w:start w:val="1"/>
      <w:numFmt w:val="lowerLetter"/>
      <w:pStyle w:val="109"/>
      <w:lvlText w:val="%1)"/>
      <w:lvlJc w:val="left"/>
      <w:pPr>
        <w:tabs>
          <w:tab w:val="left" w:pos="839"/>
        </w:tabs>
        <w:ind w:left="839" w:hanging="419"/>
      </w:pPr>
      <w:rPr>
        <w:rFonts w:hint="eastAsia" w:ascii="宋体" w:eastAsia="宋体"/>
        <w:b w:val="0"/>
        <w:i w:val="0"/>
        <w:sz w:val="21"/>
      </w:rPr>
    </w:lvl>
    <w:lvl w:ilvl="1" w:tentative="0">
      <w:start w:val="1"/>
      <w:numFmt w:val="decimal"/>
      <w:pStyle w:val="9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6"/>
  </w:num>
  <w:num w:numId="2">
    <w:abstractNumId w:val="7"/>
  </w:num>
  <w:num w:numId="3">
    <w:abstractNumId w:val="2"/>
  </w:num>
  <w:num w:numId="4">
    <w:abstractNumId w:val="5"/>
  </w:num>
  <w:num w:numId="5">
    <w:abstractNumId w:val="0"/>
  </w:num>
  <w:num w:numId="6">
    <w:abstractNumId w:val="1"/>
  </w:num>
  <w:num w:numId="7">
    <w:abstractNumId w:val="11"/>
  </w:num>
  <w:num w:numId="8">
    <w:abstractNumId w:val="9"/>
  </w:num>
  <w:num w:numId="9">
    <w:abstractNumId w:val="12"/>
  </w:num>
  <w:num w:numId="10">
    <w:abstractNumId w:val="3"/>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val="1"/>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3E98"/>
    <w:rsid w:val="0000586F"/>
    <w:rsid w:val="00005F2C"/>
    <w:rsid w:val="00010BBC"/>
    <w:rsid w:val="00012DF0"/>
    <w:rsid w:val="00012F6C"/>
    <w:rsid w:val="00013D86"/>
    <w:rsid w:val="00013E02"/>
    <w:rsid w:val="0002143C"/>
    <w:rsid w:val="00022EFE"/>
    <w:rsid w:val="000237FC"/>
    <w:rsid w:val="00025A65"/>
    <w:rsid w:val="00026443"/>
    <w:rsid w:val="00026C31"/>
    <w:rsid w:val="00027280"/>
    <w:rsid w:val="000320A7"/>
    <w:rsid w:val="000325EA"/>
    <w:rsid w:val="00035925"/>
    <w:rsid w:val="00037A9B"/>
    <w:rsid w:val="00040094"/>
    <w:rsid w:val="0004400A"/>
    <w:rsid w:val="000478BB"/>
    <w:rsid w:val="00055371"/>
    <w:rsid w:val="000607A3"/>
    <w:rsid w:val="000613E6"/>
    <w:rsid w:val="00064D78"/>
    <w:rsid w:val="000657F7"/>
    <w:rsid w:val="00065D77"/>
    <w:rsid w:val="00067CDF"/>
    <w:rsid w:val="0007307E"/>
    <w:rsid w:val="00073CDF"/>
    <w:rsid w:val="00074FBE"/>
    <w:rsid w:val="00076789"/>
    <w:rsid w:val="0007775A"/>
    <w:rsid w:val="00082CDF"/>
    <w:rsid w:val="00083A09"/>
    <w:rsid w:val="00084B5F"/>
    <w:rsid w:val="00085ABE"/>
    <w:rsid w:val="00087288"/>
    <w:rsid w:val="0009005E"/>
    <w:rsid w:val="00092001"/>
    <w:rsid w:val="00092857"/>
    <w:rsid w:val="000946BB"/>
    <w:rsid w:val="00096226"/>
    <w:rsid w:val="000979D9"/>
    <w:rsid w:val="000A20A9"/>
    <w:rsid w:val="000A3468"/>
    <w:rsid w:val="000A46BE"/>
    <w:rsid w:val="000A48B1"/>
    <w:rsid w:val="000A4EC6"/>
    <w:rsid w:val="000A6A67"/>
    <w:rsid w:val="000A7A35"/>
    <w:rsid w:val="000B20D3"/>
    <w:rsid w:val="000B3143"/>
    <w:rsid w:val="000B3C28"/>
    <w:rsid w:val="000B405D"/>
    <w:rsid w:val="000C03C2"/>
    <w:rsid w:val="000C6B05"/>
    <w:rsid w:val="000C6DD6"/>
    <w:rsid w:val="000C73D4"/>
    <w:rsid w:val="000C75EB"/>
    <w:rsid w:val="000D26A4"/>
    <w:rsid w:val="000D393F"/>
    <w:rsid w:val="000D3D4C"/>
    <w:rsid w:val="000D4F51"/>
    <w:rsid w:val="000D627B"/>
    <w:rsid w:val="000D718B"/>
    <w:rsid w:val="000E09A5"/>
    <w:rsid w:val="000E0C46"/>
    <w:rsid w:val="000E15EE"/>
    <w:rsid w:val="000E2C65"/>
    <w:rsid w:val="000E3E47"/>
    <w:rsid w:val="000F030C"/>
    <w:rsid w:val="000F04DD"/>
    <w:rsid w:val="000F129C"/>
    <w:rsid w:val="000F61A6"/>
    <w:rsid w:val="000F6BD6"/>
    <w:rsid w:val="0010189E"/>
    <w:rsid w:val="0010194E"/>
    <w:rsid w:val="00102098"/>
    <w:rsid w:val="001056DE"/>
    <w:rsid w:val="001123AF"/>
    <w:rsid w:val="001124C0"/>
    <w:rsid w:val="00112BB0"/>
    <w:rsid w:val="001161AD"/>
    <w:rsid w:val="00116BAD"/>
    <w:rsid w:val="0011752C"/>
    <w:rsid w:val="00120931"/>
    <w:rsid w:val="0012408D"/>
    <w:rsid w:val="0012509D"/>
    <w:rsid w:val="0013175F"/>
    <w:rsid w:val="0013364D"/>
    <w:rsid w:val="00133794"/>
    <w:rsid w:val="001343BB"/>
    <w:rsid w:val="0013624E"/>
    <w:rsid w:val="00147EE7"/>
    <w:rsid w:val="001512B4"/>
    <w:rsid w:val="0016202D"/>
    <w:rsid w:val="001620A5"/>
    <w:rsid w:val="00162E6E"/>
    <w:rsid w:val="0016410A"/>
    <w:rsid w:val="00164E53"/>
    <w:rsid w:val="0016699D"/>
    <w:rsid w:val="001725E3"/>
    <w:rsid w:val="00175159"/>
    <w:rsid w:val="00176208"/>
    <w:rsid w:val="00176C82"/>
    <w:rsid w:val="0017780C"/>
    <w:rsid w:val="001803C9"/>
    <w:rsid w:val="0018211B"/>
    <w:rsid w:val="001840D3"/>
    <w:rsid w:val="001900F8"/>
    <w:rsid w:val="00191258"/>
    <w:rsid w:val="00191FDD"/>
    <w:rsid w:val="00192680"/>
    <w:rsid w:val="00193037"/>
    <w:rsid w:val="00193A2C"/>
    <w:rsid w:val="001944F8"/>
    <w:rsid w:val="00195ACF"/>
    <w:rsid w:val="001A0B2D"/>
    <w:rsid w:val="001A288E"/>
    <w:rsid w:val="001B08CE"/>
    <w:rsid w:val="001B2784"/>
    <w:rsid w:val="001B289F"/>
    <w:rsid w:val="001B2E1B"/>
    <w:rsid w:val="001B6DC2"/>
    <w:rsid w:val="001C05D3"/>
    <w:rsid w:val="001C149C"/>
    <w:rsid w:val="001C21AC"/>
    <w:rsid w:val="001C25C1"/>
    <w:rsid w:val="001C3689"/>
    <w:rsid w:val="001C387E"/>
    <w:rsid w:val="001C47BA"/>
    <w:rsid w:val="001C59EA"/>
    <w:rsid w:val="001D0755"/>
    <w:rsid w:val="001D0F49"/>
    <w:rsid w:val="001D3A9E"/>
    <w:rsid w:val="001D406C"/>
    <w:rsid w:val="001D41EE"/>
    <w:rsid w:val="001D4BEB"/>
    <w:rsid w:val="001D61EE"/>
    <w:rsid w:val="001E0380"/>
    <w:rsid w:val="001E13B1"/>
    <w:rsid w:val="001E15CF"/>
    <w:rsid w:val="001E2EC8"/>
    <w:rsid w:val="001E4CCA"/>
    <w:rsid w:val="001E5D5C"/>
    <w:rsid w:val="001E6D51"/>
    <w:rsid w:val="001F03DF"/>
    <w:rsid w:val="001F2ED3"/>
    <w:rsid w:val="001F3A19"/>
    <w:rsid w:val="002009E4"/>
    <w:rsid w:val="00201053"/>
    <w:rsid w:val="0020251B"/>
    <w:rsid w:val="002034ED"/>
    <w:rsid w:val="00207AE1"/>
    <w:rsid w:val="002146CB"/>
    <w:rsid w:val="00214E04"/>
    <w:rsid w:val="00216FFC"/>
    <w:rsid w:val="0021780A"/>
    <w:rsid w:val="00221557"/>
    <w:rsid w:val="0022185E"/>
    <w:rsid w:val="00222050"/>
    <w:rsid w:val="002270A7"/>
    <w:rsid w:val="00234467"/>
    <w:rsid w:val="00237D8D"/>
    <w:rsid w:val="002415B0"/>
    <w:rsid w:val="00241DA2"/>
    <w:rsid w:val="0024398D"/>
    <w:rsid w:val="002451B2"/>
    <w:rsid w:val="00247FEE"/>
    <w:rsid w:val="00250E7D"/>
    <w:rsid w:val="00251544"/>
    <w:rsid w:val="002527DD"/>
    <w:rsid w:val="00252908"/>
    <w:rsid w:val="002534C7"/>
    <w:rsid w:val="00253896"/>
    <w:rsid w:val="00253BEE"/>
    <w:rsid w:val="0025407C"/>
    <w:rsid w:val="002565D5"/>
    <w:rsid w:val="002622C0"/>
    <w:rsid w:val="00264063"/>
    <w:rsid w:val="00265AC8"/>
    <w:rsid w:val="002665DB"/>
    <w:rsid w:val="002719C8"/>
    <w:rsid w:val="002754EF"/>
    <w:rsid w:val="00277407"/>
    <w:rsid w:val="002778AE"/>
    <w:rsid w:val="0028212C"/>
    <w:rsid w:val="0028269A"/>
    <w:rsid w:val="00283590"/>
    <w:rsid w:val="00283E0E"/>
    <w:rsid w:val="00286973"/>
    <w:rsid w:val="0029045B"/>
    <w:rsid w:val="002922E1"/>
    <w:rsid w:val="00294E70"/>
    <w:rsid w:val="002954B8"/>
    <w:rsid w:val="00295CA7"/>
    <w:rsid w:val="00296D0E"/>
    <w:rsid w:val="00297D09"/>
    <w:rsid w:val="002A1102"/>
    <w:rsid w:val="002A1924"/>
    <w:rsid w:val="002A7420"/>
    <w:rsid w:val="002A7A7E"/>
    <w:rsid w:val="002B0F12"/>
    <w:rsid w:val="002B1308"/>
    <w:rsid w:val="002B1F33"/>
    <w:rsid w:val="002B29C4"/>
    <w:rsid w:val="002B4554"/>
    <w:rsid w:val="002B4DE0"/>
    <w:rsid w:val="002B6FE5"/>
    <w:rsid w:val="002B707C"/>
    <w:rsid w:val="002B7240"/>
    <w:rsid w:val="002C18CE"/>
    <w:rsid w:val="002C3F86"/>
    <w:rsid w:val="002C72D8"/>
    <w:rsid w:val="002D11FA"/>
    <w:rsid w:val="002D19A4"/>
    <w:rsid w:val="002E0DDF"/>
    <w:rsid w:val="002E2470"/>
    <w:rsid w:val="002E2906"/>
    <w:rsid w:val="002E4DF8"/>
    <w:rsid w:val="002E4FC7"/>
    <w:rsid w:val="002E5635"/>
    <w:rsid w:val="002E56F1"/>
    <w:rsid w:val="002E64C3"/>
    <w:rsid w:val="002E6500"/>
    <w:rsid w:val="002E6A2C"/>
    <w:rsid w:val="002F035E"/>
    <w:rsid w:val="002F0FE8"/>
    <w:rsid w:val="002F1D8C"/>
    <w:rsid w:val="002F21DA"/>
    <w:rsid w:val="002F366A"/>
    <w:rsid w:val="002F5345"/>
    <w:rsid w:val="00301F39"/>
    <w:rsid w:val="00303721"/>
    <w:rsid w:val="00303D27"/>
    <w:rsid w:val="00305E19"/>
    <w:rsid w:val="00306A81"/>
    <w:rsid w:val="00307E8A"/>
    <w:rsid w:val="00314BB2"/>
    <w:rsid w:val="00316093"/>
    <w:rsid w:val="00316F4F"/>
    <w:rsid w:val="003177D1"/>
    <w:rsid w:val="00325926"/>
    <w:rsid w:val="00327A8A"/>
    <w:rsid w:val="003303A7"/>
    <w:rsid w:val="003339A3"/>
    <w:rsid w:val="00333B9D"/>
    <w:rsid w:val="00335C81"/>
    <w:rsid w:val="00336610"/>
    <w:rsid w:val="00340B01"/>
    <w:rsid w:val="00343F73"/>
    <w:rsid w:val="00345060"/>
    <w:rsid w:val="003451FB"/>
    <w:rsid w:val="00346F35"/>
    <w:rsid w:val="003477BB"/>
    <w:rsid w:val="00352629"/>
    <w:rsid w:val="0035323B"/>
    <w:rsid w:val="00353D19"/>
    <w:rsid w:val="003546C9"/>
    <w:rsid w:val="0035660B"/>
    <w:rsid w:val="003609D2"/>
    <w:rsid w:val="00363561"/>
    <w:rsid w:val="00363F22"/>
    <w:rsid w:val="003643E7"/>
    <w:rsid w:val="00364C1E"/>
    <w:rsid w:val="00371172"/>
    <w:rsid w:val="00373660"/>
    <w:rsid w:val="00375564"/>
    <w:rsid w:val="0037589C"/>
    <w:rsid w:val="0037610C"/>
    <w:rsid w:val="00380711"/>
    <w:rsid w:val="00383191"/>
    <w:rsid w:val="00386971"/>
    <w:rsid w:val="00386D44"/>
    <w:rsid w:val="00386DED"/>
    <w:rsid w:val="003911F7"/>
    <w:rsid w:val="003912E7"/>
    <w:rsid w:val="003927AB"/>
    <w:rsid w:val="003928ED"/>
    <w:rsid w:val="00393947"/>
    <w:rsid w:val="003945AF"/>
    <w:rsid w:val="00395141"/>
    <w:rsid w:val="003A0990"/>
    <w:rsid w:val="003A2275"/>
    <w:rsid w:val="003A26E3"/>
    <w:rsid w:val="003A3194"/>
    <w:rsid w:val="003A6A4F"/>
    <w:rsid w:val="003A7088"/>
    <w:rsid w:val="003B00DF"/>
    <w:rsid w:val="003B1275"/>
    <w:rsid w:val="003B1778"/>
    <w:rsid w:val="003B3100"/>
    <w:rsid w:val="003B7626"/>
    <w:rsid w:val="003C07EC"/>
    <w:rsid w:val="003C11CB"/>
    <w:rsid w:val="003C3017"/>
    <w:rsid w:val="003C53E1"/>
    <w:rsid w:val="003C75AC"/>
    <w:rsid w:val="003C75F3"/>
    <w:rsid w:val="003C78A3"/>
    <w:rsid w:val="003D1E33"/>
    <w:rsid w:val="003E1867"/>
    <w:rsid w:val="003E5729"/>
    <w:rsid w:val="003E5FE8"/>
    <w:rsid w:val="003E7ED6"/>
    <w:rsid w:val="003F22BB"/>
    <w:rsid w:val="003F39C8"/>
    <w:rsid w:val="003F4EE0"/>
    <w:rsid w:val="003F68B8"/>
    <w:rsid w:val="0040209B"/>
    <w:rsid w:val="00402153"/>
    <w:rsid w:val="00402FC1"/>
    <w:rsid w:val="00404350"/>
    <w:rsid w:val="00404707"/>
    <w:rsid w:val="004056C0"/>
    <w:rsid w:val="00407897"/>
    <w:rsid w:val="00411B46"/>
    <w:rsid w:val="00413779"/>
    <w:rsid w:val="00421D61"/>
    <w:rsid w:val="00424299"/>
    <w:rsid w:val="00425082"/>
    <w:rsid w:val="00425C63"/>
    <w:rsid w:val="0043009F"/>
    <w:rsid w:val="00431DEB"/>
    <w:rsid w:val="00433DCA"/>
    <w:rsid w:val="00436E48"/>
    <w:rsid w:val="00437240"/>
    <w:rsid w:val="00437EC3"/>
    <w:rsid w:val="00443CDF"/>
    <w:rsid w:val="00445325"/>
    <w:rsid w:val="00445A2B"/>
    <w:rsid w:val="00446B29"/>
    <w:rsid w:val="00447746"/>
    <w:rsid w:val="00453F9A"/>
    <w:rsid w:val="00461B6A"/>
    <w:rsid w:val="004632A8"/>
    <w:rsid w:val="00464903"/>
    <w:rsid w:val="0047166D"/>
    <w:rsid w:val="00471E91"/>
    <w:rsid w:val="0047240A"/>
    <w:rsid w:val="00474079"/>
    <w:rsid w:val="00474675"/>
    <w:rsid w:val="0047470C"/>
    <w:rsid w:val="00474BBD"/>
    <w:rsid w:val="00475687"/>
    <w:rsid w:val="00476E8D"/>
    <w:rsid w:val="0048073F"/>
    <w:rsid w:val="00482A92"/>
    <w:rsid w:val="00482D0D"/>
    <w:rsid w:val="0048683D"/>
    <w:rsid w:val="00486989"/>
    <w:rsid w:val="004955FA"/>
    <w:rsid w:val="00496AEB"/>
    <w:rsid w:val="004A045E"/>
    <w:rsid w:val="004A203E"/>
    <w:rsid w:val="004A35F9"/>
    <w:rsid w:val="004B1B2F"/>
    <w:rsid w:val="004B24C1"/>
    <w:rsid w:val="004B3092"/>
    <w:rsid w:val="004B32B8"/>
    <w:rsid w:val="004B3667"/>
    <w:rsid w:val="004B4872"/>
    <w:rsid w:val="004B49B1"/>
    <w:rsid w:val="004C12D1"/>
    <w:rsid w:val="004C292F"/>
    <w:rsid w:val="004C46FA"/>
    <w:rsid w:val="004C6B7E"/>
    <w:rsid w:val="004D306F"/>
    <w:rsid w:val="004D512F"/>
    <w:rsid w:val="004D71B9"/>
    <w:rsid w:val="004E3689"/>
    <w:rsid w:val="004E5A47"/>
    <w:rsid w:val="004F1C24"/>
    <w:rsid w:val="004F28F6"/>
    <w:rsid w:val="004F2E9A"/>
    <w:rsid w:val="004F3862"/>
    <w:rsid w:val="004F546F"/>
    <w:rsid w:val="004F65BA"/>
    <w:rsid w:val="00500D09"/>
    <w:rsid w:val="00504C5F"/>
    <w:rsid w:val="00504D97"/>
    <w:rsid w:val="00505A1C"/>
    <w:rsid w:val="00510280"/>
    <w:rsid w:val="00513D73"/>
    <w:rsid w:val="00514A43"/>
    <w:rsid w:val="00517412"/>
    <w:rsid w:val="005174E5"/>
    <w:rsid w:val="0052017F"/>
    <w:rsid w:val="00520898"/>
    <w:rsid w:val="00522393"/>
    <w:rsid w:val="00522620"/>
    <w:rsid w:val="00525656"/>
    <w:rsid w:val="00525BF3"/>
    <w:rsid w:val="00534AAF"/>
    <w:rsid w:val="00534C02"/>
    <w:rsid w:val="0054044C"/>
    <w:rsid w:val="00541975"/>
    <w:rsid w:val="0054264B"/>
    <w:rsid w:val="00542B90"/>
    <w:rsid w:val="00543786"/>
    <w:rsid w:val="005450F1"/>
    <w:rsid w:val="00546D0D"/>
    <w:rsid w:val="0055153A"/>
    <w:rsid w:val="00551CB7"/>
    <w:rsid w:val="005533D7"/>
    <w:rsid w:val="00553DC7"/>
    <w:rsid w:val="00554B63"/>
    <w:rsid w:val="005567CA"/>
    <w:rsid w:val="00557A8C"/>
    <w:rsid w:val="005600E6"/>
    <w:rsid w:val="00565269"/>
    <w:rsid w:val="0056544B"/>
    <w:rsid w:val="005703DE"/>
    <w:rsid w:val="005707F1"/>
    <w:rsid w:val="00577D2C"/>
    <w:rsid w:val="00581B73"/>
    <w:rsid w:val="00582222"/>
    <w:rsid w:val="00582BBE"/>
    <w:rsid w:val="0058464E"/>
    <w:rsid w:val="0059125A"/>
    <w:rsid w:val="005949DE"/>
    <w:rsid w:val="005A01CB"/>
    <w:rsid w:val="005A3659"/>
    <w:rsid w:val="005A528D"/>
    <w:rsid w:val="005A58FF"/>
    <w:rsid w:val="005A5EAF"/>
    <w:rsid w:val="005A614B"/>
    <w:rsid w:val="005A64C0"/>
    <w:rsid w:val="005B3C11"/>
    <w:rsid w:val="005B5E7E"/>
    <w:rsid w:val="005C059A"/>
    <w:rsid w:val="005C1C28"/>
    <w:rsid w:val="005C4221"/>
    <w:rsid w:val="005C4836"/>
    <w:rsid w:val="005C5748"/>
    <w:rsid w:val="005C5992"/>
    <w:rsid w:val="005C617B"/>
    <w:rsid w:val="005C6A45"/>
    <w:rsid w:val="005C6DB5"/>
    <w:rsid w:val="005D2296"/>
    <w:rsid w:val="005E1158"/>
    <w:rsid w:val="005E19E7"/>
    <w:rsid w:val="005E2C93"/>
    <w:rsid w:val="005E461E"/>
    <w:rsid w:val="005E7E78"/>
    <w:rsid w:val="005F0BDA"/>
    <w:rsid w:val="005F2225"/>
    <w:rsid w:val="005F2B14"/>
    <w:rsid w:val="005F307E"/>
    <w:rsid w:val="00601622"/>
    <w:rsid w:val="006017FE"/>
    <w:rsid w:val="00603C29"/>
    <w:rsid w:val="0060444F"/>
    <w:rsid w:val="00605760"/>
    <w:rsid w:val="00610551"/>
    <w:rsid w:val="00611E03"/>
    <w:rsid w:val="00613FAA"/>
    <w:rsid w:val="0061716C"/>
    <w:rsid w:val="00617868"/>
    <w:rsid w:val="00621FE3"/>
    <w:rsid w:val="006243A1"/>
    <w:rsid w:val="00632E56"/>
    <w:rsid w:val="006330CA"/>
    <w:rsid w:val="00634C5A"/>
    <w:rsid w:val="006359CF"/>
    <w:rsid w:val="00635CBA"/>
    <w:rsid w:val="0064338B"/>
    <w:rsid w:val="00646542"/>
    <w:rsid w:val="00647FA0"/>
    <w:rsid w:val="006504F4"/>
    <w:rsid w:val="00651FFB"/>
    <w:rsid w:val="0065366F"/>
    <w:rsid w:val="00654BC9"/>
    <w:rsid w:val="006552FD"/>
    <w:rsid w:val="00655F50"/>
    <w:rsid w:val="006568AD"/>
    <w:rsid w:val="00656B93"/>
    <w:rsid w:val="00656F0B"/>
    <w:rsid w:val="006613D9"/>
    <w:rsid w:val="00663733"/>
    <w:rsid w:val="00663AF3"/>
    <w:rsid w:val="00666AB0"/>
    <w:rsid w:val="00666B6C"/>
    <w:rsid w:val="00672703"/>
    <w:rsid w:val="00675D53"/>
    <w:rsid w:val="0067751E"/>
    <w:rsid w:val="00682682"/>
    <w:rsid w:val="00682702"/>
    <w:rsid w:val="00683CB8"/>
    <w:rsid w:val="00687959"/>
    <w:rsid w:val="00690F3F"/>
    <w:rsid w:val="00692368"/>
    <w:rsid w:val="0069685F"/>
    <w:rsid w:val="006A2EBC"/>
    <w:rsid w:val="006A5EA0"/>
    <w:rsid w:val="006A783B"/>
    <w:rsid w:val="006A7B33"/>
    <w:rsid w:val="006B257E"/>
    <w:rsid w:val="006B4E13"/>
    <w:rsid w:val="006B5347"/>
    <w:rsid w:val="006B5D25"/>
    <w:rsid w:val="006B6A44"/>
    <w:rsid w:val="006B734B"/>
    <w:rsid w:val="006B75DD"/>
    <w:rsid w:val="006C67E0"/>
    <w:rsid w:val="006C7ABA"/>
    <w:rsid w:val="006D0A13"/>
    <w:rsid w:val="006D0BE9"/>
    <w:rsid w:val="006D0D60"/>
    <w:rsid w:val="006D1122"/>
    <w:rsid w:val="006D2BE2"/>
    <w:rsid w:val="006D317E"/>
    <w:rsid w:val="006D3B1E"/>
    <w:rsid w:val="006D3C00"/>
    <w:rsid w:val="006E1B6D"/>
    <w:rsid w:val="006E3675"/>
    <w:rsid w:val="006E4A7F"/>
    <w:rsid w:val="006E508C"/>
    <w:rsid w:val="006F022E"/>
    <w:rsid w:val="006F3FAC"/>
    <w:rsid w:val="00701B58"/>
    <w:rsid w:val="00702D30"/>
    <w:rsid w:val="00704DF6"/>
    <w:rsid w:val="0070523C"/>
    <w:rsid w:val="0070639B"/>
    <w:rsid w:val="0070651C"/>
    <w:rsid w:val="00711157"/>
    <w:rsid w:val="007132A3"/>
    <w:rsid w:val="0071533F"/>
    <w:rsid w:val="00716421"/>
    <w:rsid w:val="00720B1B"/>
    <w:rsid w:val="00721419"/>
    <w:rsid w:val="00721FEF"/>
    <w:rsid w:val="00722F0E"/>
    <w:rsid w:val="00723314"/>
    <w:rsid w:val="00724EFB"/>
    <w:rsid w:val="0073016B"/>
    <w:rsid w:val="00730310"/>
    <w:rsid w:val="007351C5"/>
    <w:rsid w:val="00737390"/>
    <w:rsid w:val="00740198"/>
    <w:rsid w:val="007416C3"/>
    <w:rsid w:val="007419C3"/>
    <w:rsid w:val="0074551B"/>
    <w:rsid w:val="00745C86"/>
    <w:rsid w:val="007467A7"/>
    <w:rsid w:val="007469DD"/>
    <w:rsid w:val="0074741B"/>
    <w:rsid w:val="0074759E"/>
    <w:rsid w:val="007478EA"/>
    <w:rsid w:val="0075415C"/>
    <w:rsid w:val="00754694"/>
    <w:rsid w:val="00756412"/>
    <w:rsid w:val="00757097"/>
    <w:rsid w:val="00760DCE"/>
    <w:rsid w:val="00761FC0"/>
    <w:rsid w:val="00763502"/>
    <w:rsid w:val="007635A3"/>
    <w:rsid w:val="00766A93"/>
    <w:rsid w:val="007719A6"/>
    <w:rsid w:val="00777766"/>
    <w:rsid w:val="00777B92"/>
    <w:rsid w:val="0078095C"/>
    <w:rsid w:val="00782595"/>
    <w:rsid w:val="00787D33"/>
    <w:rsid w:val="007913AB"/>
    <w:rsid w:val="007914F7"/>
    <w:rsid w:val="00795B30"/>
    <w:rsid w:val="00796811"/>
    <w:rsid w:val="00796EBC"/>
    <w:rsid w:val="007A0120"/>
    <w:rsid w:val="007A550A"/>
    <w:rsid w:val="007A580A"/>
    <w:rsid w:val="007B1625"/>
    <w:rsid w:val="007B383C"/>
    <w:rsid w:val="007B6BC2"/>
    <w:rsid w:val="007B706E"/>
    <w:rsid w:val="007B71EB"/>
    <w:rsid w:val="007C0C17"/>
    <w:rsid w:val="007C149B"/>
    <w:rsid w:val="007C1779"/>
    <w:rsid w:val="007C49DA"/>
    <w:rsid w:val="007C6205"/>
    <w:rsid w:val="007C686A"/>
    <w:rsid w:val="007C728E"/>
    <w:rsid w:val="007D2614"/>
    <w:rsid w:val="007D2C53"/>
    <w:rsid w:val="007D324C"/>
    <w:rsid w:val="007D3C45"/>
    <w:rsid w:val="007D3D60"/>
    <w:rsid w:val="007D4B04"/>
    <w:rsid w:val="007D521C"/>
    <w:rsid w:val="007E0B67"/>
    <w:rsid w:val="007E1980"/>
    <w:rsid w:val="007E4B76"/>
    <w:rsid w:val="007E4C6E"/>
    <w:rsid w:val="007E5EA8"/>
    <w:rsid w:val="007E6069"/>
    <w:rsid w:val="007F0CF1"/>
    <w:rsid w:val="007F1282"/>
    <w:rsid w:val="007F12A5"/>
    <w:rsid w:val="007F17AB"/>
    <w:rsid w:val="007F2D74"/>
    <w:rsid w:val="007F3FB7"/>
    <w:rsid w:val="007F4CF1"/>
    <w:rsid w:val="007F55FC"/>
    <w:rsid w:val="007F758D"/>
    <w:rsid w:val="007F7D52"/>
    <w:rsid w:val="00801649"/>
    <w:rsid w:val="0080484A"/>
    <w:rsid w:val="00805589"/>
    <w:rsid w:val="0080654C"/>
    <w:rsid w:val="008071C6"/>
    <w:rsid w:val="00807DBA"/>
    <w:rsid w:val="00814147"/>
    <w:rsid w:val="00814C0A"/>
    <w:rsid w:val="00815D4C"/>
    <w:rsid w:val="00816AF4"/>
    <w:rsid w:val="00817A00"/>
    <w:rsid w:val="00820B95"/>
    <w:rsid w:val="008214D1"/>
    <w:rsid w:val="008219EF"/>
    <w:rsid w:val="00824AC7"/>
    <w:rsid w:val="00825AD9"/>
    <w:rsid w:val="00826CBE"/>
    <w:rsid w:val="00827CF3"/>
    <w:rsid w:val="008300CB"/>
    <w:rsid w:val="00831631"/>
    <w:rsid w:val="00831764"/>
    <w:rsid w:val="00831AAF"/>
    <w:rsid w:val="00835DB3"/>
    <w:rsid w:val="0083617B"/>
    <w:rsid w:val="00836342"/>
    <w:rsid w:val="00836A2D"/>
    <w:rsid w:val="008371BD"/>
    <w:rsid w:val="0084059F"/>
    <w:rsid w:val="008504A8"/>
    <w:rsid w:val="00851B58"/>
    <w:rsid w:val="0085282E"/>
    <w:rsid w:val="0085664C"/>
    <w:rsid w:val="00861CBD"/>
    <w:rsid w:val="0087198C"/>
    <w:rsid w:val="00872C1F"/>
    <w:rsid w:val="00873B42"/>
    <w:rsid w:val="00877A8D"/>
    <w:rsid w:val="00880D1A"/>
    <w:rsid w:val="00884F33"/>
    <w:rsid w:val="008856D8"/>
    <w:rsid w:val="00892E82"/>
    <w:rsid w:val="00893277"/>
    <w:rsid w:val="00893855"/>
    <w:rsid w:val="008A002C"/>
    <w:rsid w:val="008A1019"/>
    <w:rsid w:val="008A1035"/>
    <w:rsid w:val="008A1978"/>
    <w:rsid w:val="008A51C8"/>
    <w:rsid w:val="008A52E5"/>
    <w:rsid w:val="008A58A9"/>
    <w:rsid w:val="008A6E08"/>
    <w:rsid w:val="008A760C"/>
    <w:rsid w:val="008B3708"/>
    <w:rsid w:val="008B4250"/>
    <w:rsid w:val="008B5CF0"/>
    <w:rsid w:val="008B6C29"/>
    <w:rsid w:val="008C1B58"/>
    <w:rsid w:val="008C1D20"/>
    <w:rsid w:val="008C20A0"/>
    <w:rsid w:val="008C39AE"/>
    <w:rsid w:val="008C40DF"/>
    <w:rsid w:val="008C590D"/>
    <w:rsid w:val="008D3940"/>
    <w:rsid w:val="008D4560"/>
    <w:rsid w:val="008D5262"/>
    <w:rsid w:val="008D7566"/>
    <w:rsid w:val="008E031B"/>
    <w:rsid w:val="008E41AB"/>
    <w:rsid w:val="008E45EC"/>
    <w:rsid w:val="008E7029"/>
    <w:rsid w:val="008E7EF6"/>
    <w:rsid w:val="008F1F98"/>
    <w:rsid w:val="008F2790"/>
    <w:rsid w:val="008F2A0F"/>
    <w:rsid w:val="008F4A52"/>
    <w:rsid w:val="008F60E9"/>
    <w:rsid w:val="008F6758"/>
    <w:rsid w:val="008F6E9D"/>
    <w:rsid w:val="009003DE"/>
    <w:rsid w:val="009022A9"/>
    <w:rsid w:val="009040DD"/>
    <w:rsid w:val="00904BAB"/>
    <w:rsid w:val="00905B47"/>
    <w:rsid w:val="0090628A"/>
    <w:rsid w:val="00907758"/>
    <w:rsid w:val="00907943"/>
    <w:rsid w:val="009101D5"/>
    <w:rsid w:val="00910686"/>
    <w:rsid w:val="00910FE3"/>
    <w:rsid w:val="00911391"/>
    <w:rsid w:val="0091331C"/>
    <w:rsid w:val="009137BD"/>
    <w:rsid w:val="00926975"/>
    <w:rsid w:val="009279DE"/>
    <w:rsid w:val="00927F11"/>
    <w:rsid w:val="0093009A"/>
    <w:rsid w:val="00930116"/>
    <w:rsid w:val="00930CD5"/>
    <w:rsid w:val="0093140A"/>
    <w:rsid w:val="0093287D"/>
    <w:rsid w:val="009341C8"/>
    <w:rsid w:val="00937602"/>
    <w:rsid w:val="00941D4C"/>
    <w:rsid w:val="0094212C"/>
    <w:rsid w:val="00945FD4"/>
    <w:rsid w:val="00947DEF"/>
    <w:rsid w:val="00951C4B"/>
    <w:rsid w:val="0095378C"/>
    <w:rsid w:val="009542CD"/>
    <w:rsid w:val="00954689"/>
    <w:rsid w:val="00955858"/>
    <w:rsid w:val="00955C70"/>
    <w:rsid w:val="009574F3"/>
    <w:rsid w:val="009617C9"/>
    <w:rsid w:val="00961C93"/>
    <w:rsid w:val="00965324"/>
    <w:rsid w:val="0097032C"/>
    <w:rsid w:val="0097091E"/>
    <w:rsid w:val="00971C0D"/>
    <w:rsid w:val="00973CC1"/>
    <w:rsid w:val="00974541"/>
    <w:rsid w:val="0097573A"/>
    <w:rsid w:val="009760D3"/>
    <w:rsid w:val="00977132"/>
    <w:rsid w:val="00980235"/>
    <w:rsid w:val="00981A4B"/>
    <w:rsid w:val="00982250"/>
    <w:rsid w:val="00982501"/>
    <w:rsid w:val="00982B7C"/>
    <w:rsid w:val="009843C0"/>
    <w:rsid w:val="009877D3"/>
    <w:rsid w:val="00991234"/>
    <w:rsid w:val="009919AF"/>
    <w:rsid w:val="0099203B"/>
    <w:rsid w:val="009942E3"/>
    <w:rsid w:val="00994E8F"/>
    <w:rsid w:val="009951DC"/>
    <w:rsid w:val="009959BB"/>
    <w:rsid w:val="00997158"/>
    <w:rsid w:val="00997161"/>
    <w:rsid w:val="009A2D22"/>
    <w:rsid w:val="009A3A7C"/>
    <w:rsid w:val="009A5D33"/>
    <w:rsid w:val="009A652F"/>
    <w:rsid w:val="009A69D0"/>
    <w:rsid w:val="009B0CEB"/>
    <w:rsid w:val="009B0FF4"/>
    <w:rsid w:val="009B16C0"/>
    <w:rsid w:val="009B2323"/>
    <w:rsid w:val="009B2ADB"/>
    <w:rsid w:val="009B366D"/>
    <w:rsid w:val="009B4DFC"/>
    <w:rsid w:val="009B5ED7"/>
    <w:rsid w:val="009B603A"/>
    <w:rsid w:val="009C0DFA"/>
    <w:rsid w:val="009C2262"/>
    <w:rsid w:val="009C2D0E"/>
    <w:rsid w:val="009C3246"/>
    <w:rsid w:val="009C3DAC"/>
    <w:rsid w:val="009C42E0"/>
    <w:rsid w:val="009D1D57"/>
    <w:rsid w:val="009D5362"/>
    <w:rsid w:val="009E1415"/>
    <w:rsid w:val="009E421F"/>
    <w:rsid w:val="009E6116"/>
    <w:rsid w:val="009E7E25"/>
    <w:rsid w:val="009E7E5A"/>
    <w:rsid w:val="009F6993"/>
    <w:rsid w:val="00A02E43"/>
    <w:rsid w:val="00A05368"/>
    <w:rsid w:val="00A0579B"/>
    <w:rsid w:val="00A065F9"/>
    <w:rsid w:val="00A07011"/>
    <w:rsid w:val="00A07F34"/>
    <w:rsid w:val="00A134B2"/>
    <w:rsid w:val="00A22154"/>
    <w:rsid w:val="00A24058"/>
    <w:rsid w:val="00A25364"/>
    <w:rsid w:val="00A25C38"/>
    <w:rsid w:val="00A27CB4"/>
    <w:rsid w:val="00A30DEA"/>
    <w:rsid w:val="00A32F4B"/>
    <w:rsid w:val="00A36BBE"/>
    <w:rsid w:val="00A37C20"/>
    <w:rsid w:val="00A40D9E"/>
    <w:rsid w:val="00A42ECA"/>
    <w:rsid w:val="00A4307A"/>
    <w:rsid w:val="00A43332"/>
    <w:rsid w:val="00A46F0F"/>
    <w:rsid w:val="00A47EBB"/>
    <w:rsid w:val="00A50B03"/>
    <w:rsid w:val="00A51CDD"/>
    <w:rsid w:val="00A56BBA"/>
    <w:rsid w:val="00A579D6"/>
    <w:rsid w:val="00A6730D"/>
    <w:rsid w:val="00A7050E"/>
    <w:rsid w:val="00A7136B"/>
    <w:rsid w:val="00A71625"/>
    <w:rsid w:val="00A71B9B"/>
    <w:rsid w:val="00A72DA2"/>
    <w:rsid w:val="00A74588"/>
    <w:rsid w:val="00A751C7"/>
    <w:rsid w:val="00A8579A"/>
    <w:rsid w:val="00A87844"/>
    <w:rsid w:val="00A95B08"/>
    <w:rsid w:val="00A95DA6"/>
    <w:rsid w:val="00AA038C"/>
    <w:rsid w:val="00AA03FE"/>
    <w:rsid w:val="00AA0CBF"/>
    <w:rsid w:val="00AA4578"/>
    <w:rsid w:val="00AA7A09"/>
    <w:rsid w:val="00AB3B50"/>
    <w:rsid w:val="00AB5B59"/>
    <w:rsid w:val="00AB6C88"/>
    <w:rsid w:val="00AC05B1"/>
    <w:rsid w:val="00AC0AC6"/>
    <w:rsid w:val="00AD1FE6"/>
    <w:rsid w:val="00AD2514"/>
    <w:rsid w:val="00AD356C"/>
    <w:rsid w:val="00AD4EB8"/>
    <w:rsid w:val="00AE2914"/>
    <w:rsid w:val="00AE3931"/>
    <w:rsid w:val="00AE5C7F"/>
    <w:rsid w:val="00AE632F"/>
    <w:rsid w:val="00AE6D15"/>
    <w:rsid w:val="00AE78AA"/>
    <w:rsid w:val="00AF1F49"/>
    <w:rsid w:val="00AF21EE"/>
    <w:rsid w:val="00AF4BC4"/>
    <w:rsid w:val="00B04182"/>
    <w:rsid w:val="00B05ECF"/>
    <w:rsid w:val="00B07AE3"/>
    <w:rsid w:val="00B11430"/>
    <w:rsid w:val="00B11C42"/>
    <w:rsid w:val="00B17168"/>
    <w:rsid w:val="00B23BB1"/>
    <w:rsid w:val="00B242F4"/>
    <w:rsid w:val="00B24D1C"/>
    <w:rsid w:val="00B30481"/>
    <w:rsid w:val="00B353EB"/>
    <w:rsid w:val="00B379BE"/>
    <w:rsid w:val="00B4016F"/>
    <w:rsid w:val="00B407AC"/>
    <w:rsid w:val="00B40B14"/>
    <w:rsid w:val="00B439C4"/>
    <w:rsid w:val="00B43B60"/>
    <w:rsid w:val="00B4535E"/>
    <w:rsid w:val="00B45368"/>
    <w:rsid w:val="00B52A8C"/>
    <w:rsid w:val="00B54707"/>
    <w:rsid w:val="00B56973"/>
    <w:rsid w:val="00B57EC6"/>
    <w:rsid w:val="00B602EF"/>
    <w:rsid w:val="00B62F11"/>
    <w:rsid w:val="00B62F3E"/>
    <w:rsid w:val="00B636A8"/>
    <w:rsid w:val="00B665C6"/>
    <w:rsid w:val="00B75178"/>
    <w:rsid w:val="00B758A5"/>
    <w:rsid w:val="00B7608C"/>
    <w:rsid w:val="00B805AF"/>
    <w:rsid w:val="00B86794"/>
    <w:rsid w:val="00B869EC"/>
    <w:rsid w:val="00B9397A"/>
    <w:rsid w:val="00B9633D"/>
    <w:rsid w:val="00B96F9D"/>
    <w:rsid w:val="00BA221A"/>
    <w:rsid w:val="00BA2EBE"/>
    <w:rsid w:val="00BA48FD"/>
    <w:rsid w:val="00BB0F28"/>
    <w:rsid w:val="00BB26C8"/>
    <w:rsid w:val="00BB458A"/>
    <w:rsid w:val="00BB47C6"/>
    <w:rsid w:val="00BB6B52"/>
    <w:rsid w:val="00BB6EC2"/>
    <w:rsid w:val="00BC59A5"/>
    <w:rsid w:val="00BC6D01"/>
    <w:rsid w:val="00BD00D3"/>
    <w:rsid w:val="00BD1659"/>
    <w:rsid w:val="00BD3AA9"/>
    <w:rsid w:val="00BD4A18"/>
    <w:rsid w:val="00BD5145"/>
    <w:rsid w:val="00BD567F"/>
    <w:rsid w:val="00BD65A1"/>
    <w:rsid w:val="00BD6DB2"/>
    <w:rsid w:val="00BD73A1"/>
    <w:rsid w:val="00BE11CF"/>
    <w:rsid w:val="00BE21AB"/>
    <w:rsid w:val="00BE3968"/>
    <w:rsid w:val="00BE3D9B"/>
    <w:rsid w:val="00BE55CB"/>
    <w:rsid w:val="00BE7067"/>
    <w:rsid w:val="00BF2202"/>
    <w:rsid w:val="00BF2330"/>
    <w:rsid w:val="00BF617A"/>
    <w:rsid w:val="00BF67CF"/>
    <w:rsid w:val="00C01B6F"/>
    <w:rsid w:val="00C02946"/>
    <w:rsid w:val="00C0379D"/>
    <w:rsid w:val="00C03931"/>
    <w:rsid w:val="00C04941"/>
    <w:rsid w:val="00C05FE3"/>
    <w:rsid w:val="00C11549"/>
    <w:rsid w:val="00C13BBB"/>
    <w:rsid w:val="00C16F59"/>
    <w:rsid w:val="00C2136D"/>
    <w:rsid w:val="00C214EE"/>
    <w:rsid w:val="00C2314B"/>
    <w:rsid w:val="00C23A48"/>
    <w:rsid w:val="00C24971"/>
    <w:rsid w:val="00C24C8A"/>
    <w:rsid w:val="00C25355"/>
    <w:rsid w:val="00C26BE5"/>
    <w:rsid w:val="00C26E4D"/>
    <w:rsid w:val="00C27909"/>
    <w:rsid w:val="00C27B03"/>
    <w:rsid w:val="00C27CA8"/>
    <w:rsid w:val="00C300F8"/>
    <w:rsid w:val="00C314E1"/>
    <w:rsid w:val="00C34397"/>
    <w:rsid w:val="00C35FAF"/>
    <w:rsid w:val="00C36B5D"/>
    <w:rsid w:val="00C40503"/>
    <w:rsid w:val="00C4095D"/>
    <w:rsid w:val="00C412B6"/>
    <w:rsid w:val="00C43EFB"/>
    <w:rsid w:val="00C51E24"/>
    <w:rsid w:val="00C56E50"/>
    <w:rsid w:val="00C601D2"/>
    <w:rsid w:val="00C610B4"/>
    <w:rsid w:val="00C6320C"/>
    <w:rsid w:val="00C65BCC"/>
    <w:rsid w:val="00C66970"/>
    <w:rsid w:val="00C76F93"/>
    <w:rsid w:val="00C802DB"/>
    <w:rsid w:val="00C8691C"/>
    <w:rsid w:val="00C92E19"/>
    <w:rsid w:val="00CA168A"/>
    <w:rsid w:val="00CA2097"/>
    <w:rsid w:val="00CA357E"/>
    <w:rsid w:val="00CA44F9"/>
    <w:rsid w:val="00CA48A2"/>
    <w:rsid w:val="00CA4A69"/>
    <w:rsid w:val="00CA6E0B"/>
    <w:rsid w:val="00CB5FE4"/>
    <w:rsid w:val="00CB6923"/>
    <w:rsid w:val="00CB71FA"/>
    <w:rsid w:val="00CC1885"/>
    <w:rsid w:val="00CC3C5C"/>
    <w:rsid w:val="00CC3E0C"/>
    <w:rsid w:val="00CC409A"/>
    <w:rsid w:val="00CC58D3"/>
    <w:rsid w:val="00CC784D"/>
    <w:rsid w:val="00CD3A97"/>
    <w:rsid w:val="00CD4340"/>
    <w:rsid w:val="00CE2032"/>
    <w:rsid w:val="00CE5FFC"/>
    <w:rsid w:val="00CE776E"/>
    <w:rsid w:val="00CF0D50"/>
    <w:rsid w:val="00CF3D6C"/>
    <w:rsid w:val="00CF6869"/>
    <w:rsid w:val="00CF7ECB"/>
    <w:rsid w:val="00D02D28"/>
    <w:rsid w:val="00D0337B"/>
    <w:rsid w:val="00D04351"/>
    <w:rsid w:val="00D07777"/>
    <w:rsid w:val="00D079B2"/>
    <w:rsid w:val="00D07CB5"/>
    <w:rsid w:val="00D114E9"/>
    <w:rsid w:val="00D15267"/>
    <w:rsid w:val="00D17542"/>
    <w:rsid w:val="00D17B77"/>
    <w:rsid w:val="00D17CD8"/>
    <w:rsid w:val="00D2255C"/>
    <w:rsid w:val="00D2266C"/>
    <w:rsid w:val="00D25C3B"/>
    <w:rsid w:val="00D313B3"/>
    <w:rsid w:val="00D33CEC"/>
    <w:rsid w:val="00D429C6"/>
    <w:rsid w:val="00D47748"/>
    <w:rsid w:val="00D502DD"/>
    <w:rsid w:val="00D54092"/>
    <w:rsid w:val="00D54CC3"/>
    <w:rsid w:val="00D6041A"/>
    <w:rsid w:val="00D633EB"/>
    <w:rsid w:val="00D636AE"/>
    <w:rsid w:val="00D70894"/>
    <w:rsid w:val="00D72120"/>
    <w:rsid w:val="00D76403"/>
    <w:rsid w:val="00D82FF7"/>
    <w:rsid w:val="00D844EB"/>
    <w:rsid w:val="00D847FE"/>
    <w:rsid w:val="00D84B8F"/>
    <w:rsid w:val="00D860F7"/>
    <w:rsid w:val="00D86B9C"/>
    <w:rsid w:val="00D90A39"/>
    <w:rsid w:val="00D92F3B"/>
    <w:rsid w:val="00D950BC"/>
    <w:rsid w:val="00D964EA"/>
    <w:rsid w:val="00D966D0"/>
    <w:rsid w:val="00D96763"/>
    <w:rsid w:val="00DA0C59"/>
    <w:rsid w:val="00DA3991"/>
    <w:rsid w:val="00DA72A1"/>
    <w:rsid w:val="00DA7F95"/>
    <w:rsid w:val="00DB5824"/>
    <w:rsid w:val="00DB6F72"/>
    <w:rsid w:val="00DB7E6C"/>
    <w:rsid w:val="00DC5ABB"/>
    <w:rsid w:val="00DD252A"/>
    <w:rsid w:val="00DD3984"/>
    <w:rsid w:val="00DD5826"/>
    <w:rsid w:val="00DD5A29"/>
    <w:rsid w:val="00DD5D9D"/>
    <w:rsid w:val="00DE241C"/>
    <w:rsid w:val="00DE35CB"/>
    <w:rsid w:val="00DE70B2"/>
    <w:rsid w:val="00DF0707"/>
    <w:rsid w:val="00DF0EF0"/>
    <w:rsid w:val="00DF21E9"/>
    <w:rsid w:val="00DF22C7"/>
    <w:rsid w:val="00DF2557"/>
    <w:rsid w:val="00DF6F2E"/>
    <w:rsid w:val="00DF7165"/>
    <w:rsid w:val="00E0003C"/>
    <w:rsid w:val="00E00F14"/>
    <w:rsid w:val="00E04522"/>
    <w:rsid w:val="00E06386"/>
    <w:rsid w:val="00E075C5"/>
    <w:rsid w:val="00E076D3"/>
    <w:rsid w:val="00E11668"/>
    <w:rsid w:val="00E122B7"/>
    <w:rsid w:val="00E12FC9"/>
    <w:rsid w:val="00E13DAD"/>
    <w:rsid w:val="00E16AEA"/>
    <w:rsid w:val="00E16FA3"/>
    <w:rsid w:val="00E22109"/>
    <w:rsid w:val="00E24EB4"/>
    <w:rsid w:val="00E3005D"/>
    <w:rsid w:val="00E320ED"/>
    <w:rsid w:val="00E33AFB"/>
    <w:rsid w:val="00E34218"/>
    <w:rsid w:val="00E37264"/>
    <w:rsid w:val="00E42B30"/>
    <w:rsid w:val="00E430A4"/>
    <w:rsid w:val="00E45641"/>
    <w:rsid w:val="00E46282"/>
    <w:rsid w:val="00E50A61"/>
    <w:rsid w:val="00E5216E"/>
    <w:rsid w:val="00E554A1"/>
    <w:rsid w:val="00E60485"/>
    <w:rsid w:val="00E60FA5"/>
    <w:rsid w:val="00E657C6"/>
    <w:rsid w:val="00E676BB"/>
    <w:rsid w:val="00E67711"/>
    <w:rsid w:val="00E7160F"/>
    <w:rsid w:val="00E75424"/>
    <w:rsid w:val="00E76FF1"/>
    <w:rsid w:val="00E80359"/>
    <w:rsid w:val="00E80AE5"/>
    <w:rsid w:val="00E80EFA"/>
    <w:rsid w:val="00E81206"/>
    <w:rsid w:val="00E822BD"/>
    <w:rsid w:val="00E82344"/>
    <w:rsid w:val="00E8285B"/>
    <w:rsid w:val="00E84C82"/>
    <w:rsid w:val="00E84D64"/>
    <w:rsid w:val="00E87408"/>
    <w:rsid w:val="00E875FC"/>
    <w:rsid w:val="00E90C94"/>
    <w:rsid w:val="00E90F1C"/>
    <w:rsid w:val="00E914C4"/>
    <w:rsid w:val="00E934F5"/>
    <w:rsid w:val="00E968A3"/>
    <w:rsid w:val="00E96961"/>
    <w:rsid w:val="00EA52B0"/>
    <w:rsid w:val="00EA72EC"/>
    <w:rsid w:val="00EB11CB"/>
    <w:rsid w:val="00EB1C71"/>
    <w:rsid w:val="00EB275A"/>
    <w:rsid w:val="00EB57CA"/>
    <w:rsid w:val="00EB5839"/>
    <w:rsid w:val="00EB786A"/>
    <w:rsid w:val="00EC1578"/>
    <w:rsid w:val="00EC185F"/>
    <w:rsid w:val="00EC1BFC"/>
    <w:rsid w:val="00EC1C72"/>
    <w:rsid w:val="00EC1E56"/>
    <w:rsid w:val="00EC3CC9"/>
    <w:rsid w:val="00EC680A"/>
    <w:rsid w:val="00ED0290"/>
    <w:rsid w:val="00ED0AE8"/>
    <w:rsid w:val="00ED0EE3"/>
    <w:rsid w:val="00ED0F02"/>
    <w:rsid w:val="00ED3F11"/>
    <w:rsid w:val="00ED5812"/>
    <w:rsid w:val="00ED7C15"/>
    <w:rsid w:val="00EE25CB"/>
    <w:rsid w:val="00EE2BED"/>
    <w:rsid w:val="00EE374B"/>
    <w:rsid w:val="00EE3F0B"/>
    <w:rsid w:val="00EE5FFD"/>
    <w:rsid w:val="00EF0102"/>
    <w:rsid w:val="00EF2869"/>
    <w:rsid w:val="00EF5D15"/>
    <w:rsid w:val="00EF76AB"/>
    <w:rsid w:val="00F103D8"/>
    <w:rsid w:val="00F11BB5"/>
    <w:rsid w:val="00F12D64"/>
    <w:rsid w:val="00F1417B"/>
    <w:rsid w:val="00F14E14"/>
    <w:rsid w:val="00F17A17"/>
    <w:rsid w:val="00F20129"/>
    <w:rsid w:val="00F208A0"/>
    <w:rsid w:val="00F2115E"/>
    <w:rsid w:val="00F23E01"/>
    <w:rsid w:val="00F30ABD"/>
    <w:rsid w:val="00F311CA"/>
    <w:rsid w:val="00F3131C"/>
    <w:rsid w:val="00F323B0"/>
    <w:rsid w:val="00F34B99"/>
    <w:rsid w:val="00F34CF5"/>
    <w:rsid w:val="00F36860"/>
    <w:rsid w:val="00F45889"/>
    <w:rsid w:val="00F47BDD"/>
    <w:rsid w:val="00F51CF2"/>
    <w:rsid w:val="00F52DAB"/>
    <w:rsid w:val="00F543F0"/>
    <w:rsid w:val="00F55E3E"/>
    <w:rsid w:val="00F560AE"/>
    <w:rsid w:val="00F56CCD"/>
    <w:rsid w:val="00F57601"/>
    <w:rsid w:val="00F5795E"/>
    <w:rsid w:val="00F6307B"/>
    <w:rsid w:val="00F71994"/>
    <w:rsid w:val="00F72878"/>
    <w:rsid w:val="00F73F99"/>
    <w:rsid w:val="00F7410B"/>
    <w:rsid w:val="00F76B7B"/>
    <w:rsid w:val="00F77A55"/>
    <w:rsid w:val="00F77F45"/>
    <w:rsid w:val="00F81D29"/>
    <w:rsid w:val="00F84732"/>
    <w:rsid w:val="00F87DD9"/>
    <w:rsid w:val="00F90BE5"/>
    <w:rsid w:val="00F91C4D"/>
    <w:rsid w:val="00F92FD9"/>
    <w:rsid w:val="00F96B75"/>
    <w:rsid w:val="00FA16E4"/>
    <w:rsid w:val="00FA238C"/>
    <w:rsid w:val="00FA5EF7"/>
    <w:rsid w:val="00FA5FC7"/>
    <w:rsid w:val="00FA6684"/>
    <w:rsid w:val="00FA731E"/>
    <w:rsid w:val="00FA7BD0"/>
    <w:rsid w:val="00FB03DE"/>
    <w:rsid w:val="00FB0442"/>
    <w:rsid w:val="00FB1DCF"/>
    <w:rsid w:val="00FB2B38"/>
    <w:rsid w:val="00FC04F0"/>
    <w:rsid w:val="00FC6358"/>
    <w:rsid w:val="00FC6A02"/>
    <w:rsid w:val="00FC7317"/>
    <w:rsid w:val="00FD05F0"/>
    <w:rsid w:val="00FD146D"/>
    <w:rsid w:val="00FD1A89"/>
    <w:rsid w:val="00FD26CC"/>
    <w:rsid w:val="00FD320D"/>
    <w:rsid w:val="00FD420F"/>
    <w:rsid w:val="00FD49F3"/>
    <w:rsid w:val="00FD5CC2"/>
    <w:rsid w:val="00FD6600"/>
    <w:rsid w:val="00FE16B2"/>
    <w:rsid w:val="00FE1B98"/>
    <w:rsid w:val="00FE23DE"/>
    <w:rsid w:val="00FE430A"/>
    <w:rsid w:val="00FF04EA"/>
    <w:rsid w:val="01724B65"/>
    <w:rsid w:val="01A62309"/>
    <w:rsid w:val="02B10984"/>
    <w:rsid w:val="03ED16EE"/>
    <w:rsid w:val="043B5B1D"/>
    <w:rsid w:val="045C155D"/>
    <w:rsid w:val="04B168AC"/>
    <w:rsid w:val="04C45B1A"/>
    <w:rsid w:val="04DA0634"/>
    <w:rsid w:val="05D435AC"/>
    <w:rsid w:val="05E35736"/>
    <w:rsid w:val="05E45B00"/>
    <w:rsid w:val="05E865EE"/>
    <w:rsid w:val="07A62B56"/>
    <w:rsid w:val="07BB5882"/>
    <w:rsid w:val="07FE0A1D"/>
    <w:rsid w:val="08092E61"/>
    <w:rsid w:val="08513E3D"/>
    <w:rsid w:val="087D1D69"/>
    <w:rsid w:val="08E855AE"/>
    <w:rsid w:val="098A3660"/>
    <w:rsid w:val="0A3C2426"/>
    <w:rsid w:val="0AB92128"/>
    <w:rsid w:val="0BCB0389"/>
    <w:rsid w:val="0BED0755"/>
    <w:rsid w:val="0CD463F6"/>
    <w:rsid w:val="0D1D7F74"/>
    <w:rsid w:val="0D6775BD"/>
    <w:rsid w:val="0D7C0AD1"/>
    <w:rsid w:val="0D980EFB"/>
    <w:rsid w:val="0DC4381E"/>
    <w:rsid w:val="0DDE62DB"/>
    <w:rsid w:val="0E704D73"/>
    <w:rsid w:val="0F103A8C"/>
    <w:rsid w:val="101B7298"/>
    <w:rsid w:val="106D49FE"/>
    <w:rsid w:val="116D4312"/>
    <w:rsid w:val="12943976"/>
    <w:rsid w:val="12A855F3"/>
    <w:rsid w:val="12C71F28"/>
    <w:rsid w:val="12FF7FA4"/>
    <w:rsid w:val="13A6710B"/>
    <w:rsid w:val="13C07FC9"/>
    <w:rsid w:val="14C73E52"/>
    <w:rsid w:val="14CB3CFD"/>
    <w:rsid w:val="14FD236B"/>
    <w:rsid w:val="163C0737"/>
    <w:rsid w:val="16944D98"/>
    <w:rsid w:val="174C361F"/>
    <w:rsid w:val="179D7294"/>
    <w:rsid w:val="19810D91"/>
    <w:rsid w:val="19BD1423"/>
    <w:rsid w:val="1A06597E"/>
    <w:rsid w:val="1A7F7A9F"/>
    <w:rsid w:val="1B5A1196"/>
    <w:rsid w:val="1BD4596F"/>
    <w:rsid w:val="1BDB3D38"/>
    <w:rsid w:val="1C3E123C"/>
    <w:rsid w:val="1C4F3780"/>
    <w:rsid w:val="1CE47EDC"/>
    <w:rsid w:val="1D541D22"/>
    <w:rsid w:val="1E6B0FA8"/>
    <w:rsid w:val="1F2133E1"/>
    <w:rsid w:val="1F7B106C"/>
    <w:rsid w:val="1FA47FA4"/>
    <w:rsid w:val="1FFC7047"/>
    <w:rsid w:val="200C411A"/>
    <w:rsid w:val="206D37B7"/>
    <w:rsid w:val="20CF5991"/>
    <w:rsid w:val="21021B35"/>
    <w:rsid w:val="215318B0"/>
    <w:rsid w:val="22504689"/>
    <w:rsid w:val="22B2663F"/>
    <w:rsid w:val="22E4684F"/>
    <w:rsid w:val="22EF6679"/>
    <w:rsid w:val="23E9521A"/>
    <w:rsid w:val="2402059B"/>
    <w:rsid w:val="24237BE0"/>
    <w:rsid w:val="24996963"/>
    <w:rsid w:val="25695BAA"/>
    <w:rsid w:val="26255551"/>
    <w:rsid w:val="26B84C71"/>
    <w:rsid w:val="270960F4"/>
    <w:rsid w:val="274B737C"/>
    <w:rsid w:val="276819AD"/>
    <w:rsid w:val="276A0C56"/>
    <w:rsid w:val="28377FC8"/>
    <w:rsid w:val="286F3F58"/>
    <w:rsid w:val="297A7283"/>
    <w:rsid w:val="2C183A38"/>
    <w:rsid w:val="2C376BD7"/>
    <w:rsid w:val="2C3D0568"/>
    <w:rsid w:val="2C9B1C8C"/>
    <w:rsid w:val="2DBF2EE2"/>
    <w:rsid w:val="2DCE5836"/>
    <w:rsid w:val="2DEB19C6"/>
    <w:rsid w:val="2DFE7A51"/>
    <w:rsid w:val="2ED44E1C"/>
    <w:rsid w:val="2F5D3701"/>
    <w:rsid w:val="2F7376A9"/>
    <w:rsid w:val="300073E5"/>
    <w:rsid w:val="302F6216"/>
    <w:rsid w:val="30BF0274"/>
    <w:rsid w:val="312B7D3C"/>
    <w:rsid w:val="31440067"/>
    <w:rsid w:val="314B1194"/>
    <w:rsid w:val="31A37E7D"/>
    <w:rsid w:val="32F64C23"/>
    <w:rsid w:val="330876A1"/>
    <w:rsid w:val="366B1A5B"/>
    <w:rsid w:val="3755708C"/>
    <w:rsid w:val="37584A16"/>
    <w:rsid w:val="379569EE"/>
    <w:rsid w:val="379A40A8"/>
    <w:rsid w:val="38041873"/>
    <w:rsid w:val="38972B8D"/>
    <w:rsid w:val="39250EC2"/>
    <w:rsid w:val="3A5D32C3"/>
    <w:rsid w:val="3A82150C"/>
    <w:rsid w:val="3A9B4BC1"/>
    <w:rsid w:val="3B006C01"/>
    <w:rsid w:val="3B0868AC"/>
    <w:rsid w:val="3B7F3028"/>
    <w:rsid w:val="3B99762F"/>
    <w:rsid w:val="3BC80006"/>
    <w:rsid w:val="3BD51ECF"/>
    <w:rsid w:val="3C7231E8"/>
    <w:rsid w:val="3CE27BC9"/>
    <w:rsid w:val="3D515E24"/>
    <w:rsid w:val="3D811B81"/>
    <w:rsid w:val="3DAE2E67"/>
    <w:rsid w:val="3E096210"/>
    <w:rsid w:val="3E2E003E"/>
    <w:rsid w:val="3EA83171"/>
    <w:rsid w:val="3EE12B1B"/>
    <w:rsid w:val="3F2531BC"/>
    <w:rsid w:val="3F2D66A3"/>
    <w:rsid w:val="41077679"/>
    <w:rsid w:val="41CA769E"/>
    <w:rsid w:val="420C64C7"/>
    <w:rsid w:val="42BB041B"/>
    <w:rsid w:val="43A041A6"/>
    <w:rsid w:val="45EE1124"/>
    <w:rsid w:val="46E20F2D"/>
    <w:rsid w:val="46EF08FC"/>
    <w:rsid w:val="47157C8D"/>
    <w:rsid w:val="471E4E0C"/>
    <w:rsid w:val="47BB7FEA"/>
    <w:rsid w:val="47F652A3"/>
    <w:rsid w:val="48501327"/>
    <w:rsid w:val="488A7028"/>
    <w:rsid w:val="49B03B73"/>
    <w:rsid w:val="49DC7BCE"/>
    <w:rsid w:val="4AAB60AE"/>
    <w:rsid w:val="4B2A369E"/>
    <w:rsid w:val="4B3025CB"/>
    <w:rsid w:val="4B5745D9"/>
    <w:rsid w:val="4C4818E9"/>
    <w:rsid w:val="4C581508"/>
    <w:rsid w:val="4D257BE3"/>
    <w:rsid w:val="4D8716A5"/>
    <w:rsid w:val="4DF60AF7"/>
    <w:rsid w:val="4E470E84"/>
    <w:rsid w:val="4E7445FC"/>
    <w:rsid w:val="4F134E85"/>
    <w:rsid w:val="4F676951"/>
    <w:rsid w:val="4FB62988"/>
    <w:rsid w:val="507752D3"/>
    <w:rsid w:val="511A5A78"/>
    <w:rsid w:val="52EF7FBA"/>
    <w:rsid w:val="541E1CE5"/>
    <w:rsid w:val="559214DB"/>
    <w:rsid w:val="5624326E"/>
    <w:rsid w:val="568A5D35"/>
    <w:rsid w:val="56A771F7"/>
    <w:rsid w:val="56E07568"/>
    <w:rsid w:val="573C0917"/>
    <w:rsid w:val="57626D1E"/>
    <w:rsid w:val="579E3CF6"/>
    <w:rsid w:val="57E73ED2"/>
    <w:rsid w:val="58262070"/>
    <w:rsid w:val="589367FA"/>
    <w:rsid w:val="59095781"/>
    <w:rsid w:val="5A5904B8"/>
    <w:rsid w:val="5ABF7C15"/>
    <w:rsid w:val="5B712801"/>
    <w:rsid w:val="5B802232"/>
    <w:rsid w:val="5BA1125F"/>
    <w:rsid w:val="5C0D3ED5"/>
    <w:rsid w:val="5C3B7CCB"/>
    <w:rsid w:val="5C445D68"/>
    <w:rsid w:val="5CAA4EA4"/>
    <w:rsid w:val="5CD4054E"/>
    <w:rsid w:val="5D416ADB"/>
    <w:rsid w:val="5D911364"/>
    <w:rsid w:val="5DB720F0"/>
    <w:rsid w:val="5E0B29CA"/>
    <w:rsid w:val="5E1D50B7"/>
    <w:rsid w:val="5E275FA1"/>
    <w:rsid w:val="5F187C6F"/>
    <w:rsid w:val="5F510ED3"/>
    <w:rsid w:val="5F6B042A"/>
    <w:rsid w:val="5F965EA9"/>
    <w:rsid w:val="5FC32847"/>
    <w:rsid w:val="5FFD676A"/>
    <w:rsid w:val="613F53DA"/>
    <w:rsid w:val="62C9152A"/>
    <w:rsid w:val="631B6D1B"/>
    <w:rsid w:val="635C5F80"/>
    <w:rsid w:val="63622D18"/>
    <w:rsid w:val="63624615"/>
    <w:rsid w:val="638C2D90"/>
    <w:rsid w:val="63FB22CC"/>
    <w:rsid w:val="64501414"/>
    <w:rsid w:val="645D3D91"/>
    <w:rsid w:val="64A522D0"/>
    <w:rsid w:val="64F34CC3"/>
    <w:rsid w:val="651C2C3A"/>
    <w:rsid w:val="65BF1C84"/>
    <w:rsid w:val="65E74233"/>
    <w:rsid w:val="65F73845"/>
    <w:rsid w:val="663A40D2"/>
    <w:rsid w:val="668A4CA8"/>
    <w:rsid w:val="669A30F5"/>
    <w:rsid w:val="66E74C34"/>
    <w:rsid w:val="675B3DC8"/>
    <w:rsid w:val="67C33CC6"/>
    <w:rsid w:val="67F51C77"/>
    <w:rsid w:val="687C1283"/>
    <w:rsid w:val="69BE748A"/>
    <w:rsid w:val="69FB4B58"/>
    <w:rsid w:val="6A2738F0"/>
    <w:rsid w:val="6A2A64BE"/>
    <w:rsid w:val="6A6C4FFD"/>
    <w:rsid w:val="6AAF74B8"/>
    <w:rsid w:val="6B094C44"/>
    <w:rsid w:val="6B241D06"/>
    <w:rsid w:val="6BB22FD5"/>
    <w:rsid w:val="6BC53E89"/>
    <w:rsid w:val="6BFD1BF9"/>
    <w:rsid w:val="6C0B07EF"/>
    <w:rsid w:val="6D9B18F8"/>
    <w:rsid w:val="6DA83526"/>
    <w:rsid w:val="6DF642BA"/>
    <w:rsid w:val="6E10027F"/>
    <w:rsid w:val="6E1520C3"/>
    <w:rsid w:val="6E75315F"/>
    <w:rsid w:val="6EEC22A5"/>
    <w:rsid w:val="6EFC52F8"/>
    <w:rsid w:val="6F3A0813"/>
    <w:rsid w:val="6F7C1A6B"/>
    <w:rsid w:val="6F8016A0"/>
    <w:rsid w:val="707415D4"/>
    <w:rsid w:val="70872C43"/>
    <w:rsid w:val="70E23117"/>
    <w:rsid w:val="711945EF"/>
    <w:rsid w:val="71AF19DA"/>
    <w:rsid w:val="72554065"/>
    <w:rsid w:val="728E4585"/>
    <w:rsid w:val="72D0314E"/>
    <w:rsid w:val="75B77093"/>
    <w:rsid w:val="75C7703A"/>
    <w:rsid w:val="768B1380"/>
    <w:rsid w:val="77C02D4D"/>
    <w:rsid w:val="78670455"/>
    <w:rsid w:val="788440AC"/>
    <w:rsid w:val="7A0A3CB4"/>
    <w:rsid w:val="7A1B6672"/>
    <w:rsid w:val="7A553345"/>
    <w:rsid w:val="7ADB7838"/>
    <w:rsid w:val="7B212C04"/>
    <w:rsid w:val="7B3058DF"/>
    <w:rsid w:val="7B781C2C"/>
    <w:rsid w:val="7C350E43"/>
    <w:rsid w:val="7C712FD1"/>
    <w:rsid w:val="7C9D5209"/>
    <w:rsid w:val="7D6B7856"/>
    <w:rsid w:val="7DAA0AFE"/>
    <w:rsid w:val="7E5E3D36"/>
    <w:rsid w:val="7E904410"/>
    <w:rsid w:val="7F590B8E"/>
    <w:rsid w:val="7F59793D"/>
    <w:rsid w:val="7F83619F"/>
    <w:rsid w:val="7F885933"/>
    <w:rsid w:val="7FEA7E9C"/>
    <w:rsid w:val="7FFC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keepNext/>
      <w:keepLines/>
      <w:numPr>
        <w:ilvl w:val="0"/>
        <w:numId w:val="1"/>
      </w:numPr>
      <w:tabs>
        <w:tab w:val="left" w:pos="360"/>
      </w:tabs>
      <w:spacing w:before="340" w:after="330" w:line="578" w:lineRule="auto"/>
      <w:outlineLvl w:val="0"/>
    </w:pPr>
    <w:rPr>
      <w:b/>
      <w:bCs/>
      <w:kern w:val="44"/>
      <w:sz w:val="44"/>
      <w:szCs w:val="44"/>
    </w:rPr>
  </w:style>
  <w:style w:type="paragraph" w:styleId="3">
    <w:name w:val="heading 2"/>
    <w:basedOn w:val="1"/>
    <w:next w:val="1"/>
    <w:link w:val="146"/>
    <w:qFormat/>
    <w:uiPriority w:val="0"/>
    <w:pPr>
      <w:keepNext/>
      <w:widowControl/>
      <w:numPr>
        <w:ilvl w:val="1"/>
        <w:numId w:val="1"/>
      </w:numPr>
      <w:tabs>
        <w:tab w:val="left" w:pos="0"/>
        <w:tab w:val="left" w:pos="360"/>
      </w:tabs>
      <w:spacing w:line="360" w:lineRule="auto"/>
      <w:jc w:val="left"/>
      <w:outlineLvl w:val="1"/>
    </w:pPr>
    <w:rPr>
      <w:rFonts w:ascii="宋体"/>
      <w:b/>
      <w:kern w:val="0"/>
      <w:szCs w:val="20"/>
    </w:rPr>
  </w:style>
  <w:style w:type="paragraph" w:styleId="4">
    <w:name w:val="heading 3"/>
    <w:basedOn w:val="1"/>
    <w:next w:val="1"/>
    <w:link w:val="147"/>
    <w:qFormat/>
    <w:uiPriority w:val="0"/>
    <w:pPr>
      <w:keepNext/>
      <w:keepLines/>
      <w:numPr>
        <w:ilvl w:val="2"/>
        <w:numId w:val="1"/>
      </w:numPr>
      <w:tabs>
        <w:tab w:val="left" w:pos="360"/>
      </w:tabs>
      <w:spacing w:before="260" w:after="260" w:line="416" w:lineRule="auto"/>
      <w:outlineLvl w:val="2"/>
    </w:pPr>
    <w:rPr>
      <w:b/>
      <w:bCs/>
      <w:sz w:val="32"/>
      <w:szCs w:val="32"/>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link w:val="142"/>
    <w:qFormat/>
    <w:uiPriority w:val="0"/>
    <w:pPr>
      <w:spacing w:after="120"/>
    </w:pPr>
  </w:style>
  <w:style w:type="paragraph" w:styleId="12">
    <w:name w:val="Body Text Indent"/>
    <w:basedOn w:val="1"/>
    <w:link w:val="141"/>
    <w:qFormat/>
    <w:uiPriority w:val="0"/>
    <w:pPr>
      <w:spacing w:line="600" w:lineRule="exact"/>
      <w:ind w:firstLine="480"/>
    </w:pPr>
    <w:rPr>
      <w:rFonts w:ascii="宋体" w:hAnsi="宋体"/>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Plain Text"/>
    <w:basedOn w:val="1"/>
    <w:link w:val="154"/>
    <w:qFormat/>
    <w:uiPriority w:val="0"/>
    <w:rPr>
      <w:rFonts w:ascii="宋体" w:hAnsi="Courier New" w:cs="Courier New"/>
      <w:szCs w:val="21"/>
    </w:rPr>
  </w:style>
  <w:style w:type="paragraph" w:styleId="17">
    <w:name w:val="toc 8"/>
    <w:basedOn w:val="1"/>
    <w:next w:val="1"/>
    <w:qFormat/>
    <w:uiPriority w:val="39"/>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endnote text"/>
    <w:basedOn w:val="1"/>
    <w:semiHidden/>
    <w:qFormat/>
    <w:uiPriority w:val="0"/>
    <w:pPr>
      <w:snapToGrid w:val="0"/>
      <w:jc w:val="left"/>
    </w:pPr>
  </w:style>
  <w:style w:type="paragraph" w:styleId="20">
    <w:name w:val="Balloon Text"/>
    <w:basedOn w:val="1"/>
    <w:link w:val="144"/>
    <w:qFormat/>
    <w:uiPriority w:val="0"/>
    <w:rPr>
      <w:sz w:val="18"/>
      <w:szCs w:val="18"/>
    </w:rPr>
  </w:style>
  <w:style w:type="paragraph" w:styleId="21">
    <w:name w:val="footer"/>
    <w:basedOn w:val="1"/>
    <w:link w:val="155"/>
    <w:qFormat/>
    <w:uiPriority w:val="99"/>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qFormat/>
    <w:uiPriority w:val="39"/>
    <w:pPr>
      <w:tabs>
        <w:tab w:val="right" w:leader="dot" w:pos="9241"/>
      </w:tabs>
      <w:spacing w:beforeLines="25" w:afterLines="25"/>
      <w:jc w:val="left"/>
    </w:pPr>
    <w:rPr>
      <w:rFonts w:ascii="宋体"/>
      <w:szCs w:val="21"/>
    </w:rPr>
  </w:style>
  <w:style w:type="paragraph" w:styleId="24">
    <w:name w:val="toc 4"/>
    <w:basedOn w:val="1"/>
    <w:next w:val="1"/>
    <w:qFormat/>
    <w:uiPriority w:val="39"/>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2"/>
      </w:numPr>
      <w:snapToGrid w:val="0"/>
      <w:jc w:val="left"/>
    </w:pPr>
    <w:rPr>
      <w:rFonts w:ascii="宋体"/>
      <w:sz w:val="18"/>
      <w:szCs w:val="18"/>
    </w:rPr>
  </w:style>
  <w:style w:type="paragraph" w:styleId="29">
    <w:name w:val="toc 6"/>
    <w:basedOn w:val="1"/>
    <w:next w:val="1"/>
    <w:qFormat/>
    <w:uiPriority w:val="39"/>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1"/>
      </w:tabs>
    </w:pPr>
    <w:rPr>
      <w:rFonts w:ascii="宋体"/>
      <w:szCs w:val="21"/>
    </w:rPr>
  </w:style>
  <w:style w:type="paragraph" w:styleId="33">
    <w:name w:val="toc 9"/>
    <w:basedOn w:val="1"/>
    <w:next w:val="1"/>
    <w:qFormat/>
    <w:uiPriority w:val="39"/>
    <w:pPr>
      <w:ind w:left="1470"/>
      <w:jc w:val="left"/>
    </w:pPr>
    <w:rPr>
      <w:sz w:val="20"/>
      <w:szCs w:val="20"/>
    </w:rPr>
  </w:style>
  <w:style w:type="paragraph" w:styleId="34">
    <w:name w:val="HTML Preformatted"/>
    <w:basedOn w:val="1"/>
    <w:link w:val="1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index 2"/>
    <w:basedOn w:val="1"/>
    <w:next w:val="1"/>
    <w:qFormat/>
    <w:uiPriority w:val="0"/>
    <w:pPr>
      <w:ind w:left="420" w:hanging="210"/>
      <w:jc w:val="left"/>
    </w:pPr>
    <w:rPr>
      <w:rFonts w:ascii="Calibri" w:hAnsi="Calibri"/>
      <w:sz w:val="20"/>
      <w:szCs w:val="20"/>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endnote reference"/>
    <w:basedOn w:val="38"/>
    <w:semiHidden/>
    <w:qFormat/>
    <w:uiPriority w:val="0"/>
    <w:rPr>
      <w:vertAlign w:val="superscript"/>
    </w:rPr>
  </w:style>
  <w:style w:type="character" w:styleId="40">
    <w:name w:val="page number"/>
    <w:basedOn w:val="38"/>
    <w:qFormat/>
    <w:uiPriority w:val="0"/>
    <w:rPr>
      <w:rFonts w:ascii="Times New Roman" w:hAnsi="Times New Roman" w:eastAsia="宋体"/>
      <w:sz w:val="18"/>
    </w:rPr>
  </w:style>
  <w:style w:type="character" w:styleId="41">
    <w:name w:val="FollowedHyperlink"/>
    <w:basedOn w:val="38"/>
    <w:qFormat/>
    <w:uiPriority w:val="0"/>
    <w:rPr>
      <w:color w:val="800080"/>
      <w:u w:val="single"/>
    </w:rPr>
  </w:style>
  <w:style w:type="character" w:styleId="42">
    <w:name w:val="Hyperlink"/>
    <w:basedOn w:val="38"/>
    <w:qFormat/>
    <w:uiPriority w:val="99"/>
    <w:rPr>
      <w:color w:val="0000FF"/>
      <w:spacing w:val="0"/>
      <w:w w:val="100"/>
      <w:szCs w:val="21"/>
      <w:u w:val="single"/>
    </w:rPr>
  </w:style>
  <w:style w:type="character" w:styleId="43">
    <w:name w:val="footnote reference"/>
    <w:basedOn w:val="38"/>
    <w:semiHidden/>
    <w:qFormat/>
    <w:uiPriority w:val="0"/>
    <w:rPr>
      <w:vertAlign w:val="superscript"/>
    </w:rPr>
  </w:style>
  <w:style w:type="paragraph" w:customStyle="1" w:styleId="44">
    <w:name w:val="样式2"/>
    <w:basedOn w:val="45"/>
    <w:link w:val="143"/>
    <w:qFormat/>
    <w:uiPriority w:val="0"/>
    <w:pPr>
      <w:numPr>
        <w:ilvl w:val="0"/>
        <w:numId w:val="0"/>
      </w:numPr>
      <w:spacing w:beforeLines="50" w:afterLines="50"/>
      <w:outlineLvl w:val="0"/>
    </w:pPr>
  </w:style>
  <w:style w:type="paragraph" w:customStyle="1" w:styleId="45">
    <w:name w:val="章标题"/>
    <w:next w:val="27"/>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段 Char"/>
    <w:basedOn w:val="38"/>
    <w:link w:val="27"/>
    <w:qFormat/>
    <w:uiPriority w:val="0"/>
    <w:rPr>
      <w:rFonts w:ascii="宋体"/>
      <w:sz w:val="21"/>
      <w:lang w:val="en-US" w:eastAsia="zh-CN" w:bidi="ar-SA"/>
    </w:rPr>
  </w:style>
  <w:style w:type="paragraph" w:customStyle="1" w:styleId="47">
    <w:name w:val="一级条标题"/>
    <w:next w:val="27"/>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二级条标题"/>
    <w:basedOn w:val="47"/>
    <w:next w:val="27"/>
    <w:qFormat/>
    <w:uiPriority w:val="0"/>
    <w:pPr>
      <w:numPr>
        <w:ilvl w:val="2"/>
      </w:numPr>
      <w:spacing w:before="50" w:after="50"/>
      <w:outlineLvl w:val="3"/>
    </w:pPr>
  </w:style>
  <w:style w:type="paragraph" w:customStyle="1" w:styleId="5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2">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3">
    <w:name w:val="列项●（二级）"/>
    <w:qFormat/>
    <w:uiPriority w:val="0"/>
    <w:pPr>
      <w:numPr>
        <w:ilvl w:val="1"/>
        <w:numId w:val="4"/>
      </w:numPr>
      <w:tabs>
        <w:tab w:val="left" w:pos="840"/>
        <w:tab w:val="clear" w:pos="760"/>
      </w:tabs>
      <w:jc w:val="both"/>
    </w:pPr>
    <w:rPr>
      <w:rFonts w:ascii="宋体" w:hAnsi="Times New Roman" w:eastAsia="宋体" w:cs="Times New Roman"/>
      <w:sz w:val="21"/>
      <w:lang w:val="en-US" w:eastAsia="zh-CN" w:bidi="ar-SA"/>
    </w:rPr>
  </w:style>
  <w:style w:type="paragraph" w:customStyle="1" w:styleId="54">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5">
    <w:name w:val="三级条标题"/>
    <w:basedOn w:val="50"/>
    <w:next w:val="27"/>
    <w:qFormat/>
    <w:uiPriority w:val="0"/>
    <w:pPr>
      <w:numPr>
        <w:ilvl w:val="3"/>
      </w:numPr>
      <w:outlineLvl w:val="4"/>
    </w:pPr>
  </w:style>
  <w:style w:type="paragraph" w:customStyle="1" w:styleId="56">
    <w:name w:val="示例"/>
    <w:next w:val="57"/>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8">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9">
    <w:name w:val="四级条标题"/>
    <w:basedOn w:val="55"/>
    <w:next w:val="27"/>
    <w:qFormat/>
    <w:uiPriority w:val="0"/>
    <w:pPr>
      <w:numPr>
        <w:ilvl w:val="4"/>
      </w:numPr>
      <w:outlineLvl w:val="5"/>
    </w:pPr>
  </w:style>
  <w:style w:type="paragraph" w:customStyle="1" w:styleId="60">
    <w:name w:val="五级条标题"/>
    <w:basedOn w:val="59"/>
    <w:next w:val="27"/>
    <w:qFormat/>
    <w:uiPriority w:val="0"/>
    <w:pPr>
      <w:numPr>
        <w:ilvl w:val="5"/>
      </w:numPr>
      <w:outlineLvl w:val="6"/>
    </w:pPr>
  </w:style>
  <w:style w:type="paragraph" w:customStyle="1" w:styleId="61">
    <w:name w:val="注："/>
    <w:next w:val="27"/>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2">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3">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4">
    <w:name w:val="列项◆（三级）"/>
    <w:basedOn w:val="1"/>
    <w:qFormat/>
    <w:uiPriority w:val="0"/>
    <w:pPr>
      <w:numPr>
        <w:ilvl w:val="2"/>
        <w:numId w:val="4"/>
      </w:numPr>
    </w:pPr>
    <w:rPr>
      <w:rFonts w:ascii="宋体"/>
      <w:szCs w:val="21"/>
    </w:rPr>
  </w:style>
  <w:style w:type="paragraph" w:customStyle="1" w:styleId="65">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6">
    <w:name w:val="示例×："/>
    <w:basedOn w:val="45"/>
    <w:qFormat/>
    <w:uiPriority w:val="0"/>
    <w:pPr>
      <w:numPr>
        <w:numId w:val="0"/>
      </w:numPr>
      <w:spacing w:beforeLines="0" w:afterLines="0"/>
      <w:ind w:firstLine="363"/>
      <w:outlineLvl w:val="9"/>
    </w:pPr>
    <w:rPr>
      <w:rFonts w:ascii="宋体" w:eastAsia="宋体"/>
      <w:sz w:val="18"/>
      <w:szCs w:val="18"/>
    </w:rPr>
  </w:style>
  <w:style w:type="paragraph" w:customStyle="1" w:styleId="67">
    <w:name w:val="二级无"/>
    <w:basedOn w:val="50"/>
    <w:qFormat/>
    <w:uiPriority w:val="0"/>
    <w:pPr>
      <w:spacing w:beforeLines="0" w:afterLines="0"/>
    </w:pPr>
    <w:rPr>
      <w:rFonts w:ascii="宋体" w:eastAsia="宋体"/>
    </w:rPr>
  </w:style>
  <w:style w:type="paragraph" w:customStyle="1" w:styleId="68">
    <w:name w:val="注：（正文）"/>
    <w:basedOn w:val="61"/>
    <w:next w:val="27"/>
    <w:qFormat/>
    <w:uiPriority w:val="0"/>
  </w:style>
  <w:style w:type="paragraph" w:customStyle="1" w:styleId="69">
    <w:name w:val="注×：（正文）"/>
    <w:qFormat/>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7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3">
    <w:name w:val="标准书眉_偶数页"/>
    <w:basedOn w:val="49"/>
    <w:next w:val="1"/>
    <w:qFormat/>
    <w:uiPriority w:val="0"/>
    <w:pPr>
      <w:jc w:val="left"/>
    </w:pPr>
  </w:style>
  <w:style w:type="paragraph" w:customStyle="1" w:styleId="74">
    <w:name w:val="标准书眉一"/>
    <w:qFormat/>
    <w:uiPriority w:val="0"/>
    <w:pPr>
      <w:jc w:val="both"/>
    </w:pPr>
    <w:rPr>
      <w:rFonts w:ascii="Times New Roman" w:hAnsi="Times New Roman" w:eastAsia="宋体" w:cs="Times New Roman"/>
      <w:lang w:val="en-US" w:eastAsia="zh-CN" w:bidi="ar-SA"/>
    </w:rPr>
  </w:style>
  <w:style w:type="paragraph" w:customStyle="1" w:styleId="75">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7">
    <w:name w:val="发布"/>
    <w:basedOn w:val="38"/>
    <w:qFormat/>
    <w:uiPriority w:val="0"/>
    <w:rPr>
      <w:rFonts w:ascii="黑体" w:eastAsia="黑体"/>
      <w:spacing w:val="85"/>
      <w:w w:val="100"/>
      <w:position w:val="3"/>
      <w:sz w:val="28"/>
      <w:szCs w:val="28"/>
    </w:rPr>
  </w:style>
  <w:style w:type="paragraph" w:customStyle="1" w:styleId="78">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封面标准英文名称"/>
    <w:basedOn w:val="82"/>
    <w:qFormat/>
    <w:uiPriority w:val="0"/>
    <w:pPr>
      <w:framePr/>
      <w:spacing w:before="370" w:line="400" w:lineRule="exact"/>
    </w:pPr>
    <w:rPr>
      <w:rFonts w:ascii="Times New Roman"/>
      <w:sz w:val="28"/>
      <w:szCs w:val="28"/>
    </w:rPr>
  </w:style>
  <w:style w:type="paragraph" w:customStyle="1" w:styleId="84">
    <w:name w:val="封面一致性程度标识"/>
    <w:basedOn w:val="83"/>
    <w:qFormat/>
    <w:uiPriority w:val="0"/>
    <w:pPr>
      <w:framePr/>
      <w:spacing w:before="440"/>
    </w:pPr>
    <w:rPr>
      <w:rFonts w:ascii="宋体" w:eastAsia="宋体"/>
    </w:rPr>
  </w:style>
  <w:style w:type="paragraph" w:customStyle="1" w:styleId="85">
    <w:name w:val="封面标准文稿类别"/>
    <w:basedOn w:val="84"/>
    <w:qFormat/>
    <w:uiPriority w:val="0"/>
    <w:pPr>
      <w:framePr/>
      <w:spacing w:after="160" w:line="240" w:lineRule="auto"/>
    </w:pPr>
    <w:rPr>
      <w:sz w:val="24"/>
    </w:rPr>
  </w:style>
  <w:style w:type="paragraph" w:customStyle="1" w:styleId="86">
    <w:name w:val="封面标准文稿编辑信息"/>
    <w:basedOn w:val="85"/>
    <w:qFormat/>
    <w:uiPriority w:val="0"/>
    <w:pPr>
      <w:framePr/>
      <w:spacing w:before="180" w:line="180" w:lineRule="exact"/>
    </w:pPr>
    <w:rPr>
      <w:sz w:val="21"/>
    </w:rPr>
  </w:style>
  <w:style w:type="paragraph" w:customStyle="1" w:styleId="87">
    <w:name w:val="封面正文"/>
    <w:qFormat/>
    <w:uiPriority w:val="0"/>
    <w:pPr>
      <w:jc w:val="both"/>
    </w:pPr>
    <w:rPr>
      <w:rFonts w:ascii="Times New Roman" w:hAnsi="Times New Roman" w:eastAsia="宋体" w:cs="Times New Roman"/>
      <w:lang w:val="en-US" w:eastAsia="zh-CN" w:bidi="ar-SA"/>
    </w:rPr>
  </w:style>
  <w:style w:type="paragraph" w:customStyle="1" w:styleId="88">
    <w:name w:val="附录标识"/>
    <w:basedOn w:val="1"/>
    <w:next w:val="27"/>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附录标题"/>
    <w:basedOn w:val="27"/>
    <w:next w:val="27"/>
    <w:qFormat/>
    <w:uiPriority w:val="0"/>
    <w:pPr>
      <w:ind w:firstLine="0" w:firstLineChars="0"/>
      <w:jc w:val="center"/>
    </w:pPr>
    <w:rPr>
      <w:rFonts w:ascii="黑体" w:eastAsia="黑体"/>
    </w:rPr>
  </w:style>
  <w:style w:type="paragraph" w:customStyle="1" w:styleId="90">
    <w:name w:val="附录表标号"/>
    <w:basedOn w:val="1"/>
    <w:next w:val="27"/>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91">
    <w:name w:val="附录表标题"/>
    <w:basedOn w:val="1"/>
    <w:next w:val="27"/>
    <w:qFormat/>
    <w:uiPriority w:val="0"/>
    <w:pPr>
      <w:numPr>
        <w:ilvl w:val="1"/>
        <w:numId w:val="8"/>
      </w:numPr>
      <w:tabs>
        <w:tab w:val="left" w:pos="180"/>
      </w:tabs>
      <w:spacing w:beforeLines="50" w:afterLines="50"/>
      <w:ind w:left="0" w:firstLine="0"/>
      <w:jc w:val="center"/>
    </w:pPr>
    <w:rPr>
      <w:rFonts w:ascii="黑体" w:eastAsia="黑体"/>
      <w:szCs w:val="21"/>
    </w:rPr>
  </w:style>
  <w:style w:type="paragraph" w:customStyle="1" w:styleId="92">
    <w:name w:val="附录二级条标题"/>
    <w:basedOn w:val="1"/>
    <w:next w:val="27"/>
    <w:qFormat/>
    <w:uiPriority w:val="0"/>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3">
    <w:name w:val="附录二级无"/>
    <w:basedOn w:val="92"/>
    <w:qFormat/>
    <w:uiPriority w:val="0"/>
    <w:pPr>
      <w:tabs>
        <w:tab w:val="clear" w:pos="360"/>
      </w:tabs>
      <w:spacing w:beforeLines="0" w:afterLines="0"/>
    </w:pPr>
    <w:rPr>
      <w:rFonts w:ascii="宋体" w:eastAsia="宋体"/>
      <w:szCs w:val="21"/>
    </w:rPr>
  </w:style>
  <w:style w:type="paragraph" w:customStyle="1" w:styleId="94">
    <w:name w:val="附录公式"/>
    <w:basedOn w:val="27"/>
    <w:next w:val="27"/>
    <w:link w:val="95"/>
    <w:qFormat/>
    <w:uiPriority w:val="0"/>
  </w:style>
  <w:style w:type="character" w:customStyle="1" w:styleId="95">
    <w:name w:val="附录公式 Char"/>
    <w:basedOn w:val="46"/>
    <w:link w:val="94"/>
    <w:qFormat/>
    <w:uiPriority w:val="0"/>
    <w:rPr>
      <w:rFonts w:ascii="宋体"/>
      <w:sz w:val="21"/>
      <w:lang w:val="en-US" w:eastAsia="zh-CN" w:bidi="ar-SA"/>
    </w:rPr>
  </w:style>
  <w:style w:type="paragraph" w:customStyle="1" w:styleId="96">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7">
    <w:name w:val="附录三级条标题"/>
    <w:basedOn w:val="92"/>
    <w:next w:val="27"/>
    <w:qFormat/>
    <w:uiPriority w:val="0"/>
    <w:pPr>
      <w:numPr>
        <w:ilvl w:val="4"/>
      </w:numPr>
      <w:outlineLvl w:val="4"/>
    </w:pPr>
  </w:style>
  <w:style w:type="paragraph" w:customStyle="1" w:styleId="98">
    <w:name w:val="附录三级无"/>
    <w:basedOn w:val="97"/>
    <w:qFormat/>
    <w:uiPriority w:val="0"/>
    <w:pPr>
      <w:tabs>
        <w:tab w:val="clear" w:pos="360"/>
      </w:tabs>
      <w:spacing w:beforeLines="0" w:afterLines="0"/>
    </w:pPr>
    <w:rPr>
      <w:rFonts w:ascii="宋体" w:eastAsia="宋体"/>
      <w:szCs w:val="21"/>
    </w:rPr>
  </w:style>
  <w:style w:type="paragraph" w:customStyle="1" w:styleId="99">
    <w:name w:val="附录数字编号列项（二级）"/>
    <w:qFormat/>
    <w:uiPriority w:val="0"/>
    <w:pPr>
      <w:numPr>
        <w:ilvl w:val="1"/>
        <w:numId w:val="9"/>
      </w:numPr>
    </w:pPr>
    <w:rPr>
      <w:rFonts w:ascii="宋体" w:hAnsi="Times New Roman" w:eastAsia="宋体" w:cs="Times New Roman"/>
      <w:sz w:val="21"/>
      <w:lang w:val="en-US" w:eastAsia="zh-CN" w:bidi="ar-SA"/>
    </w:rPr>
  </w:style>
  <w:style w:type="paragraph" w:customStyle="1" w:styleId="100">
    <w:name w:val="附录四级条标题"/>
    <w:basedOn w:val="97"/>
    <w:next w:val="27"/>
    <w:qFormat/>
    <w:uiPriority w:val="0"/>
    <w:pPr>
      <w:numPr>
        <w:ilvl w:val="5"/>
      </w:numPr>
      <w:outlineLvl w:val="5"/>
    </w:pPr>
  </w:style>
  <w:style w:type="paragraph" w:customStyle="1" w:styleId="101">
    <w:name w:val="附录四级无"/>
    <w:basedOn w:val="100"/>
    <w:qFormat/>
    <w:uiPriority w:val="0"/>
    <w:pPr>
      <w:tabs>
        <w:tab w:val="clear" w:pos="360"/>
      </w:tabs>
      <w:spacing w:beforeLines="0" w:afterLines="0"/>
    </w:pPr>
    <w:rPr>
      <w:rFonts w:ascii="宋体" w:eastAsia="宋体"/>
      <w:szCs w:val="21"/>
    </w:rPr>
  </w:style>
  <w:style w:type="paragraph" w:customStyle="1" w:styleId="102">
    <w:name w:val="附录图标号"/>
    <w:basedOn w:val="1"/>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103">
    <w:name w:val="附录图标题"/>
    <w:basedOn w:val="1"/>
    <w:next w:val="27"/>
    <w:qFormat/>
    <w:uiPriority w:val="0"/>
    <w:pPr>
      <w:numPr>
        <w:ilvl w:val="1"/>
        <w:numId w:val="10"/>
      </w:numPr>
      <w:tabs>
        <w:tab w:val="left" w:pos="363"/>
      </w:tabs>
      <w:spacing w:beforeLines="50" w:afterLines="50"/>
      <w:ind w:left="0" w:firstLine="0"/>
      <w:jc w:val="center"/>
    </w:pPr>
    <w:rPr>
      <w:rFonts w:ascii="黑体" w:eastAsia="黑体"/>
      <w:szCs w:val="21"/>
    </w:rPr>
  </w:style>
  <w:style w:type="paragraph" w:customStyle="1" w:styleId="104">
    <w:name w:val="附录五级条标题"/>
    <w:basedOn w:val="100"/>
    <w:next w:val="27"/>
    <w:qFormat/>
    <w:uiPriority w:val="0"/>
    <w:pPr>
      <w:numPr>
        <w:ilvl w:val="6"/>
      </w:numPr>
      <w:outlineLvl w:val="6"/>
    </w:pPr>
  </w:style>
  <w:style w:type="paragraph" w:customStyle="1" w:styleId="105">
    <w:name w:val="附录五级无"/>
    <w:basedOn w:val="104"/>
    <w:qFormat/>
    <w:uiPriority w:val="0"/>
    <w:pPr>
      <w:tabs>
        <w:tab w:val="clear" w:pos="360"/>
      </w:tabs>
      <w:spacing w:beforeLines="0" w:afterLines="0"/>
    </w:pPr>
    <w:rPr>
      <w:rFonts w:ascii="宋体" w:eastAsia="宋体"/>
      <w:szCs w:val="21"/>
    </w:rPr>
  </w:style>
  <w:style w:type="paragraph" w:customStyle="1" w:styleId="106">
    <w:name w:val="附录章标题"/>
    <w:next w:val="27"/>
    <w:qFormat/>
    <w:uiPriority w:val="0"/>
    <w:pPr>
      <w:numPr>
        <w:ilvl w:val="1"/>
        <w:numId w:val="7"/>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一级条标题"/>
    <w:basedOn w:val="106"/>
    <w:next w:val="27"/>
    <w:qFormat/>
    <w:uiPriority w:val="0"/>
    <w:pPr>
      <w:numPr>
        <w:ilvl w:val="2"/>
      </w:numPr>
      <w:autoSpaceDN w:val="0"/>
      <w:spacing w:beforeLines="50" w:afterLines="50"/>
      <w:outlineLvl w:val="2"/>
    </w:pPr>
  </w:style>
  <w:style w:type="paragraph" w:customStyle="1" w:styleId="108">
    <w:name w:val="附录一级无"/>
    <w:basedOn w:val="107"/>
    <w:qFormat/>
    <w:uiPriority w:val="0"/>
    <w:pPr>
      <w:tabs>
        <w:tab w:val="clear" w:pos="360"/>
      </w:tabs>
      <w:spacing w:beforeLines="0" w:afterLines="0"/>
    </w:pPr>
    <w:rPr>
      <w:rFonts w:ascii="宋体" w:eastAsia="宋体"/>
      <w:szCs w:val="21"/>
    </w:rPr>
  </w:style>
  <w:style w:type="paragraph" w:customStyle="1" w:styleId="109">
    <w:name w:val="附录字母编号列项（一级）"/>
    <w:qFormat/>
    <w:uiPriority w:val="0"/>
    <w:pPr>
      <w:numPr>
        <w:ilvl w:val="0"/>
        <w:numId w:val="9"/>
      </w:numPr>
    </w:pPr>
    <w:rPr>
      <w:rFonts w:ascii="宋体" w:hAnsi="Times New Roman" w:eastAsia="宋体" w:cs="Times New Roman"/>
      <w:sz w:val="21"/>
      <w:lang w:val="en-US" w:eastAsia="zh-CN" w:bidi="ar-SA"/>
    </w:rPr>
  </w:style>
  <w:style w:type="paragraph" w:customStyle="1" w:styleId="11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3">
    <w:name w:val="其他标准标志"/>
    <w:basedOn w:val="70"/>
    <w:qFormat/>
    <w:uiPriority w:val="0"/>
    <w:pPr>
      <w:framePr w:w="6101" w:vAnchor="page" w:hAnchor="page" w:x="4673" w:y="942"/>
    </w:pPr>
    <w:rPr>
      <w:w w:val="130"/>
    </w:rPr>
  </w:style>
  <w:style w:type="paragraph" w:customStyle="1" w:styleId="1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5">
    <w:name w:val="其他发布部门"/>
    <w:basedOn w:val="78"/>
    <w:qFormat/>
    <w:uiPriority w:val="0"/>
    <w:pPr>
      <w:framePr w:y="15310"/>
      <w:spacing w:line="0" w:lineRule="atLeast"/>
    </w:pPr>
    <w:rPr>
      <w:rFonts w:ascii="黑体" w:eastAsia="黑体"/>
      <w:b w:val="0"/>
    </w:rPr>
  </w:style>
  <w:style w:type="paragraph" w:customStyle="1" w:styleId="116">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7">
    <w:name w:val="三级无"/>
    <w:basedOn w:val="55"/>
    <w:qFormat/>
    <w:uiPriority w:val="0"/>
    <w:pPr>
      <w:spacing w:beforeLines="0" w:afterLines="0"/>
    </w:pPr>
    <w:rPr>
      <w:rFonts w:ascii="宋体" w:eastAsia="宋体"/>
    </w:rPr>
  </w:style>
  <w:style w:type="paragraph" w:customStyle="1" w:styleId="118">
    <w:name w:val="实施日期"/>
    <w:basedOn w:val="79"/>
    <w:qFormat/>
    <w:uiPriority w:val="0"/>
    <w:pPr>
      <w:framePr w:vAnchor="page" w:hAnchor="text"/>
      <w:jc w:val="right"/>
    </w:pPr>
  </w:style>
  <w:style w:type="paragraph" w:customStyle="1" w:styleId="119">
    <w:name w:val="示例后文字"/>
    <w:basedOn w:val="27"/>
    <w:next w:val="27"/>
    <w:qFormat/>
    <w:uiPriority w:val="0"/>
    <w:pPr>
      <w:ind w:firstLine="360"/>
    </w:pPr>
    <w:rPr>
      <w:sz w:val="18"/>
    </w:rPr>
  </w:style>
  <w:style w:type="paragraph" w:customStyle="1" w:styleId="120">
    <w:name w:val="首示例"/>
    <w:next w:val="27"/>
    <w:link w:val="121"/>
    <w:qFormat/>
    <w:uiPriority w:val="0"/>
    <w:pPr>
      <w:tabs>
        <w:tab w:val="left" w:pos="360"/>
      </w:tabs>
    </w:pPr>
    <w:rPr>
      <w:rFonts w:ascii="宋体" w:hAnsi="宋体" w:eastAsia="宋体" w:cs="Times New Roman"/>
      <w:kern w:val="2"/>
      <w:sz w:val="18"/>
      <w:szCs w:val="18"/>
      <w:lang w:val="en-US" w:eastAsia="zh-CN" w:bidi="ar-SA"/>
    </w:rPr>
  </w:style>
  <w:style w:type="character" w:customStyle="1" w:styleId="121">
    <w:name w:val="首示例 Char"/>
    <w:basedOn w:val="38"/>
    <w:link w:val="120"/>
    <w:qFormat/>
    <w:uiPriority w:val="0"/>
    <w:rPr>
      <w:rFonts w:ascii="宋体" w:hAnsi="宋体"/>
      <w:kern w:val="2"/>
      <w:sz w:val="18"/>
      <w:szCs w:val="18"/>
    </w:rPr>
  </w:style>
  <w:style w:type="paragraph" w:customStyle="1" w:styleId="122">
    <w:name w:val="四级无"/>
    <w:basedOn w:val="59"/>
    <w:qFormat/>
    <w:uiPriority w:val="0"/>
    <w:pPr>
      <w:spacing w:beforeLines="0" w:afterLines="0"/>
    </w:pPr>
    <w:rPr>
      <w:rFonts w:ascii="宋体" w:eastAsia="宋体"/>
    </w:rPr>
  </w:style>
  <w:style w:type="paragraph" w:customStyle="1" w:styleId="123">
    <w:name w:val="条文脚注"/>
    <w:basedOn w:val="28"/>
    <w:qFormat/>
    <w:uiPriority w:val="0"/>
    <w:pPr>
      <w:numPr>
        <w:numId w:val="0"/>
      </w:numPr>
      <w:jc w:val="both"/>
    </w:pPr>
  </w:style>
  <w:style w:type="paragraph" w:customStyle="1" w:styleId="124">
    <w:name w:val="图标脚注说明"/>
    <w:basedOn w:val="27"/>
    <w:qFormat/>
    <w:uiPriority w:val="0"/>
    <w:pPr>
      <w:ind w:left="840" w:hanging="420" w:firstLineChars="0"/>
    </w:pPr>
    <w:rPr>
      <w:sz w:val="18"/>
      <w:szCs w:val="18"/>
    </w:rPr>
  </w:style>
  <w:style w:type="paragraph" w:customStyle="1" w:styleId="125">
    <w:name w:val="图表脚注说明"/>
    <w:basedOn w:val="1"/>
    <w:qFormat/>
    <w:uiPriority w:val="0"/>
    <w:pPr>
      <w:ind w:left="544" w:hanging="181"/>
    </w:pPr>
    <w:rPr>
      <w:rFonts w:ascii="宋体"/>
      <w:sz w:val="18"/>
      <w:szCs w:val="18"/>
    </w:rPr>
  </w:style>
  <w:style w:type="paragraph" w:customStyle="1" w:styleId="126">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8">
    <w:name w:val="五级无"/>
    <w:basedOn w:val="60"/>
    <w:qFormat/>
    <w:uiPriority w:val="0"/>
    <w:pPr>
      <w:spacing w:beforeLines="0" w:afterLines="0"/>
    </w:pPr>
    <w:rPr>
      <w:rFonts w:ascii="宋体" w:eastAsia="宋体"/>
    </w:rPr>
  </w:style>
  <w:style w:type="paragraph" w:customStyle="1" w:styleId="129">
    <w:name w:val="一级无"/>
    <w:basedOn w:val="47"/>
    <w:qFormat/>
    <w:uiPriority w:val="0"/>
    <w:pPr>
      <w:spacing w:beforeLines="0" w:afterLines="0"/>
    </w:pPr>
    <w:rPr>
      <w:rFonts w:ascii="宋体" w:eastAsia="宋体"/>
    </w:rPr>
  </w:style>
  <w:style w:type="paragraph" w:customStyle="1" w:styleId="130">
    <w:name w:val="正文表标题"/>
    <w:next w:val="27"/>
    <w:qFormat/>
    <w:uiPriority w:val="0"/>
    <w:pPr>
      <w:numPr>
        <w:ilvl w:val="0"/>
        <w:numId w:val="1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正文公式编号制表符"/>
    <w:basedOn w:val="27"/>
    <w:next w:val="27"/>
    <w:qFormat/>
    <w:uiPriority w:val="0"/>
    <w:pPr>
      <w:ind w:firstLine="0" w:firstLineChars="0"/>
    </w:pPr>
  </w:style>
  <w:style w:type="paragraph" w:customStyle="1" w:styleId="132">
    <w:name w:val="正文图标题"/>
    <w:next w:val="27"/>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3">
    <w:name w:val="终结线"/>
    <w:basedOn w:val="1"/>
    <w:qFormat/>
    <w:uiPriority w:val="0"/>
    <w:pPr>
      <w:framePr w:hSpace="181" w:vSpace="181" w:wrap="around" w:vAnchor="text" w:hAnchor="margin" w:xAlign="center" w:y="285"/>
    </w:pPr>
  </w:style>
  <w:style w:type="paragraph" w:customStyle="1" w:styleId="134">
    <w:name w:val="其他发布日期"/>
    <w:basedOn w:val="79"/>
    <w:qFormat/>
    <w:uiPriority w:val="0"/>
    <w:pPr>
      <w:framePr w:vAnchor="page" w:hAnchor="text" w:x="1419"/>
    </w:pPr>
  </w:style>
  <w:style w:type="paragraph" w:customStyle="1" w:styleId="135">
    <w:name w:val="其他实施日期"/>
    <w:basedOn w:val="118"/>
    <w:uiPriority w:val="0"/>
    <w:pPr>
      <w:framePr/>
    </w:pPr>
  </w:style>
  <w:style w:type="paragraph" w:customStyle="1" w:styleId="136">
    <w:name w:val="封面标准名称2"/>
    <w:basedOn w:val="82"/>
    <w:qFormat/>
    <w:uiPriority w:val="0"/>
    <w:pPr>
      <w:framePr w:y="4469"/>
      <w:spacing w:beforeLines="630"/>
    </w:pPr>
  </w:style>
  <w:style w:type="paragraph" w:customStyle="1" w:styleId="137">
    <w:name w:val="封面标准英文名称2"/>
    <w:basedOn w:val="83"/>
    <w:qFormat/>
    <w:uiPriority w:val="0"/>
    <w:pPr>
      <w:framePr w:y="4469"/>
    </w:pPr>
  </w:style>
  <w:style w:type="paragraph" w:customStyle="1" w:styleId="138">
    <w:name w:val="封面一致性程度标识2"/>
    <w:basedOn w:val="84"/>
    <w:uiPriority w:val="0"/>
    <w:pPr>
      <w:framePr w:y="4469"/>
    </w:pPr>
  </w:style>
  <w:style w:type="paragraph" w:customStyle="1" w:styleId="139">
    <w:name w:val="封面标准文稿类别2"/>
    <w:basedOn w:val="85"/>
    <w:qFormat/>
    <w:uiPriority w:val="0"/>
    <w:pPr>
      <w:framePr w:y="4469"/>
    </w:pPr>
  </w:style>
  <w:style w:type="paragraph" w:customStyle="1" w:styleId="140">
    <w:name w:val="封面标准文稿编辑信息2"/>
    <w:basedOn w:val="86"/>
    <w:qFormat/>
    <w:uiPriority w:val="0"/>
    <w:pPr>
      <w:framePr w:y="4469"/>
    </w:pPr>
  </w:style>
  <w:style w:type="character" w:customStyle="1" w:styleId="141">
    <w:name w:val="正文文本缩进 Char"/>
    <w:basedOn w:val="38"/>
    <w:link w:val="12"/>
    <w:qFormat/>
    <w:uiPriority w:val="0"/>
    <w:rPr>
      <w:rFonts w:ascii="宋体" w:hAnsi="宋体"/>
      <w:kern w:val="2"/>
      <w:sz w:val="21"/>
    </w:rPr>
  </w:style>
  <w:style w:type="character" w:customStyle="1" w:styleId="142">
    <w:name w:val="正文文本 Char"/>
    <w:basedOn w:val="38"/>
    <w:link w:val="11"/>
    <w:qFormat/>
    <w:uiPriority w:val="0"/>
    <w:rPr>
      <w:kern w:val="2"/>
      <w:sz w:val="21"/>
      <w:szCs w:val="24"/>
    </w:rPr>
  </w:style>
  <w:style w:type="character" w:customStyle="1" w:styleId="143">
    <w:name w:val="样式2 Char"/>
    <w:basedOn w:val="38"/>
    <w:link w:val="44"/>
    <w:qFormat/>
    <w:uiPriority w:val="0"/>
    <w:rPr>
      <w:rFonts w:ascii="黑体" w:eastAsia="黑体"/>
      <w:sz w:val="21"/>
    </w:rPr>
  </w:style>
  <w:style w:type="character" w:customStyle="1" w:styleId="144">
    <w:name w:val="批注框文本 Char"/>
    <w:basedOn w:val="38"/>
    <w:link w:val="20"/>
    <w:qFormat/>
    <w:uiPriority w:val="0"/>
    <w:rPr>
      <w:kern w:val="2"/>
      <w:sz w:val="18"/>
      <w:szCs w:val="18"/>
    </w:rPr>
  </w:style>
  <w:style w:type="character" w:customStyle="1" w:styleId="145">
    <w:name w:val="标题 1 Char"/>
    <w:basedOn w:val="38"/>
    <w:link w:val="2"/>
    <w:qFormat/>
    <w:uiPriority w:val="0"/>
    <w:rPr>
      <w:b/>
      <w:bCs/>
      <w:kern w:val="44"/>
      <w:sz w:val="44"/>
      <w:szCs w:val="44"/>
    </w:rPr>
  </w:style>
  <w:style w:type="character" w:customStyle="1" w:styleId="146">
    <w:name w:val="标题 2 Char"/>
    <w:basedOn w:val="38"/>
    <w:link w:val="3"/>
    <w:qFormat/>
    <w:uiPriority w:val="0"/>
    <w:rPr>
      <w:rFonts w:ascii="宋体"/>
      <w:b/>
      <w:sz w:val="21"/>
    </w:rPr>
  </w:style>
  <w:style w:type="character" w:customStyle="1" w:styleId="147">
    <w:name w:val="标题 3 Char"/>
    <w:basedOn w:val="38"/>
    <w:link w:val="4"/>
    <w:qFormat/>
    <w:uiPriority w:val="0"/>
    <w:rPr>
      <w:b/>
      <w:bCs/>
      <w:kern w:val="2"/>
      <w:sz w:val="32"/>
      <w:szCs w:val="32"/>
    </w:rPr>
  </w:style>
  <w:style w:type="paragraph" w:customStyle="1" w:styleId="148">
    <w:name w:val="TOC 标题1"/>
    <w:basedOn w:val="2"/>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149">
    <w:name w:val="列出段落1"/>
    <w:basedOn w:val="1"/>
    <w:qFormat/>
    <w:uiPriority w:val="34"/>
    <w:pPr>
      <w:ind w:firstLine="420" w:firstLineChars="200"/>
    </w:pPr>
  </w:style>
  <w:style w:type="character" w:customStyle="1" w:styleId="150">
    <w:name w:val="apple-converted-space"/>
    <w:basedOn w:val="38"/>
    <w:qFormat/>
    <w:uiPriority w:val="0"/>
  </w:style>
  <w:style w:type="character" w:customStyle="1" w:styleId="151">
    <w:name w:val="HTML 预设格式 Char"/>
    <w:basedOn w:val="38"/>
    <w:link w:val="34"/>
    <w:qFormat/>
    <w:uiPriority w:val="99"/>
    <w:rPr>
      <w:rFonts w:ascii="宋体" w:hAnsi="宋体" w:cs="宋体"/>
      <w:sz w:val="24"/>
      <w:szCs w:val="24"/>
    </w:rPr>
  </w:style>
  <w:style w:type="paragraph" w:customStyle="1" w:styleId="152">
    <w:name w:val="WPSOffice手动目录 1"/>
    <w:uiPriority w:val="0"/>
    <w:rPr>
      <w:rFonts w:ascii="Times New Roman" w:hAnsi="Times New Roman" w:eastAsia="宋体" w:cs="Times New Roman"/>
      <w:lang w:val="en-US" w:eastAsia="zh-CN" w:bidi="ar-SA"/>
    </w:rPr>
  </w:style>
  <w:style w:type="paragraph" w:styleId="153">
    <w:name w:val="List Paragraph"/>
    <w:basedOn w:val="1"/>
    <w:unhideWhenUsed/>
    <w:uiPriority w:val="99"/>
    <w:pPr>
      <w:ind w:firstLine="420" w:firstLineChars="200"/>
    </w:pPr>
  </w:style>
  <w:style w:type="character" w:customStyle="1" w:styleId="154">
    <w:name w:val="纯文本 Char"/>
    <w:basedOn w:val="38"/>
    <w:link w:val="16"/>
    <w:uiPriority w:val="0"/>
    <w:rPr>
      <w:rFonts w:ascii="宋体" w:hAnsi="Courier New" w:cs="Courier New"/>
      <w:kern w:val="2"/>
      <w:sz w:val="21"/>
      <w:szCs w:val="21"/>
    </w:rPr>
  </w:style>
  <w:style w:type="character" w:customStyle="1" w:styleId="155">
    <w:name w:val="页脚 Char"/>
    <w:basedOn w:val="38"/>
    <w:link w:val="21"/>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C25D2-9296-4817-894F-36BD82A90454}">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15</Pages>
  <Words>1455</Words>
  <Characters>8297</Characters>
  <Lines>69</Lines>
  <Paragraphs>19</Paragraphs>
  <TotalTime>4</TotalTime>
  <ScaleCrop>false</ScaleCrop>
  <LinksUpToDate>false</LinksUpToDate>
  <CharactersWithSpaces>9733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2016-12-16T03:30:00Z</dcterms:created>
  <dc:creator>CNIS</dc:creator>
  <cp:lastModifiedBy>旋风的恸哭</cp:lastModifiedBy>
  <cp:lastPrinted>2020-09-09T09:27:00Z</cp:lastPrinted>
  <dcterms:modified xsi:type="dcterms:W3CDTF">2020-09-30T01:32:31Z</dcterms:modified>
  <dc:title>标准名称</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