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360" w:lineRule="auto"/>
        <w:jc w:val="center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bookmarkStart w:id="1" w:name="_GoBack"/>
      <w:r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  <w:t>团体标准</w:t>
      </w:r>
      <w:bookmarkStart w:id="0" w:name="_Toc12378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《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eastAsia="zh-CN"/>
        </w:rPr>
        <w:t>餐厨废弃油脂制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B10柴油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》</w:t>
      </w:r>
      <w:bookmarkEnd w:id="0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修改意见汇总表</w:t>
      </w:r>
    </w:p>
    <w:bookmarkEnd w:id="1"/>
    <w:p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</w:t>
      </w:r>
    </w:p>
    <w:tbl>
      <w:tblPr>
        <w:tblStyle w:val="2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征求意见时间：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2020年9月30日</w:t>
      </w:r>
    </w:p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截止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时间：20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日（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逾期未回复按无意见处理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）</w:t>
      </w:r>
    </w:p>
    <w:sectPr>
      <w:pgSz w:w="16838" w:h="11906" w:orient="landscape"/>
      <w:pgMar w:top="1758" w:right="1440" w:bottom="175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3C"/>
    <w:rsid w:val="0000433C"/>
    <w:rsid w:val="00C4687C"/>
    <w:rsid w:val="471F0C17"/>
    <w:rsid w:val="53DC1679"/>
    <w:rsid w:val="7EA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15"/>
      <w:szCs w:val="15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33</Words>
  <Characters>189</Characters>
  <Lines>1</Lines>
  <Paragraphs>1</Paragraphs>
  <TotalTime>8</TotalTime>
  <ScaleCrop>false</ScaleCrop>
  <LinksUpToDate>false</LinksUpToDate>
  <CharactersWithSpaces>221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2019-12-09T02:05:00Z</dcterms:created>
  <dc:creator>China</dc:creator>
  <cp:lastModifiedBy>旋风的恸哭</cp:lastModifiedBy>
  <dcterms:modified xsi:type="dcterms:W3CDTF">2020-09-30T01:16:18Z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