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b/>
          <w:sz w:val="32"/>
          <w:szCs w:val="32"/>
        </w:rPr>
      </w:pPr>
      <w:r>
        <w:rPr>
          <w:rFonts w:ascii="宋体" w:hAnsi="宋体"/>
          <w:b/>
          <w:sz w:val="32"/>
          <w:szCs w:val="32"/>
        </w:rPr>
        <w:t>《</w:t>
      </w:r>
      <w:r>
        <w:rPr>
          <w:rFonts w:hint="eastAsia" w:ascii="宋体" w:hAnsi="宋体"/>
          <w:b/>
          <w:sz w:val="32"/>
          <w:szCs w:val="32"/>
        </w:rPr>
        <w:t>速冻南瓜饼</w:t>
      </w:r>
      <w:r>
        <w:rPr>
          <w:rFonts w:ascii="宋体" w:hAnsi="宋体"/>
          <w:b/>
          <w:sz w:val="32"/>
          <w:szCs w:val="32"/>
        </w:rPr>
        <w:t>》团体标准编制说明</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一、项目来源：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根据浙江省食品学会关于印发2020 年度第二批团体标准立项的通知，浙江子午线质量标准化研究有限公司等单位成立起草工作组负责团体标准《速冻南瓜饼》草案稿的起草工作，并由浙江省食品学会归口。</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二、标准制定工作的目的与意义：</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本标准适用于以糯米粉、南瓜和饮用水为主要原料，以白砂糖等作为辅料，经预处理、配料、打皮、包馅（或不包馅）、成型、裹屑（或不裹屑）、速冻、包装等工艺制成的南瓜饼。</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前速冻南瓜饼产业在全国各地蓬勃发展，各大线下和线上门店发展迅速。速冻南瓜饼企业规模以及销售额都呈现快速增长的趋势。如今浙江省拥有速冻南瓜饼生产许可证的企业有125家。从前的小作坊式的生产方式日益减少，越来越多的大规模企业开始使用机械化和自动化的生产模式，大大节省了人力成本和时间，还能保证产品的质量稳定。</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随着人们生活水平的提高，我国城镇居民人均可支配收入不断上涨，而居民收入水平的不断提高也带动了速冻面米制品行业的快速发展。速冻南瓜饼行业仍处于快速发展阶段，无论是线上电商还是线下商超拓展空间都很大。</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鉴于</w:t>
      </w:r>
      <w:r>
        <w:rPr>
          <w:rFonts w:hint="eastAsia" w:ascii="宋体" w:hAnsi="宋体" w:cs="宋体"/>
          <w:color w:val="000000" w:themeColor="text1"/>
          <w:szCs w:val="21"/>
          <w:lang w:val="en-US" w:eastAsia="zh-CN"/>
          <w14:textFill>
            <w14:solidFill>
              <w14:schemeClr w14:val="tx1"/>
            </w14:solidFill>
          </w14:textFill>
        </w:rPr>
        <w:t>速冻</w:t>
      </w:r>
      <w:r>
        <w:rPr>
          <w:rFonts w:hint="eastAsia" w:ascii="宋体" w:hAnsi="宋体" w:cs="宋体"/>
          <w:color w:val="000000" w:themeColor="text1"/>
          <w:szCs w:val="21"/>
          <w14:textFill>
            <w14:solidFill>
              <w14:schemeClr w14:val="tx1"/>
            </w14:solidFill>
          </w14:textFill>
        </w:rPr>
        <w:t>南瓜饼生产日新月异的发展，制定规范的速冻南瓜饼标准，统一速冻南瓜饼生产标准更显紧迫和必要，这不但规范了企业的生产经营，还填补了我国该行业标准方面的空白。有利于建立公平、有序的市场秩序，有利于稳定和提高产品质量，促进企业走质量效益型发展道路，增强企业素质，提高整个行业的市场竞争力，保护人体健康，维护消费者权益。同时为我国食品监管机构提供科学的执法依据。</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三、与我国现有法律法规和其他国内外标准的关系：</w:t>
      </w:r>
    </w:p>
    <w:p>
      <w:pPr>
        <w:ind w:firstLine="420" w:firstLineChars="200"/>
        <w:jc w:val="left"/>
        <w:rPr>
          <w:rFonts w:ascii="宋体" w:hAnsi="宋体" w:cs="宋体"/>
          <w:szCs w:val="21"/>
        </w:rPr>
      </w:pPr>
      <w:r>
        <w:rPr>
          <w:rFonts w:hint="eastAsia" w:ascii="宋体" w:hAnsi="宋体" w:cs="宋体"/>
          <w:szCs w:val="21"/>
        </w:rPr>
        <w:t>经收集，速冻南瓜饼生产企业现执行的国家食品安全标准为《食品安全国家标准 速冻面米制品》GB 19295。</w:t>
      </w:r>
    </w:p>
    <w:p>
      <w:pPr>
        <w:ind w:firstLine="420" w:firstLineChars="200"/>
        <w:jc w:val="left"/>
        <w:rPr>
          <w:rFonts w:ascii="宋体" w:hAnsi="宋体" w:cs="宋体"/>
          <w:szCs w:val="21"/>
        </w:rPr>
      </w:pPr>
      <w:r>
        <w:rPr>
          <w:rFonts w:hint="eastAsia" w:ascii="宋体" w:hAnsi="宋体" w:cs="宋体"/>
          <w:szCs w:val="21"/>
        </w:rPr>
        <w:t>现有的与速冻南瓜饼产品相关的标准有：SB/T 10412-2007《速冻面米食品》和NY/T 1407-2018《绿色食品 速冻预包装面米食品》</w:t>
      </w:r>
    </w:p>
    <w:p>
      <w:pPr>
        <w:ind w:firstLine="420" w:firstLineChars="200"/>
        <w:jc w:val="left"/>
        <w:rPr>
          <w:rFonts w:ascii="宋体" w:hAnsi="宋体" w:cs="宋体"/>
          <w:szCs w:val="21"/>
        </w:rPr>
      </w:pPr>
      <w:r>
        <w:rPr>
          <w:rFonts w:hint="eastAsia" w:ascii="宋体" w:hAnsi="宋体" w:cs="宋体"/>
          <w:szCs w:val="21"/>
        </w:rPr>
        <w:t>GB 19295是强制执行的食品安全标准，如果作为产品标准的话缺少产品的质量指标和产品特性指标，而SB/T 10412-2007《速冻面米食品》也仅规定了水分、蛋白质和脂肪的指标其中针对速冻南瓜饼的指标只有水分，针对性不强，其数据可作为参考。而NY/T 1407-2018《绿色食品 速冻预包装面米食品》仅规定了通过绿色食品认证的产品，不适用普通速冻南瓜饼。</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四、项目负责单位及标准制定主要工作过程：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本标准由</w:t>
      </w:r>
      <w:r>
        <w:rPr>
          <w:rFonts w:hint="eastAsia" w:ascii="宋体" w:hAnsi="宋体"/>
          <w:color w:val="000000" w:themeColor="text1"/>
          <w:szCs w:val="21"/>
          <w14:textFill>
            <w14:solidFill>
              <w14:schemeClr w14:val="tx1"/>
            </w14:solidFill>
          </w14:textFill>
        </w:rPr>
        <w:t>浙江子午线质量标准化研究有限公司、潮香村食品科技有限公司、浙江工商大学、杭州郝姆斯食品有限公司、嘉兴市标准化协会等单位</w:t>
      </w:r>
      <w:r>
        <w:rPr>
          <w:rFonts w:hint="eastAsia" w:asciiTheme="minorEastAsia" w:hAnsiTheme="minorEastAsia" w:eastAsiaTheme="minorEastAsia" w:cstheme="minorEastAsia"/>
          <w:szCs w:val="21"/>
        </w:rPr>
        <w:t>承担制定工作。组织专业技术人员成立工作组，安排人员分工，进行项目可行性分析，对项目的必要性和可行性进行充分论证；对速冻南瓜饼生产企业及作坊进行实地考查，对生产加工过程进行调研；同时对原辅料、产品的感官、理化、食品添加剂、非食用物质等各项指标进行大量检测并进行数据整理及分析，制定适合该类产品的标准。</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1、2020年8月10日-8月31日，收集相关的国家标准、法律法规等信息。</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2、2020年9月1日-9月3日，收集、攥写和提交团体标准立项申请材料。</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3、2020年9月4日-9月5日，收到浙江省食品学会予以立项文件并成立起草工作组。</w:t>
      </w:r>
    </w:p>
    <w:p>
      <w:pPr>
        <w:snapToGrid w:val="0"/>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4、2020年9月5日-2020年9年11日，完成《速冻南瓜饼》团体标准草案稿。</w:t>
      </w:r>
    </w:p>
    <w:p>
      <w:pPr>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5、2020年9月11日-2020年9年12日，工作组讨论后形成工作组讨论稿。</w:t>
      </w:r>
    </w:p>
    <w:p>
      <w:pPr>
        <w:snapToGrid w:val="0"/>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6、2020年9月19日于杭州万商国际酒店召开速冻南瓜饼专家研讨会，专家研讨会会上提出了以下几个问题：</w:t>
      </w:r>
    </w:p>
    <w:p>
      <w:pPr>
        <w:snapToGrid w:val="0"/>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1.南瓜原料要求增加无霉烂要求。2.由于GB/T 21270仅规定熟料要求故删除馅料要求。3.感官要求中组织状态增加生制状态：无明显结霜、形状完整、表皮无破损；熟制后内里质地细腻，不露馅。4.删除农药残留限量要求，5.馅含量检测方法按GB/T 23780 中馅料含量的检验方法测定。6.标签要求增加生制品和南瓜含量。7.运输中增加预冷要求。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Cs w:val="21"/>
          <w:lang w:val="en-US" w:eastAsia="zh-CN"/>
        </w:rPr>
        <w:t>7.2020年9月20日</w:t>
      </w:r>
      <w:r>
        <w:rPr>
          <w:rFonts w:hint="eastAsia" w:asciiTheme="minorEastAsia" w:hAnsiTheme="minorEastAsia" w:eastAsiaTheme="minorEastAsia" w:cstheme="minorEastAsia"/>
          <w:szCs w:val="21"/>
        </w:rPr>
        <w:t>-2020年9年</w:t>
      </w:r>
      <w:r>
        <w:rPr>
          <w:rFonts w:hint="eastAsia" w:asciiTheme="minorEastAsia" w:hAnsiTheme="minorEastAsia" w:eastAsiaTheme="minorEastAsia" w:cstheme="minorEastAsia"/>
          <w:szCs w:val="21"/>
          <w:lang w:val="en-US" w:eastAsia="zh-CN"/>
        </w:rPr>
        <w:t>28</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color w:val="auto"/>
          <w:sz w:val="21"/>
          <w:szCs w:val="21"/>
          <w:lang w:val="en-US" w:eastAsia="zh-CN"/>
        </w:rPr>
        <w:t>按照专家研讨会意见修改完成征求意见稿。</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五、标准制定原则：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根据《中华人民共和国食品安全法》及其实施条例等有关法律法规，按GB/T 1.1-2020的编写原则进行编写。以加强速冻南瓜饼卫生安全为原则，深入调查研究，保证规范起草工作的科学性、规范性和可操作性。</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（一）可操作性的原则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本规范制定过程中按照可操作性的原则，结合速冻南瓜饼生产企业的实际情况，对标准内容进行科学设定。为速冻南瓜饼行业、速冻南瓜饼生产企业、检测单位、市场监督等部门提供科学管理的依据。</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（二）与国内外标准协调一致原则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（三）公开透明的原则</w:t>
      </w:r>
    </w:p>
    <w:p>
      <w:pPr>
        <w:snapToGrid w:val="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六、标准主要条款说明：</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标准名称：与根据浙江省食品学会关于印发2020 年度第二批团体标准立项的通知，要求相一致为“速冻南瓜饼”。</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前言部分：在“前</w:t>
      </w:r>
      <w:r>
        <w:rPr>
          <w:rFonts w:hint="eastAsia" w:asciiTheme="minorEastAsia" w:hAnsiTheme="minorEastAsia" w:eastAsiaTheme="minorEastAsia" w:cstheme="minorEastAsia"/>
          <w:color w:val="000000" w:themeColor="text1"/>
          <w:szCs w:val="21"/>
          <w14:textFill>
            <w14:solidFill>
              <w14:schemeClr w14:val="tx1"/>
            </w14:solidFill>
          </w14:textFill>
        </w:rPr>
        <w:t>言”中确定由浙江省食品学会归</w:t>
      </w:r>
      <w:r>
        <w:rPr>
          <w:rFonts w:hint="eastAsia" w:asciiTheme="minorEastAsia" w:hAnsiTheme="minorEastAsia" w:eastAsiaTheme="minorEastAsia" w:cstheme="minorEastAsia"/>
          <w:szCs w:val="21"/>
        </w:rPr>
        <w:t>口，便于标准的咨询服务和相关解释。</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1 范围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本标准规定了速冻南瓜饼的术语和定义、分类、技术要求、生产加工卫生要求、检验方法、检验规则、标签、标志和包装、运输和贮存、销售、召回方面的要求。本文件适用于速冻南瓜饼的生产、检验和销售。</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2 规范性引用文件</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在规范性引用文件中，根据速冻南瓜饼的技术要求中“原辅料要求、食品添加剂限量、污染物限量、微生物限量、净含量”、生产加工卫生要求、试验方法、标签、标志、包装和销售等条款引用了相关国家标准等文件。</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3 术语和定义</w:t>
      </w:r>
    </w:p>
    <w:p>
      <w:pPr>
        <w:pStyle w:val="23"/>
        <w:numPr>
          <w:ilvl w:val="1"/>
          <w:numId w:val="0"/>
        </w:numPr>
        <w:spacing w:beforeLines="0" w:afterLines="0"/>
      </w:pPr>
      <w:r>
        <w:rPr>
          <w:rFonts w:hint="eastAsia"/>
        </w:rPr>
        <w:t xml:space="preserve">3.1 </w:t>
      </w:r>
      <w:r>
        <w:rPr>
          <w:rFonts w:hint="eastAsia" w:asciiTheme="minorEastAsia" w:hAnsiTheme="minorEastAsia" w:eastAsiaTheme="minorEastAsia" w:cstheme="minorEastAsia"/>
          <w:color w:val="000000" w:themeColor="text1"/>
          <w:kern w:val="2"/>
          <w14:textFill>
            <w14:solidFill>
              <w14:schemeClr w14:val="tx1"/>
            </w14:solidFill>
          </w14:textFill>
        </w:rPr>
        <w:t>参考了GB 19295和SB/T 10412中对速冻的定义确定为将平均温度改为中心温度：“速冻（quick frozen</w:t>
      </w:r>
      <w:bookmarkStart w:id="0" w:name="_Toc34064682"/>
      <w:bookmarkEnd w:id="0"/>
      <w:bookmarkStart w:id="1" w:name="_Toc34064624"/>
      <w:bookmarkEnd w:id="1"/>
      <w:r>
        <w:rPr>
          <w:rFonts w:hint="eastAsia" w:asciiTheme="minorEastAsia" w:hAnsiTheme="minorEastAsia" w:eastAsiaTheme="minorEastAsia" w:cstheme="minorEastAsia"/>
          <w:color w:val="000000" w:themeColor="text1"/>
          <w:kern w:val="2"/>
          <w14:textFill>
            <w14:solidFill>
              <w14:schemeClr w14:val="tx1"/>
            </w14:solidFill>
          </w14:textFill>
        </w:rPr>
        <w:t>）在低温环境内，使产品迅速通过最大冰晶区域，当其中心温度达到-18℃时，完成冻结加工的冻结方法”。</w:t>
      </w:r>
    </w:p>
    <w:p>
      <w:pPr>
        <w:pStyle w:val="23"/>
        <w:spacing w:beforeLines="0" w:afterLines="0"/>
        <w:rPr>
          <w:rFonts w:hint="eastAsia"/>
        </w:rPr>
      </w:pPr>
      <w:r>
        <w:rPr>
          <w:rFonts w:hint="eastAsia"/>
        </w:rPr>
        <w:t xml:space="preserve">3.2 </w:t>
      </w:r>
      <w:r>
        <w:rPr>
          <w:rFonts w:hint="eastAsia" w:asciiTheme="minorEastAsia" w:hAnsiTheme="minorEastAsia" w:eastAsiaTheme="minorEastAsia" w:cstheme="minorEastAsia"/>
          <w:color w:val="000000" w:themeColor="text1"/>
          <w14:textFill>
            <w14:solidFill>
              <w14:schemeClr w14:val="tx1"/>
            </w14:solidFill>
          </w14:textFill>
        </w:rPr>
        <w:t>经过工作组讨论结合速冻南瓜饼实际加</w:t>
      </w:r>
      <w:r>
        <w:rPr>
          <w:rFonts w:hint="eastAsia" w:ascii="宋体" w:eastAsia="宋体"/>
        </w:rPr>
        <w:t>工工艺确定为：“速冻南瓜饼：（quick frozen pumpkin pie）以南瓜为原料，以糯米粉以及白砂糖为辅料，经南瓜预处理、配料、打皮、包馅（或不包馅）、成型、裹</w:t>
      </w:r>
      <w:r>
        <w:rPr>
          <w:rFonts w:hint="eastAsia" w:asciiTheme="minorEastAsia" w:hAnsiTheme="minorEastAsia" w:eastAsiaTheme="minorEastAsia" w:cstheme="minorEastAsia"/>
          <w:color w:val="000000" w:themeColor="text1"/>
          <w14:textFill>
            <w14:solidFill>
              <w14:schemeClr w14:val="tx1"/>
            </w14:solidFill>
          </w14:textFill>
        </w:rPr>
        <w:t>屑（或不裹屑）、速冻、</w:t>
      </w:r>
      <w:r>
        <w:rPr>
          <w:rFonts w:hint="eastAsia" w:ascii="宋体" w:eastAsia="宋体"/>
        </w:rPr>
        <w:t>包装、等工艺制成的南瓜饼</w:t>
      </w:r>
      <w:r>
        <w:rPr>
          <w:rFonts w:hint="eastAsia" w:ascii="宋体" w:eastAsia="宋体"/>
          <w:lang w:eastAsia="zh-CN"/>
        </w:rPr>
        <w:t>”</w:t>
      </w:r>
      <w:r>
        <w:rPr>
          <w:rFonts w:hint="eastAsia"/>
        </w:rPr>
        <w:t>。</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default"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lang w:val="en-US" w:eastAsia="zh-CN"/>
        </w:rPr>
        <w:t>于2020年9月19日专家研讨会上提出南瓜饼修改为生制南瓜饼</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。修改后确定为：“速冻南瓜饼：（quick frozen pumpkin pie）以南瓜为原料，以糯米粉以及白砂糖为辅料，经南瓜预处理、配料、打皮、包馅（或不包馅）、成型、裹屑（或不裹屑）、速冻、包装、等工艺制成的生制南瓜饼</w:t>
      </w:r>
      <w:r>
        <w:rPr>
          <w:rFonts w:hint="eastAsia" w:ascii="宋体" w:eastAsia="宋体"/>
          <w:lang w:eastAsia="zh-CN"/>
        </w:rPr>
        <w:t>”</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4 分类</w:t>
      </w:r>
    </w:p>
    <w:p>
      <w:pPr>
        <w:pStyle w:val="33"/>
        <w:spacing w:line="240" w:lineRule="auto"/>
      </w:pPr>
      <w:r>
        <w:rPr>
          <w:rFonts w:hint="eastAsia" w:ascii="黑体" w:hAnsi="黑体" w:eastAsia="黑体" w:cs="黑体"/>
        </w:rPr>
        <w:t xml:space="preserve">4.1 </w:t>
      </w:r>
      <w:r>
        <w:rPr>
          <w:rFonts w:hint="eastAsia" w:asciiTheme="minorEastAsia" w:hAnsiTheme="minorEastAsia" w:eastAsiaTheme="minorEastAsia" w:cstheme="minorEastAsia"/>
        </w:rPr>
        <w:t>有馅类</w:t>
      </w:r>
      <w:r>
        <w:rPr>
          <w:rFonts w:hint="eastAsia"/>
        </w:rPr>
        <w:t>：指有包馅料工艺的速冻南瓜饼。</w:t>
      </w:r>
    </w:p>
    <w:p>
      <w:pPr>
        <w:pStyle w:val="22"/>
        <w:spacing w:beforeLines="0" w:afterLines="0" w:line="240" w:lineRule="auto"/>
        <w:rPr>
          <w:rFonts w:ascii="宋体" w:eastAsia="宋体"/>
        </w:rPr>
      </w:pPr>
      <w:r>
        <w:rPr>
          <w:rFonts w:hint="eastAsia"/>
        </w:rPr>
        <w:t xml:space="preserve">4.2 </w:t>
      </w:r>
      <w:r>
        <w:rPr>
          <w:rFonts w:hint="eastAsia" w:asciiTheme="minorEastAsia" w:hAnsiTheme="minorEastAsia" w:eastAsiaTheme="minorEastAsia" w:cstheme="minorEastAsia"/>
        </w:rPr>
        <w:t>无馅类：</w:t>
      </w:r>
      <w:r>
        <w:rPr>
          <w:rFonts w:hint="eastAsia" w:ascii="宋体" w:eastAsia="宋体"/>
        </w:rPr>
        <w:t>指没有有包馅料工艺的速冻南瓜饼。</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5 技术要求</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5.1 原辅料要求</w:t>
      </w:r>
    </w:p>
    <w:p>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5.1.1 </w:t>
      </w:r>
      <w:r>
        <w:rPr>
          <w:rFonts w:hint="eastAsia" w:asciiTheme="minorEastAsia" w:hAnsiTheme="minorEastAsia" w:eastAsiaTheme="minorEastAsia" w:cstheme="minorEastAsia"/>
          <w:color w:val="000000" w:themeColor="text1"/>
          <w:szCs w:val="21"/>
          <w14:textFill>
            <w14:solidFill>
              <w14:schemeClr w14:val="tx1"/>
            </w14:solidFill>
          </w14:textFill>
        </w:rPr>
        <w:t>南瓜应成熟，</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完好、</w:t>
      </w:r>
      <w:r>
        <w:rPr>
          <w:rFonts w:hint="eastAsia" w:asciiTheme="minorEastAsia" w:hAnsiTheme="minorEastAsia" w:eastAsiaTheme="minorEastAsia" w:cstheme="minorEastAsia"/>
          <w:color w:val="000000" w:themeColor="text1"/>
          <w:szCs w:val="21"/>
          <w14:textFill>
            <w14:solidFill>
              <w14:schemeClr w14:val="tx1"/>
            </w14:solidFill>
          </w14:textFill>
        </w:rPr>
        <w:t>无病虫害污染</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p>
      <w:pPr>
        <w:pStyle w:val="33"/>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lang w:val="en-US" w:eastAsia="zh-CN"/>
        </w:rPr>
        <w:t>于2020年9月19日专家研讨会上提出增加无霉烂要求，</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修改后确定为：“</w:t>
      </w:r>
      <w:r>
        <w:rPr>
          <w:rFonts w:hint="eastAsia"/>
        </w:rPr>
        <w:t>南瓜应成熟，完好、</w:t>
      </w:r>
      <w:r>
        <w:rPr>
          <w:rFonts w:hint="eastAsia"/>
          <w:color w:val="auto"/>
          <w:lang w:val="en-US" w:eastAsia="zh-CN"/>
        </w:rPr>
        <w:t>无霉烂、</w:t>
      </w:r>
      <w:r>
        <w:rPr>
          <w:rFonts w:hint="eastAsia"/>
        </w:rPr>
        <w:t>无病虫害污染</w:t>
      </w:r>
      <w:r>
        <w:rPr>
          <w:rFonts w:hint="eastAsia"/>
          <w:lang w:eastAsia="zh-CN"/>
        </w:rPr>
        <w:t>”</w:t>
      </w:r>
      <w:r>
        <w:rPr>
          <w:rFonts w:hint="eastAsia"/>
        </w:rPr>
        <w:t>。</w:t>
      </w:r>
    </w:p>
    <w:p>
      <w:pPr>
        <w:pStyle w:val="33"/>
        <w:spacing w:line="240" w:lineRule="auto"/>
        <w:rPr>
          <w:rFonts w:asciiTheme="minorEastAsia" w:hAnsiTheme="minorEastAsia" w:eastAsiaTheme="minorEastAsia" w:cstheme="minorEastAsia"/>
          <w:color w:val="000000" w:themeColor="text1"/>
          <w:kern w:val="2"/>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5.1.2 </w:t>
      </w:r>
      <w:r>
        <w:rPr>
          <w:rFonts w:hint="eastAsia" w:asciiTheme="minorEastAsia" w:hAnsiTheme="minorEastAsia" w:eastAsiaTheme="minorEastAsia" w:cstheme="minorEastAsia"/>
          <w:color w:val="000000" w:themeColor="text1"/>
          <w:kern w:val="2"/>
          <w14:textFill>
            <w14:solidFill>
              <w14:schemeClr w14:val="tx1"/>
            </w14:solidFill>
          </w14:textFill>
        </w:rPr>
        <w:t>糯米粉应</w:t>
      </w:r>
      <w:r>
        <w:rPr>
          <w:rFonts w:asciiTheme="minorEastAsia" w:hAnsiTheme="minorEastAsia" w:eastAsiaTheme="minorEastAsia" w:cstheme="minorEastAsia"/>
          <w:color w:val="000000" w:themeColor="text1"/>
          <w:kern w:val="2"/>
          <w14:textFill>
            <w14:solidFill>
              <w14:schemeClr w14:val="tx1"/>
            </w14:solidFill>
          </w14:textFill>
        </w:rPr>
        <w:t>色泽洁白，无发霉变质的现象，无异味。口味嫩滑、细韧、不碜牙。</w:t>
      </w:r>
    </w:p>
    <w:p>
      <w:pPr>
        <w:rPr>
          <w:rFonts w:asciiTheme="minorEastAsia" w:hAnsiTheme="minorEastAsia" w:eastAsiaTheme="minorEastAsia" w:cstheme="minorEastAsia"/>
          <w:szCs w:val="21"/>
        </w:rPr>
      </w:pPr>
      <w:r>
        <w:rPr>
          <w:rFonts w:hint="eastAsia" w:ascii="黑体" w:hAnsi="黑体" w:eastAsia="黑体" w:cs="黑体"/>
          <w:szCs w:val="21"/>
        </w:rPr>
        <w:t xml:space="preserve">5.1.3 </w:t>
      </w:r>
      <w:r>
        <w:rPr>
          <w:rFonts w:hint="eastAsia" w:asciiTheme="minorEastAsia" w:hAnsiTheme="minorEastAsia" w:eastAsiaTheme="minorEastAsia" w:cstheme="minorEastAsia"/>
          <w:szCs w:val="21"/>
        </w:rPr>
        <w:t>饮用水应符合GB 5749 的规定。</w:t>
      </w:r>
    </w:p>
    <w:p>
      <w:pPr>
        <w:rPr>
          <w:rFonts w:asciiTheme="minorEastAsia" w:hAnsiTheme="minorEastAsia" w:eastAsiaTheme="minorEastAsia" w:cstheme="minorEastAsia"/>
          <w:szCs w:val="21"/>
        </w:rPr>
      </w:pPr>
      <w:r>
        <w:rPr>
          <w:rFonts w:hint="eastAsia" w:ascii="黑体" w:hAnsi="黑体" w:eastAsia="黑体" w:cs="黑体"/>
          <w:szCs w:val="21"/>
        </w:rPr>
        <w:t xml:space="preserve">5.1.4 </w:t>
      </w:r>
      <w:r>
        <w:rPr>
          <w:rFonts w:hint="eastAsia" w:asciiTheme="minorEastAsia" w:hAnsiTheme="minorEastAsia" w:eastAsiaTheme="minorEastAsia" w:cstheme="minorEastAsia"/>
          <w:szCs w:val="21"/>
        </w:rPr>
        <w:t>植物油应符合GB 2716 的规定。</w:t>
      </w:r>
    </w:p>
    <w:p>
      <w:pPr>
        <w:rPr>
          <w:rFonts w:hint="eastAsia" w:asciiTheme="minorEastAsia" w:hAnsiTheme="minorEastAsia" w:eastAsiaTheme="minorEastAsia" w:cstheme="minorEastAsia"/>
          <w:szCs w:val="21"/>
        </w:rPr>
      </w:pPr>
      <w:r>
        <w:rPr>
          <w:rFonts w:hint="eastAsia" w:ascii="黑体" w:hAnsi="黑体" w:eastAsia="黑体" w:cs="黑体"/>
          <w:szCs w:val="21"/>
        </w:rPr>
        <w:t xml:space="preserve">5.1.5 </w:t>
      </w:r>
      <w:r>
        <w:rPr>
          <w:rFonts w:hint="eastAsia" w:asciiTheme="minorEastAsia" w:hAnsiTheme="minorEastAsia" w:eastAsiaTheme="minorEastAsia" w:cstheme="minorEastAsia"/>
          <w:szCs w:val="21"/>
        </w:rPr>
        <w:t>白砂糖应符合GB/T 317 的规定。</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于</w:t>
      </w:r>
      <w:r>
        <w:rPr>
          <w:rFonts w:hint="eastAsia"/>
          <w:lang w:val="en-US" w:eastAsia="zh-CN"/>
        </w:rPr>
        <w:t>2020年9月19日专家研讨会上提出删除馅料要求。</w:t>
      </w:r>
    </w:p>
    <w:p>
      <w:pPr>
        <w:rPr>
          <w:rFonts w:asciiTheme="minorEastAsia" w:hAnsiTheme="minorEastAsia" w:eastAsiaTheme="minorEastAsia" w:cstheme="minorEastAsia"/>
          <w:szCs w:val="21"/>
        </w:rPr>
      </w:pPr>
      <w:r>
        <w:rPr>
          <w:rFonts w:hint="eastAsia" w:ascii="黑体" w:hAnsi="黑体" w:eastAsia="黑体" w:cs="黑体"/>
          <w:szCs w:val="21"/>
        </w:rPr>
        <w:t xml:space="preserve">5.1.7 </w:t>
      </w:r>
      <w:r>
        <w:rPr>
          <w:rFonts w:hint="eastAsia" w:asciiTheme="minorEastAsia" w:hAnsiTheme="minorEastAsia" w:eastAsiaTheme="minorEastAsia" w:cstheme="minorEastAsia"/>
          <w:szCs w:val="21"/>
        </w:rPr>
        <w:t>其它原辅料应符合相关国家标准或行业标准的规定。</w:t>
      </w:r>
    </w:p>
    <w:p>
      <w:pPr>
        <w:pStyle w:val="23"/>
        <w:spacing w:beforeLines="0" w:afterLines="0"/>
        <w:rPr>
          <w:rFonts w:hAnsi="黑体" w:cs="黑体"/>
          <w:sz w:val="24"/>
          <w:szCs w:val="24"/>
        </w:rPr>
      </w:pPr>
      <w:r>
        <w:rPr>
          <w:rFonts w:hint="eastAsia" w:hAnsi="黑体" w:cs="黑体"/>
          <w:sz w:val="24"/>
          <w:szCs w:val="24"/>
        </w:rPr>
        <w:t>5.2 感官要求</w:t>
      </w:r>
    </w:p>
    <w:p>
      <w:pPr>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感官检验项目参考GB 19295中3.2感官指标，提出了色泽、滋味气味、组织状态和杂质。根据速冻南瓜饼生产企业实际生产要求</w:t>
      </w:r>
      <w:r>
        <w:rPr>
          <w:rFonts w:hint="eastAsia" w:asciiTheme="minorEastAsia" w:hAnsiTheme="minorEastAsia" w:eastAsiaTheme="minorEastAsia" w:cstheme="minorEastAsia"/>
          <w:kern w:val="0"/>
          <w:szCs w:val="21"/>
        </w:rPr>
        <w:t>提出了符合产品特点的基本要求，其中对组织状态进行分级具体内容如下:</w:t>
      </w:r>
    </w:p>
    <w:p>
      <w:pPr>
        <w:tabs>
          <w:tab w:val="left" w:pos="312"/>
        </w:tabs>
        <w:ind w:left="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1.色泽:呈淡黄色，炸制后呈金黄色、有光泽。</w:t>
      </w:r>
    </w:p>
    <w:p>
      <w:pPr>
        <w:tabs>
          <w:tab w:val="left" w:pos="312"/>
        </w:tabs>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2.气味滋味：具有南瓜应有的气味，香甜可口、无异味。</w:t>
      </w:r>
    </w:p>
    <w:p>
      <w:pPr>
        <w:tabs>
          <w:tab w:val="left" w:pos="312"/>
        </w:tabs>
        <w:ind w:left="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3.组织状态：优级：炸制后表皮酥脆，内里质地细腻，形状完整，不露馅，合格：炸制后表皮酥脆，内里质地细腻。</w:t>
      </w:r>
    </w:p>
    <w:p>
      <w:pPr>
        <w:tabs>
          <w:tab w:val="left" w:pos="312"/>
        </w:tabs>
        <w:ind w:left="420"/>
        <w:rPr>
          <w:rFonts w:hint="eastAsia" w:eastAsia="宋体" w:asciiTheme="minorEastAsia" w:hAnsiTheme="minorEastAsia" w:cstheme="minorEastAsia"/>
          <w:color w:val="auto"/>
          <w:kern w:val="0"/>
          <w:szCs w:val="21"/>
          <w:lang w:val="en-US" w:eastAsia="zh-CN"/>
        </w:rPr>
      </w:pPr>
      <w:r>
        <w:rPr>
          <w:rFonts w:hint="eastAsia" w:asciiTheme="minorEastAsia" w:hAnsiTheme="minorEastAsia" w:eastAsiaTheme="minorEastAsia" w:cstheme="minorEastAsia"/>
          <w:color w:val="auto"/>
          <w:szCs w:val="21"/>
          <w:lang w:val="en-US" w:eastAsia="zh-CN"/>
        </w:rPr>
        <w:t>于</w:t>
      </w:r>
      <w:r>
        <w:rPr>
          <w:rFonts w:hint="eastAsia"/>
          <w:color w:val="auto"/>
          <w:lang w:val="en-US" w:eastAsia="zh-CN"/>
        </w:rPr>
        <w:t>2020年9月19日专家研讨会上修改为，</w:t>
      </w:r>
      <w:r>
        <w:rPr>
          <w:rFonts w:hint="eastAsia" w:asciiTheme="minorEastAsia" w:hAnsiTheme="minorEastAsia" w:eastAsiaTheme="minorEastAsia" w:cstheme="minorEastAsia"/>
          <w:color w:val="auto"/>
          <w:kern w:val="0"/>
          <w:szCs w:val="21"/>
        </w:rPr>
        <w:t>优级：</w:t>
      </w:r>
      <w:r>
        <w:rPr>
          <w:rFonts w:hint="eastAsia" w:hAnsi="宋体"/>
          <w:color w:val="auto"/>
          <w:szCs w:val="21"/>
          <w:lang w:val="en-US" w:eastAsia="zh-CN"/>
        </w:rPr>
        <w:t>无明显结霜、</w:t>
      </w:r>
      <w:r>
        <w:rPr>
          <w:rFonts w:hint="eastAsia" w:hAnsi="宋体"/>
          <w:color w:val="auto"/>
          <w:szCs w:val="21"/>
        </w:rPr>
        <w:t>形状完整</w:t>
      </w:r>
      <w:r>
        <w:rPr>
          <w:rFonts w:hint="eastAsia" w:hAnsi="宋体"/>
          <w:color w:val="auto"/>
          <w:szCs w:val="21"/>
          <w:lang w:eastAsia="zh-CN"/>
        </w:rPr>
        <w:t>、</w:t>
      </w:r>
      <w:r>
        <w:rPr>
          <w:rFonts w:hint="eastAsia" w:hAnsi="宋体"/>
          <w:color w:val="auto"/>
          <w:szCs w:val="21"/>
          <w:lang w:val="en-US" w:eastAsia="zh-CN"/>
        </w:rPr>
        <w:t>表皮无破损</w:t>
      </w:r>
      <w:r>
        <w:rPr>
          <w:rFonts w:hint="eastAsia" w:hAnsi="宋体"/>
          <w:color w:val="auto"/>
          <w:szCs w:val="21"/>
          <w:lang w:eastAsia="zh-CN"/>
        </w:rPr>
        <w:t>；</w:t>
      </w:r>
      <w:r>
        <w:rPr>
          <w:rFonts w:hint="eastAsia" w:hAnsi="宋体"/>
          <w:color w:val="auto"/>
          <w:szCs w:val="21"/>
          <w:lang w:val="en-US" w:eastAsia="zh-CN"/>
        </w:rPr>
        <w:t>熟</w:t>
      </w:r>
      <w:r>
        <w:rPr>
          <w:rFonts w:hint="eastAsia" w:hAnsi="宋体"/>
          <w:color w:val="auto"/>
          <w:szCs w:val="21"/>
        </w:rPr>
        <w:t>制后内里质地细腻</w:t>
      </w:r>
      <w:r>
        <w:rPr>
          <w:rFonts w:hint="eastAsia" w:hAnsi="宋体"/>
          <w:color w:val="auto"/>
          <w:szCs w:val="21"/>
          <w:lang w:eastAsia="zh-CN"/>
        </w:rPr>
        <w:t>，</w:t>
      </w:r>
      <w:r>
        <w:rPr>
          <w:rFonts w:hint="eastAsia" w:hAnsi="宋体"/>
          <w:color w:val="auto"/>
          <w:szCs w:val="21"/>
          <w:lang w:val="en-US" w:eastAsia="zh-CN"/>
        </w:rPr>
        <w:t>不露馅。</w:t>
      </w:r>
      <w:r>
        <w:rPr>
          <w:rFonts w:hint="eastAsia" w:asciiTheme="minorEastAsia" w:hAnsiTheme="minorEastAsia" w:eastAsiaTheme="minorEastAsia" w:cstheme="minorEastAsia"/>
          <w:color w:val="auto"/>
          <w:kern w:val="0"/>
          <w:szCs w:val="21"/>
        </w:rPr>
        <w:t>合格：</w:t>
      </w:r>
      <w:r>
        <w:rPr>
          <w:rFonts w:hint="eastAsia" w:hAnsi="宋体"/>
          <w:color w:val="auto"/>
          <w:szCs w:val="21"/>
          <w:lang w:val="en-US" w:eastAsia="zh-CN"/>
        </w:rPr>
        <w:t>表皮无明显破损、熟</w:t>
      </w:r>
      <w:r>
        <w:rPr>
          <w:rFonts w:hint="eastAsia" w:hAnsi="宋体"/>
          <w:color w:val="auto"/>
          <w:szCs w:val="21"/>
        </w:rPr>
        <w:t>制后内里质地细腻</w:t>
      </w:r>
      <w:r>
        <w:rPr>
          <w:rFonts w:hint="eastAsia" w:hAnsi="宋体"/>
          <w:color w:val="auto"/>
          <w:szCs w:val="21"/>
          <w:lang w:eastAsia="zh-CN"/>
        </w:rPr>
        <w:t>。</w:t>
      </w:r>
    </w:p>
    <w:p>
      <w:pPr>
        <w:tabs>
          <w:tab w:val="left" w:pos="312"/>
        </w:tabs>
        <w:ind w:left="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4.杂质：无正常视力可见杂质。</w:t>
      </w:r>
    </w:p>
    <w:p>
      <w:pPr>
        <w:pStyle w:val="23"/>
        <w:spacing w:beforeLines="0" w:afterLines="0"/>
        <w:rPr>
          <w:rFonts w:hAnsi="黑体" w:cs="黑体"/>
          <w:sz w:val="24"/>
          <w:szCs w:val="24"/>
        </w:rPr>
      </w:pPr>
      <w:r>
        <w:rPr>
          <w:rFonts w:hint="eastAsia" w:hAnsi="黑体" w:cs="黑体"/>
          <w:sz w:val="24"/>
          <w:szCs w:val="24"/>
        </w:rPr>
        <w:t>5.3 理化指标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为该产品提出了符合产品特点的理化指标设置馅含量和过氧化值对速冻南瓜饼进行分级。其中酸价和过氧化值指标仅适用于配料中添加油脂的产品。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1.馅含量根据SB/T 10423-2017《速冻汤圆》6.2理化指标的馅含量初步确定。后参考速冻南瓜饼生产企业实际生产配方及检测数据确定为：优级≥20(g/100g)。</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.水分根据SB/T 10412-2007《速冻面米食品》5.4.1中水分要求确定为:有馅类≤65%无馅类≤60%。</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3、蛋白质参考了5种速冻南瓜饼品牌蛋白质含量，最终依据分类有馅类和无馅类来设置不同指标要求“有馅类蛋白质≥2%，无馅类蛋白质≥1%”。</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.总糖参考GB/T 20977-2007《糕点通则》中4.4理化指标确定为：总糖≤42.0%。</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过氧化值</w:t>
      </w:r>
      <w:r>
        <w:rPr>
          <w:rFonts w:hint="eastAsia" w:asciiTheme="minorEastAsia" w:hAnsiTheme="minorEastAsia" w:eastAsiaTheme="minorEastAsia" w:cstheme="minorEastAsia"/>
          <w:szCs w:val="21"/>
        </w:rPr>
        <w:t>参考NY/T 2107-2011 《绿色食品 食品馅料》中5.6速冻食品用馅料和NY/T 1407-2018《绿色食品 速冻预包装面米食品》5.4确定优级指标，过氧化值参考GB 19295设置合格指标。最终确定为“优级：过氧化值（以脂肪计）≤0.15(g/100g)；合格：过氧化值（以脂肪计）≤0.25(g/100g)。</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6.日落黄参考GB 2760中没有规定速冻南瓜饼类产品的限量值，故确定为不得检出。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7.柠檬黄参考GB 2760中没有规定速冻南瓜饼类产品的限量值，故确定为不得检出。 </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5.4 微生物限量</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参考了GB 19295中微生物限量，分为生制品和熟制品与速度南瓜饼相符合故确定为：微生物限量应符合GB 19295的规定。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5.5 污染物限量</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污染物限量应符合GB 2762的规定。</w:t>
      </w:r>
    </w:p>
    <w:p>
      <w:pPr>
        <w:pStyle w:val="23"/>
        <w:spacing w:beforeLines="0" w:afterLines="0"/>
        <w:rPr>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5.</w:t>
      </w:r>
      <w:r>
        <w:rPr>
          <w:rFonts w:hint="eastAsia" w:hAnsi="黑体" w:cs="黑体"/>
          <w:color w:val="000000" w:themeColor="text1"/>
          <w:sz w:val="24"/>
          <w:szCs w:val="24"/>
          <w:lang w:val="en-US" w:eastAsia="zh-CN"/>
          <w14:textFill>
            <w14:solidFill>
              <w14:schemeClr w14:val="tx1"/>
            </w14:solidFill>
          </w14:textFill>
        </w:rPr>
        <w:t>6</w:t>
      </w:r>
      <w:r>
        <w:rPr>
          <w:rFonts w:hint="eastAsia" w:hAnsi="黑体" w:cs="黑体"/>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食品添加剂和食品营养强化剂限量</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食品添加剂的使用应符合GB 2760的规定，食品营养强化剂的使用应符合GB 14880的规定。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5.</w:t>
      </w:r>
      <w:r>
        <w:rPr>
          <w:rFonts w:hint="eastAsia" w:hAnsi="黑体" w:cs="黑体"/>
          <w:color w:val="000000" w:themeColor="text1"/>
          <w:sz w:val="24"/>
          <w:szCs w:val="24"/>
          <w:lang w:val="en-US" w:eastAsia="zh-CN"/>
          <w14:textFill>
            <w14:solidFill>
              <w14:schemeClr w14:val="tx1"/>
            </w14:solidFill>
          </w14:textFill>
        </w:rPr>
        <w:t>7</w:t>
      </w:r>
      <w:r>
        <w:rPr>
          <w:rFonts w:hint="eastAsia" w:hAnsi="黑体" w:cs="黑体"/>
          <w:color w:val="000000" w:themeColor="text1"/>
          <w:sz w:val="24"/>
          <w:szCs w:val="24"/>
          <w14:textFill>
            <w14:solidFill>
              <w14:schemeClr w14:val="tx1"/>
            </w14:solidFill>
          </w14:textFill>
        </w:rPr>
        <w:t xml:space="preserve"> 净含量</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净含量应符合《定量包装商品计量监督管理办法》的有关规定。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6 生产加工过程的卫生要求</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生产加工工程应符合GB 14881的规定。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 试验方法</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7.1 感官要求</w:t>
      </w:r>
    </w:p>
    <w:p>
      <w:pPr>
        <w:pStyle w:val="19"/>
        <w:spacing w:beforeLines="0" w:afterLines="0" w:line="240" w:lineRule="auto"/>
        <w:rPr>
          <w:rFonts w:hint="eastAsia"/>
          <w:szCs w:val="21"/>
        </w:rPr>
      </w:pPr>
      <w:r>
        <w:rPr>
          <w:rFonts w:hint="eastAsia"/>
          <w:szCs w:val="21"/>
        </w:rPr>
        <w:t>参考GB/T 5009.56-2003《糕点卫生标准的分析方法》和</w:t>
      </w:r>
      <w:r>
        <w:rPr>
          <w:rFonts w:hint="eastAsia" w:asciiTheme="minorEastAsia" w:hAnsiTheme="minorEastAsia" w:eastAsiaTheme="minorEastAsia" w:cstheme="minorEastAsia"/>
          <w:szCs w:val="21"/>
        </w:rPr>
        <w:t>SB/T 10412-2007《速冻面米食品》的感官检验方法最终确定为:“</w:t>
      </w:r>
      <w:r>
        <w:rPr>
          <w:rFonts w:hint="eastAsia"/>
          <w:szCs w:val="21"/>
        </w:rPr>
        <w:t>在冻结状态下，取样品一</w:t>
      </w:r>
      <w:r>
        <w:rPr>
          <w:rFonts w:hint="eastAsia"/>
          <w:szCs w:val="21"/>
          <w:lang w:val="en-US" w:eastAsia="zh-CN"/>
        </w:rPr>
        <w:t>包</w:t>
      </w:r>
      <w:r>
        <w:rPr>
          <w:rFonts w:hint="eastAsia"/>
          <w:szCs w:val="21"/>
        </w:rPr>
        <w:t>（盒），置于清洁的白瓷盘中，用目测检查外形、色泽，用刀剖开后观察其组织状态，按包装上标注的食用方法熟化后，用鼻嗅其气味，用口尝其滋味”。</w:t>
      </w:r>
    </w:p>
    <w:p>
      <w:pPr>
        <w:pStyle w:val="19"/>
        <w:spacing w:beforeLines="0" w:afterLines="0" w:line="240" w:lineRule="auto"/>
        <w:rPr>
          <w:rFonts w:hint="eastAsia"/>
          <w:szCs w:val="21"/>
        </w:rPr>
      </w:pPr>
      <w:r>
        <w:rPr>
          <w:rFonts w:hint="eastAsia"/>
          <w:szCs w:val="21"/>
          <w:lang w:val="en-US" w:eastAsia="zh-CN"/>
        </w:rPr>
        <w:t>于2020年9月19日专家研讨会上修改为：</w:t>
      </w:r>
      <w:r>
        <w:rPr>
          <w:rFonts w:hint="eastAsia"/>
          <w:szCs w:val="21"/>
        </w:rPr>
        <w:t>在冻结状态下，取样品一</w:t>
      </w:r>
      <w:r>
        <w:rPr>
          <w:rFonts w:hint="eastAsia"/>
          <w:szCs w:val="21"/>
          <w:lang w:val="en-US" w:eastAsia="zh-CN"/>
        </w:rPr>
        <w:t>包</w:t>
      </w:r>
      <w:r>
        <w:rPr>
          <w:rFonts w:hint="eastAsia"/>
          <w:szCs w:val="21"/>
        </w:rPr>
        <w:t>（盒），置于清洁的白瓷盘中，</w:t>
      </w:r>
      <w:r>
        <w:rPr>
          <w:rFonts w:hint="eastAsia"/>
          <w:szCs w:val="21"/>
          <w:lang w:val="en-US" w:eastAsia="zh-CN"/>
        </w:rPr>
        <w:t>在自然光下观察其</w:t>
      </w:r>
      <w:r>
        <w:rPr>
          <w:rFonts w:hint="eastAsia"/>
          <w:szCs w:val="21"/>
        </w:rPr>
        <w:t>外形、色泽，用</w:t>
      </w:r>
      <w:r>
        <w:rPr>
          <w:rFonts w:hint="eastAsia"/>
          <w:szCs w:val="21"/>
          <w:lang w:val="en-US" w:eastAsia="zh-CN"/>
        </w:rPr>
        <w:t>餐</w:t>
      </w:r>
      <w:r>
        <w:rPr>
          <w:rFonts w:hint="eastAsia"/>
          <w:szCs w:val="21"/>
        </w:rPr>
        <w:t>刀</w:t>
      </w:r>
      <w:r>
        <w:rPr>
          <w:rFonts w:hint="eastAsia"/>
          <w:szCs w:val="21"/>
          <w:lang w:val="en-US" w:eastAsia="zh-CN"/>
        </w:rPr>
        <w:t>按四分法切</w:t>
      </w:r>
      <w:r>
        <w:rPr>
          <w:rFonts w:hint="eastAsia"/>
          <w:szCs w:val="21"/>
        </w:rPr>
        <w:t>开后观察其组织状态</w:t>
      </w:r>
      <w:r>
        <w:rPr>
          <w:rFonts w:hint="eastAsia"/>
          <w:szCs w:val="21"/>
          <w:lang w:val="en-US" w:eastAsia="zh-CN"/>
        </w:rPr>
        <w:t>及杂质；</w:t>
      </w:r>
      <w:r>
        <w:rPr>
          <w:rFonts w:hint="eastAsia"/>
          <w:szCs w:val="21"/>
        </w:rPr>
        <w:t>按包装上标注的食用方法熟</w:t>
      </w:r>
      <w:r>
        <w:rPr>
          <w:rFonts w:hint="eastAsia"/>
          <w:szCs w:val="21"/>
          <w:lang w:val="en-US" w:eastAsia="zh-CN"/>
        </w:rPr>
        <w:t>制</w:t>
      </w:r>
      <w:r>
        <w:rPr>
          <w:rFonts w:hint="eastAsia"/>
          <w:szCs w:val="21"/>
        </w:rPr>
        <w:t>后，用鼻嗅其气味，用口偿其滋味。</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 理化指标</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7.2.1 馅含量</w:t>
      </w:r>
    </w:p>
    <w:p>
      <w:pPr>
        <w:pStyle w:val="19"/>
        <w:spacing w:beforeLines="0" w:afterLines="0" w:line="240" w:lineRule="auto"/>
        <w:rPr>
          <w:rFonts w:hint="eastAsia"/>
          <w:szCs w:val="21"/>
          <w:lang w:val="en-US" w:eastAsia="zh-CN"/>
        </w:rPr>
      </w:pPr>
      <w:r>
        <w:rPr>
          <w:rFonts w:hint="eastAsia"/>
          <w:szCs w:val="21"/>
          <w:lang w:val="en-US" w:eastAsia="zh-CN"/>
        </w:rPr>
        <w:t>参考SB/T 10423-2017《速冻汤圆》中馅含量的测定方法确定。</w:t>
      </w:r>
    </w:p>
    <w:p>
      <w:pPr>
        <w:pStyle w:val="19"/>
        <w:spacing w:beforeLines="0" w:afterLines="0" w:line="240" w:lineRule="auto"/>
        <w:rPr>
          <w:rFonts w:hint="eastAsia"/>
          <w:szCs w:val="21"/>
          <w:lang w:val="en-US" w:eastAsia="zh-CN"/>
        </w:rPr>
      </w:pPr>
      <w:r>
        <w:rPr>
          <w:rFonts w:hint="eastAsia"/>
          <w:szCs w:val="21"/>
          <w:lang w:val="en-US" w:eastAsia="zh-CN"/>
        </w:rPr>
        <w:t>于2020年9月19日专家研讨会上修改为：按GB/T 23780 中馅料含量的检验方法测定。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w:t>
      </w:r>
      <w:r>
        <w:rPr>
          <w:rFonts w:hint="eastAsia" w:hAnsi="黑体" w:cs="黑体"/>
          <w:color w:val="000000" w:themeColor="text1"/>
          <w:sz w:val="24"/>
          <w:szCs w:val="24"/>
          <w:lang w:val="en-US" w:eastAsia="zh-CN"/>
          <w14:textFill>
            <w14:solidFill>
              <w14:schemeClr w14:val="tx1"/>
            </w14:solidFill>
          </w14:textFill>
        </w:rPr>
        <w:t>2</w:t>
      </w:r>
      <w:r>
        <w:rPr>
          <w:rFonts w:hint="eastAsia" w:hAnsi="黑体" w:cs="黑体"/>
          <w:color w:val="000000" w:themeColor="text1"/>
          <w:sz w:val="24"/>
          <w:szCs w:val="24"/>
          <w14:textFill>
            <w14:solidFill>
              <w14:schemeClr w14:val="tx1"/>
            </w14:solidFill>
          </w14:textFill>
        </w:rPr>
        <w:t xml:space="preserve"> 水分</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根据SB/T 10412-2007《速冻面米食品》中检验方法6.3确定为：按GB 5009.3 规定的方法测定。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7.2.3 蛋白质</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根据SB/T 10412-2007《速冻面米食品》中检验方法6.4确定为：按GB 5009.5 规定的方法测定。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w:t>
      </w:r>
      <w:r>
        <w:rPr>
          <w:rFonts w:hint="eastAsia" w:hAnsi="黑体" w:cs="黑体"/>
          <w:color w:val="000000" w:themeColor="text1"/>
          <w:sz w:val="24"/>
          <w:szCs w:val="24"/>
          <w:lang w:val="en-US" w:eastAsia="zh-CN"/>
          <w14:textFill>
            <w14:solidFill>
              <w14:schemeClr w14:val="tx1"/>
            </w14:solidFill>
          </w14:textFill>
        </w:rPr>
        <w:t>4</w:t>
      </w:r>
      <w:r>
        <w:rPr>
          <w:rFonts w:hint="eastAsia" w:hAnsi="黑体" w:cs="黑体"/>
          <w:color w:val="000000" w:themeColor="text1"/>
          <w:sz w:val="24"/>
          <w:szCs w:val="24"/>
          <w14:textFill>
            <w14:solidFill>
              <w14:schemeClr w14:val="tx1"/>
            </w14:solidFill>
          </w14:textFill>
        </w:rPr>
        <w:t xml:space="preserve"> 总糖</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按GB/T 20977 规定的方法测定。 </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w:t>
      </w:r>
      <w:r>
        <w:rPr>
          <w:rFonts w:hint="eastAsia" w:hAnsi="黑体" w:cs="黑体"/>
          <w:color w:val="000000" w:themeColor="text1"/>
          <w:sz w:val="24"/>
          <w:szCs w:val="24"/>
          <w:lang w:val="en-US" w:eastAsia="zh-CN"/>
          <w14:textFill>
            <w14:solidFill>
              <w14:schemeClr w14:val="tx1"/>
            </w14:solidFill>
          </w14:textFill>
        </w:rPr>
        <w:t>5</w:t>
      </w:r>
      <w:r>
        <w:rPr>
          <w:rFonts w:hint="eastAsia" w:hAnsi="黑体" w:cs="黑体"/>
          <w:color w:val="000000" w:themeColor="text1"/>
          <w:sz w:val="24"/>
          <w:szCs w:val="24"/>
          <w14:textFill>
            <w14:solidFill>
              <w14:schemeClr w14:val="tx1"/>
            </w14:solidFill>
          </w14:textFill>
        </w:rPr>
        <w:t xml:space="preserve"> 过氧化值</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根据SB/T 10412-2007《速冻面米食品》中检验方法6.9确定为：按GB 5009.227 规定的方法测定。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7.2.6 日落黄</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按GB 6227.1 中附录A规定的方法测定。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7.2.7 柠檬黄</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w:t>
      </w:r>
      <w:r>
        <w:rPr>
          <w:rFonts w:asciiTheme="minorEastAsia" w:hAnsiTheme="minorEastAsia" w:eastAsiaTheme="minorEastAsia" w:cstheme="minorEastAsia"/>
          <w:szCs w:val="21"/>
        </w:rPr>
        <w:t>GB 4481.1</w:t>
      </w:r>
      <w:r>
        <w:rPr>
          <w:rFonts w:hint="eastAsia" w:asciiTheme="minorEastAsia" w:hAnsiTheme="minorEastAsia" w:eastAsiaTheme="minorEastAsia" w:cstheme="minorEastAsia"/>
          <w:szCs w:val="21"/>
        </w:rPr>
        <w:t xml:space="preserve"> 中附录A规定的方法测定。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7.3 净含量</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参考GB/T 23786-2009《速冻饺子》6.5确定为：按JJF 1070 规定的方法测定。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8 检验规则</w:t>
      </w:r>
    </w:p>
    <w:p>
      <w:pPr>
        <w:pStyle w:val="19"/>
        <w:spacing w:beforeLines="0" w:afterLines="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为了规范速冻南瓜饼的产品质量和统一性制定了检验规则如下。</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8.1 组批</w:t>
      </w:r>
    </w:p>
    <w:p>
      <w:pPr>
        <w:pStyle w:val="19"/>
        <w:spacing w:beforeLines="0" w:afterLines="0" w:line="240" w:lineRule="auto"/>
        <w:rPr>
          <w:rFonts w:hAnsi="宋体" w:cstheme="minorEastAsia"/>
          <w:szCs w:val="21"/>
        </w:rPr>
      </w:pPr>
      <w:r>
        <w:rPr>
          <w:rFonts w:hint="eastAsia" w:hAnsi="宋体" w:cstheme="minorEastAsia"/>
          <w:szCs w:val="21"/>
        </w:rPr>
        <w:t>同一班次、同一品种和相同工艺的产品为一批。</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8.2 抽样方法和数量</w:t>
      </w:r>
    </w:p>
    <w:p>
      <w:pPr>
        <w:pStyle w:val="33"/>
        <w:spacing w:line="240" w:lineRule="auto"/>
        <w:rPr>
          <w:rFonts w:asciiTheme="minorEastAsia" w:hAnsiTheme="minorEastAsia" w:eastAsiaTheme="minorEastAsia" w:cstheme="minorEastAsia"/>
          <w:kern w:val="2"/>
        </w:rPr>
      </w:pPr>
      <w:r>
        <w:rPr>
          <w:rFonts w:hint="eastAsia" w:ascii="黑体" w:hAnsi="黑体" w:eastAsia="黑体" w:cs="黑体"/>
        </w:rPr>
        <w:t>8.2.1</w:t>
      </w:r>
      <w:r>
        <w:rPr>
          <w:rFonts w:hint="eastAsia"/>
        </w:rPr>
        <w:t xml:space="preserve"> </w:t>
      </w:r>
      <w:r>
        <w:rPr>
          <w:rFonts w:hint="eastAsia" w:asciiTheme="minorEastAsia" w:hAnsiTheme="minorEastAsia" w:eastAsiaTheme="minorEastAsia" w:cstheme="minorEastAsia"/>
          <w:kern w:val="2"/>
        </w:rPr>
        <w:t>在成品库内抽样，抽样单位以包（盒）计。</w:t>
      </w:r>
    </w:p>
    <w:p>
      <w:pPr>
        <w:pStyle w:val="33"/>
        <w:spacing w:line="240" w:lineRule="auto"/>
      </w:pPr>
      <w:r>
        <w:rPr>
          <w:rFonts w:hint="eastAsia" w:ascii="黑体" w:hAnsi="黑体" w:eastAsia="黑体" w:cs="黑体"/>
        </w:rPr>
        <w:t>8.2.2</w:t>
      </w:r>
      <w:r>
        <w:rPr>
          <w:rFonts w:hint="eastAsia"/>
        </w:rPr>
        <w:t xml:space="preserve"> </w:t>
      </w:r>
      <w:r>
        <w:rPr>
          <w:rFonts w:hint="eastAsia" w:asciiTheme="minorEastAsia" w:hAnsiTheme="minorEastAsia" w:eastAsiaTheme="minorEastAsia" w:cstheme="minorEastAsia"/>
          <w:kern w:val="2"/>
        </w:rPr>
        <w:t>每批随机抽取样品，数量满足检验和</w:t>
      </w:r>
      <w:r>
        <w:rPr>
          <w:rFonts w:hint="eastAsia" w:asciiTheme="minorEastAsia" w:hAnsiTheme="minorEastAsia" w:eastAsiaTheme="minorEastAsia" w:cstheme="minorEastAsia"/>
          <w:kern w:val="2"/>
          <w:lang w:val="en-US" w:eastAsia="zh-CN"/>
        </w:rPr>
        <w:t>备</w:t>
      </w:r>
      <w:r>
        <w:rPr>
          <w:rFonts w:hint="eastAsia" w:asciiTheme="minorEastAsia" w:hAnsiTheme="minorEastAsia" w:eastAsiaTheme="minorEastAsia" w:cstheme="minorEastAsia"/>
          <w:kern w:val="2"/>
        </w:rPr>
        <w:t>样的需要。将样品平均分为2份，1份检验，1份备查。</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8.3 出厂检验</w:t>
      </w:r>
    </w:p>
    <w:p>
      <w:pPr>
        <w:pStyle w:val="33"/>
        <w:spacing w:line="240" w:lineRule="auto"/>
      </w:pPr>
      <w:r>
        <w:rPr>
          <w:rFonts w:hint="eastAsia" w:ascii="黑体" w:hAnsi="黑体" w:eastAsia="黑体" w:cs="黑体"/>
        </w:rPr>
        <w:t>8.3.1</w:t>
      </w:r>
      <w:r>
        <w:rPr>
          <w:rFonts w:hint="eastAsia"/>
        </w:rPr>
        <w:t xml:space="preserve"> 产品出需经检验部门逐批检验，检验合格方可出厂。</w:t>
      </w:r>
    </w:p>
    <w:p>
      <w:pPr>
        <w:pStyle w:val="33"/>
        <w:spacing w:line="240" w:lineRule="auto"/>
      </w:pPr>
      <w:r>
        <w:rPr>
          <w:rFonts w:hint="eastAsia" w:ascii="黑体" w:hAnsi="黑体" w:eastAsia="黑体" w:cs="黑体"/>
        </w:rPr>
        <w:t xml:space="preserve">8.3.2 </w:t>
      </w:r>
      <w:r>
        <w:rPr>
          <w:rFonts w:hint="eastAsia"/>
        </w:rPr>
        <w:t>产品出厂检验项目包括:感官要求、净含量、水分。优级产品出厂检验项目还包括：过氧化值和馅含量。</w:t>
      </w:r>
    </w:p>
    <w:p>
      <w:pPr>
        <w:pStyle w:val="33"/>
        <w:spacing w:line="240" w:lineRule="auto"/>
      </w:pPr>
      <w:r>
        <w:rPr>
          <w:rFonts w:hint="eastAsia" w:ascii="黑体" w:hAnsi="黑体" w:eastAsia="黑体" w:cs="黑体"/>
        </w:rPr>
        <w:t xml:space="preserve">8.3.3 </w:t>
      </w:r>
      <w:r>
        <w:rPr>
          <w:rFonts w:hint="eastAsia" w:asciiTheme="minorEastAsia" w:hAnsiTheme="minorEastAsia" w:eastAsiaTheme="minorEastAsia" w:cstheme="minorEastAsia"/>
          <w:kern w:val="2"/>
        </w:rPr>
        <w:t>参考GB/T 23786-2009《速冻饺子》确定为：</w:t>
      </w:r>
      <w:r>
        <w:rPr>
          <w:rFonts w:hint="eastAsia"/>
        </w:rPr>
        <w:t>出厂检验项目全部符合本标准，判为合格品（或优级品）。</w:t>
      </w:r>
    </w:p>
    <w:p>
      <w:pPr>
        <w:pStyle w:val="33"/>
        <w:spacing w:line="240" w:lineRule="auto"/>
      </w:pPr>
      <w:r>
        <w:rPr>
          <w:rFonts w:hint="eastAsia" w:ascii="黑体" w:hAnsi="黑体" w:eastAsia="黑体" w:cs="黑体"/>
        </w:rPr>
        <w:t xml:space="preserve">8.3.4 </w:t>
      </w:r>
      <w:r>
        <w:rPr>
          <w:rFonts w:hint="eastAsia"/>
        </w:rPr>
        <w:t>出厂检验中微生物指标有一项不合格时，则判为该批产品不合格，并不得复检。其余指标不合格（或不符合），可在同批产品中对不合格（或不符合）项目进行复检，复检后如仍有一项不符合本标准，则判为该批产品不合格（或不符合）。</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8.4 型式检验</w:t>
      </w:r>
    </w:p>
    <w:p>
      <w:pPr>
        <w:pStyle w:val="33"/>
        <w:spacing w:line="240" w:lineRule="auto"/>
      </w:pPr>
      <w:r>
        <w:rPr>
          <w:rFonts w:hint="eastAsia" w:ascii="黑体" w:hAnsi="黑体" w:eastAsia="黑体" w:cs="黑体"/>
        </w:rPr>
        <w:t>8.4.1</w:t>
      </w:r>
      <w:r>
        <w:rPr>
          <w:rFonts w:hint="eastAsia"/>
        </w:rPr>
        <w:t xml:space="preserve"> 型式检验项目应包含本文件5.2-5.</w:t>
      </w:r>
      <w:r>
        <w:rPr>
          <w:rFonts w:hint="eastAsia"/>
          <w:lang w:val="en-US" w:eastAsia="zh-CN"/>
        </w:rPr>
        <w:t>7</w:t>
      </w:r>
      <w:r>
        <w:rPr>
          <w:rFonts w:hint="eastAsia"/>
        </w:rPr>
        <w:t>规定的项目。</w:t>
      </w:r>
    </w:p>
    <w:p>
      <w:pPr>
        <w:pStyle w:val="33"/>
        <w:spacing w:line="240" w:lineRule="auto"/>
      </w:pPr>
      <w:r>
        <w:rPr>
          <w:rFonts w:hint="eastAsia" w:ascii="黑体" w:hAnsi="黑体" w:eastAsia="黑体" w:cs="黑体"/>
        </w:rPr>
        <w:t xml:space="preserve">8.4.2 </w:t>
      </w:r>
      <w:r>
        <w:rPr>
          <w:rFonts w:hint="eastAsia"/>
        </w:rPr>
        <w:t>季节性生产时应于生产前进行型式检验，常年生产时每6个月应进行型式检验。</w:t>
      </w:r>
    </w:p>
    <w:p>
      <w:pPr>
        <w:pStyle w:val="33"/>
        <w:spacing w:line="240" w:lineRule="auto"/>
      </w:pPr>
      <w:r>
        <w:rPr>
          <w:rFonts w:hint="eastAsia" w:ascii="黑体" w:hAnsi="黑体" w:eastAsia="黑体" w:cs="黑体"/>
        </w:rPr>
        <w:t xml:space="preserve">8.4.3 </w:t>
      </w:r>
      <w:r>
        <w:rPr>
          <w:rFonts w:hint="eastAsia"/>
        </w:rPr>
        <w:t>有下列情况之一时应进行型式检验:</w:t>
      </w:r>
    </w:p>
    <w:p>
      <w:pPr>
        <w:pStyle w:val="34"/>
        <w:rPr>
          <w:szCs w:val="21"/>
        </w:rPr>
      </w:pPr>
      <w:r>
        <w:rPr>
          <w:rFonts w:hint="eastAsia"/>
          <w:szCs w:val="21"/>
        </w:rPr>
        <w:t>新产品试制鉴定时;</w:t>
      </w:r>
    </w:p>
    <w:p>
      <w:pPr>
        <w:pStyle w:val="34"/>
        <w:rPr>
          <w:szCs w:val="21"/>
        </w:rPr>
      </w:pPr>
      <w:r>
        <w:rPr>
          <w:rFonts w:hint="eastAsia"/>
          <w:szCs w:val="21"/>
        </w:rPr>
        <w:t>正式投产后，如原料、生产工艺有较大改变，影响产品质量时;</w:t>
      </w:r>
    </w:p>
    <w:p>
      <w:pPr>
        <w:pStyle w:val="34"/>
        <w:rPr>
          <w:szCs w:val="21"/>
        </w:rPr>
      </w:pPr>
      <w:r>
        <w:rPr>
          <w:rFonts w:hint="eastAsia"/>
          <w:szCs w:val="21"/>
        </w:rPr>
        <w:t>产品停产半年以上，恢复生产时;</w:t>
      </w:r>
    </w:p>
    <w:p>
      <w:pPr>
        <w:pStyle w:val="34"/>
        <w:rPr>
          <w:szCs w:val="21"/>
        </w:rPr>
      </w:pPr>
      <w:r>
        <w:rPr>
          <w:rFonts w:hint="eastAsia"/>
          <w:szCs w:val="21"/>
        </w:rPr>
        <w:t>出厂检验结果与上次型式检验有较大差异时:</w:t>
      </w:r>
    </w:p>
    <w:p>
      <w:pPr>
        <w:pStyle w:val="34"/>
        <w:rPr>
          <w:szCs w:val="21"/>
        </w:rPr>
      </w:pPr>
      <w:r>
        <w:rPr>
          <w:rFonts w:hint="eastAsia"/>
          <w:szCs w:val="21"/>
        </w:rPr>
        <w:t>国家质量监督部门提出要求时。</w:t>
      </w:r>
    </w:p>
    <w:p>
      <w:pPr>
        <w:pStyle w:val="33"/>
        <w:spacing w:line="240" w:lineRule="auto"/>
        <w:rPr>
          <w:rFonts w:asciiTheme="minorEastAsia" w:hAnsiTheme="minorEastAsia" w:eastAsiaTheme="minorEastAsia" w:cstheme="minorEastAsia"/>
        </w:rPr>
      </w:pPr>
      <w:r>
        <w:rPr>
          <w:rFonts w:hint="eastAsia" w:ascii="黑体" w:hAnsi="黑体" w:eastAsia="黑体" w:cs="黑体"/>
        </w:rPr>
        <w:t xml:space="preserve">8.4.4 </w:t>
      </w:r>
      <w:r>
        <w:rPr>
          <w:rFonts w:hint="eastAsia" w:asciiTheme="minorEastAsia" w:hAnsiTheme="minorEastAsia" w:eastAsiaTheme="minorEastAsia" w:cstheme="minorEastAsia"/>
          <w:kern w:val="2"/>
        </w:rPr>
        <w:t>参考GB/T 23786-2009《速冻饺子》确定为：</w:t>
      </w:r>
      <w:r>
        <w:rPr>
          <w:rFonts w:hint="eastAsia" w:asciiTheme="minorEastAsia" w:hAnsiTheme="minorEastAsia" w:eastAsiaTheme="minorEastAsia" w:cstheme="minorEastAsia"/>
        </w:rPr>
        <w:t>型式检验项目全部符合本标准要求，判为合格品（或优级品）。</w:t>
      </w:r>
    </w:p>
    <w:p>
      <w:pPr>
        <w:pStyle w:val="33"/>
        <w:spacing w:line="240" w:lineRule="auto"/>
      </w:pPr>
      <w:r>
        <w:rPr>
          <w:rFonts w:hint="eastAsia" w:ascii="黑体" w:hAnsi="黑体" w:eastAsia="黑体" w:cs="黑体"/>
        </w:rPr>
        <w:t xml:space="preserve">8.4.5 </w:t>
      </w:r>
      <w:r>
        <w:rPr>
          <w:rFonts w:hint="eastAsia" w:asciiTheme="minorEastAsia" w:hAnsiTheme="minorEastAsia" w:eastAsiaTheme="minorEastAsia" w:cstheme="minorEastAsia"/>
          <w:kern w:val="2"/>
        </w:rPr>
        <w:t>参考GB/T 23786-2009《速冻饺子》确定为：</w:t>
      </w:r>
      <w:r>
        <w:rPr>
          <w:rFonts w:hint="eastAsia"/>
        </w:rPr>
        <w:t>型式检验项目不超过两项不符合本标准，可以加倍抽样复检。复检后仍有一项不符合本标准，则判定该批产品为不合格品（或不符合）。超过两项不符合本标准，则判定该产品为不合格品（或不符合），并不得复检。</w:t>
      </w:r>
    </w:p>
    <w:p>
      <w:pPr>
        <w:pStyle w:val="33"/>
        <w:spacing w:line="240" w:lineRule="auto"/>
      </w:pPr>
      <w:r>
        <w:rPr>
          <w:rFonts w:hint="eastAsia" w:ascii="黑体" w:hAnsi="黑体" w:eastAsia="黑体" w:cs="黑体"/>
        </w:rPr>
        <w:t xml:space="preserve">8.4.6 </w:t>
      </w:r>
      <w:r>
        <w:rPr>
          <w:rFonts w:hint="eastAsia" w:asciiTheme="minorEastAsia" w:hAnsiTheme="minorEastAsia" w:eastAsiaTheme="minorEastAsia" w:cstheme="minorEastAsia"/>
          <w:kern w:val="2"/>
        </w:rPr>
        <w:t>参考GB/T 23786-2009《速冻饺子》确定为：</w:t>
      </w:r>
      <w:r>
        <w:rPr>
          <w:rFonts w:hint="eastAsia"/>
        </w:rPr>
        <w:t>型式检验项目微生物指标有一项不合格时，则判为该批产品不合格，并不得复检。</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9 标签、标志和包装</w:t>
      </w:r>
    </w:p>
    <w:p>
      <w:pPr>
        <w:pStyle w:val="23"/>
        <w:spacing w:beforeLines="0" w:afterLines="0"/>
        <w:rPr>
          <w:rFonts w:hint="eastAsia" w:asciiTheme="minorEastAsia" w:hAnsiTheme="minorEastAsia" w:eastAsiaTheme="minorEastAsia" w:cstheme="minorEastAsia"/>
          <w:kern w:val="2"/>
        </w:rPr>
      </w:pPr>
      <w:r>
        <w:rPr>
          <w:rFonts w:hint="eastAsia" w:hAnsi="黑体" w:cs="黑体"/>
        </w:rPr>
        <w:t xml:space="preserve">9.1 </w:t>
      </w:r>
      <w:r>
        <w:rPr>
          <w:rFonts w:hint="eastAsia" w:asciiTheme="minorEastAsia" w:hAnsiTheme="minorEastAsia" w:eastAsiaTheme="minorEastAsia" w:cstheme="minorEastAsia"/>
          <w:kern w:val="2"/>
        </w:rPr>
        <w:t>参考</w:t>
      </w:r>
      <w:r>
        <w:rPr>
          <w:rFonts w:hint="eastAsia" w:ascii="宋体" w:hAnsi="宋体" w:cs="宋体"/>
        </w:rPr>
        <w:t>SB/T 10412</w:t>
      </w:r>
      <w:r>
        <w:rPr>
          <w:rFonts w:hint="eastAsia" w:ascii="宋体" w:eastAsia="宋体"/>
        </w:rPr>
        <w:t>-2007《速冻面米食品》规定增加</w:t>
      </w:r>
      <w:r>
        <w:rPr>
          <w:rFonts w:hint="eastAsia" w:asciiTheme="minorEastAsia" w:hAnsiTheme="minorEastAsia" w:eastAsiaTheme="minorEastAsia" w:cstheme="minorEastAsia"/>
        </w:rPr>
        <w:t>GB 28050的要求确定为：标签和标志应符合GB 7718和GB 28050的规定。</w:t>
      </w:r>
      <w:r>
        <w:rPr>
          <w:rFonts w:hint="eastAsia" w:asciiTheme="minorEastAsia" w:hAnsiTheme="minorEastAsia" w:eastAsiaTheme="minorEastAsia" w:cstheme="minorEastAsia"/>
          <w:kern w:val="2"/>
        </w:rPr>
        <w:t>同时还应注明产品等级、速冻以及烹调加工方式。</w:t>
      </w:r>
    </w:p>
    <w:p>
      <w:pPr>
        <w:pStyle w:val="35"/>
        <w:bidi w:val="0"/>
        <w:ind w:firstLine="420" w:firstLineChars="200"/>
      </w:pPr>
      <w:r>
        <w:rPr>
          <w:rFonts w:hint="eastAsia"/>
          <w:lang w:val="en-US" w:eastAsia="zh-CN"/>
        </w:rPr>
        <w:t>于2020年9月19日专家研讨会上修改为：</w:t>
      </w:r>
      <w:r>
        <w:rPr>
          <w:rFonts w:hint="eastAsia"/>
        </w:rPr>
        <w:t>标签应符合GB 7718和GB</w:t>
      </w:r>
      <w:r>
        <w:rPr>
          <w:rFonts w:hint="eastAsia"/>
          <w:lang w:val="en-US" w:eastAsia="zh-CN"/>
        </w:rPr>
        <w:t xml:space="preserve"> </w:t>
      </w:r>
      <w:r>
        <w:rPr>
          <w:rFonts w:hint="eastAsia"/>
        </w:rPr>
        <w:t>28050的规定。同时还应注明产品等级、</w:t>
      </w:r>
      <w:r>
        <w:rPr>
          <w:rFonts w:hint="eastAsia"/>
          <w:lang w:val="en-US" w:eastAsia="zh-CN"/>
        </w:rPr>
        <w:t>南瓜含量、生制品、</w:t>
      </w:r>
      <w:r>
        <w:rPr>
          <w:rFonts w:hint="eastAsia"/>
        </w:rPr>
        <w:t>速冻以及烹调加工方式。</w:t>
      </w:r>
    </w:p>
    <w:p>
      <w:pPr>
        <w:pStyle w:val="23"/>
        <w:spacing w:beforeLines="0" w:afterLines="0"/>
        <w:rPr>
          <w:rFonts w:asciiTheme="minorEastAsia" w:hAnsiTheme="minorEastAsia" w:eastAsiaTheme="minorEastAsia" w:cstheme="minorEastAsia"/>
        </w:rPr>
      </w:pPr>
      <w:r>
        <w:rPr>
          <w:rFonts w:hint="eastAsia" w:hAnsi="黑体" w:cs="黑体"/>
        </w:rPr>
        <w:t xml:space="preserve">9.2 </w:t>
      </w:r>
      <w:r>
        <w:rPr>
          <w:rFonts w:hint="eastAsia" w:asciiTheme="minorEastAsia" w:hAnsiTheme="minorEastAsia" w:eastAsiaTheme="minorEastAsia" w:cstheme="minorEastAsia"/>
          <w:kern w:val="2"/>
        </w:rPr>
        <w:t>参考</w:t>
      </w:r>
      <w:r>
        <w:rPr>
          <w:rFonts w:hint="eastAsia" w:ascii="宋体" w:hAnsi="宋体" w:cs="宋体"/>
        </w:rPr>
        <w:t>SB/T 10412</w:t>
      </w:r>
      <w:r>
        <w:rPr>
          <w:rFonts w:hint="eastAsia" w:ascii="宋体" w:eastAsia="宋体"/>
        </w:rPr>
        <w:t>-2007《速冻面米食品》</w:t>
      </w:r>
      <w:r>
        <w:rPr>
          <w:rFonts w:hint="eastAsia" w:asciiTheme="minorEastAsia" w:hAnsiTheme="minorEastAsia" w:eastAsiaTheme="minorEastAsia" w:cstheme="minorEastAsia"/>
        </w:rPr>
        <w:t>规定确定为：包装储运标志应符合GB/T 191的规定。</w:t>
      </w:r>
    </w:p>
    <w:p>
      <w:pPr>
        <w:pStyle w:val="23"/>
        <w:spacing w:beforeLines="0" w:afterLines="0"/>
        <w:rPr>
          <w:rFonts w:asciiTheme="minorEastAsia" w:hAnsiTheme="minorEastAsia" w:eastAsiaTheme="minorEastAsia" w:cstheme="minorEastAsia"/>
        </w:rPr>
      </w:pPr>
      <w:r>
        <w:rPr>
          <w:rFonts w:hint="eastAsia" w:hAnsi="黑体" w:cs="黑体"/>
          <w:color w:val="000000" w:themeColor="text1"/>
          <w14:textFill>
            <w14:solidFill>
              <w14:schemeClr w14:val="tx1"/>
            </w14:solidFill>
          </w14:textFill>
        </w:rPr>
        <w:t xml:space="preserve">9.1 </w:t>
      </w:r>
      <w:r>
        <w:rPr>
          <w:rFonts w:hint="eastAsia" w:asciiTheme="minorEastAsia" w:hAnsiTheme="minorEastAsia" w:eastAsiaTheme="minorEastAsia" w:cstheme="minorEastAsia"/>
        </w:rPr>
        <w:t>复合</w:t>
      </w:r>
      <w:r>
        <w:rPr>
          <w:rFonts w:hint="eastAsia" w:asciiTheme="minorEastAsia" w:hAnsiTheme="minorEastAsia" w:eastAsiaTheme="minorEastAsia" w:cstheme="minorEastAsia"/>
          <w:lang w:val="en-US" w:eastAsia="zh-CN"/>
        </w:rPr>
        <w:t>塑料</w:t>
      </w:r>
      <w:r>
        <w:rPr>
          <w:rFonts w:hint="eastAsia" w:asciiTheme="minorEastAsia" w:hAnsiTheme="minorEastAsia" w:eastAsiaTheme="minorEastAsia" w:cstheme="minorEastAsia"/>
        </w:rPr>
        <w:t>包装材料应符合GB 4806.7的规定。</w:t>
      </w:r>
    </w:p>
    <w:p>
      <w:pPr>
        <w:pStyle w:val="23"/>
        <w:spacing w:beforeLines="0" w:afterLines="0"/>
      </w:pPr>
      <w:r>
        <w:rPr>
          <w:rFonts w:hint="eastAsia" w:hAnsi="黑体" w:cs="黑体"/>
          <w:color w:val="000000" w:themeColor="text1"/>
          <w14:textFill>
            <w14:solidFill>
              <w14:schemeClr w14:val="tx1"/>
            </w14:solidFill>
          </w14:textFill>
        </w:rPr>
        <w:t>9.2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kern w:val="2"/>
        </w:rPr>
        <w:t>根据速冻食品生产企业实际使用需求增加</w:t>
      </w:r>
      <w:r>
        <w:rPr>
          <w:rFonts w:hint="eastAsia" w:asciiTheme="minorEastAsia" w:hAnsiTheme="minorEastAsia" w:eastAsiaTheme="minorEastAsia" w:cstheme="minorEastAsia"/>
        </w:rPr>
        <w:t>食品塑料周转箱的要求确定为：食品塑料周转箱应符合GB/T 5737的规定。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10 运输和贮存</w:t>
      </w:r>
    </w:p>
    <w:p>
      <w:pPr>
        <w:pStyle w:val="23"/>
        <w:spacing w:beforeLines="0" w:afterLines="0"/>
        <w:rPr>
          <w:rFonts w:hint="eastAsia"/>
          <w:sz w:val="24"/>
          <w:szCs w:val="24"/>
        </w:rPr>
      </w:pPr>
      <w:r>
        <w:rPr>
          <w:rFonts w:hint="eastAsia" w:hAnsi="黑体" w:cs="黑体"/>
          <w:color w:val="000000" w:themeColor="text1"/>
          <w:sz w:val="24"/>
          <w:szCs w:val="24"/>
          <w14:textFill>
            <w14:solidFill>
              <w14:schemeClr w14:val="tx1"/>
            </w14:solidFill>
          </w14:textFill>
        </w:rPr>
        <w:t>10</w:t>
      </w:r>
      <w:r>
        <w:rPr>
          <w:rFonts w:hint="eastAsia"/>
          <w:sz w:val="24"/>
          <w:szCs w:val="24"/>
        </w:rPr>
        <w:t>.1 运输</w:t>
      </w:r>
    </w:p>
    <w:p>
      <w:pPr>
        <w:pStyle w:val="33"/>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黑体"/>
          <w:lang w:val="en-US" w:eastAsia="zh-CN"/>
        </w:rPr>
      </w:pPr>
      <w:r>
        <w:rPr>
          <w:rFonts w:hint="eastAsia" w:ascii="黑体" w:hAnsi="黑体" w:eastAsia="黑体" w:cs="黑体"/>
          <w:color w:val="000000" w:themeColor="text1"/>
          <w14:textFill>
            <w14:solidFill>
              <w14:schemeClr w14:val="tx1"/>
            </w14:solidFill>
          </w14:textFill>
        </w:rPr>
        <w:t>10.1.</w:t>
      </w:r>
      <w:r>
        <w:rPr>
          <w:rFonts w:hint="eastAsia" w:ascii="黑体" w:hAnsi="黑体" w:eastAsia="黑体" w:cs="黑体"/>
          <w:color w:val="000000" w:themeColor="text1"/>
          <w:lang w:val="en-US" w:eastAsia="zh-CN"/>
          <w14:textFill>
            <w14:solidFill>
              <w14:schemeClr w14:val="tx1"/>
            </w14:solidFill>
          </w14:textFill>
        </w:rPr>
        <w:t xml:space="preserve">1 </w:t>
      </w:r>
      <w:r>
        <w:rPr>
          <w:rFonts w:hint="eastAsia"/>
          <w:lang w:val="en-US" w:eastAsia="zh-CN"/>
        </w:rPr>
        <w:t>于2020年9月19日专家研讨会上增加此要求，参考GB 31646-2018《食品安全国家标准 速冻食品生产和经营卫生规范》10.3.5确定为：</w:t>
      </w:r>
      <w:r>
        <w:rPr>
          <w:rFonts w:hint="eastAsia"/>
        </w:rPr>
        <w:t>运输设备厢体应在装载前进行预冷，温度应预冷到10℃或以下，或达到双方约定的预冷温度时方可开始装载，确保</w:t>
      </w:r>
      <w:r>
        <w:rPr>
          <w:rFonts w:hint="eastAsia"/>
          <w:color w:val="auto"/>
          <w:lang w:val="en-US" w:eastAsia="zh-CN"/>
        </w:rPr>
        <w:t>速冻南瓜饼</w:t>
      </w:r>
      <w:bookmarkStart w:id="2" w:name="_GoBack"/>
      <w:bookmarkEnd w:id="2"/>
      <w:r>
        <w:rPr>
          <w:rFonts w:hint="eastAsia"/>
        </w:rPr>
        <w:t>在装载过程中不因环境温度影响而降低品质。</w:t>
      </w:r>
    </w:p>
    <w:p>
      <w:pPr>
        <w:pStyle w:val="33"/>
        <w:spacing w:line="240" w:lineRule="auto"/>
      </w:pPr>
      <w:r>
        <w:rPr>
          <w:rFonts w:hint="eastAsia" w:ascii="黑体" w:hAnsi="黑体" w:eastAsia="黑体" w:cs="黑体"/>
          <w:color w:val="000000" w:themeColor="text1"/>
          <w14:textFill>
            <w14:solidFill>
              <w14:schemeClr w14:val="tx1"/>
            </w14:solidFill>
          </w14:textFill>
        </w:rPr>
        <w:t>10.1.</w:t>
      </w:r>
      <w:r>
        <w:rPr>
          <w:rFonts w:hint="eastAsia" w:ascii="黑体" w:hAnsi="黑体" w:eastAsia="黑体" w:cs="黑体"/>
          <w:color w:val="000000" w:themeColor="text1"/>
          <w:lang w:val="en-US" w:eastAsia="zh-CN"/>
          <w14:textFill>
            <w14:solidFill>
              <w14:schemeClr w14:val="tx1"/>
            </w14:solidFill>
          </w14:textFill>
        </w:rPr>
        <w:t>2</w:t>
      </w:r>
      <w:r>
        <w:rPr>
          <w:rFonts w:hint="eastAsia" w:ascii="黑体" w:hAnsi="黑体" w:eastAsia="黑体" w:cs="黑体"/>
          <w:color w:val="000000" w:themeColor="text1"/>
          <w14:textFill>
            <w14:solidFill>
              <w14:schemeClr w14:val="tx1"/>
            </w14:solidFill>
          </w14:textFill>
        </w:rPr>
        <w:t xml:space="preserve"> </w:t>
      </w:r>
      <w:r>
        <w:rPr>
          <w:rFonts w:hint="eastAsia"/>
        </w:rPr>
        <w:t>参考GB 10412-2007《速冻面米食品》中10.1规定确定为：</w:t>
      </w:r>
      <w:r>
        <w:rPr>
          <w:rFonts w:hint="eastAsia"/>
          <w:color w:val="auto"/>
          <w:lang w:val="en-US" w:eastAsia="zh-CN"/>
        </w:rPr>
        <w:t>速冻南瓜饼</w:t>
      </w:r>
      <w:r>
        <w:rPr>
          <w:rFonts w:hint="eastAsia"/>
        </w:rPr>
        <w:t>运输时应避免日晒、雨淋。不得与有毒、有害、有异味或影响产品质量的物品混装运输。</w:t>
      </w:r>
    </w:p>
    <w:p>
      <w:pPr>
        <w:pStyle w:val="33"/>
        <w:spacing w:line="240" w:lineRule="auto"/>
      </w:pPr>
      <w:r>
        <w:rPr>
          <w:rFonts w:hint="eastAsia" w:ascii="黑体" w:hAnsi="黑体" w:eastAsia="黑体" w:cs="黑体"/>
          <w:color w:val="000000" w:themeColor="text1"/>
          <w14:textFill>
            <w14:solidFill>
              <w14:schemeClr w14:val="tx1"/>
            </w14:solidFill>
          </w14:textFill>
        </w:rPr>
        <w:t>10.1.</w:t>
      </w:r>
      <w:r>
        <w:rPr>
          <w:rFonts w:hint="eastAsia" w:ascii="黑体" w:hAnsi="黑体" w:eastAsia="黑体" w:cs="黑体"/>
          <w:color w:val="000000" w:themeColor="text1"/>
          <w:lang w:val="en-US" w:eastAsia="zh-CN"/>
          <w14:textFill>
            <w14:solidFill>
              <w14:schemeClr w14:val="tx1"/>
            </w14:solidFill>
          </w14:textFill>
        </w:rPr>
        <w:t>3</w:t>
      </w:r>
      <w:r>
        <w:rPr>
          <w:rFonts w:hint="eastAsia" w:ascii="黑体" w:hAnsi="黑体" w:eastAsia="黑体" w:cs="黑体"/>
          <w:color w:val="000000" w:themeColor="text1"/>
          <w14:textFill>
            <w14:solidFill>
              <w14:schemeClr w14:val="tx1"/>
            </w14:solidFill>
          </w14:textFill>
        </w:rPr>
        <w:t xml:space="preserve"> </w:t>
      </w:r>
      <w:r>
        <w:rPr>
          <w:rFonts w:hint="eastAsia"/>
        </w:rPr>
        <w:t>参考GB/T 23786-2009《速冻饺子》11.1.3确定为：</w:t>
      </w:r>
      <w:r>
        <w:rPr>
          <w:rFonts w:hint="eastAsia"/>
          <w:color w:val="auto"/>
          <w:lang w:val="en-US" w:eastAsia="zh-CN"/>
        </w:rPr>
        <w:t>速冻南瓜饼</w:t>
      </w:r>
      <w:r>
        <w:rPr>
          <w:rFonts w:hint="eastAsia"/>
        </w:rPr>
        <w:t>装卸时应轻搬、轻放，不得重压。</w:t>
      </w:r>
    </w:p>
    <w:p>
      <w:pPr>
        <w:jc w:val="left"/>
        <w:rPr>
          <w:szCs w:val="21"/>
        </w:rPr>
      </w:pPr>
      <w:r>
        <w:rPr>
          <w:rFonts w:hint="eastAsia" w:ascii="黑体" w:hAnsi="黑体" w:eastAsia="黑体" w:cs="黑体"/>
          <w:color w:val="000000" w:themeColor="text1"/>
          <w:kern w:val="0"/>
          <w:szCs w:val="21"/>
          <w14:textFill>
            <w14:solidFill>
              <w14:schemeClr w14:val="tx1"/>
            </w14:solidFill>
          </w14:textFill>
        </w:rPr>
        <w:t>10.1.</w:t>
      </w:r>
      <w:r>
        <w:rPr>
          <w:rFonts w:hint="eastAsia" w:ascii="黑体" w:hAnsi="黑体" w:eastAsia="黑体" w:cs="黑体"/>
          <w:color w:val="000000" w:themeColor="text1"/>
          <w:kern w:val="0"/>
          <w:szCs w:val="21"/>
          <w:lang w:val="en-US" w:eastAsia="zh-CN"/>
          <w14:textFill>
            <w14:solidFill>
              <w14:schemeClr w14:val="tx1"/>
            </w14:solidFill>
          </w14:textFill>
        </w:rPr>
        <w:t>4</w:t>
      </w:r>
      <w:r>
        <w:rPr>
          <w:rFonts w:hint="eastAsia" w:ascii="黑体" w:hAnsi="黑体" w:eastAsia="黑体" w:cs="黑体"/>
          <w:color w:val="000000" w:themeColor="text1"/>
          <w:kern w:val="0"/>
          <w:szCs w:val="21"/>
          <w14:textFill>
            <w14:solidFill>
              <w14:schemeClr w14:val="tx1"/>
            </w14:solidFill>
          </w14:textFill>
        </w:rPr>
        <w:t xml:space="preserve"> </w:t>
      </w:r>
      <w:r>
        <w:rPr>
          <w:rFonts w:hint="eastAsia"/>
          <w:szCs w:val="21"/>
        </w:rPr>
        <w:t>参考</w:t>
      </w:r>
      <w:r>
        <w:rPr>
          <w:rFonts w:hint="eastAsia" w:ascii="宋体" w:hAnsi="宋体" w:cs="宋体"/>
          <w:szCs w:val="21"/>
        </w:rPr>
        <w:t>GB 19295《食品安全国家标准 速冻面米制品》确定为</w:t>
      </w:r>
      <w:r>
        <w:rPr>
          <w:rFonts w:hint="eastAsia" w:ascii="宋体" w:hAnsi="宋体" w:cs="宋体"/>
          <w:szCs w:val="21"/>
          <w:lang w:eastAsia="zh-CN"/>
        </w:rPr>
        <w:t>：</w:t>
      </w:r>
      <w:r>
        <w:rPr>
          <w:rFonts w:hint="eastAsia"/>
          <w:color w:val="auto"/>
          <w:lang w:val="en-US" w:eastAsia="zh-CN"/>
        </w:rPr>
        <w:t>速冻南瓜饼</w:t>
      </w:r>
      <w:r>
        <w:rPr>
          <w:rFonts w:hint="eastAsia"/>
          <w:szCs w:val="21"/>
        </w:rPr>
        <w:t>应在</w:t>
      </w:r>
      <w:r>
        <w:rPr>
          <w:rFonts w:hint="eastAsia" w:asciiTheme="minorEastAsia" w:hAnsiTheme="minorEastAsia" w:eastAsiaTheme="minorEastAsia" w:cstheme="minorEastAsia"/>
          <w:szCs w:val="21"/>
        </w:rPr>
        <w:t>-12℃及以下温度的运输工具内运输。</w:t>
      </w:r>
    </w:p>
    <w:p>
      <w:pPr>
        <w:pStyle w:val="23"/>
        <w:spacing w:beforeLines="0" w:afterLines="0"/>
        <w:rPr>
          <w:sz w:val="24"/>
          <w:szCs w:val="24"/>
        </w:rPr>
      </w:pPr>
      <w:r>
        <w:rPr>
          <w:rFonts w:hint="eastAsia" w:hAnsi="黑体" w:cs="黑体"/>
          <w:color w:val="000000" w:themeColor="text1"/>
          <w:sz w:val="24"/>
          <w:szCs w:val="24"/>
          <w14:textFill>
            <w14:solidFill>
              <w14:schemeClr w14:val="tx1"/>
            </w14:solidFill>
          </w14:textFill>
        </w:rPr>
        <w:t>10</w:t>
      </w:r>
      <w:r>
        <w:rPr>
          <w:rFonts w:hint="eastAsia"/>
          <w:sz w:val="24"/>
          <w:szCs w:val="24"/>
        </w:rPr>
        <w:t>.2 贮存</w:t>
      </w:r>
    </w:p>
    <w:p>
      <w:pPr>
        <w:pStyle w:val="33"/>
        <w:spacing w:line="240" w:lineRule="auto"/>
      </w:pPr>
      <w:r>
        <w:rPr>
          <w:rFonts w:hint="eastAsia" w:ascii="黑体" w:hAnsi="黑体" w:eastAsia="黑体" w:cs="黑体"/>
          <w:color w:val="000000" w:themeColor="text1"/>
          <w14:textFill>
            <w14:solidFill>
              <w14:schemeClr w14:val="tx1"/>
            </w14:solidFill>
          </w14:textFill>
        </w:rPr>
        <w:t xml:space="preserve">10.2.1 </w:t>
      </w:r>
      <w:r>
        <w:rPr>
          <w:rFonts w:hint="eastAsia" w:asciiTheme="minorEastAsia" w:hAnsiTheme="minorEastAsia" w:eastAsiaTheme="minorEastAsia" w:cstheme="minorEastAsia"/>
          <w:kern w:val="2"/>
        </w:rPr>
        <w:t>参考GB/T 23786-2009《速冻饺子》11.2.2确定为：</w:t>
      </w:r>
      <w:r>
        <w:rPr>
          <w:rFonts w:hint="eastAsia"/>
          <w:color w:val="auto"/>
          <w:lang w:val="en-US" w:eastAsia="zh-CN"/>
        </w:rPr>
        <w:t>速冻南瓜饼</w:t>
      </w:r>
      <w:r>
        <w:rPr>
          <w:rFonts w:hint="eastAsia" w:asciiTheme="minorEastAsia" w:hAnsiTheme="minorEastAsia" w:eastAsiaTheme="minorEastAsia" w:cstheme="minorEastAsia"/>
          <w:kern w:val="2"/>
        </w:rPr>
        <w:t>贮存过程不得与有毒、有害、有腐蚀性、有异味、的物品或其他影响产品质量的物品一起存放。</w:t>
      </w:r>
    </w:p>
    <w:p>
      <w:pPr>
        <w:pStyle w:val="33"/>
        <w:spacing w:line="240" w:lineRule="auto"/>
      </w:pPr>
      <w:r>
        <w:rPr>
          <w:rFonts w:hint="eastAsia" w:ascii="黑体" w:hAnsi="黑体" w:eastAsia="黑体" w:cs="黑体"/>
          <w:color w:val="000000" w:themeColor="text1"/>
          <w14:textFill>
            <w14:solidFill>
              <w14:schemeClr w14:val="tx1"/>
            </w14:solidFill>
          </w14:textFill>
        </w:rPr>
        <w:t xml:space="preserve">10.2.2 </w:t>
      </w:r>
      <w:r>
        <w:rPr>
          <w:rFonts w:hint="eastAsia"/>
          <w:color w:val="auto"/>
          <w:lang w:val="en-US" w:eastAsia="zh-CN"/>
        </w:rPr>
        <w:t>速冻南瓜饼</w:t>
      </w:r>
      <w:r>
        <w:rPr>
          <w:rFonts w:hint="eastAsia" w:asciiTheme="minorEastAsia" w:hAnsiTheme="minorEastAsia" w:eastAsiaTheme="minorEastAsia" w:cstheme="minorEastAsia"/>
          <w:kern w:val="2"/>
        </w:rPr>
        <w:t>应</w:t>
      </w:r>
      <w:r>
        <w:rPr>
          <w:rFonts w:hint="eastAsia"/>
        </w:rPr>
        <w:t>与墙壁、地面保持适当的距离，以利于空气流通及物品搬运。</w:t>
      </w:r>
    </w:p>
    <w:p>
      <w:pPr>
        <w:pStyle w:val="33"/>
        <w:spacing w:line="240" w:lineRule="auto"/>
      </w:pPr>
      <w:r>
        <w:rPr>
          <w:rFonts w:hint="eastAsia" w:ascii="黑体" w:hAnsi="黑体" w:eastAsia="黑体" w:cs="黑体"/>
          <w:color w:val="000000" w:themeColor="text1"/>
          <w14:textFill>
            <w14:solidFill>
              <w14:schemeClr w14:val="tx1"/>
            </w14:solidFill>
          </w14:textFill>
        </w:rPr>
        <w:t>10.2.3</w:t>
      </w:r>
      <w:r>
        <w:rPr>
          <w:rFonts w:hint="eastAsia"/>
        </w:rPr>
        <w:t xml:space="preserve"> 参考GB 10412-2007《速冻面米食品》中11.1规定确定为：</w:t>
      </w:r>
      <w:r>
        <w:rPr>
          <w:rFonts w:hint="eastAsia"/>
          <w:color w:val="auto"/>
          <w:lang w:val="en-US" w:eastAsia="zh-CN"/>
        </w:rPr>
        <w:t>速冻南瓜饼</w:t>
      </w:r>
      <w:r>
        <w:rPr>
          <w:rFonts w:hint="eastAsia"/>
        </w:rPr>
        <w:t>应在-18℃及以下温度贮存。温度波动范围控制在2℃以内。</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11 销售</w:t>
      </w:r>
    </w:p>
    <w:p>
      <w:pPr>
        <w:pStyle w:val="19"/>
        <w:spacing w:beforeLines="0" w:afterLines="0" w:line="240" w:lineRule="auto"/>
        <w:rPr>
          <w:rFonts w:hAnsi="Times New Roman"/>
          <w:kern w:val="0"/>
          <w:szCs w:val="21"/>
        </w:rPr>
      </w:pPr>
      <w:r>
        <w:rPr>
          <w:rFonts w:hint="eastAsia" w:hAnsi="Times New Roman"/>
          <w:kern w:val="0"/>
          <w:szCs w:val="21"/>
        </w:rPr>
        <w:t>销售应符合GB 31646的有关规定。</w:t>
      </w:r>
    </w:p>
    <w:p>
      <w:pPr>
        <w:pStyle w:val="23"/>
        <w:spacing w:beforeLines="0" w:afterLines="0"/>
        <w:rPr>
          <w:rFonts w:hAnsi="黑体" w:cs="黑体"/>
          <w:color w:val="000000" w:themeColor="text1"/>
          <w:sz w:val="24"/>
          <w:szCs w:val="24"/>
          <w14:textFill>
            <w14:solidFill>
              <w14:schemeClr w14:val="tx1"/>
            </w14:solidFill>
          </w14:textFill>
        </w:rPr>
      </w:pPr>
      <w:r>
        <w:rPr>
          <w:rFonts w:hint="eastAsia" w:hAnsi="黑体" w:cs="黑体"/>
          <w:color w:val="000000" w:themeColor="text1"/>
          <w:sz w:val="24"/>
          <w:szCs w:val="24"/>
          <w14:textFill>
            <w14:solidFill>
              <w14:schemeClr w14:val="tx1"/>
            </w14:solidFill>
          </w14:textFill>
        </w:rPr>
        <w:t>12 召回</w:t>
      </w:r>
    </w:p>
    <w:p>
      <w:pPr>
        <w:pStyle w:val="35"/>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12.1 </w:t>
      </w:r>
      <w:r>
        <w:rPr>
          <w:rFonts w:hint="eastAsia" w:asciiTheme="minorEastAsia" w:hAnsiTheme="minorEastAsia" w:eastAsiaTheme="minorEastAsia" w:cstheme="minorEastAsia"/>
          <w:color w:val="000000" w:themeColor="text1"/>
          <w14:textFill>
            <w14:solidFill>
              <w14:schemeClr w14:val="tx1"/>
            </w14:solidFill>
          </w14:textFill>
        </w:rPr>
        <w:t>根据《中华人民共和国食品安全法》第六十三条要求确定“</w:t>
      </w:r>
      <w:r>
        <w:rPr>
          <w:rFonts w:hint="eastAsia"/>
        </w:rPr>
        <w:t>发现其生产的</w:t>
      </w:r>
      <w:r>
        <w:rPr>
          <w:rFonts w:hint="eastAsia"/>
          <w:color w:val="auto"/>
          <w:lang w:val="en-US" w:eastAsia="zh-CN"/>
        </w:rPr>
        <w:t>速冻南瓜饼</w:t>
      </w:r>
      <w:r>
        <w:rPr>
          <w:rFonts w:hint="eastAsia"/>
        </w:rPr>
        <w:t>不符合食品安全标准或者有证据证明可能危害人体健康的，应立即停止生产，召回已经上市销售的</w:t>
      </w:r>
      <w:r>
        <w:rPr>
          <w:rFonts w:hint="eastAsia"/>
          <w:color w:val="auto"/>
          <w:lang w:val="en-US" w:eastAsia="zh-CN"/>
        </w:rPr>
        <w:t>速冻南瓜饼</w:t>
      </w:r>
      <w:r>
        <w:rPr>
          <w:rFonts w:hint="eastAsia"/>
          <w:color w:val="000000" w:themeColor="text1"/>
          <w14:textFill>
            <w14:solidFill>
              <w14:schemeClr w14:val="tx1"/>
            </w14:solidFill>
          </w14:textFill>
        </w:rPr>
        <w:t>，通知相关生产经营者和消费者，并记录召回和通知情况”。</w:t>
      </w:r>
    </w:p>
    <w:p>
      <w:pPr>
        <w:pStyle w:val="35"/>
      </w:pPr>
      <w:r>
        <w:rPr>
          <w:rFonts w:hint="eastAsia" w:ascii="黑体" w:hAnsi="黑体" w:eastAsia="黑体" w:cs="黑体"/>
          <w:color w:val="000000" w:themeColor="text1"/>
          <w14:textFill>
            <w14:solidFill>
              <w14:schemeClr w14:val="tx1"/>
            </w14:solidFill>
          </w14:textFill>
        </w:rPr>
        <w:t>12.2</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根据《中华人民共和国食品安全法》第六十三条要求确定“</w:t>
      </w:r>
      <w:r>
        <w:rPr>
          <w:rFonts w:hint="eastAsia"/>
          <w:color w:val="000000" w:themeColor="text1"/>
          <w14:textFill>
            <w14:solidFill>
              <w14:schemeClr w14:val="tx1"/>
            </w14:solidFill>
          </w14:textFill>
        </w:rPr>
        <w:t>应将</w:t>
      </w:r>
      <w:r>
        <w:rPr>
          <w:rFonts w:hint="eastAsia"/>
          <w:color w:val="auto"/>
          <w:lang w:val="en-US" w:eastAsia="zh-CN"/>
        </w:rPr>
        <w:t>速冻南瓜饼</w:t>
      </w:r>
      <w:r>
        <w:rPr>
          <w:rFonts w:hint="eastAsia"/>
          <w:color w:val="000000" w:themeColor="text1"/>
          <w14:textFill>
            <w14:solidFill>
              <w14:schemeClr w14:val="tx1"/>
            </w14:solidFill>
          </w14:textFill>
        </w:rPr>
        <w:t>召回和处理情况向所在地县级市场监督管理部门报告;需要对召回的</w:t>
      </w:r>
      <w:r>
        <w:rPr>
          <w:rFonts w:hint="eastAsia"/>
          <w:color w:val="auto"/>
          <w:lang w:val="en-US" w:eastAsia="zh-CN"/>
        </w:rPr>
        <w:t>速冻南瓜饼</w:t>
      </w:r>
      <w:r>
        <w:rPr>
          <w:rFonts w:hint="eastAsia"/>
          <w:color w:val="000000" w:themeColor="text1"/>
          <w14:textFill>
            <w14:solidFill>
              <w14:schemeClr w14:val="tx1"/>
            </w14:solidFill>
          </w14:textFill>
        </w:rPr>
        <w:t>进行无害化处理、销毁的，应提前报告时间、地点。县级市场监督管理部门认为必要的</w:t>
      </w:r>
      <w:r>
        <w:rPr>
          <w:rFonts w:hint="eastAsia"/>
        </w:rPr>
        <w:t>，企业应配合其实施现场监督</w:t>
      </w:r>
      <w:r>
        <w:rPr>
          <w:rFonts w:hint="eastAsia"/>
          <w:color w:val="000000" w:themeColor="text1"/>
          <w14:textFill>
            <w14:solidFill>
              <w14:schemeClr w14:val="tx1"/>
            </w14:solidFill>
          </w14:textFill>
        </w:rPr>
        <w:t>”</w:t>
      </w:r>
      <w:r>
        <w:rPr>
          <w:rFonts w:hint="eastAsia"/>
        </w:rPr>
        <w:t>。</w:t>
      </w: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2478"/>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F096F"/>
    <w:rsid w:val="001F587D"/>
    <w:rsid w:val="00202B2A"/>
    <w:rsid w:val="002069DA"/>
    <w:rsid w:val="002119B5"/>
    <w:rsid w:val="002143A9"/>
    <w:rsid w:val="00215D61"/>
    <w:rsid w:val="002179A7"/>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81D7D"/>
    <w:rsid w:val="00282B0A"/>
    <w:rsid w:val="00284E6C"/>
    <w:rsid w:val="00285DC4"/>
    <w:rsid w:val="002871B4"/>
    <w:rsid w:val="002920E0"/>
    <w:rsid w:val="002932BE"/>
    <w:rsid w:val="00293668"/>
    <w:rsid w:val="00295EF1"/>
    <w:rsid w:val="002970A8"/>
    <w:rsid w:val="002A03B1"/>
    <w:rsid w:val="002A0DFF"/>
    <w:rsid w:val="002A1989"/>
    <w:rsid w:val="002A19DE"/>
    <w:rsid w:val="002B14A9"/>
    <w:rsid w:val="002B4D39"/>
    <w:rsid w:val="002B733D"/>
    <w:rsid w:val="002C0BAA"/>
    <w:rsid w:val="002C19C1"/>
    <w:rsid w:val="002C2232"/>
    <w:rsid w:val="002C3B5E"/>
    <w:rsid w:val="002D1C51"/>
    <w:rsid w:val="002D1F8C"/>
    <w:rsid w:val="002E1253"/>
    <w:rsid w:val="002E6A47"/>
    <w:rsid w:val="002E7A64"/>
    <w:rsid w:val="002F054A"/>
    <w:rsid w:val="002F1832"/>
    <w:rsid w:val="002F3234"/>
    <w:rsid w:val="002F67D1"/>
    <w:rsid w:val="00303D1E"/>
    <w:rsid w:val="003062F7"/>
    <w:rsid w:val="00306F2D"/>
    <w:rsid w:val="003110AF"/>
    <w:rsid w:val="00312720"/>
    <w:rsid w:val="00312969"/>
    <w:rsid w:val="00316F38"/>
    <w:rsid w:val="00321025"/>
    <w:rsid w:val="003215FD"/>
    <w:rsid w:val="00324BF7"/>
    <w:rsid w:val="003279B8"/>
    <w:rsid w:val="00332E79"/>
    <w:rsid w:val="00333B7C"/>
    <w:rsid w:val="00340AEA"/>
    <w:rsid w:val="00341060"/>
    <w:rsid w:val="0034507B"/>
    <w:rsid w:val="00345B2E"/>
    <w:rsid w:val="00350105"/>
    <w:rsid w:val="00353DE7"/>
    <w:rsid w:val="00355B82"/>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B1641"/>
    <w:rsid w:val="003B1A9F"/>
    <w:rsid w:val="003B68C1"/>
    <w:rsid w:val="003B7B1F"/>
    <w:rsid w:val="003C1412"/>
    <w:rsid w:val="003C1EF5"/>
    <w:rsid w:val="003C38DC"/>
    <w:rsid w:val="003C3C9A"/>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6D1D"/>
    <w:rsid w:val="004079FE"/>
    <w:rsid w:val="00420A46"/>
    <w:rsid w:val="004240EF"/>
    <w:rsid w:val="0043089F"/>
    <w:rsid w:val="00431DE3"/>
    <w:rsid w:val="00436754"/>
    <w:rsid w:val="00440F23"/>
    <w:rsid w:val="0044150D"/>
    <w:rsid w:val="004425AD"/>
    <w:rsid w:val="004477CE"/>
    <w:rsid w:val="00450873"/>
    <w:rsid w:val="00452220"/>
    <w:rsid w:val="00452AC4"/>
    <w:rsid w:val="00452EF9"/>
    <w:rsid w:val="00455A9B"/>
    <w:rsid w:val="00472E2C"/>
    <w:rsid w:val="00474E8C"/>
    <w:rsid w:val="004755FC"/>
    <w:rsid w:val="00477869"/>
    <w:rsid w:val="00481203"/>
    <w:rsid w:val="00481488"/>
    <w:rsid w:val="0048663E"/>
    <w:rsid w:val="00494110"/>
    <w:rsid w:val="00494DA6"/>
    <w:rsid w:val="004A4E94"/>
    <w:rsid w:val="004B27A6"/>
    <w:rsid w:val="004B6139"/>
    <w:rsid w:val="004C3CC2"/>
    <w:rsid w:val="004C3D62"/>
    <w:rsid w:val="004C6D2E"/>
    <w:rsid w:val="004D0859"/>
    <w:rsid w:val="004D3BB2"/>
    <w:rsid w:val="004E03C3"/>
    <w:rsid w:val="004E0C9A"/>
    <w:rsid w:val="004E59AD"/>
    <w:rsid w:val="004E7090"/>
    <w:rsid w:val="004F2569"/>
    <w:rsid w:val="004F2701"/>
    <w:rsid w:val="00500012"/>
    <w:rsid w:val="00501593"/>
    <w:rsid w:val="00503405"/>
    <w:rsid w:val="00510F6C"/>
    <w:rsid w:val="00511DC3"/>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71D38"/>
    <w:rsid w:val="00581DA9"/>
    <w:rsid w:val="005829A8"/>
    <w:rsid w:val="00585896"/>
    <w:rsid w:val="00586822"/>
    <w:rsid w:val="005876B2"/>
    <w:rsid w:val="00590BB8"/>
    <w:rsid w:val="005925B0"/>
    <w:rsid w:val="00595002"/>
    <w:rsid w:val="00595A06"/>
    <w:rsid w:val="00595C85"/>
    <w:rsid w:val="0059623D"/>
    <w:rsid w:val="00596FC9"/>
    <w:rsid w:val="005A0C01"/>
    <w:rsid w:val="005A62B5"/>
    <w:rsid w:val="005A6306"/>
    <w:rsid w:val="005B0109"/>
    <w:rsid w:val="005B0389"/>
    <w:rsid w:val="005B04A4"/>
    <w:rsid w:val="005C2236"/>
    <w:rsid w:val="005D4520"/>
    <w:rsid w:val="005E1187"/>
    <w:rsid w:val="005E3F63"/>
    <w:rsid w:val="005E4503"/>
    <w:rsid w:val="005E4936"/>
    <w:rsid w:val="005E6EB4"/>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533CA"/>
    <w:rsid w:val="00656E69"/>
    <w:rsid w:val="006606DC"/>
    <w:rsid w:val="006675F4"/>
    <w:rsid w:val="006746E8"/>
    <w:rsid w:val="00680721"/>
    <w:rsid w:val="00681204"/>
    <w:rsid w:val="006837E5"/>
    <w:rsid w:val="00686557"/>
    <w:rsid w:val="006955AD"/>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52269"/>
    <w:rsid w:val="00754082"/>
    <w:rsid w:val="00754141"/>
    <w:rsid w:val="00754A8B"/>
    <w:rsid w:val="0075796F"/>
    <w:rsid w:val="007611CD"/>
    <w:rsid w:val="00764184"/>
    <w:rsid w:val="00773263"/>
    <w:rsid w:val="0077497B"/>
    <w:rsid w:val="00781C6D"/>
    <w:rsid w:val="0078334B"/>
    <w:rsid w:val="00783F9C"/>
    <w:rsid w:val="007864ED"/>
    <w:rsid w:val="00792E24"/>
    <w:rsid w:val="00793463"/>
    <w:rsid w:val="007A06C2"/>
    <w:rsid w:val="007A28EC"/>
    <w:rsid w:val="007A3934"/>
    <w:rsid w:val="007A3AB8"/>
    <w:rsid w:val="007A6CC0"/>
    <w:rsid w:val="007A70C7"/>
    <w:rsid w:val="007B6AB4"/>
    <w:rsid w:val="007C25F3"/>
    <w:rsid w:val="007C4287"/>
    <w:rsid w:val="007C448D"/>
    <w:rsid w:val="007C6E69"/>
    <w:rsid w:val="007C79B0"/>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87B96"/>
    <w:rsid w:val="00891939"/>
    <w:rsid w:val="00891BEF"/>
    <w:rsid w:val="00893445"/>
    <w:rsid w:val="00893CC9"/>
    <w:rsid w:val="00894B56"/>
    <w:rsid w:val="008955ED"/>
    <w:rsid w:val="00895D00"/>
    <w:rsid w:val="00896B7A"/>
    <w:rsid w:val="008A7BAE"/>
    <w:rsid w:val="008B0C8C"/>
    <w:rsid w:val="008B0D20"/>
    <w:rsid w:val="008B1A11"/>
    <w:rsid w:val="008B3173"/>
    <w:rsid w:val="008B5D44"/>
    <w:rsid w:val="008C1792"/>
    <w:rsid w:val="008C4879"/>
    <w:rsid w:val="008D37AA"/>
    <w:rsid w:val="008D7D2F"/>
    <w:rsid w:val="008E0CB8"/>
    <w:rsid w:val="008E0DA1"/>
    <w:rsid w:val="008E1F1D"/>
    <w:rsid w:val="008E3948"/>
    <w:rsid w:val="008E6121"/>
    <w:rsid w:val="008E69E7"/>
    <w:rsid w:val="008F16D8"/>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17D"/>
    <w:rsid w:val="009A0C42"/>
    <w:rsid w:val="009A0C56"/>
    <w:rsid w:val="009A1856"/>
    <w:rsid w:val="009A23F4"/>
    <w:rsid w:val="009A6665"/>
    <w:rsid w:val="009B1683"/>
    <w:rsid w:val="009B4760"/>
    <w:rsid w:val="009C00AD"/>
    <w:rsid w:val="009C07AD"/>
    <w:rsid w:val="009C3FD7"/>
    <w:rsid w:val="009C4339"/>
    <w:rsid w:val="009C668C"/>
    <w:rsid w:val="009C6692"/>
    <w:rsid w:val="009D01A6"/>
    <w:rsid w:val="009D0842"/>
    <w:rsid w:val="009E1BED"/>
    <w:rsid w:val="009E365F"/>
    <w:rsid w:val="009E4BC1"/>
    <w:rsid w:val="009F5F30"/>
    <w:rsid w:val="009F7FA1"/>
    <w:rsid w:val="00A03258"/>
    <w:rsid w:val="00A04406"/>
    <w:rsid w:val="00A046F9"/>
    <w:rsid w:val="00A10DA2"/>
    <w:rsid w:val="00A13554"/>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62C58"/>
    <w:rsid w:val="00A705D4"/>
    <w:rsid w:val="00A71590"/>
    <w:rsid w:val="00A743B4"/>
    <w:rsid w:val="00A74457"/>
    <w:rsid w:val="00A74C3B"/>
    <w:rsid w:val="00A77E7D"/>
    <w:rsid w:val="00A77F1E"/>
    <w:rsid w:val="00A810D7"/>
    <w:rsid w:val="00A8239E"/>
    <w:rsid w:val="00A865C5"/>
    <w:rsid w:val="00A866C4"/>
    <w:rsid w:val="00AA1009"/>
    <w:rsid w:val="00AA40C4"/>
    <w:rsid w:val="00AA45AC"/>
    <w:rsid w:val="00AB006C"/>
    <w:rsid w:val="00AB247C"/>
    <w:rsid w:val="00AB69F3"/>
    <w:rsid w:val="00AC618B"/>
    <w:rsid w:val="00AD2D2A"/>
    <w:rsid w:val="00AD3AEA"/>
    <w:rsid w:val="00AD43FD"/>
    <w:rsid w:val="00AD4828"/>
    <w:rsid w:val="00AE32AD"/>
    <w:rsid w:val="00AE617C"/>
    <w:rsid w:val="00AE7B3E"/>
    <w:rsid w:val="00AF0C88"/>
    <w:rsid w:val="00AF1FB9"/>
    <w:rsid w:val="00AF22A6"/>
    <w:rsid w:val="00AF3039"/>
    <w:rsid w:val="00AF4087"/>
    <w:rsid w:val="00AF7884"/>
    <w:rsid w:val="00B01B60"/>
    <w:rsid w:val="00B042A0"/>
    <w:rsid w:val="00B051DC"/>
    <w:rsid w:val="00B05F06"/>
    <w:rsid w:val="00B11D95"/>
    <w:rsid w:val="00B12FA8"/>
    <w:rsid w:val="00B151D4"/>
    <w:rsid w:val="00B20B15"/>
    <w:rsid w:val="00B22F23"/>
    <w:rsid w:val="00B25848"/>
    <w:rsid w:val="00B25CCA"/>
    <w:rsid w:val="00B3216B"/>
    <w:rsid w:val="00B34B75"/>
    <w:rsid w:val="00B37286"/>
    <w:rsid w:val="00B373ED"/>
    <w:rsid w:val="00B37D2A"/>
    <w:rsid w:val="00B40795"/>
    <w:rsid w:val="00B41DBC"/>
    <w:rsid w:val="00B429C7"/>
    <w:rsid w:val="00B44956"/>
    <w:rsid w:val="00B45B13"/>
    <w:rsid w:val="00B470A0"/>
    <w:rsid w:val="00B534EF"/>
    <w:rsid w:val="00B56794"/>
    <w:rsid w:val="00B5686C"/>
    <w:rsid w:val="00B6055E"/>
    <w:rsid w:val="00B713B4"/>
    <w:rsid w:val="00B71F06"/>
    <w:rsid w:val="00B80C7A"/>
    <w:rsid w:val="00B82E4F"/>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E213C"/>
    <w:rsid w:val="00BE2275"/>
    <w:rsid w:val="00BE3B90"/>
    <w:rsid w:val="00BE4AF0"/>
    <w:rsid w:val="00BE51D4"/>
    <w:rsid w:val="00BE71BD"/>
    <w:rsid w:val="00BF37F7"/>
    <w:rsid w:val="00BF3C56"/>
    <w:rsid w:val="00BF5429"/>
    <w:rsid w:val="00C02E55"/>
    <w:rsid w:val="00C04059"/>
    <w:rsid w:val="00C04885"/>
    <w:rsid w:val="00C049D5"/>
    <w:rsid w:val="00C057DF"/>
    <w:rsid w:val="00C11C39"/>
    <w:rsid w:val="00C152E7"/>
    <w:rsid w:val="00C153D9"/>
    <w:rsid w:val="00C1740F"/>
    <w:rsid w:val="00C20496"/>
    <w:rsid w:val="00C21AD7"/>
    <w:rsid w:val="00C22A74"/>
    <w:rsid w:val="00C230B1"/>
    <w:rsid w:val="00C269A2"/>
    <w:rsid w:val="00C26F3C"/>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963FD"/>
    <w:rsid w:val="00C97E7B"/>
    <w:rsid w:val="00CA3572"/>
    <w:rsid w:val="00CA3890"/>
    <w:rsid w:val="00CB23FB"/>
    <w:rsid w:val="00CB3A8D"/>
    <w:rsid w:val="00CB752C"/>
    <w:rsid w:val="00CC005A"/>
    <w:rsid w:val="00CC01D5"/>
    <w:rsid w:val="00CC12A6"/>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2D2F"/>
    <w:rsid w:val="00D950F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5CD7"/>
    <w:rsid w:val="00E37361"/>
    <w:rsid w:val="00E407BC"/>
    <w:rsid w:val="00E5084C"/>
    <w:rsid w:val="00E5303A"/>
    <w:rsid w:val="00E55DF3"/>
    <w:rsid w:val="00E60DBB"/>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15EF"/>
    <w:rsid w:val="00EB2366"/>
    <w:rsid w:val="00EB4B79"/>
    <w:rsid w:val="00EB51CD"/>
    <w:rsid w:val="00EC08E1"/>
    <w:rsid w:val="00EC2D75"/>
    <w:rsid w:val="00EC37B9"/>
    <w:rsid w:val="00EC422F"/>
    <w:rsid w:val="00EC70C4"/>
    <w:rsid w:val="00ED4898"/>
    <w:rsid w:val="00ED579E"/>
    <w:rsid w:val="00ED5EDE"/>
    <w:rsid w:val="00EE0EE9"/>
    <w:rsid w:val="00EE7B8D"/>
    <w:rsid w:val="00EF25AB"/>
    <w:rsid w:val="00EF6B68"/>
    <w:rsid w:val="00F02CBD"/>
    <w:rsid w:val="00F03E8D"/>
    <w:rsid w:val="00F046EA"/>
    <w:rsid w:val="00F06609"/>
    <w:rsid w:val="00F2144D"/>
    <w:rsid w:val="00F2292B"/>
    <w:rsid w:val="00F24136"/>
    <w:rsid w:val="00F24AEE"/>
    <w:rsid w:val="00F24B9A"/>
    <w:rsid w:val="00F25613"/>
    <w:rsid w:val="00F31E0C"/>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2EDE"/>
    <w:rsid w:val="00F6402E"/>
    <w:rsid w:val="00F665FE"/>
    <w:rsid w:val="00F67B6B"/>
    <w:rsid w:val="00F716E3"/>
    <w:rsid w:val="00F73AA5"/>
    <w:rsid w:val="00F75F33"/>
    <w:rsid w:val="00F77F84"/>
    <w:rsid w:val="00F84195"/>
    <w:rsid w:val="00F84A55"/>
    <w:rsid w:val="00F84C33"/>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7C7"/>
    <w:rsid w:val="00FF0926"/>
    <w:rsid w:val="00FF365B"/>
    <w:rsid w:val="00FF7EDA"/>
    <w:rsid w:val="01A5418D"/>
    <w:rsid w:val="01F634B2"/>
    <w:rsid w:val="02260C2D"/>
    <w:rsid w:val="02ED0D9B"/>
    <w:rsid w:val="035E3D8A"/>
    <w:rsid w:val="03654591"/>
    <w:rsid w:val="03C47E2C"/>
    <w:rsid w:val="043969F5"/>
    <w:rsid w:val="04464B92"/>
    <w:rsid w:val="048440A3"/>
    <w:rsid w:val="048A0E59"/>
    <w:rsid w:val="04A03034"/>
    <w:rsid w:val="05595E92"/>
    <w:rsid w:val="065A2D64"/>
    <w:rsid w:val="06AA2975"/>
    <w:rsid w:val="06BA0D0B"/>
    <w:rsid w:val="072E04A8"/>
    <w:rsid w:val="07FA1B51"/>
    <w:rsid w:val="083977E7"/>
    <w:rsid w:val="09807818"/>
    <w:rsid w:val="0A0D199E"/>
    <w:rsid w:val="0A406804"/>
    <w:rsid w:val="0A5444F4"/>
    <w:rsid w:val="0ACD6F29"/>
    <w:rsid w:val="0AD1341E"/>
    <w:rsid w:val="0B0C4583"/>
    <w:rsid w:val="0C6C5192"/>
    <w:rsid w:val="0C9054E0"/>
    <w:rsid w:val="0C9E7ED8"/>
    <w:rsid w:val="0CBB2255"/>
    <w:rsid w:val="0D025FBE"/>
    <w:rsid w:val="0D6E40D8"/>
    <w:rsid w:val="0DE672C7"/>
    <w:rsid w:val="0E382AEC"/>
    <w:rsid w:val="0E5902BD"/>
    <w:rsid w:val="0EB85210"/>
    <w:rsid w:val="0F7F70F7"/>
    <w:rsid w:val="0FAA073C"/>
    <w:rsid w:val="0FD55719"/>
    <w:rsid w:val="10872765"/>
    <w:rsid w:val="10C230FA"/>
    <w:rsid w:val="116E0ADA"/>
    <w:rsid w:val="117E0D84"/>
    <w:rsid w:val="12884065"/>
    <w:rsid w:val="12975732"/>
    <w:rsid w:val="12BC50C6"/>
    <w:rsid w:val="13F951BA"/>
    <w:rsid w:val="13FE51F3"/>
    <w:rsid w:val="14557380"/>
    <w:rsid w:val="15793628"/>
    <w:rsid w:val="15DC4A85"/>
    <w:rsid w:val="162132AE"/>
    <w:rsid w:val="163B3E60"/>
    <w:rsid w:val="167D05CE"/>
    <w:rsid w:val="17143FA0"/>
    <w:rsid w:val="175A2E39"/>
    <w:rsid w:val="179F0BB4"/>
    <w:rsid w:val="17B957BE"/>
    <w:rsid w:val="197F54FF"/>
    <w:rsid w:val="19DB1E2C"/>
    <w:rsid w:val="1B864C9A"/>
    <w:rsid w:val="1B903022"/>
    <w:rsid w:val="1C241BE7"/>
    <w:rsid w:val="1CB37D07"/>
    <w:rsid w:val="1CFE2139"/>
    <w:rsid w:val="1E3848D6"/>
    <w:rsid w:val="1E5F7105"/>
    <w:rsid w:val="1E7508CC"/>
    <w:rsid w:val="1EAC0EB6"/>
    <w:rsid w:val="1EF272FF"/>
    <w:rsid w:val="1F4626CD"/>
    <w:rsid w:val="1F807167"/>
    <w:rsid w:val="1F827685"/>
    <w:rsid w:val="1F8D03FB"/>
    <w:rsid w:val="1FB15394"/>
    <w:rsid w:val="202D3810"/>
    <w:rsid w:val="20B27067"/>
    <w:rsid w:val="20E56695"/>
    <w:rsid w:val="20E71ED8"/>
    <w:rsid w:val="216B21EF"/>
    <w:rsid w:val="21865F2E"/>
    <w:rsid w:val="21FF4AA2"/>
    <w:rsid w:val="224D3CB4"/>
    <w:rsid w:val="22935F5E"/>
    <w:rsid w:val="22A35DB5"/>
    <w:rsid w:val="22D57BFF"/>
    <w:rsid w:val="23197E78"/>
    <w:rsid w:val="23592BDD"/>
    <w:rsid w:val="239A3AD6"/>
    <w:rsid w:val="23C31666"/>
    <w:rsid w:val="23D46252"/>
    <w:rsid w:val="23DA2E93"/>
    <w:rsid w:val="24694B99"/>
    <w:rsid w:val="248A45C1"/>
    <w:rsid w:val="24B07678"/>
    <w:rsid w:val="24EE7F00"/>
    <w:rsid w:val="2557777A"/>
    <w:rsid w:val="25EE7475"/>
    <w:rsid w:val="26B176DB"/>
    <w:rsid w:val="26F45F6E"/>
    <w:rsid w:val="272D039E"/>
    <w:rsid w:val="273A3C01"/>
    <w:rsid w:val="27896F1D"/>
    <w:rsid w:val="27E16F52"/>
    <w:rsid w:val="27EA3E9A"/>
    <w:rsid w:val="29B15A97"/>
    <w:rsid w:val="29B77570"/>
    <w:rsid w:val="2A00618D"/>
    <w:rsid w:val="2A9E4B13"/>
    <w:rsid w:val="2AF81650"/>
    <w:rsid w:val="2C2B0FC4"/>
    <w:rsid w:val="2C660FFF"/>
    <w:rsid w:val="2CA4591D"/>
    <w:rsid w:val="2CCE740A"/>
    <w:rsid w:val="2D9D05F7"/>
    <w:rsid w:val="2DAD380F"/>
    <w:rsid w:val="2E284EE1"/>
    <w:rsid w:val="2E6C02F2"/>
    <w:rsid w:val="2E8852CD"/>
    <w:rsid w:val="2EA53B7B"/>
    <w:rsid w:val="2EB12789"/>
    <w:rsid w:val="2EDF65AF"/>
    <w:rsid w:val="2FF214C4"/>
    <w:rsid w:val="2FF35065"/>
    <w:rsid w:val="30FA589B"/>
    <w:rsid w:val="31323216"/>
    <w:rsid w:val="31702673"/>
    <w:rsid w:val="31DC21F8"/>
    <w:rsid w:val="320431F9"/>
    <w:rsid w:val="325A6AD7"/>
    <w:rsid w:val="333D73CE"/>
    <w:rsid w:val="33427AD7"/>
    <w:rsid w:val="33983D24"/>
    <w:rsid w:val="33B824AD"/>
    <w:rsid w:val="33D56E05"/>
    <w:rsid w:val="34EC55D7"/>
    <w:rsid w:val="354645AD"/>
    <w:rsid w:val="357A21B3"/>
    <w:rsid w:val="357A4CD8"/>
    <w:rsid w:val="35D61551"/>
    <w:rsid w:val="35FB546A"/>
    <w:rsid w:val="36445DBC"/>
    <w:rsid w:val="36F72BEC"/>
    <w:rsid w:val="36F92EB6"/>
    <w:rsid w:val="371D558D"/>
    <w:rsid w:val="37980CA3"/>
    <w:rsid w:val="37DC4E05"/>
    <w:rsid w:val="383F5D06"/>
    <w:rsid w:val="38931A80"/>
    <w:rsid w:val="38CD767D"/>
    <w:rsid w:val="38E55A2A"/>
    <w:rsid w:val="394852E4"/>
    <w:rsid w:val="39D761A7"/>
    <w:rsid w:val="39FD52A5"/>
    <w:rsid w:val="39FF211B"/>
    <w:rsid w:val="3A626C47"/>
    <w:rsid w:val="3AB54388"/>
    <w:rsid w:val="3ABB748F"/>
    <w:rsid w:val="3ADF306C"/>
    <w:rsid w:val="3C1A33E6"/>
    <w:rsid w:val="3C4458DC"/>
    <w:rsid w:val="3C9C727A"/>
    <w:rsid w:val="3D2873E8"/>
    <w:rsid w:val="3D3C10DB"/>
    <w:rsid w:val="3D84247A"/>
    <w:rsid w:val="3DCB30D6"/>
    <w:rsid w:val="3E3A7C7C"/>
    <w:rsid w:val="3E4E4996"/>
    <w:rsid w:val="3E63283D"/>
    <w:rsid w:val="3EB40013"/>
    <w:rsid w:val="3FAB2244"/>
    <w:rsid w:val="3FCC6E4F"/>
    <w:rsid w:val="40123F08"/>
    <w:rsid w:val="403402C0"/>
    <w:rsid w:val="403E14A0"/>
    <w:rsid w:val="407D1B24"/>
    <w:rsid w:val="40B45839"/>
    <w:rsid w:val="418B0C9E"/>
    <w:rsid w:val="419324B7"/>
    <w:rsid w:val="41BA51B8"/>
    <w:rsid w:val="41C50B87"/>
    <w:rsid w:val="42793D90"/>
    <w:rsid w:val="42C43A2B"/>
    <w:rsid w:val="42F400D7"/>
    <w:rsid w:val="437D156D"/>
    <w:rsid w:val="43E073F7"/>
    <w:rsid w:val="43ED5A9C"/>
    <w:rsid w:val="443E2237"/>
    <w:rsid w:val="44587EF3"/>
    <w:rsid w:val="44A613DA"/>
    <w:rsid w:val="452C0DFA"/>
    <w:rsid w:val="46504BC7"/>
    <w:rsid w:val="46B35436"/>
    <w:rsid w:val="471C180E"/>
    <w:rsid w:val="476B5BC2"/>
    <w:rsid w:val="47C124E5"/>
    <w:rsid w:val="48E96E34"/>
    <w:rsid w:val="49127EFC"/>
    <w:rsid w:val="49AE322C"/>
    <w:rsid w:val="49B0716B"/>
    <w:rsid w:val="49F318D0"/>
    <w:rsid w:val="4A2701C4"/>
    <w:rsid w:val="4A6B7A2C"/>
    <w:rsid w:val="4A854ABD"/>
    <w:rsid w:val="4AC1351A"/>
    <w:rsid w:val="4AE67E07"/>
    <w:rsid w:val="4B0628C9"/>
    <w:rsid w:val="4B194D0C"/>
    <w:rsid w:val="4B4D571D"/>
    <w:rsid w:val="4B55330F"/>
    <w:rsid w:val="4BBA511F"/>
    <w:rsid w:val="4C182AE6"/>
    <w:rsid w:val="4C2A0937"/>
    <w:rsid w:val="4C6273B9"/>
    <w:rsid w:val="4CD14B82"/>
    <w:rsid w:val="4D3A63E7"/>
    <w:rsid w:val="4D6668D5"/>
    <w:rsid w:val="4D912B80"/>
    <w:rsid w:val="4E2C2991"/>
    <w:rsid w:val="4EB520EB"/>
    <w:rsid w:val="4EDC52BD"/>
    <w:rsid w:val="4EDC7135"/>
    <w:rsid w:val="4F031825"/>
    <w:rsid w:val="4F3A1C03"/>
    <w:rsid w:val="4F3F6A7F"/>
    <w:rsid w:val="4FB45E08"/>
    <w:rsid w:val="4FE41338"/>
    <w:rsid w:val="512527DF"/>
    <w:rsid w:val="512607AE"/>
    <w:rsid w:val="517B1794"/>
    <w:rsid w:val="51BA3E53"/>
    <w:rsid w:val="531A3E4E"/>
    <w:rsid w:val="53475516"/>
    <w:rsid w:val="53514DCB"/>
    <w:rsid w:val="53BF0134"/>
    <w:rsid w:val="54483604"/>
    <w:rsid w:val="54801EFB"/>
    <w:rsid w:val="548601D8"/>
    <w:rsid w:val="54AE4019"/>
    <w:rsid w:val="550444C2"/>
    <w:rsid w:val="550F3F9F"/>
    <w:rsid w:val="55170547"/>
    <w:rsid w:val="558657B4"/>
    <w:rsid w:val="55BC551D"/>
    <w:rsid w:val="55CC394F"/>
    <w:rsid w:val="5637508E"/>
    <w:rsid w:val="563B3825"/>
    <w:rsid w:val="567C4465"/>
    <w:rsid w:val="56A958D3"/>
    <w:rsid w:val="56E0208A"/>
    <w:rsid w:val="56F379CF"/>
    <w:rsid w:val="570F0FFE"/>
    <w:rsid w:val="571A1154"/>
    <w:rsid w:val="577123A1"/>
    <w:rsid w:val="57836185"/>
    <w:rsid w:val="578C0366"/>
    <w:rsid w:val="57BA5442"/>
    <w:rsid w:val="57CF56CB"/>
    <w:rsid w:val="57DA792D"/>
    <w:rsid w:val="583B6174"/>
    <w:rsid w:val="583D4851"/>
    <w:rsid w:val="583F2EAB"/>
    <w:rsid w:val="58502CD4"/>
    <w:rsid w:val="58EC5691"/>
    <w:rsid w:val="59123E96"/>
    <w:rsid w:val="59147007"/>
    <w:rsid w:val="599C0464"/>
    <w:rsid w:val="59F70223"/>
    <w:rsid w:val="5A3B17BD"/>
    <w:rsid w:val="5A474D47"/>
    <w:rsid w:val="5A902B68"/>
    <w:rsid w:val="5BBB0224"/>
    <w:rsid w:val="5BBF5148"/>
    <w:rsid w:val="5BD05E74"/>
    <w:rsid w:val="5C515B5D"/>
    <w:rsid w:val="5CC30540"/>
    <w:rsid w:val="5D1375AC"/>
    <w:rsid w:val="5D260C53"/>
    <w:rsid w:val="5D2A2FDA"/>
    <w:rsid w:val="5D463B58"/>
    <w:rsid w:val="5D5D6B3C"/>
    <w:rsid w:val="5D706ADD"/>
    <w:rsid w:val="5D8670EE"/>
    <w:rsid w:val="5F5106C7"/>
    <w:rsid w:val="5FF33543"/>
    <w:rsid w:val="609E366E"/>
    <w:rsid w:val="60BF3DB0"/>
    <w:rsid w:val="60D847A9"/>
    <w:rsid w:val="610413D9"/>
    <w:rsid w:val="61E40DFE"/>
    <w:rsid w:val="61E47E82"/>
    <w:rsid w:val="62167DA2"/>
    <w:rsid w:val="628F481C"/>
    <w:rsid w:val="631D1413"/>
    <w:rsid w:val="63217257"/>
    <w:rsid w:val="646E16F4"/>
    <w:rsid w:val="64752685"/>
    <w:rsid w:val="64B61C02"/>
    <w:rsid w:val="64BD0AAA"/>
    <w:rsid w:val="653536BE"/>
    <w:rsid w:val="654C6700"/>
    <w:rsid w:val="66155372"/>
    <w:rsid w:val="663F393C"/>
    <w:rsid w:val="66772977"/>
    <w:rsid w:val="66CC6C03"/>
    <w:rsid w:val="66F25A08"/>
    <w:rsid w:val="689240B9"/>
    <w:rsid w:val="68B266E8"/>
    <w:rsid w:val="69796DCB"/>
    <w:rsid w:val="69917693"/>
    <w:rsid w:val="6A984B6F"/>
    <w:rsid w:val="6AEE6B76"/>
    <w:rsid w:val="6BDB3D82"/>
    <w:rsid w:val="6BDD3FCA"/>
    <w:rsid w:val="6C91081B"/>
    <w:rsid w:val="6CAE0DF8"/>
    <w:rsid w:val="6CFA7017"/>
    <w:rsid w:val="6DFD3A1E"/>
    <w:rsid w:val="6E0863C9"/>
    <w:rsid w:val="6E0D38F6"/>
    <w:rsid w:val="6EA42CFC"/>
    <w:rsid w:val="6ED14F3A"/>
    <w:rsid w:val="6ED25D5B"/>
    <w:rsid w:val="6F3A6CBF"/>
    <w:rsid w:val="6F53747A"/>
    <w:rsid w:val="6FB646C2"/>
    <w:rsid w:val="6FD47B58"/>
    <w:rsid w:val="6FF7398C"/>
    <w:rsid w:val="70867598"/>
    <w:rsid w:val="70C517E2"/>
    <w:rsid w:val="71200737"/>
    <w:rsid w:val="72375948"/>
    <w:rsid w:val="727C1CA1"/>
    <w:rsid w:val="730573F2"/>
    <w:rsid w:val="730823B8"/>
    <w:rsid w:val="73160EC2"/>
    <w:rsid w:val="74B43E67"/>
    <w:rsid w:val="75F973CF"/>
    <w:rsid w:val="764D0190"/>
    <w:rsid w:val="76AE0680"/>
    <w:rsid w:val="76B71BCC"/>
    <w:rsid w:val="76B73CC8"/>
    <w:rsid w:val="76FA2C38"/>
    <w:rsid w:val="771F1E10"/>
    <w:rsid w:val="77781909"/>
    <w:rsid w:val="78132CA0"/>
    <w:rsid w:val="785346FA"/>
    <w:rsid w:val="78585CF2"/>
    <w:rsid w:val="788E1E82"/>
    <w:rsid w:val="78A52A11"/>
    <w:rsid w:val="78D512B4"/>
    <w:rsid w:val="79065A16"/>
    <w:rsid w:val="791C6CE7"/>
    <w:rsid w:val="798E75F6"/>
    <w:rsid w:val="79D76FC6"/>
    <w:rsid w:val="7A2901E7"/>
    <w:rsid w:val="7A291954"/>
    <w:rsid w:val="7A6A5B70"/>
    <w:rsid w:val="7AFA4161"/>
    <w:rsid w:val="7C70362F"/>
    <w:rsid w:val="7C91166B"/>
    <w:rsid w:val="7D4B3D0F"/>
    <w:rsid w:val="7D854BA8"/>
    <w:rsid w:val="7D9F5BF0"/>
    <w:rsid w:val="7DE30DA7"/>
    <w:rsid w:val="7DF36667"/>
    <w:rsid w:val="7E4413F1"/>
    <w:rsid w:val="7EBC1DA5"/>
    <w:rsid w:val="7F9F2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tabs>
        <w:tab w:val="right" w:leader="dot" w:pos="9241"/>
      </w:tabs>
      <w:ind w:firstLine="102" w:firstLineChars="100"/>
      <w:jc w:val="left"/>
    </w:pPr>
    <w:rPr>
      <w:rFonts w:ascii="宋体"/>
      <w:szCs w:val="21"/>
    </w:rPr>
  </w:style>
  <w:style w:type="paragraph" w:styleId="3">
    <w:name w:val="Balloon Text"/>
    <w:basedOn w:val="1"/>
    <w:link w:val="2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Hyperlink"/>
    <w:basedOn w:val="9"/>
    <w:qFormat/>
    <w:uiPriority w:val="99"/>
    <w:rPr>
      <w:color w:val="0000FF"/>
      <w:spacing w:val="0"/>
      <w:w w:val="100"/>
      <w:szCs w:val="21"/>
      <w:u w:val="single"/>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TML 预设格式 字符"/>
    <w:link w:val="6"/>
    <w:qFormat/>
    <w:uiPriority w:val="99"/>
    <w:rPr>
      <w:rFonts w:ascii="宋体" w:hAnsi="宋体" w:cs="宋体"/>
      <w:sz w:val="24"/>
      <w:szCs w:val="24"/>
    </w:rPr>
  </w:style>
  <w:style w:type="character" w:customStyle="1" w:styleId="16">
    <w:name w:val="HTML 预设格式 Char1"/>
    <w:semiHidden/>
    <w:qFormat/>
    <w:uiPriority w:val="99"/>
    <w:rPr>
      <w:rFonts w:ascii="Courier New" w:hAnsi="Courier New" w:cs="Courier New"/>
      <w:sz w:val="20"/>
      <w:szCs w:val="20"/>
    </w:rPr>
  </w:style>
  <w:style w:type="character" w:customStyle="1" w:styleId="17">
    <w:name w:val="章标题 Char"/>
    <w:link w:val="18"/>
    <w:qFormat/>
    <w:uiPriority w:val="0"/>
    <w:rPr>
      <w:rFonts w:ascii="黑体" w:eastAsia="黑体"/>
      <w:kern w:val="2"/>
      <w:sz w:val="21"/>
      <w:szCs w:val="22"/>
      <w:lang w:val="en-US" w:eastAsia="zh-CN" w:bidi="ar-SA"/>
    </w:rPr>
  </w:style>
  <w:style w:type="paragraph" w:customStyle="1" w:styleId="18">
    <w:name w:val="章标题"/>
    <w:next w:val="19"/>
    <w:link w:val="17"/>
    <w:qFormat/>
    <w:uiPriority w:val="0"/>
    <w:pPr>
      <w:spacing w:beforeLines="100" w:afterLines="100" w:line="360" w:lineRule="auto"/>
      <w:ind w:left="720" w:hanging="720"/>
      <w:jc w:val="both"/>
      <w:outlineLvl w:val="1"/>
    </w:pPr>
    <w:rPr>
      <w:rFonts w:ascii="黑体" w:hAnsi="Calibri" w:eastAsia="黑体" w:cs="Times New Roman"/>
      <w:kern w:val="2"/>
      <w:sz w:val="21"/>
      <w:szCs w:val="22"/>
      <w:lang w:val="en-US" w:eastAsia="zh-CN" w:bidi="ar-SA"/>
    </w:rPr>
  </w:style>
  <w:style w:type="paragraph" w:customStyle="1" w:styleId="19">
    <w:name w:val="段"/>
    <w:link w:val="20"/>
    <w:qFormat/>
    <w:uiPriority w:val="0"/>
    <w:pPr>
      <w:tabs>
        <w:tab w:val="center" w:pos="4201"/>
        <w:tab w:val="right" w:leader="dot" w:pos="9298"/>
      </w:tabs>
      <w:autoSpaceDE w:val="0"/>
      <w:autoSpaceDN w:val="0"/>
      <w:spacing w:beforeLines="50" w:afterLines="50" w:line="360" w:lineRule="auto"/>
      <w:ind w:firstLine="420" w:firstLineChars="200"/>
      <w:jc w:val="both"/>
    </w:pPr>
    <w:rPr>
      <w:rFonts w:ascii="宋体" w:hAnsi="Calibri" w:eastAsia="宋体" w:cs="Times New Roman"/>
      <w:kern w:val="2"/>
      <w:sz w:val="21"/>
      <w:szCs w:val="22"/>
      <w:lang w:val="en-US" w:eastAsia="zh-CN" w:bidi="ar-SA"/>
    </w:rPr>
  </w:style>
  <w:style w:type="character" w:customStyle="1" w:styleId="20">
    <w:name w:val="段 Char"/>
    <w:link w:val="19"/>
    <w:qFormat/>
    <w:uiPriority w:val="0"/>
    <w:rPr>
      <w:rFonts w:ascii="宋体"/>
      <w:kern w:val="2"/>
      <w:sz w:val="21"/>
      <w:szCs w:val="22"/>
      <w:lang w:val="en-US" w:eastAsia="zh-CN" w:bidi="ar-SA"/>
    </w:rPr>
  </w:style>
  <w:style w:type="character" w:customStyle="1" w:styleId="21">
    <w:name w:val="批注框文本 字符"/>
    <w:link w:val="3"/>
    <w:semiHidden/>
    <w:qFormat/>
    <w:uiPriority w:val="99"/>
    <w:rPr>
      <w:kern w:val="2"/>
      <w:sz w:val="18"/>
      <w:szCs w:val="18"/>
    </w:rPr>
  </w:style>
  <w:style w:type="paragraph" w:customStyle="1" w:styleId="22">
    <w:name w:val="二级条标题"/>
    <w:basedOn w:val="23"/>
    <w:next w:val="19"/>
    <w:qFormat/>
    <w:uiPriority w:val="0"/>
    <w:pPr>
      <w:spacing w:line="360" w:lineRule="auto"/>
      <w:outlineLvl w:val="3"/>
    </w:pPr>
  </w:style>
  <w:style w:type="paragraph" w:customStyle="1" w:styleId="23">
    <w:name w:val="一级条标题"/>
    <w:next w:val="19"/>
    <w:link w:val="24"/>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4">
    <w:name w:val="一级条标题 Char"/>
    <w:link w:val="23"/>
    <w:qFormat/>
    <w:uiPriority w:val="0"/>
    <w:rPr>
      <w:rFonts w:ascii="黑体" w:hAnsi="Times New Roman" w:eastAsia="黑体"/>
      <w:sz w:val="21"/>
      <w:szCs w:val="21"/>
      <w:lang w:bidi="ar-SA"/>
    </w:rPr>
  </w:style>
  <w:style w:type="paragraph" w:customStyle="1" w:styleId="25">
    <w:name w:val="三级条标题"/>
    <w:basedOn w:val="22"/>
    <w:next w:val="19"/>
    <w:qFormat/>
    <w:uiPriority w:val="0"/>
    <w:pPr>
      <w:spacing w:line="240" w:lineRule="auto"/>
      <w:outlineLvl w:val="4"/>
    </w:pPr>
  </w:style>
  <w:style w:type="paragraph" w:customStyle="1" w:styleId="26">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7">
    <w:name w:val="四级条标题"/>
    <w:basedOn w:val="25"/>
    <w:next w:val="19"/>
    <w:qFormat/>
    <w:uiPriority w:val="0"/>
    <w:pPr>
      <w:spacing w:beforeLines="0" w:afterLines="0"/>
      <w:jc w:val="both"/>
      <w:outlineLvl w:val="5"/>
    </w:pPr>
    <w:rPr>
      <w:szCs w:val="20"/>
    </w:rPr>
  </w:style>
  <w:style w:type="paragraph" w:customStyle="1" w:styleId="28">
    <w:name w:val="五级条标题"/>
    <w:basedOn w:val="27"/>
    <w:next w:val="19"/>
    <w:qFormat/>
    <w:uiPriority w:val="0"/>
    <w:pPr>
      <w:outlineLvl w:val="6"/>
    </w:pPr>
  </w:style>
  <w:style w:type="paragraph" w:customStyle="1" w:styleId="2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0">
    <w:name w:val="正文表标题"/>
    <w:next w:val="19"/>
    <w:qFormat/>
    <w:uiPriority w:val="0"/>
    <w:pPr>
      <w:tabs>
        <w:tab w:val="left" w:pos="36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
    <w:name w:val="二级无"/>
    <w:basedOn w:val="22"/>
    <w:qFormat/>
    <w:uiPriority w:val="0"/>
    <w:pPr>
      <w:spacing w:beforeLines="0" w:afterLines="0"/>
    </w:pPr>
    <w:rPr>
      <w:rFonts w:ascii="宋体" w:eastAsia="宋体"/>
    </w:rPr>
  </w:style>
  <w:style w:type="paragraph" w:customStyle="1" w:styleId="34">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5">
    <w:name w:val="一级无"/>
    <w:basedOn w:val="23"/>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9A89-3387-486C-9373-27AB7E39D59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919</Words>
  <Characters>5240</Characters>
  <Lines>43</Lines>
  <Paragraphs>12</Paragraphs>
  <TotalTime>0</TotalTime>
  <ScaleCrop>false</ScaleCrop>
  <LinksUpToDate>false</LinksUpToDate>
  <CharactersWithSpaces>6147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2020-09-18T05:54:00Z</dcterms:created>
  <dc:creator>pc</dc:creator>
  <cp:lastModifiedBy>皮皮鸡</cp:lastModifiedBy>
  <cp:lastPrinted>2020-09-18T09:03:00Z</cp:lastPrinted>
  <dcterms:modified xsi:type="dcterms:W3CDTF">2020-09-28T08:11:16Z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