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F70" w:rsidRDefault="00ED0960">
      <w:pPr>
        <w:pStyle w:val="affffff1"/>
        <w:framePr w:wrap="around"/>
      </w:pPr>
      <w:r>
        <w:rPr>
          <w:rFonts w:hint="eastAsia"/>
        </w:rPr>
        <w:t>ICS 67.080.20</w:t>
      </w:r>
    </w:p>
    <w:p w:rsidR="00F50F70" w:rsidRDefault="00ED0960">
      <w:pPr>
        <w:pStyle w:val="affffff1"/>
        <w:framePr w:wrap="around"/>
      </w:pPr>
      <w:r>
        <w:rPr>
          <w:rFonts w:hint="eastAsia"/>
        </w:rPr>
        <w:t xml:space="preserve">CCS </w:t>
      </w:r>
      <w:r>
        <w:t xml:space="preserve">X </w:t>
      </w:r>
      <w:r>
        <w:rPr>
          <w:rFonts w:hint="eastAsia"/>
        </w:rPr>
        <w:t>26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4"/>
      </w:tblGrid>
      <w:tr w:rsidR="00F50F70">
        <w:tc>
          <w:tcPr>
            <w:tcW w:w="9854" w:type="dxa"/>
            <w:tcBorders>
              <w:top w:val="nil"/>
              <w:left w:val="nil"/>
              <w:bottom w:val="nil"/>
              <w:right w:val="nil"/>
            </w:tcBorders>
            <w:shd w:val="clear" w:color="auto" w:fill="auto"/>
          </w:tcPr>
          <w:p w:rsidR="00F50F70" w:rsidRDefault="00F50F70">
            <w:pPr>
              <w:pStyle w:val="affffff1"/>
              <w:framePr w:wrap="around"/>
            </w:pPr>
          </w:p>
          <w:p w:rsidR="00F50F70" w:rsidRDefault="00F50F70">
            <w:pPr>
              <w:pStyle w:val="affffff1"/>
              <w:framePr w:wrap="around"/>
            </w:pPr>
            <w:r>
              <w:pict>
                <v:rect id="BAH" o:spid="_x0000_s1026" style="position:absolute;margin-left:-5.25pt;margin-top:0;width:68.25pt;height:15.6pt;z-index:-251656192"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Iri/s1QAAAAcBAAAPAAAAAAAAAAEAIAAAACIAAABkcnMvZG93bnJl&#10;di54bWxQSwECFAAUAAAACACHTuJABeQ0JI4BAAAWAwAADgAAAAAAAAABACAAAAAkAQAAZHJzL2Uy&#10;b0RvYy54bWxQSwUGAAAAAAYABgBZAQAAJAUAAAAA&#10;" stroked="f">
                  <v:textbox>
                    <w:txbxContent>
                      <w:p w:rsidR="00F50F70" w:rsidRDefault="00F50F70">
                        <w:pPr>
                          <w:jc w:val="center"/>
                        </w:pPr>
                      </w:p>
                    </w:txbxContent>
                  </v:textbox>
                </v:rect>
              </w:pict>
            </w:r>
          </w:p>
        </w:tc>
      </w:tr>
    </w:tbl>
    <w:p w:rsidR="00F50F70" w:rsidRDefault="00ED0960">
      <w:pPr>
        <w:pStyle w:val="afffb"/>
        <w:framePr w:w="0" w:hRule="auto" w:wrap="around"/>
      </w:pPr>
      <w:r>
        <w:rPr>
          <w:rFonts w:ascii="黑体" w:eastAsia="黑体" w:hAnsi="黑体" w:cs="黑体" w:hint="eastAsia"/>
        </w:rPr>
        <w:t>团体标准</w:t>
      </w:r>
    </w:p>
    <w:p w:rsidR="00F50F70" w:rsidRDefault="00ED0960">
      <w:pPr>
        <w:pStyle w:val="21"/>
        <w:framePr w:wrap="around"/>
        <w:rPr>
          <w:rFonts w:hAnsi="黑体" w:cs="黑体"/>
        </w:rPr>
      </w:pPr>
      <w:r>
        <w:rPr>
          <w:rFonts w:hAnsi="黑体" w:cs="黑体" w:hint="eastAsia"/>
        </w:rPr>
        <w:t>T/ZFS XXXX</w:t>
      </w:r>
      <w:r>
        <w:rPr>
          <w:rFonts w:hAnsi="黑体" w:cs="黑体" w:hint="eastAsia"/>
        </w:rPr>
        <w:t>—</w:t>
      </w:r>
      <w:r>
        <w:rPr>
          <w:rFonts w:hAnsi="黑体" w:cs="黑体" w:hint="eastAsia"/>
        </w:rPr>
        <w:t>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F50F70">
        <w:tc>
          <w:tcPr>
            <w:tcW w:w="9356" w:type="dxa"/>
            <w:tcBorders>
              <w:top w:val="nil"/>
              <w:left w:val="nil"/>
              <w:bottom w:val="nil"/>
              <w:right w:val="nil"/>
            </w:tcBorders>
            <w:shd w:val="clear" w:color="auto" w:fill="auto"/>
          </w:tcPr>
          <w:p w:rsidR="00F50F70" w:rsidRDefault="00F50F70">
            <w:pPr>
              <w:pStyle w:val="affff4"/>
              <w:framePr w:wrap="around"/>
            </w:pPr>
            <w:bookmarkStart w:id="0" w:name="DT"/>
            <w:r>
              <w:pict>
                <v:rect id="DT" o:spid="_x0000_s1032" style="position:absolute;left:0;text-align:left;margin-left:372.8pt;margin-top:2.7pt;width:90pt;height:18pt;z-index:-251659264"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B5g8svWAAAACAEAAA8AAAAAAAAAAQAgAAAAIgAAAGRycy9kb3ducmV2Lnht&#10;bFBLAQIUABQAAAAIAIdO4kAiMooUiQEAABYDAAAOAAAAAAAAAAEAIAAAACUBAABkcnMvZTJvRG9j&#10;LnhtbFBLBQYAAAAABgAGAFkBAAAgBQAAAAA=&#10;" stroked="f">
                  <v:textbox>
                    <w:txbxContent>
                      <w:p w:rsidR="00F50F70" w:rsidRDefault="00F50F70">
                        <w:pPr>
                          <w:jc w:val="center"/>
                        </w:pPr>
                      </w:p>
                    </w:txbxContent>
                  </v:textbox>
                </v:rect>
              </w:pict>
            </w:r>
            <w:bookmarkEnd w:id="0"/>
          </w:p>
        </w:tc>
      </w:tr>
    </w:tbl>
    <w:p w:rsidR="00F50F70" w:rsidRDefault="00F50F70">
      <w:pPr>
        <w:pStyle w:val="21"/>
        <w:framePr w:wrap="around"/>
        <w:rPr>
          <w:rFonts w:hAnsi="黑体"/>
        </w:rPr>
      </w:pPr>
    </w:p>
    <w:p w:rsidR="00F50F70" w:rsidRDefault="00F50F70">
      <w:pPr>
        <w:pStyle w:val="21"/>
        <w:framePr w:wrap="around"/>
        <w:rPr>
          <w:rFonts w:hAnsi="黑体"/>
        </w:rPr>
      </w:pPr>
    </w:p>
    <w:p w:rsidR="00F50F70" w:rsidRDefault="00ED0960">
      <w:pPr>
        <w:pStyle w:val="affff5"/>
        <w:framePr w:wrap="around"/>
      </w:pPr>
      <w:r>
        <w:rPr>
          <w:rFonts w:hint="eastAsia"/>
          <w:szCs w:val="22"/>
        </w:rPr>
        <w:t>速冻南瓜饼</w:t>
      </w:r>
    </w:p>
    <w:p w:rsidR="00F50F70" w:rsidRDefault="00ED0960">
      <w:pPr>
        <w:pStyle w:val="affff6"/>
        <w:framePr w:wrap="around"/>
        <w:rPr>
          <w:kern w:val="2"/>
        </w:rPr>
      </w:pPr>
      <w:r>
        <w:rPr>
          <w:rFonts w:hint="eastAsia"/>
          <w:kern w:val="2"/>
        </w:rPr>
        <w:t>Q</w:t>
      </w:r>
      <w:r>
        <w:rPr>
          <w:kern w:val="2"/>
        </w:rPr>
        <w:t xml:space="preserve">uickfrozen </w:t>
      </w:r>
      <w:r>
        <w:rPr>
          <w:rFonts w:hint="eastAsia"/>
          <w:kern w:val="2"/>
        </w:rPr>
        <w:t>Pumpkin pie</w:t>
      </w:r>
    </w:p>
    <w:p w:rsidR="00F50F70" w:rsidRDefault="00F50F70">
      <w:pPr>
        <w:pStyle w:val="affff7"/>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F50F70">
        <w:tc>
          <w:tcPr>
            <w:tcW w:w="9855" w:type="dxa"/>
            <w:tcBorders>
              <w:top w:val="nil"/>
              <w:left w:val="nil"/>
              <w:bottom w:val="nil"/>
              <w:right w:val="nil"/>
            </w:tcBorders>
            <w:shd w:val="clear" w:color="auto" w:fill="auto"/>
          </w:tcPr>
          <w:p w:rsidR="00F50F70" w:rsidRDefault="00F50F70">
            <w:pPr>
              <w:pStyle w:val="affff8"/>
              <w:framePr w:wrap="around"/>
            </w:pPr>
            <w:r>
              <w:pict>
                <v:rect id="RQ" o:spid="_x0000_s1031" style="position:absolute;left:0;text-align:left;margin-left:173.3pt;margin-top:45.15pt;width:150pt;height:20pt;z-index:-251657216"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BYmuktUAAAAKAQAADwAAAAAAAAABACAAAAAiAAAAZHJzL2Rvd25yZXYueG1s&#10;UEsBAhQAFAAAAAgAh07iQH9igpaJAQAAFgMAAA4AAAAAAAAAAQAgAAAAJAEAAGRycy9lMm9Eb2Mu&#10;eG1sUEsFBgAAAAAGAAYAWQEAAB8FAAAAAA==&#10;" stroked="f">
                  <v:textbox>
                    <w:txbxContent>
                      <w:p w:rsidR="00F50F70" w:rsidRDefault="00F50F70">
                        <w:pPr>
                          <w:jc w:val="center"/>
                        </w:pPr>
                      </w:p>
                    </w:txbxContent>
                  </v:textbox>
                  <w10:anchorlock/>
                </v:rect>
              </w:pict>
            </w:r>
            <w:r>
              <w:pict>
                <v:rect id="LB" o:spid="_x0000_s1030" style="position:absolute;left:0;text-align:left;margin-left:193.3pt;margin-top:20.15pt;width:100pt;height:24pt;z-index:-25165824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AD4Yvl1gAAAAkBAAAPAAAAAAAAAAEAIAAAACIAAABkcnMvZG93bnJldi54&#10;bWxQSwECFAAUAAAACACHTuJAP6uvvIoBAAAWAwAADgAAAAAAAAABACAAAAAlAQAAZHJzL2Uyb0Rv&#10;Yy54bWxQSwUGAAAAAAYABgBZAQAAIQUAAAAA&#10;" stroked="f">
                  <v:textbox>
                    <w:txbxContent>
                      <w:p w:rsidR="00F50F70" w:rsidRDefault="00F50F70">
                        <w:pPr>
                          <w:jc w:val="center"/>
                        </w:pPr>
                      </w:p>
                    </w:txbxContent>
                  </v:textbox>
                </v:rect>
              </w:pict>
            </w:r>
            <w:r w:rsidR="00ED0960">
              <w:rPr>
                <w:rFonts w:hint="eastAsia"/>
              </w:rPr>
              <w:t>（</w:t>
            </w:r>
            <w:r w:rsidR="00ED0960">
              <w:rPr>
                <w:rFonts w:hint="eastAsia"/>
              </w:rPr>
              <w:t>征求意见</w:t>
            </w:r>
            <w:r w:rsidR="00ED0960">
              <w:rPr>
                <w:rFonts w:hint="eastAsia"/>
              </w:rPr>
              <w:t>稿）</w:t>
            </w:r>
          </w:p>
        </w:tc>
      </w:tr>
      <w:tr w:rsidR="00F50F70">
        <w:tc>
          <w:tcPr>
            <w:tcW w:w="9855" w:type="dxa"/>
            <w:tcBorders>
              <w:top w:val="nil"/>
              <w:left w:val="nil"/>
              <w:bottom w:val="nil"/>
              <w:right w:val="nil"/>
            </w:tcBorders>
            <w:shd w:val="clear" w:color="auto" w:fill="auto"/>
          </w:tcPr>
          <w:p w:rsidR="00F50F70" w:rsidRDefault="00F50F70">
            <w:pPr>
              <w:pStyle w:val="affff9"/>
              <w:framePr w:wrap="around"/>
            </w:pPr>
          </w:p>
        </w:tc>
      </w:tr>
    </w:tbl>
    <w:bookmarkStart w:id="1" w:name="FY"/>
    <w:p w:rsidR="00F50F70" w:rsidRDefault="00F50F70">
      <w:pPr>
        <w:pStyle w:val="affffff6"/>
        <w:framePr w:wrap="around" w:hAnchor="page" w:x="1666" w:y="14131"/>
      </w:pPr>
      <w:r>
        <w:rPr>
          <w:rFonts w:ascii="黑体"/>
        </w:rPr>
        <w:fldChar w:fldCharType="begin">
          <w:ffData>
            <w:name w:val="FY"/>
            <w:enabled/>
            <w:calcOnExit w:val="0"/>
            <w:textInput>
              <w:default w:val="XXXX"/>
              <w:maxLength w:val="4"/>
            </w:textInput>
          </w:ffData>
        </w:fldChar>
      </w:r>
      <w:r w:rsidR="00ED0960">
        <w:rPr>
          <w:rFonts w:ascii="黑体"/>
        </w:rPr>
        <w:instrText xml:space="preserve"> FORMTEXT </w:instrText>
      </w:r>
      <w:r>
        <w:rPr>
          <w:rFonts w:ascii="黑体"/>
        </w:rPr>
      </w:r>
      <w:r>
        <w:rPr>
          <w:rFonts w:ascii="黑体"/>
        </w:rPr>
        <w:fldChar w:fldCharType="separate"/>
      </w:r>
      <w:r w:rsidR="00ED0960">
        <w:rPr>
          <w:rFonts w:ascii="黑体" w:hint="eastAsia"/>
        </w:rPr>
        <w:t>202</w:t>
      </w:r>
      <w:r w:rsidR="00ED0960">
        <w:rPr>
          <w:rFonts w:ascii="黑体"/>
        </w:rPr>
        <w:t>X</w:t>
      </w:r>
      <w:r>
        <w:rPr>
          <w:rFonts w:ascii="黑体"/>
        </w:rPr>
        <w:fldChar w:fldCharType="end"/>
      </w:r>
      <w:bookmarkEnd w:id="1"/>
      <w:r w:rsidR="00ED0960">
        <w:rPr>
          <w:rFonts w:ascii="黑体"/>
        </w:rPr>
        <w:t>-</w:t>
      </w:r>
      <w:r>
        <w:rPr>
          <w:rFonts w:ascii="黑体"/>
        </w:rPr>
        <w:fldChar w:fldCharType="begin">
          <w:ffData>
            <w:name w:val="FM"/>
            <w:enabled/>
            <w:calcOnExit w:val="0"/>
            <w:textInput>
              <w:default w:val="XX"/>
              <w:maxLength w:val="2"/>
            </w:textInput>
          </w:ffData>
        </w:fldChar>
      </w:r>
      <w:r w:rsidR="00ED0960">
        <w:rPr>
          <w:rFonts w:ascii="黑体"/>
        </w:rPr>
        <w:instrText xml:space="preserve"> FORMTEXT </w:instrText>
      </w:r>
      <w:r>
        <w:rPr>
          <w:rFonts w:ascii="黑体"/>
        </w:rPr>
      </w:r>
      <w:r>
        <w:rPr>
          <w:rFonts w:ascii="黑体"/>
        </w:rPr>
        <w:fldChar w:fldCharType="separate"/>
      </w:r>
      <w:r w:rsidR="00ED0960">
        <w:rPr>
          <w:rFonts w:ascii="黑体"/>
        </w:rPr>
        <w:t>XX</w:t>
      </w:r>
      <w:r>
        <w:rPr>
          <w:rFonts w:ascii="黑体"/>
        </w:rPr>
        <w:fldChar w:fldCharType="end"/>
      </w:r>
      <w:r w:rsidR="00ED0960">
        <w:rPr>
          <w:rFonts w:ascii="黑体"/>
        </w:rPr>
        <w:t>-</w:t>
      </w:r>
      <w:bookmarkStart w:id="2" w:name="FD"/>
      <w:r>
        <w:rPr>
          <w:rFonts w:ascii="黑体"/>
        </w:rPr>
        <w:fldChar w:fldCharType="begin">
          <w:ffData>
            <w:name w:val="FD"/>
            <w:enabled/>
            <w:calcOnExit w:val="0"/>
            <w:textInput>
              <w:default w:val="XX"/>
              <w:maxLength w:val="2"/>
            </w:textInput>
          </w:ffData>
        </w:fldChar>
      </w:r>
      <w:r w:rsidR="00ED0960">
        <w:rPr>
          <w:rFonts w:ascii="黑体"/>
        </w:rPr>
        <w:instrText xml:space="preserve"> FORMTEXT </w:instrText>
      </w:r>
      <w:r>
        <w:rPr>
          <w:rFonts w:ascii="黑体"/>
        </w:rPr>
      </w:r>
      <w:r>
        <w:rPr>
          <w:rFonts w:ascii="黑体"/>
        </w:rPr>
        <w:fldChar w:fldCharType="separate"/>
      </w:r>
      <w:r w:rsidR="00ED0960">
        <w:rPr>
          <w:rFonts w:ascii="黑体"/>
        </w:rPr>
        <w:t>XX</w:t>
      </w:r>
      <w:r>
        <w:rPr>
          <w:rFonts w:ascii="黑体"/>
        </w:rPr>
        <w:fldChar w:fldCharType="end"/>
      </w:r>
      <w:bookmarkEnd w:id="2"/>
      <w:r w:rsidR="00ED0960">
        <w:rPr>
          <w:rFonts w:hint="eastAsia"/>
        </w:rPr>
        <w:t>发布</w:t>
      </w:r>
      <w:r>
        <w:pict>
          <v:line id="直线 10" o:spid="_x0000_s1029" style="position:absolute;z-index:251655168;mso-position-horizontal-relative:text;mso-position-vertical-relative:page" from="-15.35pt,736.5pt" to="466.55pt,736.5pt" o:gfxdata="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homaLYAAAADQEAAA8AAAAAAAAAAQAgAAAAIgAAAGRycy9kb3ducmV2&#10;LnhtbFBLAQIUABQAAAAIAIdO4kBfceS+wwEAAIIDAAAOAAAAAAAAAAEAIAAAACcBAABkcnMvZTJv&#10;RG9jLnhtbFBLBQYAAAAABgAGAFkBAABcBQAAAAA=&#10;">
            <w10:wrap anchory="page"/>
            <w10:anchorlock/>
          </v:line>
        </w:pict>
      </w:r>
    </w:p>
    <w:bookmarkStart w:id="3" w:name="SY"/>
    <w:p w:rsidR="00F50F70" w:rsidRDefault="00F50F70">
      <w:pPr>
        <w:pStyle w:val="affffff7"/>
        <w:framePr w:wrap="around" w:hAnchor="page" w:x="6736" w:y="14131"/>
      </w:pPr>
      <w:r>
        <w:rPr>
          <w:rFonts w:ascii="黑体"/>
        </w:rPr>
        <w:fldChar w:fldCharType="begin">
          <w:ffData>
            <w:name w:val="SY"/>
            <w:enabled/>
            <w:calcOnExit w:val="0"/>
            <w:textInput>
              <w:default w:val="XXXX"/>
              <w:maxLength w:val="4"/>
            </w:textInput>
          </w:ffData>
        </w:fldChar>
      </w:r>
      <w:r w:rsidR="00ED0960">
        <w:rPr>
          <w:rFonts w:ascii="黑体"/>
        </w:rPr>
        <w:instrText xml:space="preserve"> FORMTEXT </w:instrText>
      </w:r>
      <w:r>
        <w:rPr>
          <w:rFonts w:ascii="黑体"/>
        </w:rPr>
      </w:r>
      <w:r>
        <w:rPr>
          <w:rFonts w:ascii="黑体"/>
        </w:rPr>
        <w:fldChar w:fldCharType="separate"/>
      </w:r>
      <w:r w:rsidR="00ED0960">
        <w:rPr>
          <w:rFonts w:ascii="黑体" w:hint="eastAsia"/>
        </w:rPr>
        <w:t>202</w:t>
      </w:r>
      <w:r w:rsidR="00ED0960">
        <w:rPr>
          <w:rFonts w:ascii="黑体"/>
        </w:rPr>
        <w:t>X</w:t>
      </w:r>
      <w:r>
        <w:rPr>
          <w:rFonts w:ascii="黑体"/>
        </w:rPr>
        <w:fldChar w:fldCharType="end"/>
      </w:r>
      <w:bookmarkEnd w:id="3"/>
      <w:r w:rsidR="00ED0960">
        <w:rPr>
          <w:rFonts w:ascii="黑体"/>
        </w:rPr>
        <w:t>-</w:t>
      </w:r>
      <w:bookmarkStart w:id="4" w:name="SM"/>
      <w:r>
        <w:rPr>
          <w:rFonts w:ascii="黑体"/>
        </w:rPr>
        <w:fldChar w:fldCharType="begin">
          <w:ffData>
            <w:name w:val="SM"/>
            <w:enabled/>
            <w:calcOnExit w:val="0"/>
            <w:textInput>
              <w:default w:val="XX"/>
              <w:maxLength w:val="2"/>
            </w:textInput>
          </w:ffData>
        </w:fldChar>
      </w:r>
      <w:r w:rsidR="00ED0960">
        <w:rPr>
          <w:rFonts w:ascii="黑体"/>
        </w:rPr>
        <w:instrText xml:space="preserve"> FORMTEXT </w:instrText>
      </w:r>
      <w:r>
        <w:rPr>
          <w:rFonts w:ascii="黑体"/>
        </w:rPr>
      </w:r>
      <w:r>
        <w:rPr>
          <w:rFonts w:ascii="黑体"/>
        </w:rPr>
        <w:fldChar w:fldCharType="separate"/>
      </w:r>
      <w:r w:rsidR="00ED0960">
        <w:rPr>
          <w:rFonts w:ascii="黑体"/>
        </w:rPr>
        <w:t>XX</w:t>
      </w:r>
      <w:r>
        <w:rPr>
          <w:rFonts w:ascii="黑体"/>
        </w:rPr>
        <w:fldChar w:fldCharType="end"/>
      </w:r>
      <w:bookmarkEnd w:id="4"/>
      <w:r w:rsidR="00ED0960">
        <w:rPr>
          <w:rFonts w:ascii="黑体"/>
        </w:rPr>
        <w:t>-</w:t>
      </w:r>
      <w:bookmarkStart w:id="5" w:name="SD"/>
      <w:r>
        <w:rPr>
          <w:rFonts w:ascii="黑体"/>
        </w:rPr>
        <w:fldChar w:fldCharType="begin">
          <w:ffData>
            <w:name w:val="SD"/>
            <w:enabled/>
            <w:calcOnExit w:val="0"/>
            <w:textInput>
              <w:default w:val="XX"/>
              <w:maxLength w:val="2"/>
            </w:textInput>
          </w:ffData>
        </w:fldChar>
      </w:r>
      <w:r w:rsidR="00ED0960">
        <w:rPr>
          <w:rFonts w:ascii="黑体"/>
        </w:rPr>
        <w:instrText xml:space="preserve"> FORMTEXT </w:instrText>
      </w:r>
      <w:r>
        <w:rPr>
          <w:rFonts w:ascii="黑体"/>
        </w:rPr>
      </w:r>
      <w:r>
        <w:rPr>
          <w:rFonts w:ascii="黑体"/>
        </w:rPr>
        <w:fldChar w:fldCharType="separate"/>
      </w:r>
      <w:r w:rsidR="00ED0960">
        <w:rPr>
          <w:rFonts w:ascii="黑体"/>
        </w:rPr>
        <w:t>XX</w:t>
      </w:r>
      <w:r>
        <w:rPr>
          <w:rFonts w:ascii="黑体"/>
        </w:rPr>
        <w:fldChar w:fldCharType="end"/>
      </w:r>
      <w:bookmarkEnd w:id="5"/>
      <w:r w:rsidR="00ED0960">
        <w:rPr>
          <w:rFonts w:hint="eastAsia"/>
        </w:rPr>
        <w:t>实施</w:t>
      </w:r>
    </w:p>
    <w:p w:rsidR="00F50F70" w:rsidRDefault="00ED0960">
      <w:pPr>
        <w:pStyle w:val="afffff8"/>
        <w:framePr w:wrap="around"/>
      </w:pPr>
      <w:r>
        <w:rPr>
          <w:rFonts w:hint="eastAsia"/>
        </w:rPr>
        <w:t>浙江省食品学会</w:t>
      </w:r>
      <w:r>
        <w:rPr>
          <w:rFonts w:hAnsi="黑体"/>
        </w:rPr>
        <w:t>   </w:t>
      </w:r>
      <w:r>
        <w:rPr>
          <w:rStyle w:val="affff1"/>
          <w:rFonts w:hint="eastAsia"/>
        </w:rPr>
        <w:t>发布</w:t>
      </w:r>
    </w:p>
    <w:p w:rsidR="00F50F70" w:rsidRDefault="00F50F70">
      <w:pPr>
        <w:pStyle w:val="affc"/>
        <w:ind w:firstLineChars="0" w:firstLine="0"/>
      </w:pPr>
      <w:r>
        <w:pict>
          <v:line id="直线 11" o:spid="_x0000_s1028" style="position:absolute;left:0;text-align:left;z-index:251656192" from="-3pt,113.5pt" to="478.9pt,113.5pt"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JB4l/XAAAACQEAAA8AAAAAAAAAAQAgAAAAIgAAAGRycy9kb3ducmV2&#10;LnhtbFBLAQIUABQAAAAIAIdO4kCeSj8fxAEAAIIDAAAOAAAAAAAAAAEAIAAAACYBAABkcnMvZTJv&#10;RG9jLnhtbFBLBQYAAAAABgAGAFkBAABcBQAAAAA=&#10;"/>
        </w:pict>
      </w:r>
    </w:p>
    <w:p w:rsidR="00F50F70" w:rsidRDefault="00ED0960">
      <w:pPr>
        <w:tabs>
          <w:tab w:val="left" w:pos="8849"/>
        </w:tabs>
        <w:jc w:val="left"/>
        <w:sectPr w:rsidR="00F50F70">
          <w:pgSz w:w="11906" w:h="16838"/>
          <w:pgMar w:top="567" w:right="850" w:bottom="1134" w:left="1418" w:header="0" w:footer="0" w:gutter="0"/>
          <w:pgNumType w:start="1"/>
          <w:cols w:space="425"/>
          <w:docGrid w:type="lines" w:linePitch="312"/>
        </w:sectPr>
      </w:pPr>
      <w:r>
        <w:rPr>
          <w:rFonts w:hint="eastAsia"/>
        </w:rPr>
        <w:tab/>
      </w:r>
    </w:p>
    <w:p w:rsidR="00F50F70" w:rsidRDefault="00ED0960">
      <w:pPr>
        <w:pStyle w:val="afff6"/>
      </w:pPr>
      <w:bookmarkStart w:id="6" w:name="_Toc34064616"/>
      <w:r>
        <w:rPr>
          <w:rFonts w:hint="eastAsia"/>
        </w:rPr>
        <w:lastRenderedPageBreak/>
        <w:t>目</w:t>
      </w:r>
      <w:bookmarkStart w:id="7" w:name="BKML"/>
      <w:r>
        <w:rPr>
          <w:rFonts w:hAnsi="黑体"/>
        </w:rPr>
        <w:t>  </w:t>
      </w:r>
      <w:r>
        <w:rPr>
          <w:rFonts w:hint="eastAsia"/>
        </w:rPr>
        <w:t>次</w:t>
      </w:r>
      <w:bookmarkEnd w:id="7"/>
    </w:p>
    <w:p w:rsidR="00F50F70" w:rsidRDefault="00F50F70">
      <w:pPr>
        <w:pStyle w:val="1"/>
        <w:spacing w:before="78" w:after="78"/>
        <w:jc w:val="both"/>
        <w:rPr>
          <w:rFonts w:ascii="Calibri" w:hAnsi="Calibri"/>
          <w:szCs w:val="22"/>
        </w:rPr>
      </w:pPr>
      <w:r>
        <w:fldChar w:fldCharType="begin" w:fldLock="1"/>
      </w:r>
      <w:r w:rsidR="00ED0960">
        <w:rPr>
          <w:rFonts w:hint="eastAsia"/>
        </w:rPr>
        <w:instrText>TOC \h \z \t"</w:instrText>
      </w:r>
      <w:r w:rsidR="00ED0960">
        <w:rPr>
          <w:rFonts w:hint="eastAsia"/>
        </w:rPr>
        <w:instrText>前言、引言标题</w:instrText>
      </w:r>
      <w:r w:rsidR="00ED0960">
        <w:rPr>
          <w:rFonts w:hint="eastAsia"/>
        </w:rPr>
        <w:instrText>,1,</w:instrText>
      </w:r>
      <w:r w:rsidR="00ED0960">
        <w:rPr>
          <w:rFonts w:hint="eastAsia"/>
        </w:rPr>
        <w:instrText>参考文献、索引标题</w:instrText>
      </w:r>
      <w:r w:rsidR="00ED0960">
        <w:rPr>
          <w:rFonts w:hint="eastAsia"/>
        </w:rPr>
        <w:instrText>,1,</w:instrText>
      </w:r>
      <w:r w:rsidR="00ED0960">
        <w:rPr>
          <w:rFonts w:hint="eastAsia"/>
        </w:rPr>
        <w:instrText>章标题</w:instrText>
      </w:r>
      <w:r w:rsidR="00ED0960">
        <w:rPr>
          <w:rFonts w:hint="eastAsia"/>
        </w:rPr>
        <w:instrText>,1,</w:instrText>
      </w:r>
      <w:r w:rsidR="00ED0960">
        <w:rPr>
          <w:rFonts w:hint="eastAsia"/>
        </w:rPr>
        <w:instrText>参考文献</w:instrText>
      </w:r>
      <w:r w:rsidR="00ED0960">
        <w:rPr>
          <w:rFonts w:hint="eastAsia"/>
        </w:rPr>
        <w:instrText>,1,</w:instrText>
      </w:r>
      <w:r w:rsidR="00ED0960">
        <w:rPr>
          <w:rFonts w:hint="eastAsia"/>
        </w:rPr>
        <w:instrText>附录标识</w:instrText>
      </w:r>
      <w:r w:rsidR="00ED0960">
        <w:rPr>
          <w:rFonts w:hint="eastAsia"/>
        </w:rPr>
        <w:instrText>,1,</w:instrText>
      </w:r>
      <w:r w:rsidR="00ED0960">
        <w:rPr>
          <w:rFonts w:hint="eastAsia"/>
        </w:rPr>
        <w:instrText>一级条标题</w:instrText>
      </w:r>
      <w:r w:rsidR="00ED0960">
        <w:rPr>
          <w:rFonts w:hint="eastAsia"/>
        </w:rPr>
        <w:instrText>, 3" \* MERGEFORMAT</w:instrText>
      </w:r>
      <w:r>
        <w:fldChar w:fldCharType="separate"/>
      </w:r>
      <w:hyperlink w:anchor="_Toc34064674" w:history="1">
        <w:r w:rsidR="00ED0960">
          <w:rPr>
            <w:rStyle w:val="afff2"/>
            <w:rFonts w:hint="eastAsia"/>
            <w:color w:val="auto"/>
          </w:rPr>
          <w:t>前言</w:t>
        </w:r>
        <w:r w:rsidR="00ED0960">
          <w:tab/>
        </w:r>
        <w:r>
          <w:fldChar w:fldCharType="begin" w:fldLock="1"/>
        </w:r>
        <w:r w:rsidR="00ED0960">
          <w:instrText xml:space="preserve"> PAGEREF _Toc34064674 \h </w:instrText>
        </w:r>
        <w:r>
          <w:fldChar w:fldCharType="separate"/>
        </w:r>
        <w:r w:rsidR="00ED0960">
          <w:t>II</w:t>
        </w:r>
        <w:r>
          <w:fldChar w:fldCharType="end"/>
        </w:r>
      </w:hyperlink>
    </w:p>
    <w:p w:rsidR="00F50F70" w:rsidRDefault="00F50F70">
      <w:pPr>
        <w:pStyle w:val="1"/>
        <w:spacing w:before="78" w:after="78"/>
        <w:jc w:val="both"/>
        <w:rPr>
          <w:rFonts w:ascii="Calibri" w:hAnsi="Calibri"/>
          <w:szCs w:val="22"/>
        </w:rPr>
      </w:pPr>
      <w:hyperlink w:anchor="_Toc34064675" w:history="1">
        <w:r w:rsidR="00ED0960">
          <w:rPr>
            <w:rStyle w:val="afff2"/>
            <w:color w:val="auto"/>
          </w:rPr>
          <w:t>1</w:t>
        </w:r>
        <w:r w:rsidR="00ED0960">
          <w:rPr>
            <w:rStyle w:val="afff2"/>
            <w:rFonts w:hint="eastAsia"/>
            <w:color w:val="auto"/>
          </w:rPr>
          <w:t xml:space="preserve">　范围</w:t>
        </w:r>
        <w:r w:rsidR="00ED0960">
          <w:tab/>
        </w:r>
        <w:r>
          <w:fldChar w:fldCharType="begin" w:fldLock="1"/>
        </w:r>
        <w:r w:rsidR="00ED0960">
          <w:instrText xml:space="preserve"> PAGEREF _Toc34064675 \h </w:instrText>
        </w:r>
        <w:r>
          <w:fldChar w:fldCharType="separate"/>
        </w:r>
        <w:r w:rsidR="00ED0960">
          <w:t>1</w:t>
        </w:r>
        <w:r>
          <w:fldChar w:fldCharType="end"/>
        </w:r>
      </w:hyperlink>
    </w:p>
    <w:p w:rsidR="00F50F70" w:rsidRDefault="00F50F70">
      <w:pPr>
        <w:pStyle w:val="1"/>
        <w:spacing w:before="78" w:after="78"/>
        <w:jc w:val="both"/>
        <w:rPr>
          <w:rFonts w:ascii="Calibri" w:hAnsi="Calibri"/>
          <w:szCs w:val="22"/>
        </w:rPr>
      </w:pPr>
      <w:hyperlink w:anchor="_Toc34064676" w:history="1">
        <w:r w:rsidR="00ED0960">
          <w:rPr>
            <w:rStyle w:val="afff2"/>
            <w:color w:val="auto"/>
          </w:rPr>
          <w:t>2</w:t>
        </w:r>
        <w:r w:rsidR="00ED0960">
          <w:rPr>
            <w:rStyle w:val="afff2"/>
            <w:rFonts w:hint="eastAsia"/>
            <w:color w:val="auto"/>
          </w:rPr>
          <w:t xml:space="preserve">　规范性引用文件</w:t>
        </w:r>
        <w:r w:rsidR="00ED0960">
          <w:tab/>
        </w:r>
        <w:r>
          <w:fldChar w:fldCharType="begin" w:fldLock="1"/>
        </w:r>
        <w:r w:rsidR="00ED0960">
          <w:instrText xml:space="preserve"> PAGEREF _Toc34064676</w:instrText>
        </w:r>
        <w:r w:rsidR="00ED0960">
          <w:instrText xml:space="preserve"> \h </w:instrText>
        </w:r>
        <w:r>
          <w:fldChar w:fldCharType="separate"/>
        </w:r>
        <w:r w:rsidR="00ED0960">
          <w:t>1</w:t>
        </w:r>
        <w:r>
          <w:fldChar w:fldCharType="end"/>
        </w:r>
      </w:hyperlink>
    </w:p>
    <w:p w:rsidR="00F50F70" w:rsidRDefault="00F50F70">
      <w:pPr>
        <w:pStyle w:val="1"/>
        <w:spacing w:before="78" w:after="78"/>
        <w:jc w:val="both"/>
        <w:rPr>
          <w:rFonts w:ascii="Calibri" w:hAnsi="Calibri"/>
          <w:szCs w:val="22"/>
        </w:rPr>
      </w:pPr>
      <w:hyperlink w:anchor="_Toc34064677" w:history="1">
        <w:r w:rsidR="00ED0960">
          <w:rPr>
            <w:rStyle w:val="afff2"/>
            <w:color w:val="auto"/>
          </w:rPr>
          <w:t>3</w:t>
        </w:r>
        <w:r w:rsidR="00ED0960">
          <w:rPr>
            <w:rStyle w:val="afff2"/>
            <w:rFonts w:hint="eastAsia"/>
            <w:color w:val="auto"/>
          </w:rPr>
          <w:t xml:space="preserve">　术语和定义</w:t>
        </w:r>
        <w:r w:rsidR="00ED0960">
          <w:tab/>
        </w:r>
        <w:r w:rsidR="00ED0960">
          <w:rPr>
            <w:rFonts w:hint="eastAsia"/>
          </w:rPr>
          <w:t>1</w:t>
        </w:r>
      </w:hyperlink>
    </w:p>
    <w:p w:rsidR="00F50F70" w:rsidRDefault="00F50F70">
      <w:pPr>
        <w:pStyle w:val="1"/>
        <w:spacing w:before="78" w:after="78"/>
        <w:jc w:val="both"/>
        <w:rPr>
          <w:rFonts w:ascii="Calibri" w:hAnsi="Calibri"/>
          <w:szCs w:val="22"/>
        </w:rPr>
      </w:pPr>
      <w:hyperlink w:anchor="_Toc34064685" w:history="1">
        <w:r w:rsidR="00ED0960">
          <w:rPr>
            <w:rStyle w:val="afff2"/>
            <w:color w:val="auto"/>
          </w:rPr>
          <w:t>4</w:t>
        </w:r>
        <w:r w:rsidR="00ED0960">
          <w:rPr>
            <w:rStyle w:val="afff2"/>
            <w:rFonts w:hint="eastAsia"/>
            <w:color w:val="auto"/>
          </w:rPr>
          <w:t xml:space="preserve">　分类</w:t>
        </w:r>
        <w:r w:rsidR="00ED0960">
          <w:tab/>
        </w:r>
        <w:r w:rsidR="00ED0960">
          <w:rPr>
            <w:rFonts w:hint="eastAsia"/>
          </w:rPr>
          <w:t>2</w:t>
        </w:r>
      </w:hyperlink>
    </w:p>
    <w:p w:rsidR="00F50F70" w:rsidRDefault="00F50F70">
      <w:pPr>
        <w:pStyle w:val="1"/>
        <w:spacing w:before="78" w:after="78"/>
        <w:jc w:val="both"/>
      </w:pPr>
      <w:hyperlink w:anchor="_Toc34064698" w:history="1">
        <w:r w:rsidR="00ED0960">
          <w:rPr>
            <w:rStyle w:val="afff2"/>
            <w:color w:val="auto"/>
          </w:rPr>
          <w:t>5</w:t>
        </w:r>
        <w:r w:rsidR="00ED0960">
          <w:rPr>
            <w:rStyle w:val="afff2"/>
            <w:rFonts w:hint="eastAsia"/>
            <w:color w:val="auto"/>
          </w:rPr>
          <w:t xml:space="preserve">　</w:t>
        </w:r>
        <w:r w:rsidR="00ED0960">
          <w:rPr>
            <w:rStyle w:val="afff2"/>
            <w:rFonts w:hint="eastAsia"/>
            <w:color w:val="auto"/>
          </w:rPr>
          <w:t>技术</w:t>
        </w:r>
        <w:r w:rsidR="00ED0960">
          <w:rPr>
            <w:rStyle w:val="afff2"/>
            <w:rFonts w:hint="eastAsia"/>
            <w:color w:val="auto"/>
          </w:rPr>
          <w:t>要求</w:t>
        </w:r>
        <w:r w:rsidR="00ED0960">
          <w:tab/>
        </w:r>
        <w:r w:rsidR="00ED0960">
          <w:rPr>
            <w:rFonts w:hint="eastAsia"/>
          </w:rPr>
          <w:t>2</w:t>
        </w:r>
      </w:hyperlink>
    </w:p>
    <w:p w:rsidR="00F50F70" w:rsidRDefault="00F50F70">
      <w:pPr>
        <w:pStyle w:val="1"/>
        <w:spacing w:before="78" w:after="78"/>
        <w:jc w:val="both"/>
      </w:pPr>
      <w:hyperlink w:anchor="_Toc34064712" w:history="1">
        <w:r w:rsidR="00ED0960">
          <w:rPr>
            <w:rFonts w:hint="eastAsia"/>
          </w:rPr>
          <w:t>6</w:t>
        </w:r>
        <w:r w:rsidR="00ED0960">
          <w:rPr>
            <w:rStyle w:val="afff2"/>
            <w:rFonts w:hint="eastAsia"/>
            <w:color w:val="auto"/>
            <w:u w:val="none"/>
          </w:rPr>
          <w:t xml:space="preserve">　生产加工卫生要求</w:t>
        </w:r>
        <w:r w:rsidR="00ED0960">
          <w:tab/>
        </w:r>
        <w:r w:rsidR="00ED0960">
          <w:rPr>
            <w:rFonts w:hint="eastAsia"/>
          </w:rPr>
          <w:t>3</w:t>
        </w:r>
      </w:hyperlink>
    </w:p>
    <w:p w:rsidR="00F50F70" w:rsidRDefault="00F50F70">
      <w:pPr>
        <w:pStyle w:val="1"/>
        <w:spacing w:before="78" w:after="78"/>
        <w:jc w:val="both"/>
        <w:rPr>
          <w:rFonts w:ascii="Calibri" w:hAnsi="Calibri"/>
          <w:szCs w:val="22"/>
        </w:rPr>
      </w:pPr>
      <w:hyperlink w:anchor="_Toc34064704" w:history="1">
        <w:r w:rsidR="00ED0960">
          <w:rPr>
            <w:rStyle w:val="afff2"/>
            <w:rFonts w:hint="eastAsia"/>
            <w:color w:val="auto"/>
          </w:rPr>
          <w:t>7</w:t>
        </w:r>
        <w:r w:rsidR="00ED0960">
          <w:rPr>
            <w:rStyle w:val="afff2"/>
            <w:rFonts w:hint="eastAsia"/>
            <w:color w:val="auto"/>
          </w:rPr>
          <w:t xml:space="preserve">　试验方法</w:t>
        </w:r>
        <w:r w:rsidR="00ED0960">
          <w:tab/>
        </w:r>
        <w:r w:rsidR="00ED0960">
          <w:rPr>
            <w:rFonts w:hint="eastAsia"/>
          </w:rPr>
          <w:t>3</w:t>
        </w:r>
      </w:hyperlink>
    </w:p>
    <w:p w:rsidR="00F50F70" w:rsidRDefault="00F50F70">
      <w:pPr>
        <w:pStyle w:val="1"/>
        <w:spacing w:before="78" w:after="78"/>
        <w:jc w:val="both"/>
        <w:rPr>
          <w:rFonts w:ascii="Calibri" w:hAnsi="Calibri"/>
          <w:szCs w:val="22"/>
        </w:rPr>
      </w:pPr>
      <w:hyperlink w:anchor="_Toc34064708" w:history="1">
        <w:r w:rsidR="00ED0960">
          <w:rPr>
            <w:rStyle w:val="afff2"/>
            <w:rFonts w:hint="eastAsia"/>
            <w:color w:val="auto"/>
          </w:rPr>
          <w:t>8</w:t>
        </w:r>
        <w:r w:rsidR="00ED0960">
          <w:rPr>
            <w:rStyle w:val="afff2"/>
            <w:rFonts w:hint="eastAsia"/>
            <w:color w:val="auto"/>
          </w:rPr>
          <w:t xml:space="preserve">　检验规则</w:t>
        </w:r>
        <w:r w:rsidR="00ED0960">
          <w:tab/>
        </w:r>
        <w:r w:rsidR="00ED0960">
          <w:rPr>
            <w:rFonts w:hint="eastAsia"/>
          </w:rPr>
          <w:t>4</w:t>
        </w:r>
      </w:hyperlink>
    </w:p>
    <w:p w:rsidR="00F50F70" w:rsidRDefault="00F50F70">
      <w:pPr>
        <w:pStyle w:val="1"/>
        <w:spacing w:before="78" w:after="78"/>
        <w:jc w:val="both"/>
      </w:pPr>
      <w:r>
        <w:fldChar w:fldCharType="end"/>
      </w:r>
      <w:hyperlink w:anchor="_Toc34064712" w:history="1">
        <w:r w:rsidR="00ED0960">
          <w:rPr>
            <w:rFonts w:hint="eastAsia"/>
          </w:rPr>
          <w:t>9</w:t>
        </w:r>
        <w:r w:rsidR="00ED0960">
          <w:rPr>
            <w:rStyle w:val="afff2"/>
            <w:rFonts w:hint="eastAsia"/>
            <w:color w:val="auto"/>
            <w:u w:val="none"/>
          </w:rPr>
          <w:t xml:space="preserve">　</w:t>
        </w:r>
        <w:r w:rsidR="00ED0960">
          <w:rPr>
            <w:rFonts w:hint="eastAsia"/>
          </w:rPr>
          <w:t>标签、标志和包装</w:t>
        </w:r>
        <w:r w:rsidR="00ED0960">
          <w:tab/>
        </w:r>
        <w:r w:rsidR="00ED0960">
          <w:rPr>
            <w:rFonts w:hint="eastAsia"/>
          </w:rPr>
          <w:t>5</w:t>
        </w:r>
      </w:hyperlink>
      <w:hyperlink w:anchor="_Toc34064712" w:history="1"/>
    </w:p>
    <w:p w:rsidR="00F50F70" w:rsidRDefault="00F50F70">
      <w:pPr>
        <w:pStyle w:val="1"/>
        <w:spacing w:before="78" w:after="78"/>
        <w:jc w:val="both"/>
      </w:pPr>
      <w:hyperlink w:anchor="_Toc34064712" w:history="1">
        <w:r w:rsidR="00ED0960">
          <w:rPr>
            <w:rFonts w:hint="eastAsia"/>
          </w:rPr>
          <w:t>10</w:t>
        </w:r>
        <w:r w:rsidR="00ED0960">
          <w:rPr>
            <w:rStyle w:val="afff2"/>
            <w:rFonts w:hint="eastAsia"/>
            <w:color w:val="auto"/>
            <w:u w:val="none"/>
          </w:rPr>
          <w:t xml:space="preserve">　运输和贮存</w:t>
        </w:r>
        <w:r w:rsidR="00ED0960">
          <w:tab/>
        </w:r>
        <w:r w:rsidR="00ED0960">
          <w:rPr>
            <w:rFonts w:hint="eastAsia"/>
          </w:rPr>
          <w:t>5</w:t>
        </w:r>
      </w:hyperlink>
    </w:p>
    <w:p w:rsidR="00F50F70" w:rsidRDefault="00F50F70">
      <w:pPr>
        <w:pStyle w:val="1"/>
        <w:spacing w:before="78" w:after="78"/>
        <w:jc w:val="both"/>
      </w:pPr>
      <w:hyperlink w:anchor="_Toc34064712" w:history="1">
        <w:r w:rsidR="00ED0960">
          <w:rPr>
            <w:rFonts w:hint="eastAsia"/>
          </w:rPr>
          <w:t>11</w:t>
        </w:r>
        <w:r w:rsidR="00ED0960">
          <w:rPr>
            <w:rStyle w:val="afff2"/>
            <w:rFonts w:hint="eastAsia"/>
            <w:color w:val="auto"/>
            <w:u w:val="none"/>
          </w:rPr>
          <w:t xml:space="preserve">　销售</w:t>
        </w:r>
        <w:r w:rsidR="00ED0960">
          <w:tab/>
        </w:r>
        <w:r w:rsidR="00ED0960">
          <w:rPr>
            <w:rFonts w:hint="eastAsia"/>
          </w:rPr>
          <w:t>5</w:t>
        </w:r>
      </w:hyperlink>
    </w:p>
    <w:p w:rsidR="00F50F70" w:rsidRDefault="00F50F70">
      <w:pPr>
        <w:pStyle w:val="1"/>
        <w:spacing w:before="78" w:after="78"/>
        <w:jc w:val="both"/>
      </w:pPr>
      <w:hyperlink w:anchor="_Toc34064712" w:history="1">
        <w:r w:rsidR="00ED0960">
          <w:rPr>
            <w:rFonts w:hint="eastAsia"/>
          </w:rPr>
          <w:t>12</w:t>
        </w:r>
        <w:r w:rsidR="00ED0960">
          <w:rPr>
            <w:rStyle w:val="afff2"/>
            <w:rFonts w:hint="eastAsia"/>
            <w:color w:val="auto"/>
            <w:u w:val="none"/>
          </w:rPr>
          <w:t xml:space="preserve">　召回</w:t>
        </w:r>
        <w:r w:rsidR="00ED0960">
          <w:tab/>
        </w:r>
        <w:r w:rsidR="00ED0960">
          <w:rPr>
            <w:rFonts w:hint="eastAsia"/>
          </w:rPr>
          <w:t>5</w:t>
        </w:r>
      </w:hyperlink>
    </w:p>
    <w:p w:rsidR="00F50F70" w:rsidRDefault="00ED0960">
      <w:pPr>
        <w:pStyle w:val="afffff9"/>
      </w:pPr>
      <w:bookmarkStart w:id="8" w:name="_Toc34064674"/>
      <w:r>
        <w:rPr>
          <w:rFonts w:hint="eastAsia"/>
        </w:rPr>
        <w:lastRenderedPageBreak/>
        <w:t>前</w:t>
      </w:r>
      <w:bookmarkStart w:id="9" w:name="BKQY"/>
      <w:r>
        <w:rPr>
          <w:rFonts w:hAnsi="黑体"/>
        </w:rPr>
        <w:t>  </w:t>
      </w:r>
      <w:r>
        <w:rPr>
          <w:rFonts w:hint="eastAsia"/>
        </w:rPr>
        <w:t>言</w:t>
      </w:r>
      <w:bookmarkEnd w:id="6"/>
      <w:bookmarkEnd w:id="8"/>
      <w:bookmarkEnd w:id="9"/>
    </w:p>
    <w:p w:rsidR="00F50F70" w:rsidRDefault="00ED0960">
      <w:pPr>
        <w:pStyle w:val="Bodytext1"/>
        <w:spacing w:line="313" w:lineRule="exact"/>
        <w:ind w:firstLine="420"/>
        <w:rPr>
          <w:rFonts w:ascii="宋体" w:eastAsia="宋体" w:hAnsi="宋体"/>
          <w:sz w:val="21"/>
          <w:szCs w:val="21"/>
          <w:lang w:val="en-US" w:eastAsia="zh-CN"/>
        </w:rPr>
      </w:pPr>
      <w:r>
        <w:rPr>
          <w:rFonts w:ascii="宋体" w:eastAsia="宋体" w:hAnsi="宋体"/>
          <w:sz w:val="21"/>
          <w:szCs w:val="21"/>
        </w:rPr>
        <w:t>本</w:t>
      </w:r>
      <w:r>
        <w:rPr>
          <w:rFonts w:ascii="宋体" w:eastAsia="宋体" w:hAnsi="宋体" w:hint="eastAsia"/>
          <w:sz w:val="21"/>
          <w:szCs w:val="21"/>
        </w:rPr>
        <w:t>文件</w:t>
      </w:r>
      <w:r>
        <w:rPr>
          <w:rFonts w:ascii="宋体" w:eastAsia="宋体" w:hAnsi="宋体"/>
          <w:sz w:val="21"/>
          <w:szCs w:val="21"/>
        </w:rPr>
        <w:t>按照</w:t>
      </w:r>
      <w:r>
        <w:rPr>
          <w:rFonts w:ascii="宋体" w:eastAsia="宋体" w:hAnsi="宋体"/>
          <w:sz w:val="21"/>
          <w:szCs w:val="21"/>
          <w:lang w:val="en-US" w:eastAsia="zh-CN"/>
        </w:rPr>
        <w:t>GB/T 1.1—20</w:t>
      </w:r>
      <w:r>
        <w:rPr>
          <w:rFonts w:ascii="宋体" w:eastAsia="宋体" w:hAnsi="宋体" w:hint="eastAsia"/>
          <w:sz w:val="21"/>
          <w:szCs w:val="21"/>
          <w:lang w:val="en-US" w:eastAsia="zh-CN"/>
        </w:rPr>
        <w:t>20</w:t>
      </w:r>
      <w:r>
        <w:rPr>
          <w:rFonts w:ascii="宋体" w:eastAsia="宋体" w:hAnsi="宋体" w:hint="eastAsia"/>
          <w:sz w:val="21"/>
          <w:szCs w:val="21"/>
          <w:lang w:val="en-US" w:eastAsia="zh-CN"/>
        </w:rPr>
        <w:t>《标准化工作导则第</w:t>
      </w:r>
      <w:r>
        <w:rPr>
          <w:rFonts w:ascii="宋体" w:eastAsia="宋体" w:hAnsi="宋体" w:hint="eastAsia"/>
          <w:sz w:val="21"/>
          <w:szCs w:val="21"/>
          <w:lang w:val="en-US" w:eastAsia="zh-CN"/>
        </w:rPr>
        <w:t>1</w:t>
      </w:r>
      <w:r>
        <w:rPr>
          <w:rFonts w:ascii="宋体" w:eastAsia="宋体" w:hAnsi="宋体" w:hint="eastAsia"/>
          <w:sz w:val="21"/>
          <w:szCs w:val="21"/>
          <w:lang w:val="en-US" w:eastAsia="zh-CN"/>
        </w:rPr>
        <w:t>部分：标准化文件的结构和起草规则》的规定起草。</w:t>
      </w:r>
    </w:p>
    <w:p w:rsidR="00F50F70" w:rsidRDefault="00ED0960">
      <w:pPr>
        <w:pStyle w:val="Bodytext1"/>
        <w:spacing w:line="313" w:lineRule="exact"/>
        <w:ind w:firstLine="420"/>
        <w:rPr>
          <w:rFonts w:ascii="宋体" w:eastAsia="宋体" w:hAnsi="宋体"/>
          <w:sz w:val="21"/>
          <w:szCs w:val="21"/>
          <w:lang w:val="en-US" w:eastAsia="zh-CN"/>
        </w:rPr>
      </w:pPr>
      <w:r>
        <w:rPr>
          <w:rFonts w:ascii="宋体" w:eastAsia="宋体" w:hAnsi="宋体" w:cs="Arial" w:hint="eastAsia"/>
          <w:sz w:val="21"/>
          <w:szCs w:val="21"/>
          <w:lang w:val="en-US" w:eastAsia="zh-CN" w:bidi="en-US"/>
        </w:rPr>
        <w:t>请注意本文件的某些内容可能涉及专利。本文件的发布机构不承担识别专利的责任。</w:t>
      </w:r>
    </w:p>
    <w:p w:rsidR="00F50F70" w:rsidRDefault="00ED0960">
      <w:pPr>
        <w:pStyle w:val="Bodytext1"/>
        <w:spacing w:line="313" w:lineRule="exact"/>
        <w:ind w:firstLine="420"/>
        <w:rPr>
          <w:rFonts w:ascii="宋体" w:eastAsia="宋体" w:hAnsi="宋体"/>
          <w:sz w:val="21"/>
          <w:szCs w:val="21"/>
        </w:rPr>
      </w:pPr>
      <w:r>
        <w:rPr>
          <w:rFonts w:ascii="宋体" w:eastAsia="宋体" w:hAnsi="宋体"/>
          <w:sz w:val="21"/>
          <w:szCs w:val="21"/>
        </w:rPr>
        <w:t>本</w:t>
      </w:r>
      <w:r>
        <w:rPr>
          <w:rFonts w:ascii="宋体" w:eastAsia="宋体" w:hAnsi="宋体" w:hint="eastAsia"/>
          <w:sz w:val="21"/>
          <w:szCs w:val="21"/>
        </w:rPr>
        <w:t>文件</w:t>
      </w:r>
      <w:r>
        <w:rPr>
          <w:rFonts w:ascii="宋体" w:eastAsia="宋体" w:hAnsi="宋体"/>
          <w:sz w:val="21"/>
          <w:szCs w:val="21"/>
        </w:rPr>
        <w:t>由</w:t>
      </w:r>
      <w:r>
        <w:rPr>
          <w:rFonts w:ascii="宋体" w:eastAsia="宋体" w:hAnsi="宋体" w:hint="eastAsia"/>
          <w:sz w:val="21"/>
          <w:szCs w:val="21"/>
          <w:lang w:eastAsia="zh-CN"/>
        </w:rPr>
        <w:t>浙江省食品学会</w:t>
      </w:r>
      <w:r>
        <w:rPr>
          <w:rFonts w:ascii="宋体" w:eastAsia="宋体" w:hAnsi="宋体"/>
          <w:sz w:val="21"/>
          <w:szCs w:val="21"/>
        </w:rPr>
        <w:t>提出</w:t>
      </w:r>
      <w:r>
        <w:rPr>
          <w:rFonts w:ascii="宋体" w:eastAsia="宋体" w:hAnsi="宋体" w:hint="eastAsia"/>
          <w:sz w:val="21"/>
          <w:szCs w:val="21"/>
          <w:lang w:val="en-US" w:eastAsia="zh-CN"/>
        </w:rPr>
        <w:t>并归口</w:t>
      </w:r>
      <w:r>
        <w:rPr>
          <w:rFonts w:ascii="宋体" w:eastAsia="宋体" w:hAnsi="宋体"/>
          <w:sz w:val="21"/>
          <w:szCs w:val="21"/>
        </w:rPr>
        <w:t>。</w:t>
      </w:r>
    </w:p>
    <w:p w:rsidR="00F50F70" w:rsidRDefault="00ED0960">
      <w:pPr>
        <w:pStyle w:val="Bodytext1"/>
        <w:spacing w:line="313" w:lineRule="exact"/>
        <w:ind w:firstLine="420"/>
        <w:rPr>
          <w:rFonts w:ascii="宋体" w:eastAsia="宋体" w:hAnsi="宋体"/>
          <w:sz w:val="21"/>
          <w:szCs w:val="21"/>
        </w:rPr>
      </w:pPr>
      <w:r>
        <w:rPr>
          <w:rFonts w:ascii="宋体" w:eastAsia="宋体" w:hAnsi="宋体"/>
          <w:sz w:val="21"/>
          <w:szCs w:val="21"/>
        </w:rPr>
        <w:t>本</w:t>
      </w:r>
      <w:r>
        <w:rPr>
          <w:rFonts w:ascii="宋体" w:eastAsia="宋体" w:hAnsi="宋体" w:hint="eastAsia"/>
          <w:sz w:val="21"/>
          <w:szCs w:val="21"/>
        </w:rPr>
        <w:t>文件</w:t>
      </w:r>
      <w:r>
        <w:rPr>
          <w:rFonts w:ascii="宋体" w:eastAsia="宋体" w:hAnsi="宋体"/>
          <w:sz w:val="21"/>
          <w:szCs w:val="21"/>
        </w:rPr>
        <w:t>起草单位</w:t>
      </w:r>
      <w:r>
        <w:rPr>
          <w:rFonts w:ascii="宋体" w:eastAsia="宋体" w:hAnsi="宋体"/>
          <w:sz w:val="21"/>
          <w:szCs w:val="21"/>
        </w:rPr>
        <w:t>:</w:t>
      </w:r>
      <w:r>
        <w:rPr>
          <w:rFonts w:ascii="宋体" w:eastAsia="宋体" w:hAnsi="宋体" w:hint="eastAsia"/>
          <w:sz w:val="21"/>
          <w:szCs w:val="21"/>
          <w:lang w:val="en-US" w:eastAsia="zh-CN"/>
        </w:rPr>
        <w:t>XXXXX</w:t>
      </w:r>
      <w:r>
        <w:rPr>
          <w:rFonts w:ascii="宋体" w:eastAsia="宋体" w:hAnsi="宋体"/>
          <w:sz w:val="21"/>
          <w:szCs w:val="21"/>
        </w:rPr>
        <w:t>、</w:t>
      </w:r>
      <w:r>
        <w:rPr>
          <w:rFonts w:ascii="宋体" w:eastAsia="宋体" w:hAnsi="宋体" w:hint="eastAsia"/>
          <w:sz w:val="21"/>
          <w:szCs w:val="21"/>
          <w:lang w:val="en-US" w:eastAsia="zh-CN"/>
        </w:rPr>
        <w:t>XXXXX</w:t>
      </w:r>
      <w:r>
        <w:rPr>
          <w:rFonts w:ascii="宋体" w:eastAsia="宋体" w:hAnsi="宋体"/>
          <w:sz w:val="21"/>
          <w:szCs w:val="21"/>
        </w:rPr>
        <w:t>、</w:t>
      </w:r>
      <w:r>
        <w:rPr>
          <w:rFonts w:ascii="宋体" w:eastAsia="宋体" w:hAnsi="宋体" w:hint="eastAsia"/>
          <w:sz w:val="21"/>
          <w:szCs w:val="21"/>
          <w:lang w:val="en-US" w:eastAsia="zh-CN"/>
        </w:rPr>
        <w:t>XXXXX</w:t>
      </w:r>
      <w:r>
        <w:rPr>
          <w:rFonts w:ascii="宋体" w:eastAsia="宋体" w:hAnsi="宋体" w:hint="eastAsia"/>
          <w:sz w:val="21"/>
          <w:szCs w:val="21"/>
          <w:lang w:val="en-US" w:eastAsia="zh-CN"/>
        </w:rPr>
        <w:t>、</w:t>
      </w:r>
      <w:r>
        <w:rPr>
          <w:rFonts w:ascii="宋体" w:eastAsia="宋体" w:hAnsi="宋体" w:hint="eastAsia"/>
          <w:sz w:val="21"/>
          <w:szCs w:val="21"/>
          <w:lang w:val="en-US" w:eastAsia="zh-CN"/>
        </w:rPr>
        <w:t>XXXXX</w:t>
      </w:r>
      <w:r>
        <w:rPr>
          <w:rFonts w:ascii="宋体" w:eastAsia="宋体" w:hAnsi="宋体"/>
          <w:sz w:val="21"/>
          <w:szCs w:val="21"/>
        </w:rPr>
        <w:t>。</w:t>
      </w:r>
    </w:p>
    <w:p w:rsidR="00F50F70" w:rsidRDefault="00ED0960">
      <w:pPr>
        <w:pStyle w:val="Bodytext1"/>
        <w:spacing w:line="313" w:lineRule="exact"/>
        <w:ind w:firstLine="420"/>
        <w:rPr>
          <w:rFonts w:ascii="宋体" w:eastAsia="宋体" w:hAnsi="宋体"/>
          <w:sz w:val="21"/>
          <w:szCs w:val="21"/>
        </w:rPr>
      </w:pPr>
      <w:r>
        <w:rPr>
          <w:rFonts w:ascii="宋体" w:eastAsia="宋体" w:hAnsi="宋体"/>
          <w:sz w:val="21"/>
          <w:szCs w:val="21"/>
        </w:rPr>
        <w:t>本</w:t>
      </w:r>
      <w:r>
        <w:rPr>
          <w:rFonts w:ascii="宋体" w:eastAsia="宋体" w:hAnsi="宋体" w:hint="eastAsia"/>
          <w:sz w:val="21"/>
          <w:szCs w:val="21"/>
        </w:rPr>
        <w:t>文件</w:t>
      </w:r>
      <w:r>
        <w:rPr>
          <w:rFonts w:ascii="宋体" w:eastAsia="宋体" w:hAnsi="宋体"/>
          <w:sz w:val="21"/>
          <w:szCs w:val="21"/>
        </w:rPr>
        <w:t>主要起草人</w:t>
      </w:r>
      <w:r>
        <w:rPr>
          <w:rFonts w:ascii="宋体" w:eastAsia="宋体" w:hAnsi="宋体"/>
          <w:sz w:val="21"/>
          <w:szCs w:val="21"/>
        </w:rPr>
        <w:t>:</w:t>
      </w:r>
      <w:r>
        <w:rPr>
          <w:rFonts w:ascii="宋体" w:eastAsia="宋体" w:hAnsi="宋体" w:hint="eastAsia"/>
          <w:sz w:val="21"/>
          <w:szCs w:val="21"/>
        </w:rPr>
        <w:t>XXX</w:t>
      </w:r>
      <w:r>
        <w:rPr>
          <w:rFonts w:ascii="宋体" w:eastAsia="宋体" w:hAnsi="宋体"/>
          <w:sz w:val="21"/>
          <w:szCs w:val="21"/>
        </w:rPr>
        <w:t>、</w:t>
      </w:r>
      <w:r>
        <w:rPr>
          <w:rFonts w:ascii="宋体" w:eastAsia="宋体" w:hAnsi="宋体" w:hint="eastAsia"/>
          <w:sz w:val="21"/>
          <w:szCs w:val="21"/>
        </w:rPr>
        <w:t>XXX</w:t>
      </w:r>
      <w:r>
        <w:rPr>
          <w:rFonts w:ascii="宋体" w:eastAsia="宋体" w:hAnsi="宋体"/>
          <w:sz w:val="21"/>
          <w:szCs w:val="21"/>
        </w:rPr>
        <w:t>、</w:t>
      </w:r>
      <w:r>
        <w:rPr>
          <w:rFonts w:ascii="宋体" w:eastAsia="宋体" w:hAnsi="宋体" w:hint="eastAsia"/>
          <w:sz w:val="21"/>
          <w:szCs w:val="21"/>
        </w:rPr>
        <w:t>XXX</w:t>
      </w:r>
      <w:r>
        <w:rPr>
          <w:rFonts w:ascii="宋体" w:eastAsia="宋体" w:hAnsi="宋体"/>
          <w:sz w:val="21"/>
          <w:szCs w:val="21"/>
        </w:rPr>
        <w:t>、</w:t>
      </w:r>
      <w:r>
        <w:rPr>
          <w:rFonts w:ascii="宋体" w:eastAsia="宋体" w:hAnsi="宋体" w:hint="eastAsia"/>
          <w:sz w:val="21"/>
          <w:szCs w:val="21"/>
        </w:rPr>
        <w:t>XXX</w:t>
      </w:r>
      <w:r>
        <w:rPr>
          <w:rFonts w:ascii="宋体" w:eastAsia="宋体" w:hAnsi="宋体"/>
          <w:sz w:val="21"/>
          <w:szCs w:val="21"/>
        </w:rPr>
        <w:t>、</w:t>
      </w:r>
      <w:r>
        <w:rPr>
          <w:rFonts w:ascii="宋体" w:eastAsia="宋体" w:hAnsi="宋体" w:hint="eastAsia"/>
          <w:sz w:val="21"/>
          <w:szCs w:val="21"/>
        </w:rPr>
        <w:t>XXX</w:t>
      </w:r>
      <w:r>
        <w:rPr>
          <w:rFonts w:ascii="宋体" w:eastAsia="宋体" w:hAnsi="宋体"/>
          <w:sz w:val="21"/>
          <w:szCs w:val="21"/>
        </w:rPr>
        <w:t>、</w:t>
      </w:r>
      <w:r>
        <w:rPr>
          <w:rFonts w:ascii="宋体" w:eastAsia="宋体" w:hAnsi="宋体" w:hint="eastAsia"/>
          <w:sz w:val="21"/>
          <w:szCs w:val="21"/>
        </w:rPr>
        <w:t>XXX</w:t>
      </w:r>
      <w:r>
        <w:rPr>
          <w:rFonts w:ascii="宋体" w:eastAsia="宋体" w:hAnsi="宋体"/>
          <w:sz w:val="21"/>
          <w:szCs w:val="21"/>
        </w:rPr>
        <w:t>。</w:t>
      </w:r>
    </w:p>
    <w:p w:rsidR="00F50F70" w:rsidRDefault="00F50F70">
      <w:pPr>
        <w:pStyle w:val="Bodytext1"/>
        <w:spacing w:line="313" w:lineRule="exact"/>
        <w:ind w:firstLine="420"/>
        <w:rPr>
          <w:rFonts w:ascii="宋体" w:eastAsia="宋体" w:hAnsi="宋体"/>
          <w:sz w:val="21"/>
          <w:szCs w:val="21"/>
        </w:rPr>
        <w:sectPr w:rsidR="00F50F70">
          <w:headerReference w:type="default" r:id="rId10"/>
          <w:footerReference w:type="default" r:id="rId11"/>
          <w:pgSz w:w="11906" w:h="16838"/>
          <w:pgMar w:top="567" w:right="1134" w:bottom="1134" w:left="1418" w:header="1418" w:footer="1134" w:gutter="0"/>
          <w:pgNumType w:fmt="upperRoman" w:start="1"/>
          <w:cols w:space="425"/>
          <w:formProt w:val="0"/>
          <w:docGrid w:type="lines" w:linePitch="312"/>
        </w:sectPr>
      </w:pPr>
    </w:p>
    <w:p w:rsidR="00F50F70" w:rsidRDefault="00ED0960">
      <w:pPr>
        <w:pStyle w:val="a4"/>
        <w:numPr>
          <w:ilvl w:val="0"/>
          <w:numId w:val="0"/>
        </w:numPr>
        <w:spacing w:before="312" w:after="312"/>
        <w:jc w:val="center"/>
        <w:rPr>
          <w:sz w:val="32"/>
        </w:rPr>
      </w:pPr>
      <w:bookmarkStart w:id="10" w:name="_Toc34064617"/>
      <w:bookmarkStart w:id="11" w:name="_Toc34064675"/>
      <w:r>
        <w:rPr>
          <w:rFonts w:hint="eastAsia"/>
          <w:sz w:val="32"/>
        </w:rPr>
        <w:lastRenderedPageBreak/>
        <w:t>速冻南瓜饼</w:t>
      </w:r>
    </w:p>
    <w:p w:rsidR="00F50F70" w:rsidRDefault="00ED0960">
      <w:pPr>
        <w:pStyle w:val="a4"/>
        <w:spacing w:before="312" w:after="312"/>
        <w:rPr>
          <w:szCs w:val="22"/>
        </w:rPr>
      </w:pPr>
      <w:r>
        <w:rPr>
          <w:rFonts w:hint="eastAsia"/>
          <w:szCs w:val="22"/>
        </w:rPr>
        <w:t>范围</w:t>
      </w:r>
      <w:bookmarkEnd w:id="10"/>
      <w:bookmarkEnd w:id="11"/>
    </w:p>
    <w:p w:rsidR="00F50F70" w:rsidRDefault="00ED0960">
      <w:pPr>
        <w:pStyle w:val="affc"/>
      </w:pPr>
      <w:r>
        <w:t>本</w:t>
      </w:r>
      <w:r>
        <w:rPr>
          <w:rFonts w:hint="eastAsia"/>
        </w:rPr>
        <w:t>文件</w:t>
      </w:r>
      <w:r>
        <w:t>规定了</w:t>
      </w:r>
      <w:r>
        <w:rPr>
          <w:rFonts w:hint="eastAsia"/>
        </w:rPr>
        <w:t>速冻南瓜饼</w:t>
      </w:r>
      <w:r>
        <w:t>的</w:t>
      </w:r>
      <w:r>
        <w:rPr>
          <w:rFonts w:hint="eastAsia"/>
        </w:rPr>
        <w:t>术语和定义、</w:t>
      </w:r>
      <w:r>
        <w:rPr>
          <w:rFonts w:hint="eastAsia"/>
        </w:rPr>
        <w:t>分类、技术要求、生产加工卫生要求、试验方法、检验规则、标签、标志和包装、运输和贮存、销售、召回方面的要求。</w:t>
      </w:r>
    </w:p>
    <w:p w:rsidR="00F50F70" w:rsidRDefault="00ED0960">
      <w:pPr>
        <w:pStyle w:val="affc"/>
      </w:pPr>
      <w:r>
        <w:t>本</w:t>
      </w:r>
      <w:r>
        <w:rPr>
          <w:rFonts w:hint="eastAsia"/>
        </w:rPr>
        <w:t>文件</w:t>
      </w:r>
      <w:r>
        <w:t>适用于</w:t>
      </w:r>
      <w:r>
        <w:rPr>
          <w:rFonts w:hint="eastAsia"/>
        </w:rPr>
        <w:t>速冻南瓜饼的生产、检验和销售。</w:t>
      </w:r>
    </w:p>
    <w:p w:rsidR="00F50F70" w:rsidRDefault="00ED0960">
      <w:pPr>
        <w:pStyle w:val="a4"/>
        <w:spacing w:before="312" w:after="312"/>
        <w:rPr>
          <w:szCs w:val="22"/>
        </w:rPr>
      </w:pPr>
      <w:bookmarkStart w:id="12" w:name="_Toc34064676"/>
      <w:bookmarkStart w:id="13" w:name="_Toc34064618"/>
      <w:r>
        <w:rPr>
          <w:rFonts w:hint="eastAsia"/>
          <w:szCs w:val="22"/>
        </w:rPr>
        <w:t>规范性引用文件</w:t>
      </w:r>
      <w:bookmarkEnd w:id="12"/>
      <w:bookmarkEnd w:id="13"/>
    </w:p>
    <w:p w:rsidR="00F50F70" w:rsidRDefault="00ED0960">
      <w:pPr>
        <w:pStyle w:val="affc"/>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F50F70" w:rsidRDefault="00ED0960">
      <w:pPr>
        <w:pStyle w:val="affc"/>
      </w:pPr>
      <w:r>
        <w:rPr>
          <w:rFonts w:hint="eastAsia"/>
        </w:rPr>
        <w:t xml:space="preserve">GB/T 191 </w:t>
      </w:r>
      <w:r>
        <w:rPr>
          <w:rFonts w:hint="eastAsia"/>
        </w:rPr>
        <w:t>包装储运图示标志</w:t>
      </w:r>
      <w:r>
        <w:rPr>
          <w:rFonts w:hint="eastAsia"/>
        </w:rPr>
        <w:t xml:space="preserve"> </w:t>
      </w:r>
    </w:p>
    <w:p w:rsidR="00F50F70" w:rsidRDefault="00ED0960">
      <w:pPr>
        <w:pStyle w:val="affc"/>
      </w:pPr>
      <w:r>
        <w:rPr>
          <w:rFonts w:hint="eastAsia"/>
        </w:rPr>
        <w:t xml:space="preserve">GB/T 317 </w:t>
      </w:r>
      <w:r>
        <w:rPr>
          <w:rFonts w:hint="eastAsia"/>
        </w:rPr>
        <w:t>白砂糖</w:t>
      </w:r>
      <w:r>
        <w:rPr>
          <w:rFonts w:hint="eastAsia"/>
        </w:rPr>
        <w:t xml:space="preserve"> </w:t>
      </w:r>
    </w:p>
    <w:p w:rsidR="00F50F70" w:rsidRDefault="00ED0960">
      <w:pPr>
        <w:pStyle w:val="affc"/>
      </w:pPr>
      <w:r>
        <w:rPr>
          <w:rFonts w:hint="eastAsia"/>
        </w:rPr>
        <w:t xml:space="preserve">GB 2716 </w:t>
      </w:r>
      <w:r>
        <w:rPr>
          <w:rFonts w:hint="eastAsia"/>
        </w:rPr>
        <w:t>食品安全国家标准</w:t>
      </w:r>
      <w:r>
        <w:rPr>
          <w:rFonts w:hint="eastAsia"/>
        </w:rPr>
        <w:t xml:space="preserve"> </w:t>
      </w:r>
      <w:r>
        <w:rPr>
          <w:rFonts w:hint="eastAsia"/>
        </w:rPr>
        <w:t>植物油</w:t>
      </w:r>
    </w:p>
    <w:p w:rsidR="00F50F70" w:rsidRDefault="00ED0960">
      <w:pPr>
        <w:pStyle w:val="affc"/>
      </w:pPr>
      <w:r>
        <w:rPr>
          <w:rFonts w:hint="eastAsia"/>
        </w:rPr>
        <w:t xml:space="preserve">GB 2760 </w:t>
      </w:r>
      <w:r>
        <w:rPr>
          <w:rFonts w:hint="eastAsia"/>
        </w:rPr>
        <w:t>食品安全国家标准</w:t>
      </w:r>
      <w:r>
        <w:rPr>
          <w:rFonts w:hint="eastAsia"/>
        </w:rPr>
        <w:t xml:space="preserve"> </w:t>
      </w:r>
      <w:r>
        <w:rPr>
          <w:rFonts w:hint="eastAsia"/>
        </w:rPr>
        <w:t>食品添加剂使用标准</w:t>
      </w:r>
    </w:p>
    <w:p w:rsidR="00F50F70" w:rsidRDefault="00ED0960">
      <w:pPr>
        <w:pStyle w:val="affc"/>
      </w:pPr>
      <w:r>
        <w:rPr>
          <w:rFonts w:hint="eastAsia"/>
        </w:rPr>
        <w:t xml:space="preserve">GB 2762 </w:t>
      </w:r>
      <w:r>
        <w:rPr>
          <w:rFonts w:hint="eastAsia"/>
        </w:rPr>
        <w:t>食品安全国家标准</w:t>
      </w:r>
      <w:r>
        <w:rPr>
          <w:rFonts w:hint="eastAsia"/>
        </w:rPr>
        <w:t xml:space="preserve"> </w:t>
      </w:r>
      <w:r>
        <w:rPr>
          <w:rFonts w:hint="eastAsia"/>
        </w:rPr>
        <w:t>食品中污染物限量</w:t>
      </w:r>
    </w:p>
    <w:p w:rsidR="00F50F70" w:rsidRDefault="00ED0960">
      <w:pPr>
        <w:pStyle w:val="affc"/>
      </w:pPr>
      <w:r>
        <w:t>GB 4481.1</w:t>
      </w:r>
      <w:r>
        <w:t>食品安全国家标准</w:t>
      </w:r>
      <w:r>
        <w:t xml:space="preserve"> </w:t>
      </w:r>
      <w:r>
        <w:t>食品添加剂</w:t>
      </w:r>
      <w:r>
        <w:t xml:space="preserve"> </w:t>
      </w:r>
      <w:r>
        <w:t>柠檬黄</w:t>
      </w:r>
      <w:r>
        <w:t xml:space="preserve"> </w:t>
      </w:r>
    </w:p>
    <w:p w:rsidR="00F50F70" w:rsidRDefault="00ED0960">
      <w:pPr>
        <w:pStyle w:val="affc"/>
      </w:pPr>
      <w:r>
        <w:rPr>
          <w:rFonts w:hint="eastAsia"/>
        </w:rPr>
        <w:t xml:space="preserve">GB 4806.7 </w:t>
      </w:r>
      <w:r>
        <w:rPr>
          <w:rFonts w:hint="eastAsia"/>
        </w:rPr>
        <w:t>食品安全国家标准</w:t>
      </w:r>
      <w:r>
        <w:rPr>
          <w:rFonts w:hint="eastAsia"/>
        </w:rPr>
        <w:t xml:space="preserve"> </w:t>
      </w:r>
      <w:r>
        <w:rPr>
          <w:rFonts w:hint="eastAsia"/>
        </w:rPr>
        <w:t>食品接触用塑料材</w:t>
      </w:r>
      <w:r>
        <w:rPr>
          <w:rFonts w:hint="eastAsia"/>
        </w:rPr>
        <w:t>料及制品</w:t>
      </w:r>
    </w:p>
    <w:p w:rsidR="00F50F70" w:rsidRDefault="00ED0960">
      <w:pPr>
        <w:pStyle w:val="affc"/>
      </w:pPr>
      <w:r>
        <w:rPr>
          <w:rFonts w:hint="eastAsia"/>
        </w:rPr>
        <w:t xml:space="preserve">GB 5009.3 </w:t>
      </w:r>
      <w:r>
        <w:rPr>
          <w:rFonts w:hint="eastAsia"/>
        </w:rPr>
        <w:t>食品安全国家标准</w:t>
      </w:r>
      <w:r>
        <w:rPr>
          <w:rFonts w:hint="eastAsia"/>
        </w:rPr>
        <w:t xml:space="preserve"> </w:t>
      </w:r>
      <w:r>
        <w:rPr>
          <w:rFonts w:hint="eastAsia"/>
        </w:rPr>
        <w:t>食品中水分的测定</w:t>
      </w:r>
      <w:r>
        <w:rPr>
          <w:rFonts w:hint="eastAsia"/>
        </w:rPr>
        <w:t xml:space="preserve"> </w:t>
      </w:r>
    </w:p>
    <w:p w:rsidR="00F50F70" w:rsidRDefault="00ED0960">
      <w:pPr>
        <w:pStyle w:val="affc"/>
      </w:pPr>
      <w:r>
        <w:rPr>
          <w:rFonts w:hint="eastAsia"/>
        </w:rPr>
        <w:t xml:space="preserve">GB 5009.5 </w:t>
      </w:r>
      <w:r>
        <w:rPr>
          <w:rFonts w:hint="eastAsia"/>
        </w:rPr>
        <w:t>食品安全国家标准</w:t>
      </w:r>
      <w:r>
        <w:rPr>
          <w:rFonts w:hint="eastAsia"/>
        </w:rPr>
        <w:t xml:space="preserve"> </w:t>
      </w:r>
      <w:r>
        <w:rPr>
          <w:rFonts w:hint="eastAsia"/>
        </w:rPr>
        <w:t>食品中蛋白质的测定</w:t>
      </w:r>
      <w:r>
        <w:rPr>
          <w:rFonts w:hint="eastAsia"/>
        </w:rPr>
        <w:t xml:space="preserve"> </w:t>
      </w:r>
    </w:p>
    <w:p w:rsidR="00F50F70" w:rsidRDefault="00ED0960">
      <w:pPr>
        <w:pStyle w:val="affc"/>
      </w:pPr>
      <w:r>
        <w:rPr>
          <w:rFonts w:hint="eastAsia"/>
        </w:rPr>
        <w:t xml:space="preserve">GB 5009.227 </w:t>
      </w:r>
      <w:r>
        <w:rPr>
          <w:rFonts w:hint="eastAsia"/>
        </w:rPr>
        <w:t>食品安全国家标准</w:t>
      </w:r>
      <w:r>
        <w:rPr>
          <w:rFonts w:hint="eastAsia"/>
        </w:rPr>
        <w:t xml:space="preserve"> </w:t>
      </w:r>
      <w:r>
        <w:rPr>
          <w:rFonts w:hint="eastAsia"/>
        </w:rPr>
        <w:t>食品中过氧化值的测定</w:t>
      </w:r>
    </w:p>
    <w:p w:rsidR="00F50F70" w:rsidRDefault="00ED0960">
      <w:pPr>
        <w:pStyle w:val="affc"/>
      </w:pPr>
      <w:r>
        <w:rPr>
          <w:rFonts w:hint="eastAsia"/>
        </w:rPr>
        <w:t xml:space="preserve">GB/T 5737 </w:t>
      </w:r>
      <w:r>
        <w:rPr>
          <w:rFonts w:hint="eastAsia"/>
        </w:rPr>
        <w:t>食品塑料周转箱</w:t>
      </w:r>
    </w:p>
    <w:p w:rsidR="00F50F70" w:rsidRDefault="00ED0960">
      <w:pPr>
        <w:pStyle w:val="affc"/>
      </w:pPr>
      <w:r>
        <w:rPr>
          <w:rFonts w:hint="eastAsia"/>
        </w:rPr>
        <w:t>GB 5749</w:t>
      </w:r>
      <w:r>
        <w:rPr>
          <w:rFonts w:hint="eastAsia"/>
        </w:rPr>
        <w:t>生活饮用水卫生标准</w:t>
      </w:r>
    </w:p>
    <w:p w:rsidR="00F50F70" w:rsidRDefault="00ED0960">
      <w:pPr>
        <w:pStyle w:val="affc"/>
      </w:pPr>
      <w:r>
        <w:rPr>
          <w:rFonts w:hint="eastAsia"/>
        </w:rPr>
        <w:t xml:space="preserve">GB 6227.1 </w:t>
      </w:r>
      <w:r>
        <w:rPr>
          <w:rFonts w:hint="eastAsia"/>
        </w:rPr>
        <w:t>食品安全国家标准</w:t>
      </w:r>
      <w:r>
        <w:rPr>
          <w:rFonts w:hint="eastAsia"/>
        </w:rPr>
        <w:t xml:space="preserve"> </w:t>
      </w:r>
      <w:r>
        <w:rPr>
          <w:rFonts w:hint="eastAsia"/>
        </w:rPr>
        <w:t>食品添加剂</w:t>
      </w:r>
      <w:r>
        <w:rPr>
          <w:rFonts w:hint="eastAsia"/>
        </w:rPr>
        <w:t xml:space="preserve"> </w:t>
      </w:r>
      <w:r>
        <w:rPr>
          <w:rFonts w:hint="eastAsia"/>
        </w:rPr>
        <w:t>日落黄</w:t>
      </w:r>
      <w:r>
        <w:rPr>
          <w:rFonts w:hint="eastAsia"/>
        </w:rPr>
        <w:t xml:space="preserve"> </w:t>
      </w:r>
    </w:p>
    <w:p w:rsidR="00F50F70" w:rsidRDefault="00ED0960">
      <w:pPr>
        <w:pStyle w:val="affc"/>
      </w:pPr>
      <w:r>
        <w:rPr>
          <w:rFonts w:hint="eastAsia"/>
        </w:rPr>
        <w:t xml:space="preserve">GB 7718 </w:t>
      </w:r>
      <w:r>
        <w:rPr>
          <w:rFonts w:hint="eastAsia"/>
        </w:rPr>
        <w:t>食品安全国家标准</w:t>
      </w:r>
      <w:r>
        <w:rPr>
          <w:rFonts w:hint="eastAsia"/>
        </w:rPr>
        <w:t xml:space="preserve"> </w:t>
      </w:r>
      <w:r>
        <w:rPr>
          <w:rFonts w:hint="eastAsia"/>
        </w:rPr>
        <w:t>预包装食品标签通则</w:t>
      </w:r>
      <w:r>
        <w:rPr>
          <w:rFonts w:hint="eastAsia"/>
        </w:rPr>
        <w:t xml:space="preserve"> </w:t>
      </w:r>
    </w:p>
    <w:p w:rsidR="00F50F70" w:rsidRDefault="00ED0960">
      <w:pPr>
        <w:pStyle w:val="affc"/>
      </w:pPr>
      <w:r>
        <w:rPr>
          <w:rFonts w:hint="eastAsia"/>
        </w:rPr>
        <w:t xml:space="preserve">GB 14880 </w:t>
      </w:r>
      <w:r>
        <w:rPr>
          <w:rFonts w:hint="eastAsia"/>
        </w:rPr>
        <w:t>食品安全国家标准</w:t>
      </w:r>
      <w:r>
        <w:rPr>
          <w:rFonts w:hint="eastAsia"/>
        </w:rPr>
        <w:t xml:space="preserve"> </w:t>
      </w:r>
      <w:r>
        <w:rPr>
          <w:rFonts w:hint="eastAsia"/>
        </w:rPr>
        <w:t>食品营养强化剂使用标准</w:t>
      </w:r>
    </w:p>
    <w:p w:rsidR="00F50F70" w:rsidRDefault="00ED0960">
      <w:pPr>
        <w:pStyle w:val="affc"/>
      </w:pPr>
      <w:r>
        <w:rPr>
          <w:rFonts w:hint="eastAsia"/>
        </w:rPr>
        <w:t xml:space="preserve">GB 19295 </w:t>
      </w:r>
      <w:r>
        <w:rPr>
          <w:rFonts w:hint="eastAsia"/>
        </w:rPr>
        <w:t>食品安全国家标准</w:t>
      </w:r>
      <w:r>
        <w:rPr>
          <w:rFonts w:hint="eastAsia"/>
        </w:rPr>
        <w:t xml:space="preserve"> </w:t>
      </w:r>
      <w:r>
        <w:rPr>
          <w:rFonts w:hint="eastAsia"/>
        </w:rPr>
        <w:t>速冻面米制品</w:t>
      </w:r>
      <w:r>
        <w:rPr>
          <w:rFonts w:hint="eastAsia"/>
        </w:rPr>
        <w:t xml:space="preserve">  </w:t>
      </w:r>
    </w:p>
    <w:p w:rsidR="00F50F70" w:rsidRDefault="00ED0960">
      <w:pPr>
        <w:pStyle w:val="affc"/>
      </w:pPr>
      <w:r>
        <w:rPr>
          <w:rFonts w:hint="eastAsia"/>
        </w:rPr>
        <w:t>GB/T 20977</w:t>
      </w:r>
      <w:r>
        <w:rPr>
          <w:rFonts w:hint="eastAsia"/>
        </w:rPr>
        <w:t xml:space="preserve"> </w:t>
      </w:r>
      <w:r>
        <w:rPr>
          <w:rFonts w:hint="eastAsia"/>
        </w:rPr>
        <w:t>糕点通则</w:t>
      </w:r>
    </w:p>
    <w:p w:rsidR="00F50F70" w:rsidRDefault="00ED0960">
      <w:pPr>
        <w:pStyle w:val="affc"/>
      </w:pPr>
      <w:r>
        <w:rPr>
          <w:rFonts w:hint="eastAsia"/>
        </w:rPr>
        <w:t xml:space="preserve">GB/T 23780 </w:t>
      </w:r>
      <w:r>
        <w:rPr>
          <w:rFonts w:hint="eastAsia"/>
        </w:rPr>
        <w:t>糕点质量检验方法</w:t>
      </w:r>
      <w:r>
        <w:rPr>
          <w:rFonts w:hint="eastAsia"/>
        </w:rPr>
        <w:t xml:space="preserve">  </w:t>
      </w:r>
    </w:p>
    <w:p w:rsidR="00F50F70" w:rsidRDefault="00ED0960">
      <w:pPr>
        <w:pStyle w:val="affc"/>
      </w:pPr>
      <w:r>
        <w:rPr>
          <w:rFonts w:hint="eastAsia"/>
        </w:rPr>
        <w:t xml:space="preserve">GB 28050 </w:t>
      </w:r>
      <w:r>
        <w:rPr>
          <w:rFonts w:hint="eastAsia"/>
        </w:rPr>
        <w:t>食品安全国家标准</w:t>
      </w:r>
      <w:r>
        <w:rPr>
          <w:rFonts w:hint="eastAsia"/>
        </w:rPr>
        <w:t xml:space="preserve"> </w:t>
      </w:r>
      <w:r>
        <w:rPr>
          <w:rFonts w:hint="eastAsia"/>
        </w:rPr>
        <w:t>预包装食品营养标签通则</w:t>
      </w:r>
      <w:r>
        <w:rPr>
          <w:rFonts w:hint="eastAsia"/>
        </w:rPr>
        <w:t xml:space="preserve"> </w:t>
      </w:r>
    </w:p>
    <w:p w:rsidR="00F50F70" w:rsidRDefault="00ED0960">
      <w:pPr>
        <w:pStyle w:val="affc"/>
      </w:pPr>
      <w:r>
        <w:rPr>
          <w:rFonts w:hint="eastAsia"/>
        </w:rPr>
        <w:t xml:space="preserve">GB 31646 </w:t>
      </w:r>
      <w:r>
        <w:rPr>
          <w:rFonts w:hint="eastAsia"/>
        </w:rPr>
        <w:t>食品安全国家标准</w:t>
      </w:r>
      <w:r>
        <w:rPr>
          <w:rFonts w:hint="eastAsia"/>
        </w:rPr>
        <w:t xml:space="preserve"> </w:t>
      </w:r>
      <w:r>
        <w:rPr>
          <w:rFonts w:hint="eastAsia"/>
        </w:rPr>
        <w:t>速冻食品生产和经营卫生规范</w:t>
      </w:r>
      <w:r>
        <w:rPr>
          <w:rFonts w:hint="eastAsia"/>
        </w:rPr>
        <w:t xml:space="preserve"> </w:t>
      </w:r>
    </w:p>
    <w:p w:rsidR="00F50F70" w:rsidRDefault="00ED0960">
      <w:pPr>
        <w:pStyle w:val="affc"/>
      </w:pPr>
      <w:r>
        <w:rPr>
          <w:rFonts w:hint="eastAsia"/>
        </w:rPr>
        <w:t xml:space="preserve">JJF 1070 </w:t>
      </w:r>
      <w:r>
        <w:rPr>
          <w:rFonts w:hint="eastAsia"/>
        </w:rPr>
        <w:t>定量包装商品净含量计量检验规则</w:t>
      </w:r>
    </w:p>
    <w:p w:rsidR="00F50F70" w:rsidRDefault="00ED0960">
      <w:pPr>
        <w:pStyle w:val="affc"/>
      </w:pPr>
      <w:r>
        <w:rPr>
          <w:rFonts w:hint="eastAsia"/>
        </w:rPr>
        <w:t>国家质量监督检验检疫总局令</w:t>
      </w:r>
      <w:r>
        <w:rPr>
          <w:rFonts w:hint="eastAsia"/>
        </w:rPr>
        <w:t>[2005]</w:t>
      </w:r>
      <w:r>
        <w:rPr>
          <w:rFonts w:hint="eastAsia"/>
        </w:rPr>
        <w:t>第</w:t>
      </w:r>
      <w:r>
        <w:rPr>
          <w:rFonts w:hint="eastAsia"/>
        </w:rPr>
        <w:t>75</w:t>
      </w:r>
      <w:r>
        <w:rPr>
          <w:rFonts w:hint="eastAsia"/>
        </w:rPr>
        <w:t>号定量包装商品计量监督管理办法</w:t>
      </w:r>
    </w:p>
    <w:p w:rsidR="00F50F70" w:rsidRDefault="00ED0960">
      <w:pPr>
        <w:pStyle w:val="a4"/>
        <w:spacing w:before="312" w:after="312"/>
        <w:rPr>
          <w:szCs w:val="22"/>
        </w:rPr>
      </w:pPr>
      <w:r>
        <w:rPr>
          <w:rFonts w:hint="eastAsia"/>
          <w:szCs w:val="22"/>
        </w:rPr>
        <w:t>术语和定义</w:t>
      </w:r>
    </w:p>
    <w:p w:rsidR="00F50F70" w:rsidRDefault="00ED0960" w:rsidP="00614B47">
      <w:pPr>
        <w:pStyle w:val="a4"/>
        <w:numPr>
          <w:ilvl w:val="0"/>
          <w:numId w:val="0"/>
        </w:numPr>
        <w:spacing w:beforeLines="50" w:afterLines="50"/>
        <w:ind w:firstLineChars="200" w:firstLine="420"/>
      </w:pPr>
      <w:bookmarkStart w:id="14" w:name="_Toc34064678"/>
      <w:bookmarkStart w:id="15" w:name="_Toc34064620"/>
      <w:r>
        <w:rPr>
          <w:rFonts w:ascii="宋体" w:eastAsia="宋体"/>
        </w:rPr>
        <w:t>下列术语和定义适用于本文件。</w:t>
      </w:r>
      <w:bookmarkStart w:id="16" w:name="_Toc34064679"/>
      <w:bookmarkStart w:id="17" w:name="_Toc34064621"/>
      <w:bookmarkEnd w:id="14"/>
      <w:bookmarkEnd w:id="15"/>
      <w:bookmarkEnd w:id="16"/>
      <w:bookmarkEnd w:id="17"/>
    </w:p>
    <w:p w:rsidR="00F50F70" w:rsidRDefault="00F50F70">
      <w:pPr>
        <w:pStyle w:val="a5"/>
        <w:spacing w:before="156" w:after="156"/>
      </w:pPr>
    </w:p>
    <w:p w:rsidR="00F50F70" w:rsidRDefault="00ED0960">
      <w:pPr>
        <w:pStyle w:val="a5"/>
        <w:numPr>
          <w:ilvl w:val="1"/>
          <w:numId w:val="0"/>
        </w:numPr>
        <w:spacing w:before="156" w:after="156"/>
        <w:ind w:firstLineChars="200" w:firstLine="420"/>
      </w:pPr>
      <w:r>
        <w:rPr>
          <w:rFonts w:hint="eastAsia"/>
        </w:rPr>
        <w:lastRenderedPageBreak/>
        <w:t>速冻</w:t>
      </w:r>
      <w:r>
        <w:rPr>
          <w:rFonts w:hint="eastAsia"/>
        </w:rPr>
        <w:t xml:space="preserve">  </w:t>
      </w:r>
      <w:r>
        <w:rPr>
          <w:rFonts w:ascii="Times New Roman"/>
        </w:rPr>
        <w:t>quickfrozen</w:t>
      </w:r>
    </w:p>
    <w:p w:rsidR="00F50F70" w:rsidRDefault="00ED0960">
      <w:pPr>
        <w:pStyle w:val="a5"/>
        <w:numPr>
          <w:ilvl w:val="0"/>
          <w:numId w:val="0"/>
        </w:numPr>
        <w:spacing w:before="156" w:after="156"/>
        <w:ind w:firstLineChars="200" w:firstLine="420"/>
      </w:pPr>
      <w:bookmarkStart w:id="18" w:name="_Toc34064682"/>
      <w:bookmarkStart w:id="19" w:name="_Toc34064624"/>
      <w:bookmarkEnd w:id="18"/>
      <w:bookmarkEnd w:id="19"/>
      <w:r>
        <w:rPr>
          <w:rFonts w:ascii="宋体" w:eastAsia="宋体" w:hint="eastAsia"/>
        </w:rPr>
        <w:t>在低温环境内，使产品迅速通过最大冰晶区域，当其中心温度达到</w:t>
      </w:r>
      <w:r>
        <w:rPr>
          <w:rFonts w:ascii="宋体" w:eastAsia="宋体" w:hint="eastAsia"/>
        </w:rPr>
        <w:t>-18</w:t>
      </w:r>
      <w:r>
        <w:rPr>
          <w:rFonts w:ascii="宋体" w:eastAsia="宋体" w:hint="eastAsia"/>
        </w:rPr>
        <w:t>℃时，完成冻结加工的冻结方法。</w:t>
      </w:r>
    </w:p>
    <w:p w:rsidR="00F50F70" w:rsidRDefault="00F50F70">
      <w:pPr>
        <w:pStyle w:val="a5"/>
        <w:spacing w:before="156" w:after="156"/>
      </w:pPr>
    </w:p>
    <w:p w:rsidR="00F50F70" w:rsidRDefault="00ED0960">
      <w:pPr>
        <w:pStyle w:val="a5"/>
        <w:numPr>
          <w:ilvl w:val="1"/>
          <w:numId w:val="0"/>
        </w:numPr>
        <w:spacing w:before="156" w:after="156"/>
        <w:ind w:firstLineChars="200" w:firstLine="420"/>
        <w:rPr>
          <w:rFonts w:ascii="Times New Roman"/>
        </w:rPr>
      </w:pPr>
      <w:r>
        <w:rPr>
          <w:rFonts w:hint="eastAsia"/>
        </w:rPr>
        <w:t>速冻南瓜饼</w:t>
      </w:r>
      <w:r>
        <w:rPr>
          <w:rFonts w:ascii="Times New Roman"/>
        </w:rPr>
        <w:t xml:space="preserve">quick </w:t>
      </w:r>
      <w:r>
        <w:rPr>
          <w:rFonts w:ascii="Times New Roman"/>
        </w:rPr>
        <w:t>frozen pumpkin pie</w:t>
      </w:r>
    </w:p>
    <w:p w:rsidR="00F50F70" w:rsidRDefault="00ED0960">
      <w:pPr>
        <w:pStyle w:val="affc"/>
        <w:rPr>
          <w:szCs w:val="21"/>
        </w:rPr>
      </w:pPr>
      <w:r>
        <w:rPr>
          <w:rFonts w:hint="eastAsia"/>
          <w:szCs w:val="21"/>
        </w:rPr>
        <w:t>以糯米粉</w:t>
      </w:r>
      <w:r>
        <w:rPr>
          <w:rFonts w:hint="eastAsia"/>
          <w:szCs w:val="21"/>
        </w:rPr>
        <w:t>、</w:t>
      </w:r>
      <w:r>
        <w:rPr>
          <w:rFonts w:hint="eastAsia"/>
          <w:szCs w:val="21"/>
        </w:rPr>
        <w:t>南瓜和饮用水为主要原料，以白砂糖等作为辅料，经预处理、配料、打皮、包馅（或不包馅）、成型、裹屑（或不裹屑）、速冻、包装等工艺制成的</w:t>
      </w:r>
      <w:r>
        <w:rPr>
          <w:rFonts w:hint="eastAsia"/>
          <w:szCs w:val="21"/>
        </w:rPr>
        <w:t>生制</w:t>
      </w:r>
      <w:r>
        <w:rPr>
          <w:rFonts w:hint="eastAsia"/>
          <w:szCs w:val="21"/>
        </w:rPr>
        <w:t>南瓜饼。</w:t>
      </w:r>
    </w:p>
    <w:p w:rsidR="00F50F70" w:rsidRDefault="00ED0960">
      <w:pPr>
        <w:pStyle w:val="a4"/>
        <w:spacing w:before="312" w:after="312"/>
        <w:rPr>
          <w:szCs w:val="22"/>
        </w:rPr>
      </w:pPr>
      <w:r>
        <w:rPr>
          <w:rFonts w:hint="eastAsia"/>
          <w:szCs w:val="22"/>
        </w:rPr>
        <w:t>分类</w:t>
      </w:r>
    </w:p>
    <w:p w:rsidR="00F50F70" w:rsidRDefault="00ED0960">
      <w:pPr>
        <w:pStyle w:val="affffff3"/>
      </w:pPr>
      <w:r>
        <w:rPr>
          <w:rFonts w:hint="eastAsia"/>
        </w:rPr>
        <w:t>有馅类：指有包馅料工艺的速冻南瓜饼。</w:t>
      </w:r>
    </w:p>
    <w:p w:rsidR="00F50F70" w:rsidRDefault="00ED0960">
      <w:pPr>
        <w:pStyle w:val="affffff3"/>
      </w:pPr>
      <w:r>
        <w:rPr>
          <w:rFonts w:hint="eastAsia"/>
        </w:rPr>
        <w:t>无馅类：指没有包馅料工艺的速冻南瓜饼。</w:t>
      </w:r>
    </w:p>
    <w:p w:rsidR="00F50F70" w:rsidRDefault="00ED0960">
      <w:pPr>
        <w:pStyle w:val="a4"/>
        <w:spacing w:before="312" w:after="312"/>
        <w:rPr>
          <w:szCs w:val="22"/>
        </w:rPr>
      </w:pPr>
      <w:r>
        <w:rPr>
          <w:rFonts w:hint="eastAsia"/>
          <w:szCs w:val="22"/>
        </w:rPr>
        <w:t>技术要求</w:t>
      </w:r>
    </w:p>
    <w:p w:rsidR="00F50F70" w:rsidRDefault="00ED0960">
      <w:pPr>
        <w:pStyle w:val="a5"/>
        <w:spacing w:before="156" w:after="156"/>
      </w:pPr>
      <w:r>
        <w:rPr>
          <w:rFonts w:hint="eastAsia"/>
        </w:rPr>
        <w:t>原辅料要求</w:t>
      </w:r>
    </w:p>
    <w:p w:rsidR="00F50F70" w:rsidRDefault="00ED0960">
      <w:pPr>
        <w:pStyle w:val="afff8"/>
      </w:pPr>
      <w:r>
        <w:rPr>
          <w:rFonts w:hint="eastAsia"/>
        </w:rPr>
        <w:t>南瓜应成熟，完好、</w:t>
      </w:r>
      <w:r>
        <w:rPr>
          <w:rFonts w:hint="eastAsia"/>
        </w:rPr>
        <w:t>无霉烂、</w:t>
      </w:r>
      <w:r>
        <w:rPr>
          <w:rFonts w:hint="eastAsia"/>
        </w:rPr>
        <w:t>无病虫害污染。</w:t>
      </w:r>
    </w:p>
    <w:p w:rsidR="00F50F70" w:rsidRDefault="00ED0960">
      <w:pPr>
        <w:pStyle w:val="afff8"/>
      </w:pPr>
      <w:r>
        <w:rPr>
          <w:rFonts w:hint="eastAsia"/>
        </w:rPr>
        <w:t>糯米粉应</w:t>
      </w:r>
      <w:r>
        <w:t>色泽洁白，无发霉变质的现象，无异味。口味嫩滑、细韧、不碜牙。</w:t>
      </w:r>
    </w:p>
    <w:p w:rsidR="00F50F70" w:rsidRDefault="00ED0960">
      <w:pPr>
        <w:pStyle w:val="afff8"/>
      </w:pPr>
      <w:r>
        <w:rPr>
          <w:rFonts w:hint="eastAsia"/>
        </w:rPr>
        <w:t>饮用水应符合</w:t>
      </w:r>
      <w:r>
        <w:rPr>
          <w:rFonts w:hint="eastAsia"/>
        </w:rPr>
        <w:t xml:space="preserve">GB 5749 </w:t>
      </w:r>
      <w:r>
        <w:rPr>
          <w:rFonts w:hint="eastAsia"/>
        </w:rPr>
        <w:t>的规定。</w:t>
      </w:r>
    </w:p>
    <w:p w:rsidR="00F50F70" w:rsidRDefault="00ED0960">
      <w:pPr>
        <w:pStyle w:val="afff8"/>
      </w:pPr>
      <w:r>
        <w:rPr>
          <w:rFonts w:hint="eastAsia"/>
        </w:rPr>
        <w:t>植物油应符合</w:t>
      </w:r>
      <w:r>
        <w:rPr>
          <w:rFonts w:hint="eastAsia"/>
        </w:rPr>
        <w:t xml:space="preserve">GB 2716 </w:t>
      </w:r>
      <w:r>
        <w:rPr>
          <w:rFonts w:hint="eastAsia"/>
        </w:rPr>
        <w:t>的规定。</w:t>
      </w:r>
    </w:p>
    <w:p w:rsidR="00F50F70" w:rsidRDefault="00ED0960">
      <w:pPr>
        <w:pStyle w:val="afff8"/>
      </w:pPr>
      <w:r>
        <w:rPr>
          <w:rFonts w:hint="eastAsia"/>
        </w:rPr>
        <w:t>白砂糖应符合</w:t>
      </w:r>
      <w:r>
        <w:rPr>
          <w:rFonts w:hint="eastAsia"/>
        </w:rPr>
        <w:t xml:space="preserve">GB/T </w:t>
      </w:r>
      <w:r>
        <w:rPr>
          <w:rFonts w:hint="eastAsia"/>
        </w:rPr>
        <w:t xml:space="preserve">317 </w:t>
      </w:r>
      <w:r>
        <w:rPr>
          <w:rFonts w:hint="eastAsia"/>
        </w:rPr>
        <w:t>的规定。</w:t>
      </w:r>
    </w:p>
    <w:p w:rsidR="00F50F70" w:rsidRDefault="00ED0960">
      <w:pPr>
        <w:pStyle w:val="afff8"/>
      </w:pPr>
      <w:r>
        <w:rPr>
          <w:rFonts w:hint="eastAsia"/>
        </w:rPr>
        <w:t>其它原辅料应符合相关国家标准或行业标准的规定。</w:t>
      </w:r>
    </w:p>
    <w:p w:rsidR="00F50F70" w:rsidRDefault="00ED0960">
      <w:pPr>
        <w:pStyle w:val="a5"/>
        <w:spacing w:before="156" w:after="156"/>
      </w:pPr>
      <w:r>
        <w:rPr>
          <w:rFonts w:hint="eastAsia"/>
        </w:rPr>
        <w:t>感官要求</w:t>
      </w:r>
    </w:p>
    <w:p w:rsidR="00F50F70" w:rsidRDefault="00ED0960">
      <w:pPr>
        <w:pStyle w:val="affc"/>
      </w:pPr>
      <w:r>
        <w:rPr>
          <w:rFonts w:hint="eastAsia"/>
        </w:rPr>
        <w:t>感官要求应符合表</w:t>
      </w:r>
      <w:r>
        <w:rPr>
          <w:rFonts w:hint="eastAsia"/>
        </w:rPr>
        <w:t>1</w:t>
      </w:r>
      <w:r>
        <w:rPr>
          <w:rFonts w:hint="eastAsia"/>
        </w:rPr>
        <w:t>的规定。</w:t>
      </w:r>
    </w:p>
    <w:p w:rsidR="00F50F70" w:rsidRDefault="00ED0960">
      <w:pPr>
        <w:pStyle w:val="af7"/>
        <w:spacing w:before="156" w:after="156"/>
      </w:pPr>
      <w:r>
        <w:rPr>
          <w:rFonts w:hint="eastAsia"/>
        </w:rPr>
        <w:t>感官要求</w:t>
      </w:r>
    </w:p>
    <w:tbl>
      <w:tblPr>
        <w:tblW w:w="96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013"/>
        <w:gridCol w:w="3804"/>
        <w:gridCol w:w="3805"/>
      </w:tblGrid>
      <w:tr w:rsidR="00F50F70">
        <w:trPr>
          <w:trHeight w:val="165"/>
          <w:jc w:val="center"/>
        </w:trPr>
        <w:tc>
          <w:tcPr>
            <w:tcW w:w="2013" w:type="dxa"/>
            <w:vMerge w:val="restart"/>
            <w:tcBorders>
              <w:tl2br w:val="nil"/>
              <w:tr2bl w:val="nil"/>
            </w:tcBorders>
            <w:vAlign w:val="center"/>
          </w:tcPr>
          <w:p w:rsidR="00F50F70" w:rsidRDefault="00ED0960">
            <w:pPr>
              <w:pStyle w:val="affc"/>
              <w:spacing w:line="340" w:lineRule="exact"/>
              <w:ind w:firstLineChars="0" w:firstLine="0"/>
              <w:jc w:val="center"/>
              <w:rPr>
                <w:rFonts w:hAnsi="宋体"/>
                <w:szCs w:val="21"/>
              </w:rPr>
            </w:pPr>
            <w:r>
              <w:rPr>
                <w:rFonts w:hAnsi="宋体" w:hint="eastAsia"/>
                <w:szCs w:val="21"/>
              </w:rPr>
              <w:t>项</w:t>
            </w:r>
            <w:r>
              <w:rPr>
                <w:rFonts w:hAnsi="宋体" w:hint="eastAsia"/>
                <w:szCs w:val="21"/>
              </w:rPr>
              <w:t xml:space="preserve">  </w:t>
            </w:r>
            <w:r>
              <w:rPr>
                <w:rFonts w:hAnsi="宋体" w:hint="eastAsia"/>
                <w:szCs w:val="21"/>
              </w:rPr>
              <w:t>目</w:t>
            </w:r>
          </w:p>
        </w:tc>
        <w:tc>
          <w:tcPr>
            <w:tcW w:w="7609" w:type="dxa"/>
            <w:gridSpan w:val="2"/>
            <w:tcBorders>
              <w:tl2br w:val="nil"/>
              <w:tr2bl w:val="nil"/>
            </w:tcBorders>
          </w:tcPr>
          <w:p w:rsidR="00F50F70" w:rsidRDefault="00ED0960">
            <w:pPr>
              <w:pStyle w:val="affc"/>
              <w:spacing w:line="340" w:lineRule="exact"/>
              <w:ind w:firstLineChars="0" w:firstLine="0"/>
              <w:jc w:val="center"/>
              <w:rPr>
                <w:rFonts w:hAnsi="宋体"/>
                <w:szCs w:val="21"/>
              </w:rPr>
            </w:pPr>
            <w:r>
              <w:rPr>
                <w:rFonts w:hAnsi="宋体" w:hint="eastAsia"/>
                <w:szCs w:val="21"/>
              </w:rPr>
              <w:t>指</w:t>
            </w:r>
            <w:r>
              <w:rPr>
                <w:rFonts w:hAnsi="宋体" w:hint="eastAsia"/>
                <w:szCs w:val="21"/>
              </w:rPr>
              <w:t xml:space="preserve">  </w:t>
            </w:r>
            <w:r>
              <w:rPr>
                <w:rFonts w:hAnsi="宋体" w:hint="eastAsia"/>
                <w:szCs w:val="21"/>
              </w:rPr>
              <w:t>标</w:t>
            </w:r>
          </w:p>
        </w:tc>
      </w:tr>
      <w:tr w:rsidR="00F50F70">
        <w:trPr>
          <w:trHeight w:val="165"/>
          <w:jc w:val="center"/>
        </w:trPr>
        <w:tc>
          <w:tcPr>
            <w:tcW w:w="2013" w:type="dxa"/>
            <w:vMerge/>
            <w:tcBorders>
              <w:tl2br w:val="nil"/>
              <w:tr2bl w:val="nil"/>
            </w:tcBorders>
            <w:vAlign w:val="center"/>
          </w:tcPr>
          <w:p w:rsidR="00F50F70" w:rsidRDefault="00F50F70">
            <w:pPr>
              <w:pStyle w:val="affc"/>
              <w:spacing w:line="340" w:lineRule="exact"/>
              <w:ind w:firstLineChars="0" w:firstLine="0"/>
              <w:jc w:val="center"/>
            </w:pPr>
          </w:p>
        </w:tc>
        <w:tc>
          <w:tcPr>
            <w:tcW w:w="3804" w:type="dxa"/>
            <w:tcBorders>
              <w:tl2br w:val="nil"/>
              <w:tr2bl w:val="nil"/>
            </w:tcBorders>
          </w:tcPr>
          <w:p w:rsidR="00F50F70" w:rsidRDefault="00ED0960">
            <w:pPr>
              <w:pStyle w:val="affc"/>
              <w:spacing w:line="340" w:lineRule="exact"/>
              <w:ind w:firstLineChars="0" w:firstLine="0"/>
              <w:jc w:val="center"/>
            </w:pPr>
            <w:r>
              <w:rPr>
                <w:rFonts w:hint="eastAsia"/>
              </w:rPr>
              <w:t>优级</w:t>
            </w:r>
          </w:p>
        </w:tc>
        <w:tc>
          <w:tcPr>
            <w:tcW w:w="3805" w:type="dxa"/>
            <w:tcBorders>
              <w:tl2br w:val="nil"/>
              <w:tr2bl w:val="nil"/>
            </w:tcBorders>
          </w:tcPr>
          <w:p w:rsidR="00F50F70" w:rsidRDefault="00ED0960">
            <w:pPr>
              <w:pStyle w:val="affc"/>
              <w:spacing w:line="340" w:lineRule="exact"/>
              <w:ind w:firstLineChars="0" w:firstLine="0"/>
              <w:jc w:val="center"/>
              <w:rPr>
                <w:rFonts w:hAnsi="宋体"/>
                <w:szCs w:val="21"/>
              </w:rPr>
            </w:pPr>
            <w:r>
              <w:rPr>
                <w:rFonts w:hAnsi="宋体" w:hint="eastAsia"/>
                <w:szCs w:val="21"/>
              </w:rPr>
              <w:t>合格</w:t>
            </w:r>
          </w:p>
        </w:tc>
      </w:tr>
      <w:tr w:rsidR="00F50F70">
        <w:trPr>
          <w:trHeight w:val="256"/>
          <w:jc w:val="center"/>
        </w:trPr>
        <w:tc>
          <w:tcPr>
            <w:tcW w:w="2013" w:type="dxa"/>
            <w:tcBorders>
              <w:tl2br w:val="nil"/>
              <w:tr2bl w:val="nil"/>
            </w:tcBorders>
            <w:vAlign w:val="center"/>
          </w:tcPr>
          <w:p w:rsidR="00F50F70" w:rsidRDefault="00ED0960">
            <w:pPr>
              <w:pStyle w:val="affc"/>
              <w:spacing w:line="340" w:lineRule="exact"/>
              <w:ind w:firstLineChars="0" w:firstLine="0"/>
              <w:jc w:val="center"/>
              <w:rPr>
                <w:rFonts w:hAnsi="宋体"/>
                <w:szCs w:val="21"/>
              </w:rPr>
            </w:pPr>
            <w:r>
              <w:rPr>
                <w:rFonts w:hAnsi="宋体" w:hint="eastAsia"/>
                <w:szCs w:val="21"/>
              </w:rPr>
              <w:t>色泽</w:t>
            </w:r>
          </w:p>
        </w:tc>
        <w:tc>
          <w:tcPr>
            <w:tcW w:w="7609" w:type="dxa"/>
            <w:gridSpan w:val="2"/>
            <w:tcBorders>
              <w:tl2br w:val="nil"/>
              <w:tr2bl w:val="nil"/>
            </w:tcBorders>
            <w:vAlign w:val="center"/>
          </w:tcPr>
          <w:p w:rsidR="00F50F70" w:rsidRDefault="00ED0960">
            <w:pPr>
              <w:pStyle w:val="affc"/>
              <w:spacing w:line="340" w:lineRule="exact"/>
              <w:ind w:firstLineChars="0" w:firstLine="0"/>
              <w:jc w:val="center"/>
              <w:rPr>
                <w:rFonts w:hAnsi="宋体"/>
                <w:szCs w:val="21"/>
              </w:rPr>
            </w:pPr>
            <w:r>
              <w:rPr>
                <w:rFonts w:hAnsi="宋体" w:hint="eastAsia"/>
                <w:szCs w:val="21"/>
              </w:rPr>
              <w:t>呈淡黄色，炸制后呈金黄色、有光泽</w:t>
            </w:r>
          </w:p>
        </w:tc>
      </w:tr>
      <w:tr w:rsidR="00F50F70">
        <w:trPr>
          <w:trHeight w:val="201"/>
          <w:jc w:val="center"/>
        </w:trPr>
        <w:tc>
          <w:tcPr>
            <w:tcW w:w="2013" w:type="dxa"/>
            <w:tcBorders>
              <w:tl2br w:val="nil"/>
              <w:tr2bl w:val="nil"/>
            </w:tcBorders>
            <w:vAlign w:val="center"/>
          </w:tcPr>
          <w:p w:rsidR="00F50F70" w:rsidRDefault="00ED0960">
            <w:pPr>
              <w:pStyle w:val="affc"/>
              <w:spacing w:line="340" w:lineRule="exact"/>
              <w:ind w:firstLineChars="0" w:firstLine="0"/>
              <w:jc w:val="center"/>
              <w:rPr>
                <w:rFonts w:hAnsi="宋体"/>
                <w:szCs w:val="21"/>
              </w:rPr>
            </w:pPr>
            <w:r>
              <w:rPr>
                <w:rFonts w:hAnsi="宋体" w:hint="eastAsia"/>
                <w:szCs w:val="21"/>
              </w:rPr>
              <w:t>气味滋味</w:t>
            </w:r>
          </w:p>
        </w:tc>
        <w:tc>
          <w:tcPr>
            <w:tcW w:w="7609" w:type="dxa"/>
            <w:gridSpan w:val="2"/>
            <w:tcBorders>
              <w:tl2br w:val="nil"/>
              <w:tr2bl w:val="nil"/>
            </w:tcBorders>
            <w:vAlign w:val="center"/>
          </w:tcPr>
          <w:p w:rsidR="00F50F70" w:rsidRDefault="00ED0960">
            <w:pPr>
              <w:pStyle w:val="affc"/>
              <w:spacing w:line="340" w:lineRule="exact"/>
              <w:ind w:firstLineChars="0" w:firstLine="0"/>
              <w:jc w:val="center"/>
              <w:rPr>
                <w:rFonts w:hAnsi="宋体"/>
                <w:szCs w:val="21"/>
              </w:rPr>
            </w:pPr>
            <w:r>
              <w:rPr>
                <w:rFonts w:hAnsi="宋体" w:hint="eastAsia"/>
                <w:szCs w:val="21"/>
              </w:rPr>
              <w:t>具有南瓜应有的气味，香甜可口、无异味</w:t>
            </w:r>
          </w:p>
        </w:tc>
      </w:tr>
      <w:tr w:rsidR="00F50F70">
        <w:trPr>
          <w:trHeight w:val="219"/>
          <w:jc w:val="center"/>
        </w:trPr>
        <w:tc>
          <w:tcPr>
            <w:tcW w:w="2013" w:type="dxa"/>
            <w:tcBorders>
              <w:tl2br w:val="nil"/>
              <w:tr2bl w:val="nil"/>
            </w:tcBorders>
            <w:vAlign w:val="center"/>
          </w:tcPr>
          <w:p w:rsidR="00F50F70" w:rsidRDefault="00ED0960">
            <w:pPr>
              <w:pStyle w:val="affc"/>
              <w:spacing w:line="340" w:lineRule="exact"/>
              <w:ind w:firstLineChars="0" w:firstLine="0"/>
              <w:jc w:val="center"/>
              <w:rPr>
                <w:rFonts w:hAnsi="宋体"/>
                <w:szCs w:val="21"/>
              </w:rPr>
            </w:pPr>
            <w:r>
              <w:rPr>
                <w:rFonts w:hAnsi="宋体" w:hint="eastAsia"/>
                <w:szCs w:val="21"/>
              </w:rPr>
              <w:t>组织状态</w:t>
            </w:r>
          </w:p>
        </w:tc>
        <w:tc>
          <w:tcPr>
            <w:tcW w:w="3804" w:type="dxa"/>
            <w:tcBorders>
              <w:tl2br w:val="nil"/>
              <w:tr2bl w:val="nil"/>
            </w:tcBorders>
            <w:vAlign w:val="center"/>
          </w:tcPr>
          <w:p w:rsidR="00F50F70" w:rsidRDefault="00ED0960">
            <w:pPr>
              <w:pStyle w:val="affc"/>
              <w:spacing w:line="340" w:lineRule="exact"/>
              <w:ind w:firstLineChars="0" w:firstLine="0"/>
              <w:jc w:val="center"/>
              <w:rPr>
                <w:rFonts w:hAnsi="宋体"/>
                <w:szCs w:val="21"/>
              </w:rPr>
            </w:pPr>
            <w:r>
              <w:rPr>
                <w:rFonts w:hAnsi="宋体" w:hint="eastAsia"/>
                <w:szCs w:val="21"/>
              </w:rPr>
              <w:t>无明显结霜、</w:t>
            </w:r>
            <w:r>
              <w:rPr>
                <w:rFonts w:hAnsi="宋体" w:hint="eastAsia"/>
                <w:szCs w:val="21"/>
              </w:rPr>
              <w:t>形状完整</w:t>
            </w:r>
            <w:r>
              <w:rPr>
                <w:rFonts w:hAnsi="宋体" w:hint="eastAsia"/>
                <w:szCs w:val="21"/>
              </w:rPr>
              <w:t>、</w:t>
            </w:r>
            <w:r>
              <w:rPr>
                <w:rFonts w:hAnsi="宋体" w:hint="eastAsia"/>
                <w:szCs w:val="21"/>
              </w:rPr>
              <w:t>表皮无破损</w:t>
            </w:r>
            <w:r>
              <w:rPr>
                <w:rFonts w:hAnsi="宋体" w:hint="eastAsia"/>
                <w:szCs w:val="21"/>
              </w:rPr>
              <w:t>；</w:t>
            </w:r>
            <w:r>
              <w:rPr>
                <w:rFonts w:hAnsi="宋体" w:hint="eastAsia"/>
                <w:szCs w:val="21"/>
              </w:rPr>
              <w:t>熟</w:t>
            </w:r>
            <w:r>
              <w:rPr>
                <w:rFonts w:hAnsi="宋体" w:hint="eastAsia"/>
                <w:szCs w:val="21"/>
              </w:rPr>
              <w:t>制后内里质地细腻</w:t>
            </w:r>
            <w:r>
              <w:rPr>
                <w:rFonts w:hAnsi="宋体" w:hint="eastAsia"/>
                <w:szCs w:val="21"/>
              </w:rPr>
              <w:t>，</w:t>
            </w:r>
            <w:r>
              <w:rPr>
                <w:rFonts w:hAnsi="宋体" w:hint="eastAsia"/>
                <w:szCs w:val="21"/>
              </w:rPr>
              <w:t>不露馅</w:t>
            </w:r>
          </w:p>
        </w:tc>
        <w:tc>
          <w:tcPr>
            <w:tcW w:w="3805" w:type="dxa"/>
            <w:tcBorders>
              <w:tl2br w:val="nil"/>
              <w:tr2bl w:val="nil"/>
            </w:tcBorders>
            <w:vAlign w:val="center"/>
          </w:tcPr>
          <w:p w:rsidR="00F50F70" w:rsidRDefault="00ED0960">
            <w:pPr>
              <w:pStyle w:val="affc"/>
              <w:spacing w:line="340" w:lineRule="exact"/>
              <w:ind w:firstLineChars="0" w:firstLine="0"/>
              <w:jc w:val="center"/>
              <w:rPr>
                <w:rFonts w:hAnsi="宋体"/>
                <w:szCs w:val="21"/>
              </w:rPr>
            </w:pPr>
            <w:r>
              <w:rPr>
                <w:rFonts w:hAnsi="宋体" w:hint="eastAsia"/>
                <w:szCs w:val="21"/>
              </w:rPr>
              <w:t>表皮无明显破损、熟</w:t>
            </w:r>
            <w:r>
              <w:rPr>
                <w:rFonts w:hAnsi="宋体" w:hint="eastAsia"/>
                <w:szCs w:val="21"/>
              </w:rPr>
              <w:t>制后内里质地细腻</w:t>
            </w:r>
          </w:p>
        </w:tc>
      </w:tr>
      <w:tr w:rsidR="00F50F70">
        <w:trPr>
          <w:trHeight w:val="90"/>
          <w:jc w:val="center"/>
        </w:trPr>
        <w:tc>
          <w:tcPr>
            <w:tcW w:w="2013" w:type="dxa"/>
            <w:tcBorders>
              <w:tl2br w:val="nil"/>
              <w:tr2bl w:val="nil"/>
            </w:tcBorders>
            <w:vAlign w:val="center"/>
          </w:tcPr>
          <w:p w:rsidR="00F50F70" w:rsidRDefault="00ED0960">
            <w:pPr>
              <w:pStyle w:val="affc"/>
              <w:spacing w:line="340" w:lineRule="exact"/>
              <w:ind w:firstLineChars="0" w:firstLine="0"/>
              <w:jc w:val="center"/>
              <w:rPr>
                <w:rFonts w:hAnsi="宋体"/>
                <w:szCs w:val="21"/>
              </w:rPr>
            </w:pPr>
            <w:r>
              <w:rPr>
                <w:rFonts w:hAnsi="宋体" w:hint="eastAsia"/>
                <w:szCs w:val="21"/>
              </w:rPr>
              <w:t>杂质</w:t>
            </w:r>
          </w:p>
        </w:tc>
        <w:tc>
          <w:tcPr>
            <w:tcW w:w="7609" w:type="dxa"/>
            <w:gridSpan w:val="2"/>
            <w:tcBorders>
              <w:tl2br w:val="nil"/>
              <w:tr2bl w:val="nil"/>
            </w:tcBorders>
            <w:vAlign w:val="center"/>
          </w:tcPr>
          <w:p w:rsidR="00F50F70" w:rsidRDefault="00ED0960">
            <w:pPr>
              <w:pStyle w:val="affc"/>
              <w:spacing w:line="340" w:lineRule="exact"/>
              <w:ind w:firstLineChars="0" w:firstLine="0"/>
              <w:jc w:val="center"/>
              <w:rPr>
                <w:rFonts w:hAnsi="宋体"/>
                <w:szCs w:val="21"/>
              </w:rPr>
            </w:pPr>
            <w:r>
              <w:rPr>
                <w:rFonts w:hAnsi="宋体" w:hint="eastAsia"/>
                <w:szCs w:val="21"/>
              </w:rPr>
              <w:t>无正常视力可见杂质</w:t>
            </w:r>
          </w:p>
        </w:tc>
      </w:tr>
    </w:tbl>
    <w:p w:rsidR="00F50F70" w:rsidRDefault="00ED0960">
      <w:pPr>
        <w:pStyle w:val="a5"/>
        <w:spacing w:before="156" w:after="156"/>
      </w:pPr>
      <w:r>
        <w:rPr>
          <w:rFonts w:hint="eastAsia"/>
        </w:rPr>
        <w:t>理化指标</w:t>
      </w:r>
    </w:p>
    <w:p w:rsidR="00F50F70" w:rsidRDefault="00ED0960">
      <w:pPr>
        <w:pStyle w:val="affc"/>
      </w:pPr>
      <w:r>
        <w:rPr>
          <w:rFonts w:hint="eastAsia"/>
        </w:rPr>
        <w:t>理化指标应符合表</w:t>
      </w:r>
      <w:r>
        <w:rPr>
          <w:rFonts w:hint="eastAsia"/>
        </w:rPr>
        <w:t>2</w:t>
      </w:r>
      <w:r>
        <w:rPr>
          <w:rFonts w:hint="eastAsia"/>
        </w:rPr>
        <w:t>的规定。</w:t>
      </w:r>
    </w:p>
    <w:p w:rsidR="00F50F70" w:rsidRDefault="00ED0960">
      <w:pPr>
        <w:pStyle w:val="af7"/>
        <w:spacing w:before="156" w:after="156"/>
      </w:pPr>
      <w:r>
        <w:rPr>
          <w:rFonts w:hint="eastAsia"/>
        </w:rPr>
        <w:t>理化指标</w:t>
      </w:r>
    </w:p>
    <w:tbl>
      <w:tblPr>
        <w:tblW w:w="9622"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3369"/>
        <w:gridCol w:w="1621"/>
        <w:gridCol w:w="1529"/>
        <w:gridCol w:w="1560"/>
        <w:gridCol w:w="1543"/>
      </w:tblGrid>
      <w:tr w:rsidR="00F50F70">
        <w:trPr>
          <w:cantSplit/>
          <w:trHeight w:val="200"/>
        </w:trPr>
        <w:tc>
          <w:tcPr>
            <w:tcW w:w="3369" w:type="dxa"/>
            <w:vMerge w:val="restart"/>
            <w:tcBorders>
              <w:tl2br w:val="nil"/>
              <w:tr2bl w:val="nil"/>
            </w:tcBorders>
            <w:vAlign w:val="center"/>
          </w:tcPr>
          <w:p w:rsidR="00F50F70" w:rsidRDefault="00ED0960">
            <w:pPr>
              <w:pStyle w:val="affc"/>
              <w:spacing w:line="340" w:lineRule="exact"/>
              <w:ind w:firstLineChars="0" w:firstLine="0"/>
              <w:jc w:val="center"/>
              <w:rPr>
                <w:rFonts w:hAnsi="宋体"/>
                <w:szCs w:val="21"/>
              </w:rPr>
            </w:pPr>
            <w:r>
              <w:rPr>
                <w:rFonts w:hAnsi="宋体" w:hint="eastAsia"/>
                <w:szCs w:val="21"/>
              </w:rPr>
              <w:lastRenderedPageBreak/>
              <w:t>项</w:t>
            </w:r>
            <w:r>
              <w:rPr>
                <w:rFonts w:hAnsi="宋体" w:hint="eastAsia"/>
                <w:szCs w:val="21"/>
              </w:rPr>
              <w:t xml:space="preserve">  </w:t>
            </w:r>
            <w:r>
              <w:rPr>
                <w:rFonts w:hAnsi="宋体" w:hint="eastAsia"/>
                <w:szCs w:val="21"/>
              </w:rPr>
              <w:t>目</w:t>
            </w:r>
          </w:p>
        </w:tc>
        <w:tc>
          <w:tcPr>
            <w:tcW w:w="6253" w:type="dxa"/>
            <w:gridSpan w:val="4"/>
            <w:tcBorders>
              <w:tl2br w:val="nil"/>
              <w:tr2bl w:val="nil"/>
            </w:tcBorders>
            <w:vAlign w:val="center"/>
          </w:tcPr>
          <w:p w:rsidR="00F50F70" w:rsidRDefault="00ED0960">
            <w:pPr>
              <w:pStyle w:val="affc"/>
              <w:spacing w:line="340" w:lineRule="exact"/>
              <w:ind w:firstLineChars="0" w:firstLine="0"/>
              <w:jc w:val="center"/>
              <w:rPr>
                <w:rFonts w:hAnsi="宋体"/>
                <w:szCs w:val="21"/>
              </w:rPr>
            </w:pPr>
            <w:r>
              <w:rPr>
                <w:rFonts w:hAnsi="宋体" w:hint="eastAsia"/>
                <w:szCs w:val="21"/>
              </w:rPr>
              <w:t>指</w:t>
            </w:r>
            <w:r>
              <w:rPr>
                <w:rFonts w:hAnsi="宋体" w:hint="eastAsia"/>
                <w:szCs w:val="21"/>
              </w:rPr>
              <w:t xml:space="preserve">  </w:t>
            </w:r>
            <w:r>
              <w:rPr>
                <w:rFonts w:hAnsi="宋体" w:hint="eastAsia"/>
                <w:szCs w:val="21"/>
              </w:rPr>
              <w:t>标</w:t>
            </w:r>
          </w:p>
        </w:tc>
      </w:tr>
      <w:tr w:rsidR="00F50F70">
        <w:trPr>
          <w:cantSplit/>
          <w:trHeight w:val="230"/>
        </w:trPr>
        <w:tc>
          <w:tcPr>
            <w:tcW w:w="3369" w:type="dxa"/>
            <w:vMerge/>
            <w:tcBorders>
              <w:tl2br w:val="nil"/>
              <w:tr2bl w:val="nil"/>
            </w:tcBorders>
            <w:vAlign w:val="center"/>
          </w:tcPr>
          <w:p w:rsidR="00F50F70" w:rsidRDefault="00F50F70">
            <w:pPr>
              <w:pStyle w:val="affc"/>
              <w:spacing w:line="340" w:lineRule="exact"/>
              <w:ind w:firstLineChars="0" w:firstLine="0"/>
              <w:jc w:val="center"/>
              <w:rPr>
                <w:rFonts w:hAnsi="宋体"/>
                <w:szCs w:val="21"/>
              </w:rPr>
            </w:pPr>
          </w:p>
        </w:tc>
        <w:tc>
          <w:tcPr>
            <w:tcW w:w="3150" w:type="dxa"/>
            <w:gridSpan w:val="2"/>
            <w:tcBorders>
              <w:tl2br w:val="nil"/>
              <w:tr2bl w:val="nil"/>
            </w:tcBorders>
            <w:vAlign w:val="center"/>
          </w:tcPr>
          <w:p w:rsidR="00F50F70" w:rsidRDefault="00ED0960">
            <w:pPr>
              <w:pStyle w:val="affc"/>
              <w:spacing w:line="340" w:lineRule="exact"/>
              <w:ind w:firstLineChars="0" w:firstLine="0"/>
              <w:jc w:val="center"/>
            </w:pPr>
            <w:r>
              <w:rPr>
                <w:rFonts w:hint="eastAsia"/>
              </w:rPr>
              <w:t>有馅类</w:t>
            </w:r>
          </w:p>
        </w:tc>
        <w:tc>
          <w:tcPr>
            <w:tcW w:w="3103" w:type="dxa"/>
            <w:gridSpan w:val="2"/>
            <w:tcBorders>
              <w:tl2br w:val="nil"/>
              <w:tr2bl w:val="nil"/>
            </w:tcBorders>
            <w:vAlign w:val="center"/>
          </w:tcPr>
          <w:p w:rsidR="00F50F70" w:rsidRDefault="00ED0960">
            <w:pPr>
              <w:pStyle w:val="affc"/>
              <w:spacing w:line="340" w:lineRule="exact"/>
              <w:ind w:firstLineChars="0" w:firstLine="0"/>
              <w:jc w:val="center"/>
            </w:pPr>
            <w:r>
              <w:rPr>
                <w:rFonts w:hint="eastAsia"/>
              </w:rPr>
              <w:t>无馅类</w:t>
            </w:r>
          </w:p>
        </w:tc>
      </w:tr>
      <w:tr w:rsidR="00F50F70">
        <w:trPr>
          <w:cantSplit/>
          <w:trHeight w:val="320"/>
        </w:trPr>
        <w:tc>
          <w:tcPr>
            <w:tcW w:w="3369" w:type="dxa"/>
            <w:vMerge/>
            <w:tcBorders>
              <w:tl2br w:val="nil"/>
              <w:tr2bl w:val="nil"/>
            </w:tcBorders>
            <w:vAlign w:val="center"/>
          </w:tcPr>
          <w:p w:rsidR="00F50F70" w:rsidRDefault="00F50F70">
            <w:pPr>
              <w:pStyle w:val="affc"/>
              <w:spacing w:line="340" w:lineRule="exact"/>
              <w:ind w:firstLineChars="0" w:firstLine="0"/>
              <w:jc w:val="center"/>
            </w:pPr>
          </w:p>
        </w:tc>
        <w:tc>
          <w:tcPr>
            <w:tcW w:w="1621" w:type="dxa"/>
            <w:tcBorders>
              <w:tl2br w:val="nil"/>
              <w:tr2bl w:val="nil"/>
            </w:tcBorders>
            <w:vAlign w:val="center"/>
          </w:tcPr>
          <w:p w:rsidR="00F50F70" w:rsidRDefault="00ED0960">
            <w:pPr>
              <w:pStyle w:val="affc"/>
              <w:spacing w:line="340" w:lineRule="exact"/>
              <w:ind w:firstLineChars="0" w:firstLine="0"/>
              <w:jc w:val="center"/>
            </w:pPr>
            <w:r>
              <w:rPr>
                <w:rFonts w:hint="eastAsia"/>
              </w:rPr>
              <w:t>优级</w:t>
            </w:r>
          </w:p>
        </w:tc>
        <w:tc>
          <w:tcPr>
            <w:tcW w:w="1529" w:type="dxa"/>
            <w:tcBorders>
              <w:tl2br w:val="nil"/>
              <w:tr2bl w:val="nil"/>
            </w:tcBorders>
            <w:vAlign w:val="center"/>
          </w:tcPr>
          <w:p w:rsidR="00F50F70" w:rsidRDefault="00ED0960">
            <w:pPr>
              <w:pStyle w:val="affc"/>
              <w:spacing w:line="340" w:lineRule="exact"/>
              <w:ind w:firstLineChars="0" w:firstLine="0"/>
              <w:jc w:val="center"/>
            </w:pPr>
            <w:r>
              <w:rPr>
                <w:rFonts w:hint="eastAsia"/>
              </w:rPr>
              <w:t>合格</w:t>
            </w:r>
          </w:p>
        </w:tc>
        <w:tc>
          <w:tcPr>
            <w:tcW w:w="1560" w:type="dxa"/>
            <w:tcBorders>
              <w:tl2br w:val="nil"/>
              <w:tr2bl w:val="nil"/>
            </w:tcBorders>
            <w:vAlign w:val="center"/>
          </w:tcPr>
          <w:p w:rsidR="00F50F70" w:rsidRDefault="00ED0960">
            <w:pPr>
              <w:pStyle w:val="affc"/>
              <w:spacing w:line="340" w:lineRule="exact"/>
              <w:ind w:firstLineChars="0" w:firstLine="0"/>
              <w:jc w:val="center"/>
            </w:pPr>
            <w:r>
              <w:rPr>
                <w:rFonts w:hint="eastAsia"/>
              </w:rPr>
              <w:t>优级</w:t>
            </w:r>
          </w:p>
        </w:tc>
        <w:tc>
          <w:tcPr>
            <w:tcW w:w="1543" w:type="dxa"/>
            <w:tcBorders>
              <w:tl2br w:val="nil"/>
              <w:tr2bl w:val="nil"/>
            </w:tcBorders>
            <w:vAlign w:val="center"/>
          </w:tcPr>
          <w:p w:rsidR="00F50F70" w:rsidRDefault="00ED0960">
            <w:pPr>
              <w:pStyle w:val="affc"/>
              <w:spacing w:line="340" w:lineRule="exact"/>
              <w:ind w:firstLineChars="0" w:firstLine="0"/>
              <w:jc w:val="center"/>
            </w:pPr>
            <w:r>
              <w:rPr>
                <w:rFonts w:hint="eastAsia"/>
              </w:rPr>
              <w:t>合格</w:t>
            </w:r>
          </w:p>
        </w:tc>
      </w:tr>
      <w:tr w:rsidR="00F50F70">
        <w:trPr>
          <w:cantSplit/>
          <w:trHeight w:val="200"/>
        </w:trPr>
        <w:tc>
          <w:tcPr>
            <w:tcW w:w="3369" w:type="dxa"/>
            <w:tcBorders>
              <w:tl2br w:val="nil"/>
              <w:tr2bl w:val="nil"/>
            </w:tcBorders>
            <w:vAlign w:val="center"/>
          </w:tcPr>
          <w:p w:rsidR="00F50F70" w:rsidRDefault="00ED0960">
            <w:pPr>
              <w:pStyle w:val="affc"/>
              <w:spacing w:line="340" w:lineRule="exact"/>
              <w:ind w:firstLineChars="0" w:firstLine="0"/>
              <w:jc w:val="left"/>
              <w:rPr>
                <w:rFonts w:hAnsi="宋体"/>
                <w:szCs w:val="21"/>
              </w:rPr>
            </w:pPr>
            <w:r>
              <w:rPr>
                <w:rFonts w:hAnsi="宋体" w:hint="eastAsia"/>
                <w:szCs w:val="21"/>
              </w:rPr>
              <w:t>馅含量</w:t>
            </w:r>
            <w:r>
              <w:rPr>
                <w:rFonts w:hAnsi="宋体" w:hint="eastAsia"/>
                <w:szCs w:val="21"/>
              </w:rPr>
              <w:t xml:space="preserve">(g/100g)              </w:t>
            </w:r>
            <w:r>
              <w:rPr>
                <w:rFonts w:hAnsi="宋体" w:hint="eastAsia"/>
                <w:szCs w:val="21"/>
              </w:rPr>
              <w:t>≥</w:t>
            </w:r>
          </w:p>
        </w:tc>
        <w:tc>
          <w:tcPr>
            <w:tcW w:w="1621" w:type="dxa"/>
            <w:tcBorders>
              <w:tl2br w:val="nil"/>
              <w:tr2bl w:val="nil"/>
            </w:tcBorders>
            <w:vAlign w:val="center"/>
          </w:tcPr>
          <w:p w:rsidR="00F50F70" w:rsidRDefault="00ED0960">
            <w:pPr>
              <w:pStyle w:val="affc"/>
              <w:spacing w:line="340" w:lineRule="exact"/>
              <w:ind w:firstLineChars="0" w:firstLine="0"/>
              <w:jc w:val="center"/>
              <w:rPr>
                <w:rFonts w:hAnsi="宋体"/>
                <w:szCs w:val="21"/>
              </w:rPr>
            </w:pPr>
            <w:r>
              <w:rPr>
                <w:rFonts w:hAnsi="宋体" w:hint="eastAsia"/>
                <w:szCs w:val="21"/>
              </w:rPr>
              <w:t>20</w:t>
            </w:r>
          </w:p>
        </w:tc>
        <w:tc>
          <w:tcPr>
            <w:tcW w:w="1529" w:type="dxa"/>
            <w:tcBorders>
              <w:tl2br w:val="nil"/>
              <w:tr2bl w:val="nil"/>
            </w:tcBorders>
            <w:vAlign w:val="center"/>
          </w:tcPr>
          <w:p w:rsidR="00F50F70" w:rsidRDefault="00ED0960">
            <w:pPr>
              <w:pStyle w:val="affc"/>
              <w:spacing w:line="340" w:lineRule="exact"/>
              <w:ind w:firstLineChars="0" w:firstLine="0"/>
              <w:jc w:val="center"/>
              <w:rPr>
                <w:rFonts w:hAnsi="宋体"/>
                <w:szCs w:val="21"/>
              </w:rPr>
            </w:pPr>
            <w:r>
              <w:rPr>
                <w:rFonts w:hAnsi="宋体" w:hint="eastAsia"/>
                <w:szCs w:val="21"/>
              </w:rPr>
              <w:t>-</w:t>
            </w:r>
          </w:p>
        </w:tc>
        <w:tc>
          <w:tcPr>
            <w:tcW w:w="3103" w:type="dxa"/>
            <w:gridSpan w:val="2"/>
            <w:tcBorders>
              <w:tl2br w:val="nil"/>
              <w:tr2bl w:val="nil"/>
            </w:tcBorders>
            <w:vAlign w:val="center"/>
          </w:tcPr>
          <w:p w:rsidR="00F50F70" w:rsidRDefault="00ED0960">
            <w:pPr>
              <w:pStyle w:val="affc"/>
              <w:spacing w:line="340" w:lineRule="exact"/>
              <w:ind w:firstLineChars="0" w:firstLine="0"/>
              <w:jc w:val="center"/>
              <w:rPr>
                <w:rFonts w:hAnsi="宋体"/>
                <w:szCs w:val="21"/>
              </w:rPr>
            </w:pPr>
            <w:r>
              <w:rPr>
                <w:rFonts w:hAnsi="宋体" w:hint="eastAsia"/>
                <w:szCs w:val="21"/>
              </w:rPr>
              <w:t>-</w:t>
            </w:r>
          </w:p>
        </w:tc>
      </w:tr>
      <w:tr w:rsidR="00F50F70">
        <w:trPr>
          <w:cantSplit/>
          <w:trHeight w:val="200"/>
        </w:trPr>
        <w:tc>
          <w:tcPr>
            <w:tcW w:w="3369" w:type="dxa"/>
            <w:tcBorders>
              <w:tl2br w:val="nil"/>
              <w:tr2bl w:val="nil"/>
            </w:tcBorders>
            <w:vAlign w:val="center"/>
          </w:tcPr>
          <w:p w:rsidR="00F50F70" w:rsidRDefault="00ED0960">
            <w:pPr>
              <w:pStyle w:val="affc"/>
              <w:spacing w:line="340" w:lineRule="exact"/>
              <w:ind w:firstLineChars="0" w:firstLine="0"/>
              <w:rPr>
                <w:rFonts w:hAnsi="宋体"/>
                <w:szCs w:val="21"/>
              </w:rPr>
            </w:pPr>
            <w:r>
              <w:rPr>
                <w:rFonts w:hAnsi="宋体" w:hint="eastAsia"/>
                <w:szCs w:val="21"/>
              </w:rPr>
              <w:t>水分（</w:t>
            </w:r>
            <w:r>
              <w:rPr>
                <w:rFonts w:hAnsi="宋体" w:hint="eastAsia"/>
                <w:szCs w:val="21"/>
              </w:rPr>
              <w:t>%</w:t>
            </w:r>
            <w:r>
              <w:rPr>
                <w:rFonts w:hAnsi="宋体" w:hint="eastAsia"/>
                <w:szCs w:val="21"/>
              </w:rPr>
              <w:t>）</w:t>
            </w:r>
            <w:r>
              <w:rPr>
                <w:rFonts w:hAnsi="宋体" w:hint="eastAsia"/>
                <w:szCs w:val="21"/>
              </w:rPr>
              <w:t xml:space="preserve">                   </w:t>
            </w:r>
            <w:r>
              <w:rPr>
                <w:rFonts w:hAnsi="宋体" w:hint="eastAsia"/>
                <w:szCs w:val="21"/>
              </w:rPr>
              <w:t>≤</w:t>
            </w:r>
          </w:p>
        </w:tc>
        <w:tc>
          <w:tcPr>
            <w:tcW w:w="3150" w:type="dxa"/>
            <w:gridSpan w:val="2"/>
            <w:tcBorders>
              <w:tl2br w:val="nil"/>
              <w:tr2bl w:val="nil"/>
            </w:tcBorders>
            <w:vAlign w:val="center"/>
          </w:tcPr>
          <w:p w:rsidR="00F50F70" w:rsidRDefault="00ED0960">
            <w:pPr>
              <w:pStyle w:val="affc"/>
              <w:spacing w:line="340" w:lineRule="exact"/>
              <w:ind w:firstLineChars="0" w:firstLine="0"/>
              <w:jc w:val="center"/>
              <w:rPr>
                <w:rFonts w:hAnsi="宋体"/>
                <w:szCs w:val="21"/>
              </w:rPr>
            </w:pPr>
            <w:r>
              <w:rPr>
                <w:rFonts w:hAnsi="宋体" w:hint="eastAsia"/>
                <w:szCs w:val="21"/>
              </w:rPr>
              <w:t>65</w:t>
            </w:r>
          </w:p>
        </w:tc>
        <w:tc>
          <w:tcPr>
            <w:tcW w:w="3103" w:type="dxa"/>
            <w:gridSpan w:val="2"/>
            <w:tcBorders>
              <w:tl2br w:val="nil"/>
              <w:tr2bl w:val="nil"/>
            </w:tcBorders>
            <w:vAlign w:val="center"/>
          </w:tcPr>
          <w:p w:rsidR="00F50F70" w:rsidRDefault="00ED0960">
            <w:pPr>
              <w:pStyle w:val="affc"/>
              <w:spacing w:line="340" w:lineRule="exact"/>
              <w:ind w:firstLineChars="0" w:firstLine="0"/>
              <w:jc w:val="center"/>
              <w:rPr>
                <w:rFonts w:hAnsi="宋体"/>
                <w:szCs w:val="21"/>
              </w:rPr>
            </w:pPr>
            <w:r>
              <w:rPr>
                <w:rFonts w:hAnsi="宋体" w:hint="eastAsia"/>
                <w:szCs w:val="21"/>
              </w:rPr>
              <w:t>60</w:t>
            </w:r>
          </w:p>
        </w:tc>
      </w:tr>
      <w:tr w:rsidR="00F50F70">
        <w:trPr>
          <w:cantSplit/>
          <w:trHeight w:val="200"/>
        </w:trPr>
        <w:tc>
          <w:tcPr>
            <w:tcW w:w="3369" w:type="dxa"/>
            <w:tcBorders>
              <w:tl2br w:val="nil"/>
              <w:tr2bl w:val="nil"/>
            </w:tcBorders>
            <w:vAlign w:val="center"/>
          </w:tcPr>
          <w:p w:rsidR="00F50F70" w:rsidRDefault="00ED0960">
            <w:pPr>
              <w:pStyle w:val="affc"/>
              <w:spacing w:line="340" w:lineRule="exact"/>
              <w:ind w:firstLineChars="0" w:firstLine="0"/>
              <w:rPr>
                <w:rFonts w:hAnsi="宋体"/>
                <w:szCs w:val="21"/>
              </w:rPr>
            </w:pPr>
            <w:r>
              <w:rPr>
                <w:rFonts w:hint="eastAsia"/>
              </w:rPr>
              <w:t>蛋白质</w:t>
            </w:r>
            <w:r>
              <w:rPr>
                <w:rFonts w:hAnsi="宋体" w:hint="eastAsia"/>
                <w:szCs w:val="21"/>
              </w:rPr>
              <w:t>（</w:t>
            </w:r>
            <w:r>
              <w:rPr>
                <w:rFonts w:hAnsi="宋体" w:hint="eastAsia"/>
                <w:szCs w:val="21"/>
              </w:rPr>
              <w:t>%</w:t>
            </w:r>
            <w:r>
              <w:rPr>
                <w:rFonts w:hAnsi="宋体" w:hint="eastAsia"/>
                <w:szCs w:val="21"/>
              </w:rPr>
              <w:t>）</w:t>
            </w:r>
            <w:r>
              <w:rPr>
                <w:rFonts w:hint="eastAsia"/>
              </w:rPr>
              <w:t xml:space="preserve">                 </w:t>
            </w:r>
            <w:r>
              <w:rPr>
                <w:rFonts w:hint="eastAsia"/>
              </w:rPr>
              <w:t>≥</w:t>
            </w:r>
          </w:p>
        </w:tc>
        <w:tc>
          <w:tcPr>
            <w:tcW w:w="3150" w:type="dxa"/>
            <w:gridSpan w:val="2"/>
            <w:tcBorders>
              <w:tl2br w:val="nil"/>
              <w:tr2bl w:val="nil"/>
            </w:tcBorders>
            <w:vAlign w:val="center"/>
          </w:tcPr>
          <w:p w:rsidR="00F50F70" w:rsidRDefault="00ED0960">
            <w:pPr>
              <w:pStyle w:val="affc"/>
              <w:spacing w:line="340" w:lineRule="exact"/>
              <w:ind w:firstLineChars="0" w:firstLine="0"/>
              <w:jc w:val="center"/>
              <w:rPr>
                <w:rFonts w:hAnsi="宋体"/>
                <w:szCs w:val="21"/>
              </w:rPr>
            </w:pPr>
            <w:r>
              <w:rPr>
                <w:rFonts w:hAnsi="宋体" w:hint="eastAsia"/>
                <w:szCs w:val="21"/>
              </w:rPr>
              <w:t>2</w:t>
            </w:r>
          </w:p>
        </w:tc>
        <w:tc>
          <w:tcPr>
            <w:tcW w:w="3103" w:type="dxa"/>
            <w:gridSpan w:val="2"/>
            <w:tcBorders>
              <w:tl2br w:val="nil"/>
              <w:tr2bl w:val="nil"/>
            </w:tcBorders>
            <w:vAlign w:val="center"/>
          </w:tcPr>
          <w:p w:rsidR="00F50F70" w:rsidRDefault="00ED0960">
            <w:pPr>
              <w:pStyle w:val="affc"/>
              <w:spacing w:line="340" w:lineRule="exact"/>
              <w:ind w:firstLineChars="0" w:firstLine="0"/>
              <w:jc w:val="center"/>
              <w:rPr>
                <w:rFonts w:hAnsi="宋体"/>
                <w:szCs w:val="21"/>
              </w:rPr>
            </w:pPr>
            <w:r>
              <w:rPr>
                <w:rFonts w:hAnsi="宋体" w:hint="eastAsia"/>
                <w:szCs w:val="21"/>
              </w:rPr>
              <w:t>1</w:t>
            </w:r>
          </w:p>
        </w:tc>
      </w:tr>
      <w:tr w:rsidR="00F50F70">
        <w:trPr>
          <w:cantSplit/>
          <w:trHeight w:val="200"/>
        </w:trPr>
        <w:tc>
          <w:tcPr>
            <w:tcW w:w="3369" w:type="dxa"/>
            <w:tcBorders>
              <w:tl2br w:val="nil"/>
              <w:tr2bl w:val="nil"/>
            </w:tcBorders>
            <w:vAlign w:val="center"/>
          </w:tcPr>
          <w:p w:rsidR="00F50F70" w:rsidRDefault="00ED0960">
            <w:pPr>
              <w:pStyle w:val="affc"/>
              <w:spacing w:line="340" w:lineRule="exact"/>
              <w:ind w:firstLineChars="0" w:firstLine="0"/>
            </w:pPr>
            <w:r>
              <w:rPr>
                <w:rFonts w:hint="eastAsia"/>
              </w:rPr>
              <w:t>总糖</w:t>
            </w:r>
            <w:r>
              <w:rPr>
                <w:rFonts w:hAnsi="宋体" w:hint="eastAsia"/>
                <w:szCs w:val="21"/>
              </w:rPr>
              <w:t>（</w:t>
            </w:r>
            <w:r>
              <w:rPr>
                <w:rFonts w:hAnsi="宋体" w:hint="eastAsia"/>
                <w:szCs w:val="21"/>
              </w:rPr>
              <w:t>%</w:t>
            </w:r>
            <w:r>
              <w:rPr>
                <w:rFonts w:hAnsi="宋体" w:hint="eastAsia"/>
                <w:szCs w:val="21"/>
              </w:rPr>
              <w:t>）</w:t>
            </w:r>
            <w:r>
              <w:rPr>
                <w:rFonts w:hAnsi="宋体" w:hint="eastAsia"/>
                <w:szCs w:val="21"/>
              </w:rPr>
              <w:t xml:space="preserve">                   </w:t>
            </w:r>
            <w:r>
              <w:rPr>
                <w:rFonts w:hAnsi="宋体" w:hint="eastAsia"/>
                <w:szCs w:val="21"/>
              </w:rPr>
              <w:t>≤</w:t>
            </w:r>
          </w:p>
        </w:tc>
        <w:tc>
          <w:tcPr>
            <w:tcW w:w="6253" w:type="dxa"/>
            <w:gridSpan w:val="4"/>
            <w:tcBorders>
              <w:tl2br w:val="nil"/>
              <w:tr2bl w:val="nil"/>
            </w:tcBorders>
            <w:vAlign w:val="center"/>
          </w:tcPr>
          <w:p w:rsidR="00F50F70" w:rsidRDefault="00ED0960">
            <w:pPr>
              <w:pStyle w:val="affc"/>
              <w:spacing w:line="340" w:lineRule="exact"/>
              <w:ind w:firstLineChars="0" w:firstLine="0"/>
              <w:jc w:val="center"/>
              <w:rPr>
                <w:rFonts w:hAnsi="宋体"/>
                <w:szCs w:val="21"/>
              </w:rPr>
            </w:pPr>
            <w:r>
              <w:rPr>
                <w:rFonts w:hAnsi="宋体" w:hint="eastAsia"/>
                <w:szCs w:val="21"/>
              </w:rPr>
              <w:t>42.0</w:t>
            </w:r>
          </w:p>
        </w:tc>
      </w:tr>
      <w:tr w:rsidR="00F50F70">
        <w:trPr>
          <w:cantSplit/>
          <w:trHeight w:val="200"/>
        </w:trPr>
        <w:tc>
          <w:tcPr>
            <w:tcW w:w="3369" w:type="dxa"/>
            <w:tcBorders>
              <w:tl2br w:val="nil"/>
              <w:tr2bl w:val="nil"/>
            </w:tcBorders>
            <w:vAlign w:val="center"/>
          </w:tcPr>
          <w:p w:rsidR="00F50F70" w:rsidRDefault="00ED0960">
            <w:pPr>
              <w:pStyle w:val="affc"/>
              <w:spacing w:line="340" w:lineRule="exact"/>
              <w:ind w:firstLineChars="0" w:firstLine="0"/>
              <w:rPr>
                <w:rFonts w:hAnsi="宋体"/>
                <w:szCs w:val="21"/>
              </w:rPr>
            </w:pPr>
            <w:r>
              <w:rPr>
                <w:rFonts w:hAnsi="宋体" w:hint="eastAsia"/>
                <w:szCs w:val="21"/>
              </w:rPr>
              <w:t>过氧化值（以脂肪计）</w:t>
            </w:r>
            <w:r>
              <w:rPr>
                <w:rFonts w:hAnsi="宋体" w:hint="eastAsia"/>
                <w:szCs w:val="21"/>
              </w:rPr>
              <w:t>(g/100g)</w:t>
            </w:r>
            <w:r>
              <w:rPr>
                <w:rFonts w:hAnsi="宋体" w:hint="eastAsia"/>
                <w:szCs w:val="21"/>
              </w:rPr>
              <w:t>≤</w:t>
            </w:r>
          </w:p>
        </w:tc>
        <w:tc>
          <w:tcPr>
            <w:tcW w:w="1621" w:type="dxa"/>
            <w:tcBorders>
              <w:tl2br w:val="nil"/>
              <w:tr2bl w:val="nil"/>
            </w:tcBorders>
            <w:vAlign w:val="center"/>
          </w:tcPr>
          <w:p w:rsidR="00F50F70" w:rsidRDefault="00ED0960">
            <w:pPr>
              <w:pStyle w:val="affc"/>
              <w:spacing w:line="340" w:lineRule="exact"/>
              <w:ind w:firstLineChars="0" w:firstLine="0"/>
              <w:jc w:val="center"/>
              <w:rPr>
                <w:rFonts w:hAnsi="宋体"/>
                <w:szCs w:val="21"/>
              </w:rPr>
            </w:pPr>
            <w:r>
              <w:rPr>
                <w:rFonts w:hAnsi="宋体" w:hint="eastAsia"/>
                <w:szCs w:val="21"/>
              </w:rPr>
              <w:t>0.15</w:t>
            </w:r>
          </w:p>
        </w:tc>
        <w:tc>
          <w:tcPr>
            <w:tcW w:w="1529" w:type="dxa"/>
            <w:tcBorders>
              <w:tl2br w:val="nil"/>
              <w:tr2bl w:val="nil"/>
            </w:tcBorders>
            <w:vAlign w:val="center"/>
          </w:tcPr>
          <w:p w:rsidR="00F50F70" w:rsidRDefault="00ED0960">
            <w:pPr>
              <w:pStyle w:val="affc"/>
              <w:spacing w:line="340" w:lineRule="exact"/>
              <w:ind w:firstLineChars="0" w:firstLine="0"/>
              <w:jc w:val="center"/>
              <w:rPr>
                <w:rFonts w:hAnsi="宋体"/>
                <w:szCs w:val="21"/>
              </w:rPr>
            </w:pPr>
            <w:r>
              <w:rPr>
                <w:rFonts w:hAnsi="宋体" w:hint="eastAsia"/>
                <w:szCs w:val="21"/>
              </w:rPr>
              <w:t>0.25</w:t>
            </w:r>
          </w:p>
        </w:tc>
        <w:tc>
          <w:tcPr>
            <w:tcW w:w="1560" w:type="dxa"/>
            <w:tcBorders>
              <w:tl2br w:val="nil"/>
              <w:tr2bl w:val="nil"/>
            </w:tcBorders>
            <w:vAlign w:val="center"/>
          </w:tcPr>
          <w:p w:rsidR="00F50F70" w:rsidRDefault="00ED0960">
            <w:pPr>
              <w:pStyle w:val="affc"/>
              <w:spacing w:line="340" w:lineRule="exact"/>
              <w:ind w:firstLineChars="0" w:firstLine="0"/>
              <w:jc w:val="center"/>
              <w:rPr>
                <w:rFonts w:hAnsi="宋体"/>
                <w:szCs w:val="21"/>
              </w:rPr>
            </w:pPr>
            <w:r>
              <w:rPr>
                <w:rFonts w:hAnsi="宋体" w:hint="eastAsia"/>
                <w:szCs w:val="21"/>
              </w:rPr>
              <w:t>0.15</w:t>
            </w:r>
          </w:p>
        </w:tc>
        <w:tc>
          <w:tcPr>
            <w:tcW w:w="1543" w:type="dxa"/>
            <w:tcBorders>
              <w:tl2br w:val="nil"/>
              <w:tr2bl w:val="nil"/>
            </w:tcBorders>
            <w:vAlign w:val="center"/>
          </w:tcPr>
          <w:p w:rsidR="00F50F70" w:rsidRDefault="00ED0960">
            <w:pPr>
              <w:pStyle w:val="affc"/>
              <w:spacing w:line="340" w:lineRule="exact"/>
              <w:ind w:firstLineChars="0" w:firstLine="0"/>
              <w:jc w:val="center"/>
              <w:rPr>
                <w:rFonts w:hAnsi="宋体"/>
                <w:szCs w:val="21"/>
              </w:rPr>
            </w:pPr>
            <w:r>
              <w:rPr>
                <w:rFonts w:hAnsi="宋体" w:hint="eastAsia"/>
                <w:szCs w:val="21"/>
              </w:rPr>
              <w:t>0.25</w:t>
            </w:r>
          </w:p>
        </w:tc>
      </w:tr>
      <w:tr w:rsidR="00F50F70">
        <w:trPr>
          <w:cantSplit/>
          <w:trHeight w:val="315"/>
        </w:trPr>
        <w:tc>
          <w:tcPr>
            <w:tcW w:w="3369" w:type="dxa"/>
            <w:tcBorders>
              <w:tl2br w:val="nil"/>
              <w:tr2bl w:val="nil"/>
            </w:tcBorders>
            <w:vAlign w:val="center"/>
          </w:tcPr>
          <w:p w:rsidR="00F50F70" w:rsidRDefault="00ED0960">
            <w:pPr>
              <w:pStyle w:val="affc"/>
              <w:spacing w:line="340" w:lineRule="exact"/>
              <w:ind w:firstLineChars="0" w:firstLine="0"/>
              <w:rPr>
                <w:rFonts w:hAnsi="宋体"/>
                <w:szCs w:val="21"/>
              </w:rPr>
            </w:pPr>
            <w:r>
              <w:rPr>
                <w:rFonts w:hAnsi="宋体" w:hint="eastAsia"/>
                <w:szCs w:val="21"/>
              </w:rPr>
              <w:t>日落黄（</w:t>
            </w:r>
            <w:r>
              <w:rPr>
                <w:rFonts w:hAnsi="宋体" w:hint="eastAsia"/>
                <w:szCs w:val="21"/>
              </w:rPr>
              <w:t>g/kg)</w:t>
            </w:r>
          </w:p>
        </w:tc>
        <w:tc>
          <w:tcPr>
            <w:tcW w:w="6253" w:type="dxa"/>
            <w:gridSpan w:val="4"/>
            <w:tcBorders>
              <w:tl2br w:val="nil"/>
              <w:tr2bl w:val="nil"/>
            </w:tcBorders>
            <w:vAlign w:val="center"/>
          </w:tcPr>
          <w:p w:rsidR="00F50F70" w:rsidRDefault="00ED0960">
            <w:pPr>
              <w:pStyle w:val="affc"/>
              <w:spacing w:line="340" w:lineRule="exact"/>
              <w:ind w:firstLineChars="0" w:firstLine="0"/>
              <w:jc w:val="center"/>
              <w:rPr>
                <w:rFonts w:hAnsi="宋体"/>
                <w:szCs w:val="21"/>
              </w:rPr>
            </w:pPr>
            <w:r>
              <w:rPr>
                <w:rFonts w:hAnsi="宋体" w:hint="eastAsia"/>
                <w:szCs w:val="21"/>
              </w:rPr>
              <w:t>不得检出</w:t>
            </w:r>
          </w:p>
        </w:tc>
      </w:tr>
      <w:tr w:rsidR="00F50F70">
        <w:trPr>
          <w:cantSplit/>
          <w:trHeight w:val="315"/>
        </w:trPr>
        <w:tc>
          <w:tcPr>
            <w:tcW w:w="3369" w:type="dxa"/>
            <w:tcBorders>
              <w:tl2br w:val="nil"/>
              <w:tr2bl w:val="nil"/>
            </w:tcBorders>
            <w:vAlign w:val="center"/>
          </w:tcPr>
          <w:p w:rsidR="00F50F70" w:rsidRDefault="00ED0960">
            <w:pPr>
              <w:pStyle w:val="affc"/>
              <w:spacing w:line="340" w:lineRule="exact"/>
              <w:ind w:firstLineChars="0" w:firstLine="0"/>
              <w:rPr>
                <w:rFonts w:hAnsi="宋体"/>
                <w:szCs w:val="21"/>
              </w:rPr>
            </w:pPr>
            <w:r>
              <w:rPr>
                <w:rFonts w:hAnsi="宋体" w:hint="eastAsia"/>
                <w:szCs w:val="21"/>
              </w:rPr>
              <w:t>柠檬黄（</w:t>
            </w:r>
            <w:r>
              <w:rPr>
                <w:rFonts w:hAnsi="宋体" w:hint="eastAsia"/>
                <w:szCs w:val="21"/>
              </w:rPr>
              <w:t>g/kg)</w:t>
            </w:r>
          </w:p>
        </w:tc>
        <w:tc>
          <w:tcPr>
            <w:tcW w:w="6253" w:type="dxa"/>
            <w:gridSpan w:val="4"/>
            <w:tcBorders>
              <w:tl2br w:val="nil"/>
              <w:tr2bl w:val="nil"/>
            </w:tcBorders>
            <w:vAlign w:val="center"/>
          </w:tcPr>
          <w:p w:rsidR="00F50F70" w:rsidRDefault="00ED0960">
            <w:pPr>
              <w:pStyle w:val="affc"/>
              <w:spacing w:line="340" w:lineRule="exact"/>
              <w:ind w:firstLineChars="0" w:firstLine="0"/>
              <w:jc w:val="center"/>
              <w:rPr>
                <w:rFonts w:hAnsi="宋体"/>
                <w:szCs w:val="21"/>
              </w:rPr>
            </w:pPr>
            <w:r>
              <w:rPr>
                <w:rFonts w:hAnsi="宋体" w:hint="eastAsia"/>
                <w:szCs w:val="21"/>
              </w:rPr>
              <w:t>不得检出</w:t>
            </w:r>
          </w:p>
        </w:tc>
      </w:tr>
      <w:tr w:rsidR="00F50F70">
        <w:trPr>
          <w:cantSplit/>
          <w:trHeight w:val="200"/>
        </w:trPr>
        <w:tc>
          <w:tcPr>
            <w:tcW w:w="9622" w:type="dxa"/>
            <w:gridSpan w:val="5"/>
            <w:tcBorders>
              <w:tl2br w:val="nil"/>
              <w:tr2bl w:val="nil"/>
            </w:tcBorders>
            <w:vAlign w:val="center"/>
          </w:tcPr>
          <w:p w:rsidR="00F50F70" w:rsidRDefault="00ED0960">
            <w:pPr>
              <w:pStyle w:val="afff9"/>
              <w:rPr>
                <w:rFonts w:hAnsi="宋体"/>
                <w:szCs w:val="21"/>
              </w:rPr>
            </w:pPr>
            <w:r>
              <w:rPr>
                <w:rFonts w:hint="eastAsia"/>
              </w:rPr>
              <w:t>过氧化值指标仅适用于配料中添加油脂的产品。</w:t>
            </w:r>
          </w:p>
        </w:tc>
      </w:tr>
    </w:tbl>
    <w:p w:rsidR="00F50F70" w:rsidRDefault="00ED0960">
      <w:pPr>
        <w:pStyle w:val="a5"/>
        <w:spacing w:before="156" w:after="156"/>
      </w:pPr>
      <w:r>
        <w:rPr>
          <w:rFonts w:hint="eastAsia"/>
        </w:rPr>
        <w:t>微生物限量</w:t>
      </w:r>
    </w:p>
    <w:p w:rsidR="00F50F70" w:rsidRDefault="00ED0960">
      <w:pPr>
        <w:pStyle w:val="affc"/>
      </w:pPr>
      <w:r>
        <w:rPr>
          <w:rFonts w:hint="eastAsia"/>
        </w:rPr>
        <w:t>微生物限量应符合</w:t>
      </w:r>
      <w:r>
        <w:rPr>
          <w:rFonts w:hint="eastAsia"/>
        </w:rPr>
        <w:t>GB 19295</w:t>
      </w:r>
      <w:r>
        <w:rPr>
          <w:rFonts w:hint="eastAsia"/>
        </w:rPr>
        <w:t>的规定。</w:t>
      </w:r>
    </w:p>
    <w:p w:rsidR="00F50F70" w:rsidRDefault="00ED0960">
      <w:pPr>
        <w:pStyle w:val="a5"/>
        <w:spacing w:before="156" w:after="156"/>
      </w:pPr>
      <w:r>
        <w:rPr>
          <w:rFonts w:hint="eastAsia"/>
        </w:rPr>
        <w:t>污染物限量</w:t>
      </w:r>
    </w:p>
    <w:p w:rsidR="00F50F70" w:rsidRDefault="00ED0960">
      <w:pPr>
        <w:pStyle w:val="affc"/>
      </w:pPr>
      <w:r>
        <w:rPr>
          <w:rFonts w:hint="eastAsia"/>
        </w:rPr>
        <w:t>污染物限量应符合</w:t>
      </w:r>
      <w:r>
        <w:rPr>
          <w:rFonts w:hint="eastAsia"/>
        </w:rPr>
        <w:t>GB 2762</w:t>
      </w:r>
      <w:r>
        <w:rPr>
          <w:rFonts w:hint="eastAsia"/>
        </w:rPr>
        <w:t>的规定。</w:t>
      </w:r>
    </w:p>
    <w:p w:rsidR="00F50F70" w:rsidRDefault="00ED0960">
      <w:pPr>
        <w:pStyle w:val="a5"/>
        <w:spacing w:before="156" w:after="156"/>
      </w:pPr>
      <w:r>
        <w:rPr>
          <w:rFonts w:hint="eastAsia"/>
        </w:rPr>
        <w:t>其它食品添加剂和食品营养强化剂限量</w:t>
      </w:r>
    </w:p>
    <w:p w:rsidR="00F50F70" w:rsidRDefault="00ED0960">
      <w:pPr>
        <w:pStyle w:val="affc"/>
      </w:pPr>
      <w:r>
        <w:rPr>
          <w:rFonts w:hint="eastAsia"/>
        </w:rPr>
        <w:t>其它食品添加剂的使用应符合</w:t>
      </w:r>
      <w:r>
        <w:rPr>
          <w:rFonts w:hint="eastAsia"/>
        </w:rPr>
        <w:t>GB 2760</w:t>
      </w:r>
      <w:r>
        <w:rPr>
          <w:rFonts w:hint="eastAsia"/>
        </w:rPr>
        <w:t>的规定，食品营养强化剂的使用应符合</w:t>
      </w:r>
      <w:r>
        <w:rPr>
          <w:rFonts w:hint="eastAsia"/>
        </w:rPr>
        <w:t>GB 14880</w:t>
      </w:r>
      <w:r>
        <w:rPr>
          <w:rFonts w:hint="eastAsia"/>
        </w:rPr>
        <w:t>的规定。</w:t>
      </w:r>
    </w:p>
    <w:p w:rsidR="00F50F70" w:rsidRDefault="00ED0960">
      <w:pPr>
        <w:pStyle w:val="a5"/>
        <w:spacing w:before="156" w:after="156"/>
      </w:pPr>
      <w:r>
        <w:rPr>
          <w:rFonts w:hint="eastAsia"/>
        </w:rPr>
        <w:t>净含量</w:t>
      </w:r>
    </w:p>
    <w:p w:rsidR="00F50F70" w:rsidRDefault="00ED0960">
      <w:pPr>
        <w:pStyle w:val="affc"/>
      </w:pPr>
      <w:r>
        <w:rPr>
          <w:rFonts w:hint="eastAsia"/>
        </w:rPr>
        <w:t>净含量应符合《定量包装商品计量监督管理办法》的有关规定。</w:t>
      </w:r>
    </w:p>
    <w:p w:rsidR="00F50F70" w:rsidRDefault="00ED0960">
      <w:pPr>
        <w:pStyle w:val="a4"/>
        <w:spacing w:before="312" w:after="312"/>
        <w:rPr>
          <w:szCs w:val="22"/>
        </w:rPr>
      </w:pPr>
      <w:r>
        <w:rPr>
          <w:rFonts w:hint="eastAsia"/>
          <w:szCs w:val="22"/>
        </w:rPr>
        <w:t>生产加工卫生要求</w:t>
      </w:r>
    </w:p>
    <w:p w:rsidR="00F50F70" w:rsidRDefault="00ED0960">
      <w:pPr>
        <w:pStyle w:val="affc"/>
      </w:pPr>
      <w:r>
        <w:rPr>
          <w:rFonts w:hint="eastAsia"/>
        </w:rPr>
        <w:t>生产加工卫生要求应符合</w:t>
      </w:r>
      <w:r>
        <w:rPr>
          <w:rFonts w:hint="eastAsia"/>
        </w:rPr>
        <w:t>GB 31646</w:t>
      </w:r>
      <w:r>
        <w:rPr>
          <w:rFonts w:hint="eastAsia"/>
        </w:rPr>
        <w:t>的规定。</w:t>
      </w:r>
    </w:p>
    <w:p w:rsidR="00F50F70" w:rsidRDefault="00ED0960">
      <w:pPr>
        <w:pStyle w:val="a4"/>
        <w:spacing w:before="312" w:after="312"/>
        <w:rPr>
          <w:szCs w:val="22"/>
        </w:rPr>
      </w:pPr>
      <w:r>
        <w:rPr>
          <w:rFonts w:hint="eastAsia"/>
          <w:szCs w:val="22"/>
        </w:rPr>
        <w:t>试验方法</w:t>
      </w:r>
    </w:p>
    <w:p w:rsidR="00F50F70" w:rsidRDefault="00ED0960">
      <w:pPr>
        <w:pStyle w:val="a5"/>
        <w:spacing w:before="156" w:after="156"/>
        <w:rPr>
          <w:sz w:val="20"/>
          <w:szCs w:val="20"/>
        </w:rPr>
      </w:pPr>
      <w:r>
        <w:rPr>
          <w:rFonts w:hint="eastAsia"/>
        </w:rPr>
        <w:t>感官要求</w:t>
      </w:r>
    </w:p>
    <w:p w:rsidR="00F50F70" w:rsidRDefault="00ED0960">
      <w:pPr>
        <w:pStyle w:val="affc"/>
      </w:pPr>
      <w:r>
        <w:rPr>
          <w:rFonts w:hint="eastAsia"/>
        </w:rPr>
        <w:t>在冻结状态下，取样品一</w:t>
      </w:r>
      <w:r>
        <w:rPr>
          <w:rFonts w:hint="eastAsia"/>
        </w:rPr>
        <w:t>包</w:t>
      </w:r>
      <w:r>
        <w:rPr>
          <w:rFonts w:hint="eastAsia"/>
        </w:rPr>
        <w:t>（盒），置于清洁的白瓷盘中，</w:t>
      </w:r>
      <w:r>
        <w:rPr>
          <w:rFonts w:hint="eastAsia"/>
        </w:rPr>
        <w:t>在自然光下观察其</w:t>
      </w:r>
      <w:r>
        <w:rPr>
          <w:rFonts w:hint="eastAsia"/>
        </w:rPr>
        <w:t>外形、色泽，用</w:t>
      </w:r>
      <w:r>
        <w:rPr>
          <w:rFonts w:hint="eastAsia"/>
        </w:rPr>
        <w:t>餐</w:t>
      </w:r>
      <w:r>
        <w:rPr>
          <w:rFonts w:hint="eastAsia"/>
        </w:rPr>
        <w:t>刀</w:t>
      </w:r>
      <w:r>
        <w:rPr>
          <w:rFonts w:hint="eastAsia"/>
        </w:rPr>
        <w:t>按四分法切</w:t>
      </w:r>
      <w:r>
        <w:rPr>
          <w:rFonts w:hint="eastAsia"/>
        </w:rPr>
        <w:t>开后观察其组织状态</w:t>
      </w:r>
      <w:r>
        <w:rPr>
          <w:rFonts w:hint="eastAsia"/>
        </w:rPr>
        <w:t>及杂质；</w:t>
      </w:r>
      <w:r>
        <w:rPr>
          <w:rFonts w:hint="eastAsia"/>
        </w:rPr>
        <w:t>按包装上标注的食用方法熟</w:t>
      </w:r>
      <w:r>
        <w:rPr>
          <w:rFonts w:hint="eastAsia"/>
        </w:rPr>
        <w:t>制</w:t>
      </w:r>
      <w:r>
        <w:rPr>
          <w:rFonts w:hint="eastAsia"/>
        </w:rPr>
        <w:t>后，用鼻嗅其气味，用口偿其滋味。</w:t>
      </w:r>
    </w:p>
    <w:p w:rsidR="00F50F70" w:rsidRDefault="00ED0960">
      <w:pPr>
        <w:pStyle w:val="a5"/>
        <w:spacing w:before="156" w:after="156"/>
      </w:pPr>
      <w:r>
        <w:rPr>
          <w:rFonts w:hint="eastAsia"/>
        </w:rPr>
        <w:t>理化指标</w:t>
      </w:r>
    </w:p>
    <w:p w:rsidR="00F50F70" w:rsidRDefault="00ED0960">
      <w:pPr>
        <w:pStyle w:val="a6"/>
        <w:spacing w:before="156" w:after="156"/>
      </w:pPr>
      <w:r>
        <w:rPr>
          <w:rFonts w:hint="eastAsia"/>
        </w:rPr>
        <w:t>馅含量</w:t>
      </w:r>
    </w:p>
    <w:p w:rsidR="00F50F70" w:rsidRDefault="00ED0960">
      <w:pPr>
        <w:pStyle w:val="affc"/>
      </w:pPr>
      <w:r>
        <w:rPr>
          <w:rFonts w:hint="eastAsia"/>
        </w:rPr>
        <w:t>按</w:t>
      </w:r>
      <w:r>
        <w:rPr>
          <w:rFonts w:hint="eastAsia"/>
        </w:rPr>
        <w:t xml:space="preserve">GB/T 23780 </w:t>
      </w:r>
      <w:r>
        <w:rPr>
          <w:rFonts w:hint="eastAsia"/>
        </w:rPr>
        <w:t>中馅料含量的检验方法测定。</w:t>
      </w:r>
    </w:p>
    <w:p w:rsidR="00F50F70" w:rsidRDefault="00ED0960">
      <w:pPr>
        <w:pStyle w:val="a6"/>
        <w:spacing w:before="156" w:after="156"/>
      </w:pPr>
      <w:r>
        <w:rPr>
          <w:rFonts w:hint="eastAsia"/>
        </w:rPr>
        <w:t>水分</w:t>
      </w:r>
    </w:p>
    <w:p w:rsidR="00F50F70" w:rsidRDefault="00ED0960">
      <w:pPr>
        <w:pStyle w:val="affc"/>
      </w:pPr>
      <w:r>
        <w:rPr>
          <w:rFonts w:hint="eastAsia"/>
        </w:rPr>
        <w:lastRenderedPageBreak/>
        <w:t>按</w:t>
      </w:r>
      <w:r>
        <w:rPr>
          <w:rFonts w:hint="eastAsia"/>
        </w:rPr>
        <w:t xml:space="preserve">GB 5009.3 </w:t>
      </w:r>
      <w:r>
        <w:rPr>
          <w:rFonts w:hint="eastAsia"/>
        </w:rPr>
        <w:t>规定的方法测定。</w:t>
      </w:r>
    </w:p>
    <w:p w:rsidR="00F50F70" w:rsidRDefault="00ED0960">
      <w:pPr>
        <w:pStyle w:val="a6"/>
        <w:spacing w:before="156" w:after="156"/>
      </w:pPr>
      <w:r>
        <w:rPr>
          <w:rFonts w:hint="eastAsia"/>
        </w:rPr>
        <w:t>蛋白质</w:t>
      </w:r>
    </w:p>
    <w:p w:rsidR="00F50F70" w:rsidRDefault="00ED0960">
      <w:pPr>
        <w:pStyle w:val="affc"/>
      </w:pPr>
      <w:r>
        <w:rPr>
          <w:rFonts w:hint="eastAsia"/>
        </w:rPr>
        <w:t>按</w:t>
      </w:r>
      <w:r>
        <w:rPr>
          <w:rFonts w:hint="eastAsia"/>
        </w:rPr>
        <w:t xml:space="preserve">GB 5009.5 </w:t>
      </w:r>
      <w:r>
        <w:rPr>
          <w:rFonts w:hint="eastAsia"/>
        </w:rPr>
        <w:t>规定的方法测定。</w:t>
      </w:r>
    </w:p>
    <w:p w:rsidR="00F50F70" w:rsidRDefault="00ED0960">
      <w:pPr>
        <w:pStyle w:val="a6"/>
        <w:spacing w:before="156" w:after="156"/>
      </w:pPr>
      <w:r>
        <w:rPr>
          <w:rFonts w:hint="eastAsia"/>
        </w:rPr>
        <w:t>总糖</w:t>
      </w:r>
    </w:p>
    <w:p w:rsidR="00F50F70" w:rsidRDefault="00ED0960">
      <w:pPr>
        <w:pStyle w:val="affc"/>
      </w:pPr>
      <w:r>
        <w:rPr>
          <w:rFonts w:hint="eastAsia"/>
        </w:rPr>
        <w:t>按</w:t>
      </w:r>
      <w:r>
        <w:rPr>
          <w:rFonts w:hint="eastAsia"/>
        </w:rPr>
        <w:t xml:space="preserve">GB/T 20977 </w:t>
      </w:r>
      <w:r>
        <w:rPr>
          <w:rFonts w:hint="eastAsia"/>
        </w:rPr>
        <w:t>规定的方法测定。</w:t>
      </w:r>
      <w:r>
        <w:rPr>
          <w:rFonts w:hint="eastAsia"/>
        </w:rPr>
        <w:t xml:space="preserve"> </w:t>
      </w:r>
    </w:p>
    <w:p w:rsidR="00F50F70" w:rsidRDefault="00ED0960">
      <w:pPr>
        <w:pStyle w:val="a6"/>
        <w:spacing w:before="156" w:after="156"/>
      </w:pPr>
      <w:r>
        <w:rPr>
          <w:rFonts w:hint="eastAsia"/>
        </w:rPr>
        <w:t>过氧化值</w:t>
      </w:r>
    </w:p>
    <w:p w:rsidR="00F50F70" w:rsidRDefault="00ED0960">
      <w:pPr>
        <w:pStyle w:val="affc"/>
      </w:pPr>
      <w:r>
        <w:rPr>
          <w:rFonts w:hint="eastAsia"/>
        </w:rPr>
        <w:t>按</w:t>
      </w:r>
      <w:r>
        <w:rPr>
          <w:rFonts w:hint="eastAsia"/>
        </w:rPr>
        <w:t xml:space="preserve">GB 5009.227 </w:t>
      </w:r>
      <w:r>
        <w:rPr>
          <w:rFonts w:hint="eastAsia"/>
        </w:rPr>
        <w:t>规定的方法测定。</w:t>
      </w:r>
    </w:p>
    <w:p w:rsidR="00F50F70" w:rsidRDefault="00ED0960">
      <w:pPr>
        <w:pStyle w:val="a6"/>
        <w:spacing w:before="156" w:after="156"/>
      </w:pPr>
      <w:r>
        <w:rPr>
          <w:rFonts w:hint="eastAsia"/>
        </w:rPr>
        <w:t>日落黄</w:t>
      </w:r>
    </w:p>
    <w:p w:rsidR="00F50F70" w:rsidRDefault="00ED0960">
      <w:pPr>
        <w:pStyle w:val="affc"/>
      </w:pPr>
      <w:r>
        <w:rPr>
          <w:rFonts w:hint="eastAsia"/>
        </w:rPr>
        <w:t>按</w:t>
      </w:r>
      <w:r>
        <w:rPr>
          <w:rFonts w:hint="eastAsia"/>
        </w:rPr>
        <w:t xml:space="preserve">GB 6227.1 </w:t>
      </w:r>
      <w:r>
        <w:rPr>
          <w:rFonts w:hint="eastAsia"/>
        </w:rPr>
        <w:t>中附录</w:t>
      </w:r>
      <w:r>
        <w:rPr>
          <w:rFonts w:hint="eastAsia"/>
        </w:rPr>
        <w:t>A</w:t>
      </w:r>
      <w:r>
        <w:rPr>
          <w:rFonts w:hint="eastAsia"/>
        </w:rPr>
        <w:t>规定的的方法测定。</w:t>
      </w:r>
    </w:p>
    <w:p w:rsidR="00F50F70" w:rsidRDefault="00ED0960">
      <w:pPr>
        <w:pStyle w:val="a6"/>
        <w:spacing w:before="156" w:after="156"/>
      </w:pPr>
      <w:r>
        <w:rPr>
          <w:rFonts w:hint="eastAsia"/>
        </w:rPr>
        <w:t>柠檬黄</w:t>
      </w:r>
    </w:p>
    <w:p w:rsidR="00F50F70" w:rsidRDefault="00ED0960">
      <w:pPr>
        <w:pStyle w:val="affc"/>
      </w:pPr>
      <w:r>
        <w:rPr>
          <w:rFonts w:hint="eastAsia"/>
        </w:rPr>
        <w:t>按</w:t>
      </w:r>
      <w:r>
        <w:t>GB 4481.1</w:t>
      </w:r>
      <w:r>
        <w:rPr>
          <w:rFonts w:hint="eastAsia"/>
        </w:rPr>
        <w:t xml:space="preserve"> </w:t>
      </w:r>
      <w:r>
        <w:rPr>
          <w:rFonts w:hint="eastAsia"/>
        </w:rPr>
        <w:t>中附录</w:t>
      </w:r>
      <w:r>
        <w:rPr>
          <w:rFonts w:hint="eastAsia"/>
        </w:rPr>
        <w:t>A</w:t>
      </w:r>
      <w:r>
        <w:rPr>
          <w:rFonts w:hint="eastAsia"/>
        </w:rPr>
        <w:t>规定的的方法测定。</w:t>
      </w:r>
    </w:p>
    <w:p w:rsidR="00F50F70" w:rsidRDefault="00ED0960">
      <w:pPr>
        <w:pStyle w:val="a5"/>
        <w:spacing w:before="156" w:after="156"/>
      </w:pPr>
      <w:r>
        <w:rPr>
          <w:rFonts w:hint="eastAsia"/>
        </w:rPr>
        <w:t>净含量</w:t>
      </w:r>
    </w:p>
    <w:p w:rsidR="00F50F70" w:rsidRDefault="00ED0960">
      <w:pPr>
        <w:pStyle w:val="affc"/>
      </w:pPr>
      <w:r>
        <w:rPr>
          <w:rFonts w:hint="eastAsia"/>
        </w:rPr>
        <w:t>按</w:t>
      </w:r>
      <w:r>
        <w:rPr>
          <w:rFonts w:hint="eastAsia"/>
        </w:rPr>
        <w:t xml:space="preserve">JJF 1070 </w:t>
      </w:r>
      <w:r>
        <w:rPr>
          <w:rFonts w:hint="eastAsia"/>
        </w:rPr>
        <w:t>规定的方法测定。</w:t>
      </w:r>
    </w:p>
    <w:p w:rsidR="00F50F70" w:rsidRDefault="00ED0960">
      <w:pPr>
        <w:pStyle w:val="a4"/>
        <w:spacing w:before="312" w:after="312"/>
        <w:rPr>
          <w:szCs w:val="22"/>
        </w:rPr>
      </w:pPr>
      <w:r>
        <w:rPr>
          <w:rFonts w:hint="eastAsia"/>
          <w:szCs w:val="22"/>
        </w:rPr>
        <w:t>检验规则</w:t>
      </w:r>
    </w:p>
    <w:p w:rsidR="00F50F70" w:rsidRDefault="00ED0960">
      <w:pPr>
        <w:pStyle w:val="a5"/>
        <w:spacing w:before="156" w:after="156"/>
      </w:pPr>
      <w:r>
        <w:rPr>
          <w:rFonts w:hint="eastAsia"/>
        </w:rPr>
        <w:t>组批</w:t>
      </w:r>
    </w:p>
    <w:p w:rsidR="00F50F70" w:rsidRDefault="00ED0960">
      <w:pPr>
        <w:pStyle w:val="affc"/>
      </w:pPr>
      <w:r>
        <w:rPr>
          <w:rFonts w:hint="eastAsia"/>
        </w:rPr>
        <w:t>同一班次、同一品种和相同工艺的产品为一批。</w:t>
      </w:r>
    </w:p>
    <w:p w:rsidR="00F50F70" w:rsidRDefault="00ED0960">
      <w:pPr>
        <w:pStyle w:val="a5"/>
        <w:spacing w:before="156" w:after="156"/>
        <w:rPr>
          <w:szCs w:val="22"/>
        </w:rPr>
      </w:pPr>
      <w:r>
        <w:rPr>
          <w:rFonts w:hint="eastAsia"/>
        </w:rPr>
        <w:t>抽样方法和数量</w:t>
      </w:r>
    </w:p>
    <w:p w:rsidR="00F50F70" w:rsidRDefault="00ED0960">
      <w:pPr>
        <w:pStyle w:val="afff8"/>
      </w:pPr>
      <w:r>
        <w:rPr>
          <w:rFonts w:hint="eastAsia"/>
        </w:rPr>
        <w:t>在成品库内抽样，抽样单位以包（盒）计。</w:t>
      </w:r>
    </w:p>
    <w:p w:rsidR="00F50F70" w:rsidRDefault="00ED0960">
      <w:pPr>
        <w:pStyle w:val="afff8"/>
      </w:pPr>
      <w:r>
        <w:rPr>
          <w:rFonts w:hint="eastAsia"/>
        </w:rPr>
        <w:t>每批随机抽取样品，数量满足检验和</w:t>
      </w:r>
      <w:r>
        <w:rPr>
          <w:rFonts w:hint="eastAsia"/>
        </w:rPr>
        <w:t>备</w:t>
      </w:r>
      <w:r>
        <w:rPr>
          <w:rFonts w:hint="eastAsia"/>
        </w:rPr>
        <w:t>样的需要。将样品平均分为</w:t>
      </w:r>
      <w:r>
        <w:rPr>
          <w:rFonts w:hint="eastAsia"/>
        </w:rPr>
        <w:t>2</w:t>
      </w:r>
      <w:r>
        <w:rPr>
          <w:rFonts w:hint="eastAsia"/>
        </w:rPr>
        <w:t>份，</w:t>
      </w:r>
      <w:r>
        <w:rPr>
          <w:rFonts w:hint="eastAsia"/>
        </w:rPr>
        <w:t>1</w:t>
      </w:r>
      <w:r>
        <w:rPr>
          <w:rFonts w:hint="eastAsia"/>
        </w:rPr>
        <w:t>份检验，</w:t>
      </w:r>
      <w:r>
        <w:rPr>
          <w:rFonts w:hint="eastAsia"/>
        </w:rPr>
        <w:t>1</w:t>
      </w:r>
      <w:r>
        <w:rPr>
          <w:rFonts w:hint="eastAsia"/>
        </w:rPr>
        <w:t>份备查。</w:t>
      </w:r>
    </w:p>
    <w:p w:rsidR="00F50F70" w:rsidRDefault="00ED0960">
      <w:pPr>
        <w:pStyle w:val="a5"/>
        <w:spacing w:before="156" w:after="156"/>
        <w:rPr>
          <w:szCs w:val="22"/>
        </w:rPr>
      </w:pPr>
      <w:r>
        <w:rPr>
          <w:rFonts w:hint="eastAsia"/>
        </w:rPr>
        <w:t>出厂检验</w:t>
      </w:r>
    </w:p>
    <w:p w:rsidR="00F50F70" w:rsidRDefault="00ED0960">
      <w:pPr>
        <w:pStyle w:val="afff8"/>
      </w:pPr>
      <w:r>
        <w:rPr>
          <w:rFonts w:hint="eastAsia"/>
        </w:rPr>
        <w:t>产品出厂需经检验部门逐批检验，检验合格方可出厂。</w:t>
      </w:r>
    </w:p>
    <w:p w:rsidR="00F50F70" w:rsidRDefault="00ED0960">
      <w:pPr>
        <w:pStyle w:val="afff8"/>
        <w:rPr>
          <w:rFonts w:asciiTheme="minorEastAsia" w:eastAsiaTheme="minorEastAsia" w:hAnsiTheme="minorEastAsia" w:cstheme="minorEastAsia"/>
          <w:szCs w:val="22"/>
        </w:rPr>
      </w:pPr>
      <w:r>
        <w:rPr>
          <w:rFonts w:hint="eastAsia"/>
        </w:rPr>
        <w:t>产品出厂检验项目包括</w:t>
      </w:r>
      <w:r>
        <w:rPr>
          <w:rFonts w:hint="eastAsia"/>
        </w:rPr>
        <w:t>:</w:t>
      </w:r>
      <w:r>
        <w:rPr>
          <w:rFonts w:hint="eastAsia"/>
        </w:rPr>
        <w:t>感官要求、净含量、水分。</w:t>
      </w:r>
      <w:r>
        <w:rPr>
          <w:rFonts w:eastAsiaTheme="minorEastAsia" w:hint="eastAsia"/>
        </w:rPr>
        <w:t>优级产品出厂检验项目还包括：过氧化值</w:t>
      </w:r>
      <w:r>
        <w:rPr>
          <w:rFonts w:hint="eastAsia"/>
        </w:rPr>
        <w:t>和馅含量</w:t>
      </w:r>
      <w:r>
        <w:rPr>
          <w:rFonts w:eastAsiaTheme="minorEastAsia" w:hint="eastAsia"/>
        </w:rPr>
        <w:t>。</w:t>
      </w:r>
    </w:p>
    <w:p w:rsidR="00F50F70" w:rsidRDefault="00ED0960">
      <w:pPr>
        <w:pStyle w:val="afff8"/>
      </w:pPr>
      <w:r>
        <w:rPr>
          <w:rFonts w:hint="eastAsia"/>
        </w:rPr>
        <w:t>出厂检验项目全部符合本标准，判为合格品（或优级品）。</w:t>
      </w:r>
    </w:p>
    <w:p w:rsidR="00F50F70" w:rsidRDefault="00ED0960">
      <w:pPr>
        <w:pStyle w:val="afff8"/>
        <w:rPr>
          <w:rFonts w:asciiTheme="minorEastAsia" w:eastAsiaTheme="minorEastAsia" w:hAnsiTheme="minorEastAsia" w:cstheme="minorEastAsia"/>
          <w:szCs w:val="22"/>
        </w:rPr>
      </w:pPr>
      <w:r>
        <w:rPr>
          <w:rFonts w:hint="eastAsia"/>
        </w:rPr>
        <w:t>出厂检验中微生物指标有一项不合格时，则判为该批产品不合格，并不得复检。其余指标不合格（或不符合），可在同批产品中对不合</w:t>
      </w:r>
      <w:r>
        <w:rPr>
          <w:rFonts w:hint="eastAsia"/>
        </w:rPr>
        <w:t>格（或不符合）项目进行复检，复检后如仍有一项不符合本标准，则判为该批产品不合格（或不符合）。</w:t>
      </w:r>
    </w:p>
    <w:p w:rsidR="00F50F70" w:rsidRDefault="00ED0960">
      <w:pPr>
        <w:pStyle w:val="a5"/>
        <w:spacing w:before="156" w:after="156"/>
        <w:rPr>
          <w:szCs w:val="22"/>
        </w:rPr>
      </w:pPr>
      <w:r>
        <w:rPr>
          <w:rFonts w:hint="eastAsia"/>
        </w:rPr>
        <w:t>型式检验</w:t>
      </w:r>
    </w:p>
    <w:p w:rsidR="00F50F70" w:rsidRDefault="00ED0960">
      <w:pPr>
        <w:pStyle w:val="afff8"/>
      </w:pPr>
      <w:r>
        <w:rPr>
          <w:rFonts w:hint="eastAsia"/>
        </w:rPr>
        <w:t>型式检验项目应包含本文件</w:t>
      </w:r>
      <w:r>
        <w:rPr>
          <w:rFonts w:hint="eastAsia"/>
        </w:rPr>
        <w:t>5.2-5.</w:t>
      </w:r>
      <w:r>
        <w:rPr>
          <w:rFonts w:hint="eastAsia"/>
        </w:rPr>
        <w:t>7</w:t>
      </w:r>
      <w:r>
        <w:rPr>
          <w:rFonts w:hint="eastAsia"/>
        </w:rPr>
        <w:t>规定的项目。</w:t>
      </w:r>
    </w:p>
    <w:p w:rsidR="00F50F70" w:rsidRDefault="00ED0960">
      <w:pPr>
        <w:pStyle w:val="afff8"/>
      </w:pPr>
      <w:r>
        <w:rPr>
          <w:rFonts w:hint="eastAsia"/>
        </w:rPr>
        <w:t>季节性生产时应于生产前进行型式检验，常年生产时每</w:t>
      </w:r>
      <w:r>
        <w:rPr>
          <w:rFonts w:hint="eastAsia"/>
        </w:rPr>
        <w:t>6</w:t>
      </w:r>
      <w:r>
        <w:rPr>
          <w:rFonts w:hint="eastAsia"/>
        </w:rPr>
        <w:t>个月应进行型式检验。</w:t>
      </w:r>
    </w:p>
    <w:p w:rsidR="00F50F70" w:rsidRDefault="00ED0960">
      <w:pPr>
        <w:pStyle w:val="afff8"/>
      </w:pPr>
      <w:r>
        <w:rPr>
          <w:rFonts w:hint="eastAsia"/>
        </w:rPr>
        <w:lastRenderedPageBreak/>
        <w:t>有下列情况之一时应进行型式检验</w:t>
      </w:r>
      <w:r>
        <w:rPr>
          <w:rFonts w:hint="eastAsia"/>
        </w:rPr>
        <w:t>:</w:t>
      </w:r>
    </w:p>
    <w:p w:rsidR="00F50F70" w:rsidRDefault="00ED0960">
      <w:pPr>
        <w:pStyle w:val="af0"/>
      </w:pPr>
      <w:r>
        <w:rPr>
          <w:rFonts w:hint="eastAsia"/>
        </w:rPr>
        <w:t>新产品试制鉴定时</w:t>
      </w:r>
      <w:r>
        <w:rPr>
          <w:rFonts w:hint="eastAsia"/>
        </w:rPr>
        <w:t>;</w:t>
      </w:r>
    </w:p>
    <w:p w:rsidR="00F50F70" w:rsidRDefault="00ED0960">
      <w:pPr>
        <w:pStyle w:val="af0"/>
      </w:pPr>
      <w:r>
        <w:rPr>
          <w:rFonts w:hint="eastAsia"/>
        </w:rPr>
        <w:t>正式投产后，如原料、生产工艺有较大改变，影响产品质量时</w:t>
      </w:r>
      <w:r>
        <w:rPr>
          <w:rFonts w:hint="eastAsia"/>
        </w:rPr>
        <w:t>;</w:t>
      </w:r>
    </w:p>
    <w:p w:rsidR="00F50F70" w:rsidRDefault="00ED0960">
      <w:pPr>
        <w:pStyle w:val="af0"/>
      </w:pPr>
      <w:r>
        <w:rPr>
          <w:rFonts w:hint="eastAsia"/>
        </w:rPr>
        <w:t>产品停产半年以上，恢复生产时</w:t>
      </w:r>
      <w:r>
        <w:rPr>
          <w:rFonts w:hint="eastAsia"/>
        </w:rPr>
        <w:t>;</w:t>
      </w:r>
    </w:p>
    <w:p w:rsidR="00F50F70" w:rsidRDefault="00ED0960">
      <w:pPr>
        <w:pStyle w:val="af0"/>
      </w:pPr>
      <w:r>
        <w:rPr>
          <w:rFonts w:hint="eastAsia"/>
        </w:rPr>
        <w:t>出厂检验结果与上次型式检验有较大差异时</w:t>
      </w:r>
      <w:r>
        <w:rPr>
          <w:rFonts w:hint="eastAsia"/>
        </w:rPr>
        <w:t>；</w:t>
      </w:r>
    </w:p>
    <w:p w:rsidR="00F50F70" w:rsidRDefault="00ED0960">
      <w:pPr>
        <w:pStyle w:val="af0"/>
      </w:pPr>
      <w:r>
        <w:rPr>
          <w:rFonts w:hint="eastAsia"/>
        </w:rPr>
        <w:t>国家质量监督部门提出要求时。</w:t>
      </w:r>
    </w:p>
    <w:p w:rsidR="00F50F70" w:rsidRDefault="00ED0960">
      <w:pPr>
        <w:pStyle w:val="afff8"/>
      </w:pPr>
      <w:r>
        <w:rPr>
          <w:rFonts w:hint="eastAsia"/>
        </w:rPr>
        <w:t>型式检验项目全部符合本标准要求，判为合格品（或优级品）。</w:t>
      </w:r>
    </w:p>
    <w:p w:rsidR="00F50F70" w:rsidRDefault="00ED0960">
      <w:pPr>
        <w:pStyle w:val="afff8"/>
      </w:pPr>
      <w:r>
        <w:rPr>
          <w:rFonts w:hint="eastAsia"/>
        </w:rPr>
        <w:t>型式检验项目不超过两项不符合本标准，可以加倍抽样复检。复检后仍有一项不符合本标准，则判定该批产品为不合格品（或不符合）。超过两项不符合本标准，则判定该产品为不合格品（或不符合），并不得复检。</w:t>
      </w:r>
    </w:p>
    <w:p w:rsidR="00F50F70" w:rsidRDefault="00ED0960">
      <w:pPr>
        <w:pStyle w:val="afff8"/>
      </w:pPr>
      <w:r>
        <w:rPr>
          <w:rFonts w:hint="eastAsia"/>
        </w:rPr>
        <w:t>型式检验项目微生物指标有一项不合格时，则判为该批产品不合格，并不得复检。</w:t>
      </w:r>
    </w:p>
    <w:p w:rsidR="00F50F70" w:rsidRDefault="00ED0960">
      <w:pPr>
        <w:pStyle w:val="a4"/>
        <w:spacing w:before="312" w:after="312"/>
        <w:rPr>
          <w:szCs w:val="22"/>
        </w:rPr>
      </w:pPr>
      <w:r>
        <w:rPr>
          <w:rFonts w:hint="eastAsia"/>
          <w:szCs w:val="22"/>
        </w:rPr>
        <w:t>标签、标志和包装</w:t>
      </w:r>
    </w:p>
    <w:p w:rsidR="00F50F70" w:rsidRDefault="00ED0960">
      <w:pPr>
        <w:pStyle w:val="affffff3"/>
      </w:pPr>
      <w:r>
        <w:rPr>
          <w:rFonts w:hint="eastAsia"/>
        </w:rPr>
        <w:t>标签应符合</w:t>
      </w:r>
      <w:r>
        <w:rPr>
          <w:rFonts w:hint="eastAsia"/>
        </w:rPr>
        <w:t>GB 7718</w:t>
      </w:r>
      <w:r>
        <w:rPr>
          <w:rFonts w:hint="eastAsia"/>
        </w:rPr>
        <w:t>和</w:t>
      </w:r>
      <w:r>
        <w:rPr>
          <w:rFonts w:hint="eastAsia"/>
        </w:rPr>
        <w:t>GB28050</w:t>
      </w:r>
      <w:r>
        <w:rPr>
          <w:rFonts w:hint="eastAsia"/>
        </w:rPr>
        <w:t>的规定。同时</w:t>
      </w:r>
      <w:bookmarkStart w:id="20" w:name="_GoBack"/>
      <w:bookmarkEnd w:id="20"/>
      <w:r>
        <w:rPr>
          <w:rFonts w:hint="eastAsia"/>
        </w:rPr>
        <w:t>还应注明产品等级、</w:t>
      </w:r>
      <w:r>
        <w:rPr>
          <w:rFonts w:hint="eastAsia"/>
        </w:rPr>
        <w:t>南瓜含量、生制品、</w:t>
      </w:r>
      <w:r>
        <w:rPr>
          <w:rFonts w:hint="eastAsia"/>
        </w:rPr>
        <w:t>速冻以及烹调加工方式。</w:t>
      </w:r>
    </w:p>
    <w:p w:rsidR="00F50F70" w:rsidRDefault="00ED0960">
      <w:pPr>
        <w:pStyle w:val="affffff3"/>
      </w:pPr>
      <w:r>
        <w:rPr>
          <w:rFonts w:hint="eastAsia"/>
        </w:rPr>
        <w:t>包装储运标志应符合</w:t>
      </w:r>
      <w:r>
        <w:rPr>
          <w:rFonts w:hint="eastAsia"/>
        </w:rPr>
        <w:t>GB/T191</w:t>
      </w:r>
      <w:r>
        <w:rPr>
          <w:rFonts w:hint="eastAsia"/>
        </w:rPr>
        <w:t>的规定。</w:t>
      </w:r>
    </w:p>
    <w:p w:rsidR="00F50F70" w:rsidRDefault="00ED0960">
      <w:pPr>
        <w:pStyle w:val="affffff3"/>
      </w:pPr>
      <w:r>
        <w:rPr>
          <w:rFonts w:hint="eastAsia"/>
        </w:rPr>
        <w:t>复合</w:t>
      </w:r>
      <w:r>
        <w:rPr>
          <w:rFonts w:asciiTheme="minorEastAsia" w:eastAsiaTheme="minorEastAsia" w:hAnsiTheme="minorEastAsia" w:cstheme="minorEastAsia" w:hint="eastAsia"/>
        </w:rPr>
        <w:t>塑料</w:t>
      </w:r>
      <w:r>
        <w:rPr>
          <w:rFonts w:hint="eastAsia"/>
        </w:rPr>
        <w:t>包装材料应符合</w:t>
      </w:r>
      <w:r>
        <w:rPr>
          <w:rFonts w:hint="eastAsia"/>
        </w:rPr>
        <w:t>GB 4806.7</w:t>
      </w:r>
      <w:r>
        <w:rPr>
          <w:rFonts w:hint="eastAsia"/>
        </w:rPr>
        <w:t>的规定。</w:t>
      </w:r>
    </w:p>
    <w:p w:rsidR="00F50F70" w:rsidRDefault="00ED0960">
      <w:pPr>
        <w:pStyle w:val="affffff3"/>
      </w:pPr>
      <w:r>
        <w:rPr>
          <w:rFonts w:hint="eastAsia"/>
        </w:rPr>
        <w:t>食品塑料周转箱应符合</w:t>
      </w:r>
      <w:r>
        <w:rPr>
          <w:rFonts w:hint="eastAsia"/>
        </w:rPr>
        <w:t>GB</w:t>
      </w:r>
      <w:r>
        <w:rPr>
          <w:rFonts w:hint="eastAsia"/>
        </w:rPr>
        <w:t>/T 5737</w:t>
      </w:r>
      <w:r>
        <w:rPr>
          <w:rFonts w:hint="eastAsia"/>
        </w:rPr>
        <w:t>的规定。</w:t>
      </w:r>
    </w:p>
    <w:p w:rsidR="00F50F70" w:rsidRDefault="00ED0960">
      <w:pPr>
        <w:pStyle w:val="a4"/>
        <w:spacing w:before="312" w:after="312"/>
        <w:rPr>
          <w:szCs w:val="22"/>
        </w:rPr>
      </w:pPr>
      <w:r>
        <w:rPr>
          <w:rFonts w:hint="eastAsia"/>
          <w:szCs w:val="22"/>
        </w:rPr>
        <w:t>运输和贮存</w:t>
      </w:r>
    </w:p>
    <w:p w:rsidR="00F50F70" w:rsidRDefault="00ED0960">
      <w:pPr>
        <w:pStyle w:val="a5"/>
        <w:spacing w:before="156" w:after="156"/>
      </w:pPr>
      <w:r>
        <w:rPr>
          <w:rFonts w:hint="eastAsia"/>
        </w:rPr>
        <w:t>运输</w:t>
      </w:r>
    </w:p>
    <w:p w:rsidR="00F50F70" w:rsidRDefault="00ED0960">
      <w:pPr>
        <w:pStyle w:val="afff8"/>
      </w:pPr>
      <w:r>
        <w:rPr>
          <w:rFonts w:hint="eastAsia"/>
        </w:rPr>
        <w:t>运输设备厢体应在装载前进行预冷，温度应预冷到</w:t>
      </w:r>
      <w:r>
        <w:rPr>
          <w:rFonts w:hint="eastAsia"/>
        </w:rPr>
        <w:t>10</w:t>
      </w:r>
      <w:r>
        <w:rPr>
          <w:rFonts w:hint="eastAsia"/>
        </w:rPr>
        <w:t>℃或以下，或达到双方约定的预冷温度时方可开始装载，确保</w:t>
      </w:r>
      <w:r>
        <w:rPr>
          <w:rFonts w:hint="eastAsia"/>
        </w:rPr>
        <w:t>速冻南瓜饼</w:t>
      </w:r>
      <w:r>
        <w:rPr>
          <w:rFonts w:hint="eastAsia"/>
        </w:rPr>
        <w:t>在装载过程中不因环境温度影响而降低品质。</w:t>
      </w:r>
    </w:p>
    <w:p w:rsidR="00F50F70" w:rsidRDefault="00ED0960">
      <w:pPr>
        <w:pStyle w:val="afff8"/>
      </w:pPr>
      <w:r>
        <w:rPr>
          <w:rFonts w:hint="eastAsia"/>
        </w:rPr>
        <w:t>速冻南瓜饼</w:t>
      </w:r>
      <w:r>
        <w:rPr>
          <w:rFonts w:hint="eastAsia"/>
        </w:rPr>
        <w:t>运输时应避免日晒、雨淋。不得与有毒、有害、有异味或影响产品质量的物品混装</w:t>
      </w:r>
      <w:r>
        <w:rPr>
          <w:rFonts w:hint="eastAsia"/>
        </w:rPr>
        <w:t>运输。</w:t>
      </w:r>
    </w:p>
    <w:p w:rsidR="00F50F70" w:rsidRDefault="00ED0960">
      <w:pPr>
        <w:pStyle w:val="afff8"/>
      </w:pPr>
      <w:r>
        <w:rPr>
          <w:rFonts w:hint="eastAsia"/>
        </w:rPr>
        <w:t>速冻南瓜饼</w:t>
      </w:r>
      <w:r>
        <w:rPr>
          <w:rFonts w:hint="eastAsia"/>
        </w:rPr>
        <w:t>装卸时应轻搬、轻放，不得重压。</w:t>
      </w:r>
    </w:p>
    <w:p w:rsidR="00F50F70" w:rsidRDefault="00ED0960">
      <w:pPr>
        <w:pStyle w:val="afff8"/>
      </w:pPr>
      <w:r>
        <w:rPr>
          <w:rFonts w:hint="eastAsia"/>
        </w:rPr>
        <w:t>速冻南瓜饼</w:t>
      </w:r>
      <w:r>
        <w:rPr>
          <w:rFonts w:hint="eastAsia"/>
        </w:rPr>
        <w:t>应在</w:t>
      </w:r>
      <w:r>
        <w:rPr>
          <w:rFonts w:hint="eastAsia"/>
        </w:rPr>
        <w:t>-12</w:t>
      </w:r>
      <w:r>
        <w:rPr>
          <w:rFonts w:hint="eastAsia"/>
        </w:rPr>
        <w:t>℃及以下温度的运输工具内运输。</w:t>
      </w:r>
    </w:p>
    <w:p w:rsidR="00F50F70" w:rsidRDefault="00ED0960">
      <w:pPr>
        <w:pStyle w:val="a5"/>
        <w:spacing w:before="156" w:after="156"/>
      </w:pPr>
      <w:r>
        <w:rPr>
          <w:rFonts w:hint="eastAsia"/>
        </w:rPr>
        <w:t>贮存</w:t>
      </w:r>
    </w:p>
    <w:p w:rsidR="00F50F70" w:rsidRDefault="00ED0960">
      <w:pPr>
        <w:pStyle w:val="affffff3"/>
      </w:pPr>
      <w:r>
        <w:rPr>
          <w:rFonts w:hint="eastAsia"/>
        </w:rPr>
        <w:t>速冻南瓜饼</w:t>
      </w:r>
      <w:r>
        <w:t>贮存过程不得与有毒、有害、有腐蚀</w:t>
      </w:r>
      <w:r>
        <w:rPr>
          <w:rFonts w:hint="eastAsia"/>
        </w:rPr>
        <w:t>性</w:t>
      </w:r>
      <w:r>
        <w:t>、有异味的物品或其他影响产品质量的物品一起存放。</w:t>
      </w:r>
    </w:p>
    <w:p w:rsidR="00F50F70" w:rsidRDefault="00ED0960">
      <w:pPr>
        <w:pStyle w:val="affffff3"/>
      </w:pPr>
      <w:r>
        <w:rPr>
          <w:rFonts w:hint="eastAsia"/>
        </w:rPr>
        <w:t>速冻南瓜饼</w:t>
      </w:r>
      <w:r>
        <w:rPr>
          <w:rFonts w:hint="eastAsia"/>
        </w:rPr>
        <w:t>应与墙壁、地面保持适当</w:t>
      </w:r>
      <w:r>
        <w:rPr>
          <w:rFonts w:hint="eastAsia"/>
        </w:rPr>
        <w:t>的距离，以利于空气流通及物品搬运。</w:t>
      </w:r>
    </w:p>
    <w:p w:rsidR="00F50F70" w:rsidRDefault="00ED0960">
      <w:pPr>
        <w:pStyle w:val="affffff3"/>
      </w:pPr>
      <w:r>
        <w:rPr>
          <w:rFonts w:hint="eastAsia"/>
        </w:rPr>
        <w:t>速冻南瓜饼</w:t>
      </w:r>
      <w:r>
        <w:rPr>
          <w:rFonts w:hint="eastAsia"/>
        </w:rPr>
        <w:t>应在</w:t>
      </w:r>
      <w:r>
        <w:rPr>
          <w:rFonts w:hint="eastAsia"/>
        </w:rPr>
        <w:t>-18</w:t>
      </w:r>
      <w:r>
        <w:rPr>
          <w:rFonts w:hint="eastAsia"/>
        </w:rPr>
        <w:t>℃及以下温度贮存。温度波动范围控制在</w:t>
      </w:r>
      <w:r>
        <w:rPr>
          <w:rFonts w:hint="eastAsia"/>
        </w:rPr>
        <w:t>2</w:t>
      </w:r>
      <w:r>
        <w:rPr>
          <w:rFonts w:hint="eastAsia"/>
        </w:rPr>
        <w:t>℃以内。</w:t>
      </w:r>
    </w:p>
    <w:p w:rsidR="00F50F70" w:rsidRDefault="00ED0960">
      <w:pPr>
        <w:pStyle w:val="a4"/>
        <w:spacing w:before="312" w:after="312"/>
        <w:rPr>
          <w:szCs w:val="22"/>
        </w:rPr>
      </w:pPr>
      <w:r>
        <w:rPr>
          <w:rFonts w:hAnsi="黑体" w:cs="黑体" w:hint="eastAsia"/>
          <w:szCs w:val="21"/>
        </w:rPr>
        <w:t>销售</w:t>
      </w:r>
    </w:p>
    <w:p w:rsidR="00F50F70" w:rsidRDefault="00ED0960">
      <w:pPr>
        <w:pStyle w:val="affc"/>
      </w:pPr>
      <w:r>
        <w:rPr>
          <w:rFonts w:hint="eastAsia"/>
        </w:rPr>
        <w:t>销售应符合</w:t>
      </w:r>
      <w:r>
        <w:t>GB31646</w:t>
      </w:r>
      <w:r>
        <w:rPr>
          <w:rFonts w:hint="eastAsia"/>
        </w:rPr>
        <w:t>的有关规定。</w:t>
      </w:r>
    </w:p>
    <w:p w:rsidR="00F50F70" w:rsidRDefault="00ED0960">
      <w:pPr>
        <w:pStyle w:val="a4"/>
        <w:spacing w:before="312" w:after="312"/>
        <w:rPr>
          <w:szCs w:val="22"/>
        </w:rPr>
      </w:pPr>
      <w:r>
        <w:rPr>
          <w:rFonts w:hAnsi="黑体" w:cs="黑体" w:hint="eastAsia"/>
          <w:szCs w:val="21"/>
        </w:rPr>
        <w:t>召回</w:t>
      </w:r>
    </w:p>
    <w:p w:rsidR="00F50F70" w:rsidRDefault="00ED0960">
      <w:pPr>
        <w:pStyle w:val="affffff3"/>
      </w:pPr>
      <w:r>
        <w:rPr>
          <w:rFonts w:hint="eastAsia"/>
        </w:rPr>
        <w:lastRenderedPageBreak/>
        <w:t>发现其生产的</w:t>
      </w:r>
      <w:r>
        <w:rPr>
          <w:rFonts w:hint="eastAsia"/>
        </w:rPr>
        <w:t>速冻南瓜饼</w:t>
      </w:r>
      <w:r>
        <w:rPr>
          <w:rFonts w:hint="eastAsia"/>
        </w:rPr>
        <w:t>不符合食品安全标准或者有证据证明可能危害人体健康的，应立即停止生产，召回已经上市销售的</w:t>
      </w:r>
      <w:r>
        <w:rPr>
          <w:rFonts w:hint="eastAsia"/>
        </w:rPr>
        <w:t>速冻南瓜饼</w:t>
      </w:r>
      <w:r>
        <w:rPr>
          <w:rFonts w:hint="eastAsia"/>
        </w:rPr>
        <w:t>，通知相关生产经营者和消费者，并记录召回和通知情况。</w:t>
      </w:r>
    </w:p>
    <w:p w:rsidR="00F50F70" w:rsidRDefault="00ED0960">
      <w:pPr>
        <w:pStyle w:val="affffff3"/>
      </w:pPr>
      <w:r>
        <w:rPr>
          <w:rFonts w:hint="eastAsia"/>
        </w:rPr>
        <w:t>应将</w:t>
      </w:r>
      <w:r>
        <w:rPr>
          <w:rFonts w:hint="eastAsia"/>
        </w:rPr>
        <w:t>速冻南瓜饼</w:t>
      </w:r>
      <w:r>
        <w:rPr>
          <w:rFonts w:hint="eastAsia"/>
        </w:rPr>
        <w:t>召回和处理情况向所在地县级市场监督管理部门报告</w:t>
      </w:r>
      <w:r>
        <w:rPr>
          <w:rFonts w:hint="eastAsia"/>
        </w:rPr>
        <w:t>;</w:t>
      </w:r>
      <w:r>
        <w:rPr>
          <w:rFonts w:hint="eastAsia"/>
        </w:rPr>
        <w:t>需要对召回的</w:t>
      </w:r>
      <w:r>
        <w:rPr>
          <w:rFonts w:hint="eastAsia"/>
        </w:rPr>
        <w:t>速冻南瓜饼</w:t>
      </w:r>
      <w:r>
        <w:rPr>
          <w:rFonts w:hint="eastAsia"/>
        </w:rPr>
        <w:t>进行无害化处理、销毁的，应提前报告时间、地点。县级市场监督管理部门认为必要的，企业应配合其实施现场监督。</w:t>
      </w:r>
    </w:p>
    <w:p w:rsidR="00F50F70" w:rsidRDefault="00F50F70">
      <w:pPr>
        <w:pStyle w:val="affc"/>
      </w:pPr>
    </w:p>
    <w:p w:rsidR="00F50F70" w:rsidRDefault="00ED0960">
      <w:pPr>
        <w:pStyle w:val="affffff5"/>
        <w:framePr w:wrap="around"/>
      </w:pPr>
      <w:r>
        <w:t>_________________________________</w:t>
      </w:r>
    </w:p>
    <w:sectPr w:rsidR="00F50F70" w:rsidSect="00F50F70">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960" w:rsidRDefault="00ED0960" w:rsidP="00F50F70">
      <w:r>
        <w:separator/>
      </w:r>
    </w:p>
  </w:endnote>
  <w:endnote w:type="continuationSeparator" w:id="1">
    <w:p w:rsidR="00ED0960" w:rsidRDefault="00ED0960" w:rsidP="00F50F7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F70" w:rsidRDefault="00F50F70">
    <w:pPr>
      <w:pStyle w:val="afff4"/>
    </w:pPr>
    <w:r>
      <w:fldChar w:fldCharType="begin"/>
    </w:r>
    <w:r w:rsidR="00ED0960">
      <w:instrText xml:space="preserve"> PAGE  \* MERGEFORMAT </w:instrText>
    </w:r>
    <w:r>
      <w:fldChar w:fldCharType="separate"/>
    </w:r>
    <w:r w:rsidR="00614B47">
      <w:rPr>
        <w:noProof/>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960" w:rsidRDefault="00ED0960" w:rsidP="00F50F70">
      <w:r>
        <w:separator/>
      </w:r>
    </w:p>
  </w:footnote>
  <w:footnote w:type="continuationSeparator" w:id="1">
    <w:p w:rsidR="00ED0960" w:rsidRDefault="00ED0960" w:rsidP="00F50F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F70" w:rsidRDefault="00ED0960">
    <w:pPr>
      <w:pStyle w:val="21"/>
      <w:framePr w:w="0" w:hRule="auto" w:hSpace="0" w:wrap="auto" w:vAnchor="margin" w:hAnchor="text" w:xAlign="left" w:yAlign="inline"/>
      <w:spacing w:before="0" w:after="220" w:line="240" w:lineRule="auto"/>
      <w:jc w:val="left"/>
      <w:rPr>
        <w:rFonts w:hAnsi="黑体"/>
        <w:sz w:val="21"/>
        <w:szCs w:val="21"/>
      </w:rPr>
    </w:pPr>
    <w:r>
      <w:rPr>
        <w:rFonts w:hAnsi="黑体"/>
        <w:sz w:val="21"/>
        <w:szCs w:val="21"/>
      </w:rPr>
      <w:t xml:space="preserve">T/ZFS </w:t>
    </w:r>
    <w:r>
      <w:rPr>
        <w:rFonts w:hAnsi="黑体" w:hint="eastAsia"/>
        <w:sz w:val="21"/>
        <w:szCs w:val="21"/>
      </w:rPr>
      <w:t>XXXX</w:t>
    </w:r>
    <w:r>
      <w:rPr>
        <w:rFonts w:hAnsi="黑体"/>
        <w:sz w:val="21"/>
        <w:szCs w:val="21"/>
      </w:rP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35925"/>
    <w:rsid w:val="00000244"/>
    <w:rsid w:val="0000185F"/>
    <w:rsid w:val="0000586F"/>
    <w:rsid w:val="00013D86"/>
    <w:rsid w:val="00013E02"/>
    <w:rsid w:val="0002143C"/>
    <w:rsid w:val="00025A65"/>
    <w:rsid w:val="00026C31"/>
    <w:rsid w:val="00026C3E"/>
    <w:rsid w:val="00027155"/>
    <w:rsid w:val="00027280"/>
    <w:rsid w:val="000320A7"/>
    <w:rsid w:val="00032310"/>
    <w:rsid w:val="00035925"/>
    <w:rsid w:val="000477BB"/>
    <w:rsid w:val="00057B8D"/>
    <w:rsid w:val="00067288"/>
    <w:rsid w:val="00067CDF"/>
    <w:rsid w:val="00067D87"/>
    <w:rsid w:val="00074FBE"/>
    <w:rsid w:val="00083A09"/>
    <w:rsid w:val="0009005E"/>
    <w:rsid w:val="000921C1"/>
    <w:rsid w:val="00092857"/>
    <w:rsid w:val="00096F57"/>
    <w:rsid w:val="000A20A9"/>
    <w:rsid w:val="000A48B1"/>
    <w:rsid w:val="000B3143"/>
    <w:rsid w:val="000B5142"/>
    <w:rsid w:val="000B572F"/>
    <w:rsid w:val="000C6B05"/>
    <w:rsid w:val="000C6DD6"/>
    <w:rsid w:val="000C73D4"/>
    <w:rsid w:val="000D3D4C"/>
    <w:rsid w:val="000D4F51"/>
    <w:rsid w:val="000D718B"/>
    <w:rsid w:val="000E0C46"/>
    <w:rsid w:val="000F030C"/>
    <w:rsid w:val="000F129C"/>
    <w:rsid w:val="001024A1"/>
    <w:rsid w:val="0010562B"/>
    <w:rsid w:val="001056DE"/>
    <w:rsid w:val="001124C0"/>
    <w:rsid w:val="00114FE7"/>
    <w:rsid w:val="00122069"/>
    <w:rsid w:val="00122AB0"/>
    <w:rsid w:val="0013175F"/>
    <w:rsid w:val="00131E96"/>
    <w:rsid w:val="00132D85"/>
    <w:rsid w:val="001330D0"/>
    <w:rsid w:val="00142329"/>
    <w:rsid w:val="00143E3E"/>
    <w:rsid w:val="0014698F"/>
    <w:rsid w:val="001512B4"/>
    <w:rsid w:val="001620A5"/>
    <w:rsid w:val="00163263"/>
    <w:rsid w:val="001638D4"/>
    <w:rsid w:val="001649C8"/>
    <w:rsid w:val="00164E53"/>
    <w:rsid w:val="0016699D"/>
    <w:rsid w:val="001713B4"/>
    <w:rsid w:val="00175159"/>
    <w:rsid w:val="00176208"/>
    <w:rsid w:val="0018211B"/>
    <w:rsid w:val="00183703"/>
    <w:rsid w:val="001840D3"/>
    <w:rsid w:val="00184AAE"/>
    <w:rsid w:val="00185DFE"/>
    <w:rsid w:val="001900F8"/>
    <w:rsid w:val="0019049A"/>
    <w:rsid w:val="00191258"/>
    <w:rsid w:val="00192680"/>
    <w:rsid w:val="00193037"/>
    <w:rsid w:val="00193A2C"/>
    <w:rsid w:val="00194EE2"/>
    <w:rsid w:val="001A288E"/>
    <w:rsid w:val="001B6DC2"/>
    <w:rsid w:val="001C149C"/>
    <w:rsid w:val="001C21AC"/>
    <w:rsid w:val="001C47BA"/>
    <w:rsid w:val="001C4AC9"/>
    <w:rsid w:val="001C59EA"/>
    <w:rsid w:val="001C6EDE"/>
    <w:rsid w:val="001D406C"/>
    <w:rsid w:val="001D41EE"/>
    <w:rsid w:val="001E0380"/>
    <w:rsid w:val="001E13B1"/>
    <w:rsid w:val="001E3543"/>
    <w:rsid w:val="001F3A19"/>
    <w:rsid w:val="00206E3E"/>
    <w:rsid w:val="00217A9A"/>
    <w:rsid w:val="00226B92"/>
    <w:rsid w:val="00234467"/>
    <w:rsid w:val="0023453A"/>
    <w:rsid w:val="00237D8D"/>
    <w:rsid w:val="00241DA2"/>
    <w:rsid w:val="0024277B"/>
    <w:rsid w:val="00247FEE"/>
    <w:rsid w:val="00250E7D"/>
    <w:rsid w:val="0025292A"/>
    <w:rsid w:val="002565D5"/>
    <w:rsid w:val="0025773E"/>
    <w:rsid w:val="0026063E"/>
    <w:rsid w:val="002622C0"/>
    <w:rsid w:val="002717F9"/>
    <w:rsid w:val="002778AE"/>
    <w:rsid w:val="00277CF3"/>
    <w:rsid w:val="0028269A"/>
    <w:rsid w:val="00283590"/>
    <w:rsid w:val="00286973"/>
    <w:rsid w:val="00294E70"/>
    <w:rsid w:val="00297183"/>
    <w:rsid w:val="00297C2B"/>
    <w:rsid w:val="002A1924"/>
    <w:rsid w:val="002A1B52"/>
    <w:rsid w:val="002A7420"/>
    <w:rsid w:val="002B0F12"/>
    <w:rsid w:val="002B1308"/>
    <w:rsid w:val="002B4554"/>
    <w:rsid w:val="002C72D8"/>
    <w:rsid w:val="002D11FA"/>
    <w:rsid w:val="002D3849"/>
    <w:rsid w:val="002D44AD"/>
    <w:rsid w:val="002D77CC"/>
    <w:rsid w:val="002E0DDF"/>
    <w:rsid w:val="002E1E34"/>
    <w:rsid w:val="002E2906"/>
    <w:rsid w:val="002E39A5"/>
    <w:rsid w:val="002E5635"/>
    <w:rsid w:val="002E64C3"/>
    <w:rsid w:val="002E6A2C"/>
    <w:rsid w:val="002E7B2D"/>
    <w:rsid w:val="002F1D8C"/>
    <w:rsid w:val="002F21DA"/>
    <w:rsid w:val="00301F39"/>
    <w:rsid w:val="00306D5A"/>
    <w:rsid w:val="00312980"/>
    <w:rsid w:val="00325926"/>
    <w:rsid w:val="00327A8A"/>
    <w:rsid w:val="00336610"/>
    <w:rsid w:val="00340EFF"/>
    <w:rsid w:val="00342904"/>
    <w:rsid w:val="00343F73"/>
    <w:rsid w:val="00345060"/>
    <w:rsid w:val="0035323B"/>
    <w:rsid w:val="003609D2"/>
    <w:rsid w:val="00361E3E"/>
    <w:rsid w:val="00363F22"/>
    <w:rsid w:val="003666F0"/>
    <w:rsid w:val="00367058"/>
    <w:rsid w:val="00370C63"/>
    <w:rsid w:val="00375564"/>
    <w:rsid w:val="00383191"/>
    <w:rsid w:val="00384F02"/>
    <w:rsid w:val="00386DED"/>
    <w:rsid w:val="003912E7"/>
    <w:rsid w:val="00393947"/>
    <w:rsid w:val="003A049E"/>
    <w:rsid w:val="003A2275"/>
    <w:rsid w:val="003A47C0"/>
    <w:rsid w:val="003A6A4F"/>
    <w:rsid w:val="003A7088"/>
    <w:rsid w:val="003B00DF"/>
    <w:rsid w:val="003B1275"/>
    <w:rsid w:val="003B1778"/>
    <w:rsid w:val="003B4738"/>
    <w:rsid w:val="003C11CB"/>
    <w:rsid w:val="003C75F3"/>
    <w:rsid w:val="003C78A3"/>
    <w:rsid w:val="003C7C66"/>
    <w:rsid w:val="003D190E"/>
    <w:rsid w:val="003D227D"/>
    <w:rsid w:val="003D290F"/>
    <w:rsid w:val="003D4E29"/>
    <w:rsid w:val="003E1867"/>
    <w:rsid w:val="003E1E24"/>
    <w:rsid w:val="003E5729"/>
    <w:rsid w:val="003F198C"/>
    <w:rsid w:val="003F4EE0"/>
    <w:rsid w:val="00402153"/>
    <w:rsid w:val="00402FC1"/>
    <w:rsid w:val="00413AE4"/>
    <w:rsid w:val="0041659E"/>
    <w:rsid w:val="00425082"/>
    <w:rsid w:val="00425EB9"/>
    <w:rsid w:val="004263BB"/>
    <w:rsid w:val="004264BC"/>
    <w:rsid w:val="00431DEB"/>
    <w:rsid w:val="0043620B"/>
    <w:rsid w:val="00446B29"/>
    <w:rsid w:val="00447FC3"/>
    <w:rsid w:val="00453F9A"/>
    <w:rsid w:val="004630E3"/>
    <w:rsid w:val="004653F9"/>
    <w:rsid w:val="00471E91"/>
    <w:rsid w:val="00474675"/>
    <w:rsid w:val="0047470C"/>
    <w:rsid w:val="00475A73"/>
    <w:rsid w:val="00475B89"/>
    <w:rsid w:val="004803C0"/>
    <w:rsid w:val="0048356B"/>
    <w:rsid w:val="00485A50"/>
    <w:rsid w:val="004929DD"/>
    <w:rsid w:val="004A06C6"/>
    <w:rsid w:val="004A1EAF"/>
    <w:rsid w:val="004A2602"/>
    <w:rsid w:val="004A35F9"/>
    <w:rsid w:val="004A4644"/>
    <w:rsid w:val="004B24C1"/>
    <w:rsid w:val="004C292F"/>
    <w:rsid w:val="004C620D"/>
    <w:rsid w:val="004F00C6"/>
    <w:rsid w:val="004F24D3"/>
    <w:rsid w:val="004F7563"/>
    <w:rsid w:val="00503053"/>
    <w:rsid w:val="00510280"/>
    <w:rsid w:val="00513D73"/>
    <w:rsid w:val="00514A43"/>
    <w:rsid w:val="005174E5"/>
    <w:rsid w:val="0051796D"/>
    <w:rsid w:val="00517BFE"/>
    <w:rsid w:val="005207C1"/>
    <w:rsid w:val="00522393"/>
    <w:rsid w:val="00522620"/>
    <w:rsid w:val="00525656"/>
    <w:rsid w:val="00533009"/>
    <w:rsid w:val="00534C02"/>
    <w:rsid w:val="005408FE"/>
    <w:rsid w:val="0054264B"/>
    <w:rsid w:val="0054375C"/>
    <w:rsid w:val="00543786"/>
    <w:rsid w:val="005533D7"/>
    <w:rsid w:val="00553498"/>
    <w:rsid w:val="005703DE"/>
    <w:rsid w:val="00570A1D"/>
    <w:rsid w:val="0058464E"/>
    <w:rsid w:val="0058479E"/>
    <w:rsid w:val="005A01CB"/>
    <w:rsid w:val="005A58FF"/>
    <w:rsid w:val="005A5EAF"/>
    <w:rsid w:val="005A64C0"/>
    <w:rsid w:val="005B3C11"/>
    <w:rsid w:val="005B669B"/>
    <w:rsid w:val="005B69CE"/>
    <w:rsid w:val="005B7BC9"/>
    <w:rsid w:val="005C1C28"/>
    <w:rsid w:val="005C6DB5"/>
    <w:rsid w:val="005D2C93"/>
    <w:rsid w:val="005E19E7"/>
    <w:rsid w:val="005F1457"/>
    <w:rsid w:val="005F5391"/>
    <w:rsid w:val="005F564E"/>
    <w:rsid w:val="005F6E7A"/>
    <w:rsid w:val="005F7DEA"/>
    <w:rsid w:val="00601D69"/>
    <w:rsid w:val="00614B47"/>
    <w:rsid w:val="0061716C"/>
    <w:rsid w:val="006224C6"/>
    <w:rsid w:val="006243A1"/>
    <w:rsid w:val="00632E56"/>
    <w:rsid w:val="00634048"/>
    <w:rsid w:val="00634C5E"/>
    <w:rsid w:val="006359A0"/>
    <w:rsid w:val="00635CBA"/>
    <w:rsid w:val="0064338B"/>
    <w:rsid w:val="00646542"/>
    <w:rsid w:val="006504F4"/>
    <w:rsid w:val="00654BC9"/>
    <w:rsid w:val="006552FD"/>
    <w:rsid w:val="0065768A"/>
    <w:rsid w:val="00663AF3"/>
    <w:rsid w:val="00666548"/>
    <w:rsid w:val="00666B6C"/>
    <w:rsid w:val="00673E5A"/>
    <w:rsid w:val="0067541F"/>
    <w:rsid w:val="00676C85"/>
    <w:rsid w:val="00680F97"/>
    <w:rsid w:val="00682682"/>
    <w:rsid w:val="00682702"/>
    <w:rsid w:val="00682EA7"/>
    <w:rsid w:val="00692368"/>
    <w:rsid w:val="0069237E"/>
    <w:rsid w:val="00696DDD"/>
    <w:rsid w:val="006A2EBC"/>
    <w:rsid w:val="006A479C"/>
    <w:rsid w:val="006A5EA0"/>
    <w:rsid w:val="006A783B"/>
    <w:rsid w:val="006A7B33"/>
    <w:rsid w:val="006B4E13"/>
    <w:rsid w:val="006B75DD"/>
    <w:rsid w:val="006C0FCE"/>
    <w:rsid w:val="006C35C2"/>
    <w:rsid w:val="006C67E0"/>
    <w:rsid w:val="006C7ABA"/>
    <w:rsid w:val="006D0D60"/>
    <w:rsid w:val="006D1122"/>
    <w:rsid w:val="006D2B21"/>
    <w:rsid w:val="006D3C00"/>
    <w:rsid w:val="006E3675"/>
    <w:rsid w:val="006E4A7F"/>
    <w:rsid w:val="006F1094"/>
    <w:rsid w:val="006F7BCB"/>
    <w:rsid w:val="00701857"/>
    <w:rsid w:val="00704DF6"/>
    <w:rsid w:val="0070651C"/>
    <w:rsid w:val="007132A3"/>
    <w:rsid w:val="00715030"/>
    <w:rsid w:val="00716421"/>
    <w:rsid w:val="007202D3"/>
    <w:rsid w:val="00724EFB"/>
    <w:rsid w:val="0072519C"/>
    <w:rsid w:val="00732762"/>
    <w:rsid w:val="00735395"/>
    <w:rsid w:val="007419C3"/>
    <w:rsid w:val="00743254"/>
    <w:rsid w:val="007467A7"/>
    <w:rsid w:val="007469DD"/>
    <w:rsid w:val="0074741B"/>
    <w:rsid w:val="0074759E"/>
    <w:rsid w:val="007478EA"/>
    <w:rsid w:val="0075415C"/>
    <w:rsid w:val="00755F79"/>
    <w:rsid w:val="00763502"/>
    <w:rsid w:val="00780D84"/>
    <w:rsid w:val="007835C3"/>
    <w:rsid w:val="007913AB"/>
    <w:rsid w:val="007914F7"/>
    <w:rsid w:val="00793DDC"/>
    <w:rsid w:val="007A07E4"/>
    <w:rsid w:val="007B1625"/>
    <w:rsid w:val="007B706E"/>
    <w:rsid w:val="007B71EB"/>
    <w:rsid w:val="007C6205"/>
    <w:rsid w:val="007C686A"/>
    <w:rsid w:val="007C728E"/>
    <w:rsid w:val="007D2C53"/>
    <w:rsid w:val="007D3D60"/>
    <w:rsid w:val="007D49D8"/>
    <w:rsid w:val="007D5A3D"/>
    <w:rsid w:val="007D663C"/>
    <w:rsid w:val="007E1980"/>
    <w:rsid w:val="007E4B76"/>
    <w:rsid w:val="007E5EA8"/>
    <w:rsid w:val="007E7DA1"/>
    <w:rsid w:val="007F0CF1"/>
    <w:rsid w:val="007F12A5"/>
    <w:rsid w:val="007F4CF1"/>
    <w:rsid w:val="007F758D"/>
    <w:rsid w:val="007F7D52"/>
    <w:rsid w:val="008042A4"/>
    <w:rsid w:val="0080654C"/>
    <w:rsid w:val="008071C6"/>
    <w:rsid w:val="0081116B"/>
    <w:rsid w:val="00817A00"/>
    <w:rsid w:val="00817E36"/>
    <w:rsid w:val="00820EC5"/>
    <w:rsid w:val="00831018"/>
    <w:rsid w:val="00835DB3"/>
    <w:rsid w:val="0083617B"/>
    <w:rsid w:val="008371BD"/>
    <w:rsid w:val="00837DEB"/>
    <w:rsid w:val="008504A8"/>
    <w:rsid w:val="0085282E"/>
    <w:rsid w:val="00852A8A"/>
    <w:rsid w:val="00863B41"/>
    <w:rsid w:val="00865902"/>
    <w:rsid w:val="0086649F"/>
    <w:rsid w:val="00867E9C"/>
    <w:rsid w:val="008706CA"/>
    <w:rsid w:val="0087198C"/>
    <w:rsid w:val="00872C1F"/>
    <w:rsid w:val="00873B42"/>
    <w:rsid w:val="00877725"/>
    <w:rsid w:val="008856D8"/>
    <w:rsid w:val="00892E82"/>
    <w:rsid w:val="008961AC"/>
    <w:rsid w:val="008A1116"/>
    <w:rsid w:val="008B7EFF"/>
    <w:rsid w:val="008C1B58"/>
    <w:rsid w:val="008C1F11"/>
    <w:rsid w:val="008C39AE"/>
    <w:rsid w:val="008C431F"/>
    <w:rsid w:val="008C590D"/>
    <w:rsid w:val="008D449A"/>
    <w:rsid w:val="008E031B"/>
    <w:rsid w:val="008E3030"/>
    <w:rsid w:val="008E7029"/>
    <w:rsid w:val="008E7EF6"/>
    <w:rsid w:val="008F1236"/>
    <w:rsid w:val="008F1F98"/>
    <w:rsid w:val="008F567B"/>
    <w:rsid w:val="008F6758"/>
    <w:rsid w:val="009023DE"/>
    <w:rsid w:val="009040DD"/>
    <w:rsid w:val="00905B47"/>
    <w:rsid w:val="00905D07"/>
    <w:rsid w:val="009070A0"/>
    <w:rsid w:val="0091331C"/>
    <w:rsid w:val="00916E17"/>
    <w:rsid w:val="00917526"/>
    <w:rsid w:val="00917C4D"/>
    <w:rsid w:val="00920596"/>
    <w:rsid w:val="00920AB8"/>
    <w:rsid w:val="009213E0"/>
    <w:rsid w:val="00924085"/>
    <w:rsid w:val="009279DE"/>
    <w:rsid w:val="00930116"/>
    <w:rsid w:val="009352EE"/>
    <w:rsid w:val="0093678E"/>
    <w:rsid w:val="0094212C"/>
    <w:rsid w:val="00942D07"/>
    <w:rsid w:val="00954689"/>
    <w:rsid w:val="009552D8"/>
    <w:rsid w:val="009604BF"/>
    <w:rsid w:val="009617C9"/>
    <w:rsid w:val="00961C93"/>
    <w:rsid w:val="00962F1B"/>
    <w:rsid w:val="00963004"/>
    <w:rsid w:val="00965324"/>
    <w:rsid w:val="009673C3"/>
    <w:rsid w:val="00967716"/>
    <w:rsid w:val="0097091E"/>
    <w:rsid w:val="00975D0E"/>
    <w:rsid w:val="009760D3"/>
    <w:rsid w:val="00977132"/>
    <w:rsid w:val="00981A4B"/>
    <w:rsid w:val="00982501"/>
    <w:rsid w:val="0098408D"/>
    <w:rsid w:val="009877D3"/>
    <w:rsid w:val="00994E8F"/>
    <w:rsid w:val="009951DC"/>
    <w:rsid w:val="009959BB"/>
    <w:rsid w:val="00997158"/>
    <w:rsid w:val="009A3A7C"/>
    <w:rsid w:val="009B2ADB"/>
    <w:rsid w:val="009B603A"/>
    <w:rsid w:val="009B787B"/>
    <w:rsid w:val="009C0284"/>
    <w:rsid w:val="009C2D0E"/>
    <w:rsid w:val="009C3DAC"/>
    <w:rsid w:val="009C421D"/>
    <w:rsid w:val="009C42E0"/>
    <w:rsid w:val="009C79D6"/>
    <w:rsid w:val="009D2AAF"/>
    <w:rsid w:val="009D5362"/>
    <w:rsid w:val="009E1415"/>
    <w:rsid w:val="009E5909"/>
    <w:rsid w:val="009E6116"/>
    <w:rsid w:val="009F4BC8"/>
    <w:rsid w:val="00A02E43"/>
    <w:rsid w:val="00A060C1"/>
    <w:rsid w:val="00A065F9"/>
    <w:rsid w:val="00A07F34"/>
    <w:rsid w:val="00A1013E"/>
    <w:rsid w:val="00A10F0E"/>
    <w:rsid w:val="00A17D4E"/>
    <w:rsid w:val="00A22154"/>
    <w:rsid w:val="00A23290"/>
    <w:rsid w:val="00A25C38"/>
    <w:rsid w:val="00A36BBE"/>
    <w:rsid w:val="00A37E92"/>
    <w:rsid w:val="00A406AA"/>
    <w:rsid w:val="00A4307A"/>
    <w:rsid w:val="00A47EBB"/>
    <w:rsid w:val="00A505D0"/>
    <w:rsid w:val="00A51CDD"/>
    <w:rsid w:val="00A57EDC"/>
    <w:rsid w:val="00A6161D"/>
    <w:rsid w:val="00A6304A"/>
    <w:rsid w:val="00A65C4E"/>
    <w:rsid w:val="00A6730D"/>
    <w:rsid w:val="00A71625"/>
    <w:rsid w:val="00A71B9B"/>
    <w:rsid w:val="00A751C7"/>
    <w:rsid w:val="00A82006"/>
    <w:rsid w:val="00A86B4A"/>
    <w:rsid w:val="00A87844"/>
    <w:rsid w:val="00A9083A"/>
    <w:rsid w:val="00AA038C"/>
    <w:rsid w:val="00AA20CE"/>
    <w:rsid w:val="00AA7A09"/>
    <w:rsid w:val="00AB3B50"/>
    <w:rsid w:val="00AC05B1"/>
    <w:rsid w:val="00AC1038"/>
    <w:rsid w:val="00AD168E"/>
    <w:rsid w:val="00AD356C"/>
    <w:rsid w:val="00AE2914"/>
    <w:rsid w:val="00AE6D15"/>
    <w:rsid w:val="00AF0422"/>
    <w:rsid w:val="00B0046E"/>
    <w:rsid w:val="00B04182"/>
    <w:rsid w:val="00B07AE3"/>
    <w:rsid w:val="00B11430"/>
    <w:rsid w:val="00B17459"/>
    <w:rsid w:val="00B21FC4"/>
    <w:rsid w:val="00B30705"/>
    <w:rsid w:val="00B30F2D"/>
    <w:rsid w:val="00B353EB"/>
    <w:rsid w:val="00B439AB"/>
    <w:rsid w:val="00B439C4"/>
    <w:rsid w:val="00B43CCC"/>
    <w:rsid w:val="00B4535E"/>
    <w:rsid w:val="00B528DF"/>
    <w:rsid w:val="00B52A8C"/>
    <w:rsid w:val="00B531EE"/>
    <w:rsid w:val="00B636A8"/>
    <w:rsid w:val="00B65991"/>
    <w:rsid w:val="00B665C6"/>
    <w:rsid w:val="00B73CD5"/>
    <w:rsid w:val="00B805AF"/>
    <w:rsid w:val="00B80C10"/>
    <w:rsid w:val="00B824F3"/>
    <w:rsid w:val="00B83EF5"/>
    <w:rsid w:val="00B869EC"/>
    <w:rsid w:val="00B9397A"/>
    <w:rsid w:val="00B9633D"/>
    <w:rsid w:val="00BA2EBE"/>
    <w:rsid w:val="00BB0F28"/>
    <w:rsid w:val="00BB0F70"/>
    <w:rsid w:val="00BB1332"/>
    <w:rsid w:val="00BB3479"/>
    <w:rsid w:val="00BB458A"/>
    <w:rsid w:val="00BB5582"/>
    <w:rsid w:val="00BB71AF"/>
    <w:rsid w:val="00BC5147"/>
    <w:rsid w:val="00BC58F4"/>
    <w:rsid w:val="00BC6824"/>
    <w:rsid w:val="00BD00D3"/>
    <w:rsid w:val="00BD1659"/>
    <w:rsid w:val="00BD3AA9"/>
    <w:rsid w:val="00BD4A18"/>
    <w:rsid w:val="00BD6DB2"/>
    <w:rsid w:val="00BE11A5"/>
    <w:rsid w:val="00BE11CF"/>
    <w:rsid w:val="00BE21AB"/>
    <w:rsid w:val="00BE55CB"/>
    <w:rsid w:val="00BF0ED2"/>
    <w:rsid w:val="00BF100C"/>
    <w:rsid w:val="00BF1588"/>
    <w:rsid w:val="00BF3800"/>
    <w:rsid w:val="00BF617A"/>
    <w:rsid w:val="00C01411"/>
    <w:rsid w:val="00C03330"/>
    <w:rsid w:val="00C0379D"/>
    <w:rsid w:val="00C03931"/>
    <w:rsid w:val="00C05FE3"/>
    <w:rsid w:val="00C21003"/>
    <w:rsid w:val="00C2136D"/>
    <w:rsid w:val="00C214EE"/>
    <w:rsid w:val="00C2309C"/>
    <w:rsid w:val="00C2314B"/>
    <w:rsid w:val="00C24971"/>
    <w:rsid w:val="00C257EF"/>
    <w:rsid w:val="00C269D8"/>
    <w:rsid w:val="00C26BE5"/>
    <w:rsid w:val="00C26E4D"/>
    <w:rsid w:val="00C27909"/>
    <w:rsid w:val="00C27B03"/>
    <w:rsid w:val="00C314E1"/>
    <w:rsid w:val="00C34397"/>
    <w:rsid w:val="00C4095D"/>
    <w:rsid w:val="00C44203"/>
    <w:rsid w:val="00C50F1A"/>
    <w:rsid w:val="00C601D2"/>
    <w:rsid w:val="00C62698"/>
    <w:rsid w:val="00C657AB"/>
    <w:rsid w:val="00C65BCC"/>
    <w:rsid w:val="00C66970"/>
    <w:rsid w:val="00C8691C"/>
    <w:rsid w:val="00C920BB"/>
    <w:rsid w:val="00CA168A"/>
    <w:rsid w:val="00CA2AB4"/>
    <w:rsid w:val="00CA357E"/>
    <w:rsid w:val="00CA44F9"/>
    <w:rsid w:val="00CA4A69"/>
    <w:rsid w:val="00CA5C47"/>
    <w:rsid w:val="00CB1C05"/>
    <w:rsid w:val="00CB6161"/>
    <w:rsid w:val="00CC3E0C"/>
    <w:rsid w:val="00CC58D3"/>
    <w:rsid w:val="00CC784D"/>
    <w:rsid w:val="00CD28E4"/>
    <w:rsid w:val="00CD48B1"/>
    <w:rsid w:val="00CE673F"/>
    <w:rsid w:val="00CF3F8F"/>
    <w:rsid w:val="00D0337B"/>
    <w:rsid w:val="00D07990"/>
    <w:rsid w:val="00D079B2"/>
    <w:rsid w:val="00D114E9"/>
    <w:rsid w:val="00D11F0A"/>
    <w:rsid w:val="00D175E8"/>
    <w:rsid w:val="00D22C83"/>
    <w:rsid w:val="00D31F2E"/>
    <w:rsid w:val="00D32DD9"/>
    <w:rsid w:val="00D338E2"/>
    <w:rsid w:val="00D35371"/>
    <w:rsid w:val="00D412FB"/>
    <w:rsid w:val="00D429C6"/>
    <w:rsid w:val="00D45289"/>
    <w:rsid w:val="00D47748"/>
    <w:rsid w:val="00D47EE2"/>
    <w:rsid w:val="00D53AA1"/>
    <w:rsid w:val="00D54CC3"/>
    <w:rsid w:val="00D5735A"/>
    <w:rsid w:val="00D6041A"/>
    <w:rsid w:val="00D61149"/>
    <w:rsid w:val="00D62248"/>
    <w:rsid w:val="00D6225F"/>
    <w:rsid w:val="00D633EB"/>
    <w:rsid w:val="00D75194"/>
    <w:rsid w:val="00D82939"/>
    <w:rsid w:val="00D82FF7"/>
    <w:rsid w:val="00D847FE"/>
    <w:rsid w:val="00D85D7E"/>
    <w:rsid w:val="00D87177"/>
    <w:rsid w:val="00D877D9"/>
    <w:rsid w:val="00D87F72"/>
    <w:rsid w:val="00D91986"/>
    <w:rsid w:val="00D964EA"/>
    <w:rsid w:val="00D966D0"/>
    <w:rsid w:val="00DA0C59"/>
    <w:rsid w:val="00DA2593"/>
    <w:rsid w:val="00DA3991"/>
    <w:rsid w:val="00DB01D2"/>
    <w:rsid w:val="00DB1D39"/>
    <w:rsid w:val="00DB7E6C"/>
    <w:rsid w:val="00DC650A"/>
    <w:rsid w:val="00DD108D"/>
    <w:rsid w:val="00DD13B8"/>
    <w:rsid w:val="00DD5A29"/>
    <w:rsid w:val="00DD5D9D"/>
    <w:rsid w:val="00DD7DD4"/>
    <w:rsid w:val="00DE1A46"/>
    <w:rsid w:val="00DE35CB"/>
    <w:rsid w:val="00DF067D"/>
    <w:rsid w:val="00DF21E9"/>
    <w:rsid w:val="00DF2F9A"/>
    <w:rsid w:val="00DF3ECA"/>
    <w:rsid w:val="00E00325"/>
    <w:rsid w:val="00E00684"/>
    <w:rsid w:val="00E00F14"/>
    <w:rsid w:val="00E06386"/>
    <w:rsid w:val="00E11943"/>
    <w:rsid w:val="00E1217C"/>
    <w:rsid w:val="00E12192"/>
    <w:rsid w:val="00E16540"/>
    <w:rsid w:val="00E17EAB"/>
    <w:rsid w:val="00E208AD"/>
    <w:rsid w:val="00E21912"/>
    <w:rsid w:val="00E24EB4"/>
    <w:rsid w:val="00E31395"/>
    <w:rsid w:val="00E320ED"/>
    <w:rsid w:val="00E3270B"/>
    <w:rsid w:val="00E33AFB"/>
    <w:rsid w:val="00E34218"/>
    <w:rsid w:val="00E3476E"/>
    <w:rsid w:val="00E46282"/>
    <w:rsid w:val="00E5216E"/>
    <w:rsid w:val="00E62448"/>
    <w:rsid w:val="00E717C6"/>
    <w:rsid w:val="00E7433F"/>
    <w:rsid w:val="00E82344"/>
    <w:rsid w:val="00E84C82"/>
    <w:rsid w:val="00E84D64"/>
    <w:rsid w:val="00E85CF2"/>
    <w:rsid w:val="00E8638F"/>
    <w:rsid w:val="00E87408"/>
    <w:rsid w:val="00E914C4"/>
    <w:rsid w:val="00E934F5"/>
    <w:rsid w:val="00E95024"/>
    <w:rsid w:val="00E96961"/>
    <w:rsid w:val="00EA3FB3"/>
    <w:rsid w:val="00EA72EC"/>
    <w:rsid w:val="00EB11CB"/>
    <w:rsid w:val="00EB275A"/>
    <w:rsid w:val="00EB786A"/>
    <w:rsid w:val="00EC1578"/>
    <w:rsid w:val="00EC1C72"/>
    <w:rsid w:val="00EC3CC9"/>
    <w:rsid w:val="00EC680A"/>
    <w:rsid w:val="00EC6E0A"/>
    <w:rsid w:val="00ED0960"/>
    <w:rsid w:val="00ED3C58"/>
    <w:rsid w:val="00EE2BED"/>
    <w:rsid w:val="00EE374B"/>
    <w:rsid w:val="00EE3B5E"/>
    <w:rsid w:val="00EF69B1"/>
    <w:rsid w:val="00EF7E90"/>
    <w:rsid w:val="00F005D2"/>
    <w:rsid w:val="00F11BB5"/>
    <w:rsid w:val="00F1417B"/>
    <w:rsid w:val="00F21272"/>
    <w:rsid w:val="00F216CB"/>
    <w:rsid w:val="00F34B99"/>
    <w:rsid w:val="00F35D8B"/>
    <w:rsid w:val="00F50F70"/>
    <w:rsid w:val="00F52DAB"/>
    <w:rsid w:val="00F543F0"/>
    <w:rsid w:val="00F6004E"/>
    <w:rsid w:val="00F704D7"/>
    <w:rsid w:val="00F7649B"/>
    <w:rsid w:val="00F7776E"/>
    <w:rsid w:val="00F81D29"/>
    <w:rsid w:val="00F8294E"/>
    <w:rsid w:val="00F8585D"/>
    <w:rsid w:val="00F861CF"/>
    <w:rsid w:val="00F86F7A"/>
    <w:rsid w:val="00F91C4D"/>
    <w:rsid w:val="00F92FD9"/>
    <w:rsid w:val="00FA6684"/>
    <w:rsid w:val="00FA731E"/>
    <w:rsid w:val="00FA75C4"/>
    <w:rsid w:val="00FB2B38"/>
    <w:rsid w:val="00FB6804"/>
    <w:rsid w:val="00FC6358"/>
    <w:rsid w:val="00FC77D2"/>
    <w:rsid w:val="00FD28AD"/>
    <w:rsid w:val="00FD320D"/>
    <w:rsid w:val="00FD7613"/>
    <w:rsid w:val="00FE23DE"/>
    <w:rsid w:val="00FF3977"/>
    <w:rsid w:val="00FF4AB6"/>
    <w:rsid w:val="01A93666"/>
    <w:rsid w:val="01C6284C"/>
    <w:rsid w:val="02032E06"/>
    <w:rsid w:val="0213475C"/>
    <w:rsid w:val="02214738"/>
    <w:rsid w:val="025B1046"/>
    <w:rsid w:val="026A7015"/>
    <w:rsid w:val="02730341"/>
    <w:rsid w:val="027573BE"/>
    <w:rsid w:val="02884E66"/>
    <w:rsid w:val="02D26623"/>
    <w:rsid w:val="03153D93"/>
    <w:rsid w:val="034F4E43"/>
    <w:rsid w:val="035215A1"/>
    <w:rsid w:val="035D3CB3"/>
    <w:rsid w:val="03EF6954"/>
    <w:rsid w:val="04114E96"/>
    <w:rsid w:val="04183E7F"/>
    <w:rsid w:val="045D0363"/>
    <w:rsid w:val="045E6A3E"/>
    <w:rsid w:val="048D4F65"/>
    <w:rsid w:val="052D762E"/>
    <w:rsid w:val="05800BD0"/>
    <w:rsid w:val="060430A0"/>
    <w:rsid w:val="066122E9"/>
    <w:rsid w:val="06942362"/>
    <w:rsid w:val="069870A5"/>
    <w:rsid w:val="06BB345A"/>
    <w:rsid w:val="06C8241E"/>
    <w:rsid w:val="06D03238"/>
    <w:rsid w:val="06FE2E14"/>
    <w:rsid w:val="072B1652"/>
    <w:rsid w:val="074218AB"/>
    <w:rsid w:val="07710DF9"/>
    <w:rsid w:val="07C15B84"/>
    <w:rsid w:val="07CA7D8D"/>
    <w:rsid w:val="07CB007D"/>
    <w:rsid w:val="08184F80"/>
    <w:rsid w:val="082E33BD"/>
    <w:rsid w:val="08B050F0"/>
    <w:rsid w:val="08CB582F"/>
    <w:rsid w:val="097218C8"/>
    <w:rsid w:val="099A29F6"/>
    <w:rsid w:val="09A04372"/>
    <w:rsid w:val="09AE1643"/>
    <w:rsid w:val="09B27034"/>
    <w:rsid w:val="0A122CE6"/>
    <w:rsid w:val="0A4054DF"/>
    <w:rsid w:val="0A5612B3"/>
    <w:rsid w:val="0A8B6630"/>
    <w:rsid w:val="0A953C6B"/>
    <w:rsid w:val="0ABB3ACD"/>
    <w:rsid w:val="0AC10B29"/>
    <w:rsid w:val="0ADA18E3"/>
    <w:rsid w:val="0AF1575E"/>
    <w:rsid w:val="0B0260F6"/>
    <w:rsid w:val="0B207305"/>
    <w:rsid w:val="0B226674"/>
    <w:rsid w:val="0B5D68CC"/>
    <w:rsid w:val="0B731CA6"/>
    <w:rsid w:val="0B7B0C69"/>
    <w:rsid w:val="0B8E5BD4"/>
    <w:rsid w:val="0B925026"/>
    <w:rsid w:val="0BB1279B"/>
    <w:rsid w:val="0BE521AA"/>
    <w:rsid w:val="0C05069B"/>
    <w:rsid w:val="0C49123D"/>
    <w:rsid w:val="0C5C459F"/>
    <w:rsid w:val="0C754E18"/>
    <w:rsid w:val="0C7E6B4C"/>
    <w:rsid w:val="0CEC5348"/>
    <w:rsid w:val="0D086768"/>
    <w:rsid w:val="0D320E7D"/>
    <w:rsid w:val="0D5A6762"/>
    <w:rsid w:val="0D820F1E"/>
    <w:rsid w:val="0DC22DE9"/>
    <w:rsid w:val="0E072A78"/>
    <w:rsid w:val="0E1A7928"/>
    <w:rsid w:val="0E523934"/>
    <w:rsid w:val="0E6920AD"/>
    <w:rsid w:val="0EBC1B25"/>
    <w:rsid w:val="0EC069F5"/>
    <w:rsid w:val="0F102142"/>
    <w:rsid w:val="0F313452"/>
    <w:rsid w:val="0FAF3C09"/>
    <w:rsid w:val="0FCB0AC6"/>
    <w:rsid w:val="0FF36D97"/>
    <w:rsid w:val="101A0452"/>
    <w:rsid w:val="10B560DC"/>
    <w:rsid w:val="10D10AB8"/>
    <w:rsid w:val="1152537E"/>
    <w:rsid w:val="11787359"/>
    <w:rsid w:val="11923977"/>
    <w:rsid w:val="11B951FF"/>
    <w:rsid w:val="11BB6F1F"/>
    <w:rsid w:val="11BE6F8E"/>
    <w:rsid w:val="11C27002"/>
    <w:rsid w:val="11E35349"/>
    <w:rsid w:val="120549C3"/>
    <w:rsid w:val="121657B1"/>
    <w:rsid w:val="121E10E0"/>
    <w:rsid w:val="12417E3A"/>
    <w:rsid w:val="12574288"/>
    <w:rsid w:val="12AD6984"/>
    <w:rsid w:val="13866203"/>
    <w:rsid w:val="139A424A"/>
    <w:rsid w:val="14604BE7"/>
    <w:rsid w:val="14AC1C15"/>
    <w:rsid w:val="158D360F"/>
    <w:rsid w:val="158F446D"/>
    <w:rsid w:val="15983037"/>
    <w:rsid w:val="15CF1C62"/>
    <w:rsid w:val="15E73A3E"/>
    <w:rsid w:val="16470D15"/>
    <w:rsid w:val="164B0C9E"/>
    <w:rsid w:val="166E3F12"/>
    <w:rsid w:val="167509CC"/>
    <w:rsid w:val="16815F0D"/>
    <w:rsid w:val="168B30E4"/>
    <w:rsid w:val="170F4496"/>
    <w:rsid w:val="17825B3F"/>
    <w:rsid w:val="185C17D0"/>
    <w:rsid w:val="18955720"/>
    <w:rsid w:val="18A547CE"/>
    <w:rsid w:val="18AB3767"/>
    <w:rsid w:val="18D62ABC"/>
    <w:rsid w:val="18F858A2"/>
    <w:rsid w:val="19CA79CA"/>
    <w:rsid w:val="1A032FF7"/>
    <w:rsid w:val="1A145C09"/>
    <w:rsid w:val="1A2F308D"/>
    <w:rsid w:val="1A50286E"/>
    <w:rsid w:val="1A7C6932"/>
    <w:rsid w:val="1A97157F"/>
    <w:rsid w:val="1B247D97"/>
    <w:rsid w:val="1B532294"/>
    <w:rsid w:val="1BC33CA6"/>
    <w:rsid w:val="1BD32EA4"/>
    <w:rsid w:val="1BFC01DE"/>
    <w:rsid w:val="1C031DD3"/>
    <w:rsid w:val="1C1119B5"/>
    <w:rsid w:val="1C2B4A2D"/>
    <w:rsid w:val="1C5D6BE8"/>
    <w:rsid w:val="1C672BDA"/>
    <w:rsid w:val="1C723DCE"/>
    <w:rsid w:val="1CCC32ED"/>
    <w:rsid w:val="1DC723FF"/>
    <w:rsid w:val="1E0E70F4"/>
    <w:rsid w:val="1E51042A"/>
    <w:rsid w:val="1E511836"/>
    <w:rsid w:val="1E697DA9"/>
    <w:rsid w:val="1ECF16A2"/>
    <w:rsid w:val="1F622747"/>
    <w:rsid w:val="1F66704D"/>
    <w:rsid w:val="1F883793"/>
    <w:rsid w:val="1F897547"/>
    <w:rsid w:val="2013217C"/>
    <w:rsid w:val="2035505D"/>
    <w:rsid w:val="205B1662"/>
    <w:rsid w:val="20665BE4"/>
    <w:rsid w:val="208A77B8"/>
    <w:rsid w:val="209C58AC"/>
    <w:rsid w:val="20F568B5"/>
    <w:rsid w:val="20F96416"/>
    <w:rsid w:val="21713EC4"/>
    <w:rsid w:val="217E4F49"/>
    <w:rsid w:val="21B5130E"/>
    <w:rsid w:val="21BB111B"/>
    <w:rsid w:val="21D8638B"/>
    <w:rsid w:val="21F334B1"/>
    <w:rsid w:val="21F8009C"/>
    <w:rsid w:val="224D1D29"/>
    <w:rsid w:val="22B1203B"/>
    <w:rsid w:val="22DA21FE"/>
    <w:rsid w:val="23174D88"/>
    <w:rsid w:val="23535283"/>
    <w:rsid w:val="23B1227E"/>
    <w:rsid w:val="23C93B1E"/>
    <w:rsid w:val="23F45FA3"/>
    <w:rsid w:val="24033E4C"/>
    <w:rsid w:val="241566E1"/>
    <w:rsid w:val="242511B4"/>
    <w:rsid w:val="24302DF5"/>
    <w:rsid w:val="24511AE9"/>
    <w:rsid w:val="24B81AB7"/>
    <w:rsid w:val="255A4E5B"/>
    <w:rsid w:val="25634F77"/>
    <w:rsid w:val="265341FB"/>
    <w:rsid w:val="26563727"/>
    <w:rsid w:val="26781D27"/>
    <w:rsid w:val="27026D99"/>
    <w:rsid w:val="27383F8E"/>
    <w:rsid w:val="275F7477"/>
    <w:rsid w:val="27BE6B62"/>
    <w:rsid w:val="27D945BA"/>
    <w:rsid w:val="28513ABD"/>
    <w:rsid w:val="28572F38"/>
    <w:rsid w:val="287A20CE"/>
    <w:rsid w:val="289836FF"/>
    <w:rsid w:val="28C247A8"/>
    <w:rsid w:val="28C81464"/>
    <w:rsid w:val="29411AF7"/>
    <w:rsid w:val="29CB34BB"/>
    <w:rsid w:val="2A1C356C"/>
    <w:rsid w:val="2A4746AC"/>
    <w:rsid w:val="2A95387B"/>
    <w:rsid w:val="2AE1546E"/>
    <w:rsid w:val="2B151736"/>
    <w:rsid w:val="2B366636"/>
    <w:rsid w:val="2C122D99"/>
    <w:rsid w:val="2C1E7447"/>
    <w:rsid w:val="2C236006"/>
    <w:rsid w:val="2C417840"/>
    <w:rsid w:val="2C6A757B"/>
    <w:rsid w:val="2C6B61FE"/>
    <w:rsid w:val="2CC25943"/>
    <w:rsid w:val="2CD56B5E"/>
    <w:rsid w:val="2CD86AEE"/>
    <w:rsid w:val="2D201DB0"/>
    <w:rsid w:val="2D246BA6"/>
    <w:rsid w:val="2D835BC0"/>
    <w:rsid w:val="2DBC0F1A"/>
    <w:rsid w:val="2DBC3072"/>
    <w:rsid w:val="2DD21769"/>
    <w:rsid w:val="2E2F2656"/>
    <w:rsid w:val="2E73309D"/>
    <w:rsid w:val="2E904401"/>
    <w:rsid w:val="2EA92741"/>
    <w:rsid w:val="2EB733FD"/>
    <w:rsid w:val="2F2D7DA1"/>
    <w:rsid w:val="2F311AA7"/>
    <w:rsid w:val="2F582328"/>
    <w:rsid w:val="2F6828B1"/>
    <w:rsid w:val="2F9D70F4"/>
    <w:rsid w:val="2FA1204A"/>
    <w:rsid w:val="302A757A"/>
    <w:rsid w:val="304E465A"/>
    <w:rsid w:val="307B5FA3"/>
    <w:rsid w:val="308519FC"/>
    <w:rsid w:val="30B54141"/>
    <w:rsid w:val="30BD4529"/>
    <w:rsid w:val="31A65417"/>
    <w:rsid w:val="31B42E4A"/>
    <w:rsid w:val="31E64E58"/>
    <w:rsid w:val="32071AD6"/>
    <w:rsid w:val="320913E1"/>
    <w:rsid w:val="321F4A10"/>
    <w:rsid w:val="32640B3D"/>
    <w:rsid w:val="329C593E"/>
    <w:rsid w:val="32CD4B1D"/>
    <w:rsid w:val="32E86B4B"/>
    <w:rsid w:val="32F66DF2"/>
    <w:rsid w:val="330F1EF3"/>
    <w:rsid w:val="3326549C"/>
    <w:rsid w:val="33415F53"/>
    <w:rsid w:val="334709F2"/>
    <w:rsid w:val="334B5ACD"/>
    <w:rsid w:val="335A2EED"/>
    <w:rsid w:val="33690777"/>
    <w:rsid w:val="337366A3"/>
    <w:rsid w:val="338D2F41"/>
    <w:rsid w:val="340F6492"/>
    <w:rsid w:val="34150E03"/>
    <w:rsid w:val="343039CA"/>
    <w:rsid w:val="34814131"/>
    <w:rsid w:val="348B5DE1"/>
    <w:rsid w:val="35137871"/>
    <w:rsid w:val="355F043D"/>
    <w:rsid w:val="35AD4019"/>
    <w:rsid w:val="35B05892"/>
    <w:rsid w:val="3607632B"/>
    <w:rsid w:val="36B03936"/>
    <w:rsid w:val="36B24716"/>
    <w:rsid w:val="36B24B86"/>
    <w:rsid w:val="37655564"/>
    <w:rsid w:val="37A126E2"/>
    <w:rsid w:val="37AF427C"/>
    <w:rsid w:val="37D40DE3"/>
    <w:rsid w:val="37E26FE3"/>
    <w:rsid w:val="37F703E4"/>
    <w:rsid w:val="37F9003D"/>
    <w:rsid w:val="38DF4D6D"/>
    <w:rsid w:val="39043021"/>
    <w:rsid w:val="39265EF3"/>
    <w:rsid w:val="39CC1A56"/>
    <w:rsid w:val="3A382326"/>
    <w:rsid w:val="3A445C6F"/>
    <w:rsid w:val="3A596B48"/>
    <w:rsid w:val="3A5F5311"/>
    <w:rsid w:val="3A7D3866"/>
    <w:rsid w:val="3B3114F6"/>
    <w:rsid w:val="3B70647E"/>
    <w:rsid w:val="3B862F5E"/>
    <w:rsid w:val="3BB3181C"/>
    <w:rsid w:val="3BFC5291"/>
    <w:rsid w:val="3C2F46D2"/>
    <w:rsid w:val="3CC57446"/>
    <w:rsid w:val="3D105B64"/>
    <w:rsid w:val="3D8974BD"/>
    <w:rsid w:val="3DC1018F"/>
    <w:rsid w:val="3DC43C7F"/>
    <w:rsid w:val="3DCE3773"/>
    <w:rsid w:val="3E474BA2"/>
    <w:rsid w:val="3E762F2E"/>
    <w:rsid w:val="3EC60C1A"/>
    <w:rsid w:val="3F17192F"/>
    <w:rsid w:val="3F9F33A6"/>
    <w:rsid w:val="3FD470A1"/>
    <w:rsid w:val="40145A3B"/>
    <w:rsid w:val="406C289E"/>
    <w:rsid w:val="40E6200C"/>
    <w:rsid w:val="40FF67DC"/>
    <w:rsid w:val="412D16D3"/>
    <w:rsid w:val="413F58B6"/>
    <w:rsid w:val="417305B0"/>
    <w:rsid w:val="41CA586C"/>
    <w:rsid w:val="41D14C8D"/>
    <w:rsid w:val="41DA6DB5"/>
    <w:rsid w:val="41E93DCB"/>
    <w:rsid w:val="42071C4C"/>
    <w:rsid w:val="42244C13"/>
    <w:rsid w:val="42566878"/>
    <w:rsid w:val="42660E55"/>
    <w:rsid w:val="428F42C1"/>
    <w:rsid w:val="4294318B"/>
    <w:rsid w:val="42B31B85"/>
    <w:rsid w:val="42BF5A30"/>
    <w:rsid w:val="43AB28AA"/>
    <w:rsid w:val="43BF0F8D"/>
    <w:rsid w:val="44976E05"/>
    <w:rsid w:val="44DA3D7A"/>
    <w:rsid w:val="451276E3"/>
    <w:rsid w:val="454A15DC"/>
    <w:rsid w:val="45801515"/>
    <w:rsid w:val="458A0EB0"/>
    <w:rsid w:val="461F18ED"/>
    <w:rsid w:val="46774494"/>
    <w:rsid w:val="46885BD4"/>
    <w:rsid w:val="473043AE"/>
    <w:rsid w:val="47306827"/>
    <w:rsid w:val="47522082"/>
    <w:rsid w:val="47901432"/>
    <w:rsid w:val="47BF05B6"/>
    <w:rsid w:val="48165F99"/>
    <w:rsid w:val="48811191"/>
    <w:rsid w:val="48E576C5"/>
    <w:rsid w:val="48E947A5"/>
    <w:rsid w:val="49227C2D"/>
    <w:rsid w:val="496E7C4F"/>
    <w:rsid w:val="4987521B"/>
    <w:rsid w:val="498A5450"/>
    <w:rsid w:val="49C93F47"/>
    <w:rsid w:val="49E53BAB"/>
    <w:rsid w:val="49F34026"/>
    <w:rsid w:val="49F65ABC"/>
    <w:rsid w:val="4A021DA2"/>
    <w:rsid w:val="4A9B239A"/>
    <w:rsid w:val="4AD6033F"/>
    <w:rsid w:val="4AD97F0F"/>
    <w:rsid w:val="4B032557"/>
    <w:rsid w:val="4BBD2743"/>
    <w:rsid w:val="4BF575C6"/>
    <w:rsid w:val="4C1B1113"/>
    <w:rsid w:val="4C222267"/>
    <w:rsid w:val="4C8F5083"/>
    <w:rsid w:val="4C9511BE"/>
    <w:rsid w:val="4CDB6009"/>
    <w:rsid w:val="4CE67CBC"/>
    <w:rsid w:val="4CF46A34"/>
    <w:rsid w:val="4D161A10"/>
    <w:rsid w:val="4D163F2D"/>
    <w:rsid w:val="4D1A3E05"/>
    <w:rsid w:val="4D203D49"/>
    <w:rsid w:val="4D396BD0"/>
    <w:rsid w:val="4D4C4310"/>
    <w:rsid w:val="4D6A2A9E"/>
    <w:rsid w:val="4E5D1152"/>
    <w:rsid w:val="4E6070A2"/>
    <w:rsid w:val="4E9B7762"/>
    <w:rsid w:val="4EDD7E18"/>
    <w:rsid w:val="4EEE07A0"/>
    <w:rsid w:val="4F27285C"/>
    <w:rsid w:val="4F3A51C7"/>
    <w:rsid w:val="4F3B332B"/>
    <w:rsid w:val="4FAF7106"/>
    <w:rsid w:val="4FC76D19"/>
    <w:rsid w:val="4FCD07A5"/>
    <w:rsid w:val="505A7235"/>
    <w:rsid w:val="50741869"/>
    <w:rsid w:val="5156191D"/>
    <w:rsid w:val="515D7CEC"/>
    <w:rsid w:val="517A0AFC"/>
    <w:rsid w:val="51952C78"/>
    <w:rsid w:val="51A468C4"/>
    <w:rsid w:val="51CA437A"/>
    <w:rsid w:val="51CF05C8"/>
    <w:rsid w:val="51F30DE4"/>
    <w:rsid w:val="520E7932"/>
    <w:rsid w:val="523E44AE"/>
    <w:rsid w:val="52A83CE8"/>
    <w:rsid w:val="531C512C"/>
    <w:rsid w:val="531E17D4"/>
    <w:rsid w:val="53242159"/>
    <w:rsid w:val="532F53A4"/>
    <w:rsid w:val="53361B1B"/>
    <w:rsid w:val="539B4FE7"/>
    <w:rsid w:val="53A83501"/>
    <w:rsid w:val="53A9314E"/>
    <w:rsid w:val="53C67B3B"/>
    <w:rsid w:val="53D03CC2"/>
    <w:rsid w:val="540528AF"/>
    <w:rsid w:val="54204F87"/>
    <w:rsid w:val="544D669C"/>
    <w:rsid w:val="551C5CE9"/>
    <w:rsid w:val="553D4045"/>
    <w:rsid w:val="557E4CA7"/>
    <w:rsid w:val="55DA4A27"/>
    <w:rsid w:val="567265E5"/>
    <w:rsid w:val="56895B3E"/>
    <w:rsid w:val="56C95382"/>
    <w:rsid w:val="57166665"/>
    <w:rsid w:val="57670148"/>
    <w:rsid w:val="5774104E"/>
    <w:rsid w:val="57D503AA"/>
    <w:rsid w:val="58275EFE"/>
    <w:rsid w:val="583D6A42"/>
    <w:rsid w:val="58C73308"/>
    <w:rsid w:val="58CD3819"/>
    <w:rsid w:val="58FE5EB2"/>
    <w:rsid w:val="59484231"/>
    <w:rsid w:val="595F274C"/>
    <w:rsid w:val="59755F32"/>
    <w:rsid w:val="59815DA0"/>
    <w:rsid w:val="599C6D95"/>
    <w:rsid w:val="5A0E7D7F"/>
    <w:rsid w:val="5A201EDF"/>
    <w:rsid w:val="5A345E4A"/>
    <w:rsid w:val="5A7E6003"/>
    <w:rsid w:val="5A8C4F10"/>
    <w:rsid w:val="5B635F33"/>
    <w:rsid w:val="5C093B7F"/>
    <w:rsid w:val="5C2F2B61"/>
    <w:rsid w:val="5C377FE8"/>
    <w:rsid w:val="5C5B39BC"/>
    <w:rsid w:val="5CAC7B81"/>
    <w:rsid w:val="5CCA7122"/>
    <w:rsid w:val="5CE72CD7"/>
    <w:rsid w:val="5D1F4F35"/>
    <w:rsid w:val="5D372F5E"/>
    <w:rsid w:val="5D3A5F10"/>
    <w:rsid w:val="5D701A4D"/>
    <w:rsid w:val="5D9833A9"/>
    <w:rsid w:val="5DAC1664"/>
    <w:rsid w:val="5DB106E9"/>
    <w:rsid w:val="5DB72BE5"/>
    <w:rsid w:val="5E303091"/>
    <w:rsid w:val="5E701798"/>
    <w:rsid w:val="5E831ABC"/>
    <w:rsid w:val="5E872084"/>
    <w:rsid w:val="5EBA7FA0"/>
    <w:rsid w:val="5EEE15DA"/>
    <w:rsid w:val="5F330EC3"/>
    <w:rsid w:val="5F5537D0"/>
    <w:rsid w:val="5FC15874"/>
    <w:rsid w:val="5FCC27B6"/>
    <w:rsid w:val="6006172C"/>
    <w:rsid w:val="60161510"/>
    <w:rsid w:val="60820DE3"/>
    <w:rsid w:val="60A90437"/>
    <w:rsid w:val="60E53C99"/>
    <w:rsid w:val="618D43DD"/>
    <w:rsid w:val="6190090D"/>
    <w:rsid w:val="61CE455B"/>
    <w:rsid w:val="6206657A"/>
    <w:rsid w:val="622D66B9"/>
    <w:rsid w:val="62364EF5"/>
    <w:rsid w:val="623F4AA8"/>
    <w:rsid w:val="624A282B"/>
    <w:rsid w:val="6271583C"/>
    <w:rsid w:val="62C31FB2"/>
    <w:rsid w:val="62D97AB9"/>
    <w:rsid w:val="633072EF"/>
    <w:rsid w:val="638D6C17"/>
    <w:rsid w:val="63A050E4"/>
    <w:rsid w:val="63A54A39"/>
    <w:rsid w:val="63BE56E8"/>
    <w:rsid w:val="63E47B52"/>
    <w:rsid w:val="64310B06"/>
    <w:rsid w:val="64717CD7"/>
    <w:rsid w:val="64884AA7"/>
    <w:rsid w:val="64B77224"/>
    <w:rsid w:val="64D645D9"/>
    <w:rsid w:val="654D10DC"/>
    <w:rsid w:val="6561679F"/>
    <w:rsid w:val="65A90343"/>
    <w:rsid w:val="65AD336C"/>
    <w:rsid w:val="65B51B24"/>
    <w:rsid w:val="65DB4BD5"/>
    <w:rsid w:val="661178C0"/>
    <w:rsid w:val="664546DF"/>
    <w:rsid w:val="66763E0D"/>
    <w:rsid w:val="66D201B7"/>
    <w:rsid w:val="670F7961"/>
    <w:rsid w:val="676E1783"/>
    <w:rsid w:val="67730283"/>
    <w:rsid w:val="67A56EED"/>
    <w:rsid w:val="685310E4"/>
    <w:rsid w:val="68757C13"/>
    <w:rsid w:val="687A326F"/>
    <w:rsid w:val="687D0D17"/>
    <w:rsid w:val="688621A2"/>
    <w:rsid w:val="68B76574"/>
    <w:rsid w:val="68CF3421"/>
    <w:rsid w:val="68D93B55"/>
    <w:rsid w:val="690D148D"/>
    <w:rsid w:val="693A1AA4"/>
    <w:rsid w:val="69406230"/>
    <w:rsid w:val="69443AC8"/>
    <w:rsid w:val="695565A4"/>
    <w:rsid w:val="69B51280"/>
    <w:rsid w:val="69C774CB"/>
    <w:rsid w:val="69D739D0"/>
    <w:rsid w:val="69ED79DA"/>
    <w:rsid w:val="69FE5209"/>
    <w:rsid w:val="6A6F494A"/>
    <w:rsid w:val="6A95456F"/>
    <w:rsid w:val="6AB71B26"/>
    <w:rsid w:val="6B21110F"/>
    <w:rsid w:val="6B4A5F48"/>
    <w:rsid w:val="6B74127C"/>
    <w:rsid w:val="6B9A37E4"/>
    <w:rsid w:val="6BA9450F"/>
    <w:rsid w:val="6C287564"/>
    <w:rsid w:val="6C4F07B5"/>
    <w:rsid w:val="6C880A0B"/>
    <w:rsid w:val="6CC03043"/>
    <w:rsid w:val="6CE47DA0"/>
    <w:rsid w:val="6D1E75C4"/>
    <w:rsid w:val="6D3B3B8E"/>
    <w:rsid w:val="6D3E5404"/>
    <w:rsid w:val="6D4F3A93"/>
    <w:rsid w:val="6DA26AEF"/>
    <w:rsid w:val="6DB561C8"/>
    <w:rsid w:val="6DC129B0"/>
    <w:rsid w:val="6DD62F8B"/>
    <w:rsid w:val="6DD7327F"/>
    <w:rsid w:val="6DFA3CB1"/>
    <w:rsid w:val="6DFC7B5F"/>
    <w:rsid w:val="6E333C64"/>
    <w:rsid w:val="6E3C7073"/>
    <w:rsid w:val="6E8B21FE"/>
    <w:rsid w:val="6ED40266"/>
    <w:rsid w:val="6EF24FC8"/>
    <w:rsid w:val="6F6A5BB3"/>
    <w:rsid w:val="6FAB0955"/>
    <w:rsid w:val="6FCF6F3C"/>
    <w:rsid w:val="70121C23"/>
    <w:rsid w:val="70240285"/>
    <w:rsid w:val="702B4F59"/>
    <w:rsid w:val="70300E75"/>
    <w:rsid w:val="70392ED0"/>
    <w:rsid w:val="703A535A"/>
    <w:rsid w:val="703D799F"/>
    <w:rsid w:val="706B5EE9"/>
    <w:rsid w:val="707D71E4"/>
    <w:rsid w:val="707E79ED"/>
    <w:rsid w:val="70F501C3"/>
    <w:rsid w:val="714A3830"/>
    <w:rsid w:val="71521156"/>
    <w:rsid w:val="71982E0C"/>
    <w:rsid w:val="71D06A77"/>
    <w:rsid w:val="71D24E88"/>
    <w:rsid w:val="71D5439A"/>
    <w:rsid w:val="7207288B"/>
    <w:rsid w:val="726427F3"/>
    <w:rsid w:val="72984B5E"/>
    <w:rsid w:val="73796181"/>
    <w:rsid w:val="739B7B32"/>
    <w:rsid w:val="73DC32A3"/>
    <w:rsid w:val="744F0EFE"/>
    <w:rsid w:val="746C2634"/>
    <w:rsid w:val="747300BB"/>
    <w:rsid w:val="749C1913"/>
    <w:rsid w:val="751B607B"/>
    <w:rsid w:val="751D277B"/>
    <w:rsid w:val="75335DF2"/>
    <w:rsid w:val="754119E9"/>
    <w:rsid w:val="75507B57"/>
    <w:rsid w:val="7566226C"/>
    <w:rsid w:val="757068BE"/>
    <w:rsid w:val="759842B7"/>
    <w:rsid w:val="76495899"/>
    <w:rsid w:val="76540FE6"/>
    <w:rsid w:val="76897FB0"/>
    <w:rsid w:val="76DA7C87"/>
    <w:rsid w:val="76F66DDF"/>
    <w:rsid w:val="771E5DD8"/>
    <w:rsid w:val="77462ABA"/>
    <w:rsid w:val="77CA0639"/>
    <w:rsid w:val="77F0569A"/>
    <w:rsid w:val="77F578A9"/>
    <w:rsid w:val="783540D6"/>
    <w:rsid w:val="784056B9"/>
    <w:rsid w:val="787E03F0"/>
    <w:rsid w:val="78A7429D"/>
    <w:rsid w:val="78C54760"/>
    <w:rsid w:val="78D30DAB"/>
    <w:rsid w:val="790A68A6"/>
    <w:rsid w:val="791C419A"/>
    <w:rsid w:val="792B139A"/>
    <w:rsid w:val="794965B4"/>
    <w:rsid w:val="796D07D8"/>
    <w:rsid w:val="79714C5B"/>
    <w:rsid w:val="798E3BDF"/>
    <w:rsid w:val="79943B7B"/>
    <w:rsid w:val="79AF630D"/>
    <w:rsid w:val="79EF7123"/>
    <w:rsid w:val="7A19479D"/>
    <w:rsid w:val="7A473982"/>
    <w:rsid w:val="7A724F36"/>
    <w:rsid w:val="7AA00A5A"/>
    <w:rsid w:val="7AB45613"/>
    <w:rsid w:val="7AE56FF3"/>
    <w:rsid w:val="7B2851B8"/>
    <w:rsid w:val="7B3F5D02"/>
    <w:rsid w:val="7B885B43"/>
    <w:rsid w:val="7C65740C"/>
    <w:rsid w:val="7C6611D6"/>
    <w:rsid w:val="7CF50491"/>
    <w:rsid w:val="7D032928"/>
    <w:rsid w:val="7D104BB7"/>
    <w:rsid w:val="7D122C47"/>
    <w:rsid w:val="7D2933C0"/>
    <w:rsid w:val="7D2C071F"/>
    <w:rsid w:val="7D364F16"/>
    <w:rsid w:val="7E3003FE"/>
    <w:rsid w:val="7EC340DD"/>
    <w:rsid w:val="7EC93300"/>
    <w:rsid w:val="7EFD7783"/>
    <w:rsid w:val="7F3505B4"/>
    <w:rsid w:val="7F454A2E"/>
    <w:rsid w:val="7F4B4EF0"/>
    <w:rsid w:val="7F597AC2"/>
    <w:rsid w:val="7F5B549C"/>
    <w:rsid w:val="7F7D77DB"/>
    <w:rsid w:val="7FAF5B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uiPriority="39" w:qFormat="1"/>
    <w:lsdException w:name="toc 4" w:semiHidden="1" w:qFormat="1"/>
    <w:lsdException w:name="toc 5" w:qFormat="1"/>
    <w:lsdException w:name="toc 6" w:semiHidden="1" w:qFormat="1"/>
    <w:lsdException w:name="toc 7" w:semiHidden="1" w:qFormat="1"/>
    <w:lsdException w:name="toc 8"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F50F70"/>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rsid w:val="00F50F70"/>
    <w:pPr>
      <w:tabs>
        <w:tab w:val="right" w:leader="dot" w:pos="9241"/>
      </w:tabs>
      <w:ind w:firstLineChars="500" w:firstLine="505"/>
      <w:jc w:val="left"/>
    </w:pPr>
    <w:rPr>
      <w:rFonts w:ascii="宋体"/>
      <w:szCs w:val="21"/>
    </w:rPr>
  </w:style>
  <w:style w:type="paragraph" w:styleId="8">
    <w:name w:val="index 8"/>
    <w:basedOn w:val="aff2"/>
    <w:next w:val="aff2"/>
    <w:qFormat/>
    <w:rsid w:val="00F50F70"/>
    <w:pPr>
      <w:ind w:left="1680" w:hanging="210"/>
      <w:jc w:val="left"/>
    </w:pPr>
    <w:rPr>
      <w:rFonts w:ascii="Calibri" w:hAnsi="Calibri"/>
      <w:sz w:val="20"/>
      <w:szCs w:val="20"/>
    </w:rPr>
  </w:style>
  <w:style w:type="paragraph" w:styleId="aff6">
    <w:name w:val="caption"/>
    <w:basedOn w:val="aff2"/>
    <w:next w:val="aff2"/>
    <w:qFormat/>
    <w:rsid w:val="00F50F70"/>
    <w:pPr>
      <w:spacing w:before="152" w:after="160"/>
    </w:pPr>
    <w:rPr>
      <w:rFonts w:ascii="Arial" w:eastAsia="黑体" w:hAnsi="Arial" w:cs="Arial"/>
      <w:sz w:val="20"/>
      <w:szCs w:val="20"/>
    </w:rPr>
  </w:style>
  <w:style w:type="paragraph" w:styleId="5">
    <w:name w:val="index 5"/>
    <w:basedOn w:val="aff2"/>
    <w:next w:val="aff2"/>
    <w:qFormat/>
    <w:rsid w:val="00F50F70"/>
    <w:pPr>
      <w:ind w:left="1050" w:hanging="210"/>
      <w:jc w:val="left"/>
    </w:pPr>
    <w:rPr>
      <w:rFonts w:ascii="Calibri" w:hAnsi="Calibri"/>
      <w:sz w:val="20"/>
      <w:szCs w:val="20"/>
    </w:rPr>
  </w:style>
  <w:style w:type="paragraph" w:styleId="aff7">
    <w:name w:val="Document Map"/>
    <w:basedOn w:val="aff2"/>
    <w:semiHidden/>
    <w:qFormat/>
    <w:rsid w:val="00F50F70"/>
    <w:pPr>
      <w:shd w:val="clear" w:color="auto" w:fill="000080"/>
    </w:pPr>
  </w:style>
  <w:style w:type="paragraph" w:styleId="6">
    <w:name w:val="index 6"/>
    <w:basedOn w:val="aff2"/>
    <w:next w:val="aff2"/>
    <w:qFormat/>
    <w:rsid w:val="00F50F70"/>
    <w:pPr>
      <w:ind w:left="1260" w:hanging="210"/>
      <w:jc w:val="left"/>
    </w:pPr>
    <w:rPr>
      <w:rFonts w:ascii="Calibri" w:hAnsi="Calibri"/>
      <w:sz w:val="20"/>
      <w:szCs w:val="20"/>
    </w:rPr>
  </w:style>
  <w:style w:type="paragraph" w:styleId="4">
    <w:name w:val="index 4"/>
    <w:basedOn w:val="aff2"/>
    <w:next w:val="aff2"/>
    <w:qFormat/>
    <w:rsid w:val="00F50F70"/>
    <w:pPr>
      <w:ind w:left="840" w:hanging="210"/>
      <w:jc w:val="left"/>
    </w:pPr>
    <w:rPr>
      <w:rFonts w:ascii="Calibri" w:hAnsi="Calibri"/>
      <w:sz w:val="20"/>
      <w:szCs w:val="20"/>
    </w:rPr>
  </w:style>
  <w:style w:type="paragraph" w:styleId="50">
    <w:name w:val="toc 5"/>
    <w:basedOn w:val="aff2"/>
    <w:next w:val="aff2"/>
    <w:qFormat/>
    <w:rsid w:val="00F50F70"/>
    <w:pPr>
      <w:tabs>
        <w:tab w:val="right" w:leader="dot" w:pos="9241"/>
      </w:tabs>
      <w:ind w:firstLineChars="300" w:firstLine="300"/>
      <w:jc w:val="left"/>
    </w:pPr>
    <w:rPr>
      <w:rFonts w:ascii="宋体"/>
      <w:szCs w:val="21"/>
    </w:rPr>
  </w:style>
  <w:style w:type="paragraph" w:styleId="3">
    <w:name w:val="toc 3"/>
    <w:basedOn w:val="aff2"/>
    <w:next w:val="aff2"/>
    <w:uiPriority w:val="39"/>
    <w:qFormat/>
    <w:rsid w:val="00F50F70"/>
    <w:pPr>
      <w:tabs>
        <w:tab w:val="right" w:leader="dot" w:pos="9241"/>
      </w:tabs>
      <w:ind w:firstLineChars="100" w:firstLine="102"/>
      <w:jc w:val="left"/>
    </w:pPr>
    <w:rPr>
      <w:rFonts w:ascii="宋体"/>
      <w:szCs w:val="21"/>
    </w:rPr>
  </w:style>
  <w:style w:type="paragraph" w:styleId="80">
    <w:name w:val="toc 8"/>
    <w:basedOn w:val="aff2"/>
    <w:next w:val="aff2"/>
    <w:qFormat/>
    <w:rsid w:val="00F50F70"/>
    <w:pPr>
      <w:tabs>
        <w:tab w:val="right" w:leader="dot" w:pos="9241"/>
      </w:tabs>
      <w:ind w:firstLineChars="600" w:firstLine="607"/>
      <w:jc w:val="left"/>
    </w:pPr>
    <w:rPr>
      <w:rFonts w:ascii="宋体"/>
      <w:szCs w:val="21"/>
    </w:rPr>
  </w:style>
  <w:style w:type="paragraph" w:styleId="30">
    <w:name w:val="index 3"/>
    <w:basedOn w:val="aff2"/>
    <w:next w:val="aff2"/>
    <w:qFormat/>
    <w:rsid w:val="00F50F70"/>
    <w:pPr>
      <w:ind w:left="630" w:hanging="210"/>
      <w:jc w:val="left"/>
    </w:pPr>
    <w:rPr>
      <w:rFonts w:ascii="Calibri" w:hAnsi="Calibri"/>
      <w:sz w:val="20"/>
      <w:szCs w:val="20"/>
    </w:rPr>
  </w:style>
  <w:style w:type="paragraph" w:styleId="aff8">
    <w:name w:val="endnote text"/>
    <w:basedOn w:val="aff2"/>
    <w:semiHidden/>
    <w:qFormat/>
    <w:rsid w:val="00F50F70"/>
    <w:pPr>
      <w:snapToGrid w:val="0"/>
      <w:jc w:val="left"/>
    </w:pPr>
  </w:style>
  <w:style w:type="paragraph" w:styleId="aff9">
    <w:name w:val="footer"/>
    <w:basedOn w:val="aff2"/>
    <w:qFormat/>
    <w:rsid w:val="00F50F70"/>
    <w:pPr>
      <w:snapToGrid w:val="0"/>
      <w:ind w:rightChars="100" w:right="210"/>
      <w:jc w:val="right"/>
    </w:pPr>
    <w:rPr>
      <w:sz w:val="18"/>
      <w:szCs w:val="18"/>
    </w:rPr>
  </w:style>
  <w:style w:type="paragraph" w:styleId="affa">
    <w:name w:val="header"/>
    <w:basedOn w:val="aff2"/>
    <w:qFormat/>
    <w:rsid w:val="00F50F70"/>
    <w:pPr>
      <w:snapToGrid w:val="0"/>
      <w:jc w:val="left"/>
    </w:pPr>
    <w:rPr>
      <w:sz w:val="18"/>
      <w:szCs w:val="18"/>
    </w:rPr>
  </w:style>
  <w:style w:type="paragraph" w:styleId="1">
    <w:name w:val="toc 1"/>
    <w:basedOn w:val="aff2"/>
    <w:next w:val="aff2"/>
    <w:uiPriority w:val="39"/>
    <w:qFormat/>
    <w:rsid w:val="00F50F70"/>
    <w:pPr>
      <w:tabs>
        <w:tab w:val="right" w:leader="dot" w:pos="9241"/>
      </w:tabs>
      <w:spacing w:beforeLines="25" w:afterLines="25"/>
      <w:jc w:val="left"/>
    </w:pPr>
    <w:rPr>
      <w:rFonts w:ascii="宋体"/>
      <w:szCs w:val="21"/>
    </w:rPr>
  </w:style>
  <w:style w:type="paragraph" w:styleId="40">
    <w:name w:val="toc 4"/>
    <w:basedOn w:val="aff2"/>
    <w:next w:val="aff2"/>
    <w:semiHidden/>
    <w:qFormat/>
    <w:rsid w:val="00F50F70"/>
    <w:pPr>
      <w:tabs>
        <w:tab w:val="right" w:leader="dot" w:pos="9241"/>
      </w:tabs>
      <w:ind w:firstLineChars="200" w:firstLine="198"/>
      <w:jc w:val="left"/>
    </w:pPr>
    <w:rPr>
      <w:rFonts w:ascii="宋体"/>
      <w:szCs w:val="21"/>
    </w:rPr>
  </w:style>
  <w:style w:type="paragraph" w:styleId="affb">
    <w:name w:val="index heading"/>
    <w:basedOn w:val="aff2"/>
    <w:next w:val="10"/>
    <w:qFormat/>
    <w:rsid w:val="00F50F70"/>
    <w:pPr>
      <w:spacing w:before="120" w:after="120"/>
      <w:jc w:val="center"/>
    </w:pPr>
    <w:rPr>
      <w:rFonts w:ascii="Calibri" w:hAnsi="Calibri"/>
      <w:b/>
      <w:bCs/>
      <w:iCs/>
      <w:szCs w:val="20"/>
    </w:rPr>
  </w:style>
  <w:style w:type="paragraph" w:styleId="10">
    <w:name w:val="index 1"/>
    <w:basedOn w:val="aff2"/>
    <w:next w:val="affc"/>
    <w:qFormat/>
    <w:rsid w:val="00F50F70"/>
    <w:pPr>
      <w:tabs>
        <w:tab w:val="right" w:leader="dot" w:pos="9299"/>
      </w:tabs>
      <w:jc w:val="left"/>
    </w:pPr>
    <w:rPr>
      <w:rFonts w:ascii="宋体"/>
      <w:szCs w:val="21"/>
    </w:rPr>
  </w:style>
  <w:style w:type="paragraph" w:customStyle="1" w:styleId="affc">
    <w:name w:val="段"/>
    <w:link w:val="Char"/>
    <w:qFormat/>
    <w:rsid w:val="00F50F70"/>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rsid w:val="00F50F70"/>
    <w:pPr>
      <w:numPr>
        <w:numId w:val="1"/>
      </w:numPr>
      <w:snapToGrid w:val="0"/>
      <w:jc w:val="left"/>
    </w:pPr>
    <w:rPr>
      <w:rFonts w:ascii="宋体"/>
      <w:sz w:val="18"/>
      <w:szCs w:val="18"/>
    </w:rPr>
  </w:style>
  <w:style w:type="paragraph" w:styleId="60">
    <w:name w:val="toc 6"/>
    <w:basedOn w:val="aff2"/>
    <w:next w:val="aff2"/>
    <w:semiHidden/>
    <w:qFormat/>
    <w:rsid w:val="00F50F70"/>
    <w:pPr>
      <w:tabs>
        <w:tab w:val="right" w:leader="dot" w:pos="9241"/>
      </w:tabs>
      <w:ind w:firstLineChars="400" w:firstLine="403"/>
      <w:jc w:val="left"/>
    </w:pPr>
    <w:rPr>
      <w:rFonts w:ascii="宋体"/>
      <w:szCs w:val="21"/>
    </w:rPr>
  </w:style>
  <w:style w:type="paragraph" w:styleId="70">
    <w:name w:val="index 7"/>
    <w:basedOn w:val="aff2"/>
    <w:next w:val="aff2"/>
    <w:qFormat/>
    <w:rsid w:val="00F50F70"/>
    <w:pPr>
      <w:ind w:left="1470" w:hanging="210"/>
      <w:jc w:val="left"/>
    </w:pPr>
    <w:rPr>
      <w:rFonts w:ascii="Calibri" w:hAnsi="Calibri"/>
      <w:sz w:val="20"/>
      <w:szCs w:val="20"/>
    </w:rPr>
  </w:style>
  <w:style w:type="paragraph" w:styleId="9">
    <w:name w:val="index 9"/>
    <w:basedOn w:val="aff2"/>
    <w:next w:val="aff2"/>
    <w:qFormat/>
    <w:rsid w:val="00F50F70"/>
    <w:pPr>
      <w:ind w:left="1890" w:hanging="210"/>
      <w:jc w:val="left"/>
    </w:pPr>
    <w:rPr>
      <w:rFonts w:ascii="Calibri" w:hAnsi="Calibri"/>
      <w:sz w:val="20"/>
      <w:szCs w:val="20"/>
    </w:rPr>
  </w:style>
  <w:style w:type="paragraph" w:styleId="2">
    <w:name w:val="toc 2"/>
    <w:basedOn w:val="aff2"/>
    <w:next w:val="aff2"/>
    <w:semiHidden/>
    <w:qFormat/>
    <w:rsid w:val="00F50F70"/>
    <w:pPr>
      <w:tabs>
        <w:tab w:val="right" w:leader="dot" w:pos="9241"/>
      </w:tabs>
    </w:pPr>
    <w:rPr>
      <w:rFonts w:ascii="宋体"/>
      <w:szCs w:val="21"/>
    </w:rPr>
  </w:style>
  <w:style w:type="paragraph" w:styleId="90">
    <w:name w:val="toc 9"/>
    <w:basedOn w:val="aff2"/>
    <w:next w:val="aff2"/>
    <w:semiHidden/>
    <w:qFormat/>
    <w:rsid w:val="00F50F70"/>
    <w:pPr>
      <w:ind w:left="1470"/>
      <w:jc w:val="left"/>
    </w:pPr>
    <w:rPr>
      <w:sz w:val="20"/>
      <w:szCs w:val="20"/>
    </w:rPr>
  </w:style>
  <w:style w:type="paragraph" w:styleId="HTML">
    <w:name w:val="HTML Preformatted"/>
    <w:basedOn w:val="aff2"/>
    <w:semiHidden/>
    <w:unhideWhenUsed/>
    <w:qFormat/>
    <w:rsid w:val="00F50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fd">
    <w:name w:val="Normal (Web)"/>
    <w:basedOn w:val="aff2"/>
    <w:qFormat/>
    <w:rsid w:val="00F50F70"/>
    <w:pPr>
      <w:widowControl/>
      <w:spacing w:before="100" w:beforeAutospacing="1" w:after="100" w:afterAutospacing="1"/>
      <w:jc w:val="left"/>
    </w:pPr>
    <w:rPr>
      <w:rFonts w:ascii="宋体" w:hAnsi="宋体" w:cs="宋体"/>
      <w:kern w:val="0"/>
      <w:sz w:val="24"/>
    </w:rPr>
  </w:style>
  <w:style w:type="paragraph" w:styleId="20">
    <w:name w:val="index 2"/>
    <w:basedOn w:val="aff2"/>
    <w:next w:val="aff2"/>
    <w:qFormat/>
    <w:rsid w:val="00F50F70"/>
    <w:pPr>
      <w:ind w:left="420" w:hanging="210"/>
      <w:jc w:val="left"/>
    </w:pPr>
    <w:rPr>
      <w:rFonts w:ascii="Calibri" w:hAnsi="Calibri"/>
      <w:sz w:val="20"/>
      <w:szCs w:val="20"/>
    </w:rPr>
  </w:style>
  <w:style w:type="table" w:styleId="affe">
    <w:name w:val="Table Grid"/>
    <w:basedOn w:val="aff4"/>
    <w:qFormat/>
    <w:rsid w:val="00F50F70"/>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ndnote reference"/>
    <w:basedOn w:val="aff3"/>
    <w:semiHidden/>
    <w:qFormat/>
    <w:rsid w:val="00F50F70"/>
    <w:rPr>
      <w:vertAlign w:val="superscript"/>
    </w:rPr>
  </w:style>
  <w:style w:type="character" w:styleId="afff0">
    <w:name w:val="page number"/>
    <w:basedOn w:val="aff3"/>
    <w:qFormat/>
    <w:rsid w:val="00F50F70"/>
    <w:rPr>
      <w:rFonts w:ascii="Times New Roman" w:eastAsia="宋体" w:hAnsi="Times New Roman"/>
      <w:sz w:val="18"/>
    </w:rPr>
  </w:style>
  <w:style w:type="character" w:styleId="afff1">
    <w:name w:val="FollowedHyperlink"/>
    <w:basedOn w:val="aff3"/>
    <w:qFormat/>
    <w:rsid w:val="00F50F70"/>
    <w:rPr>
      <w:color w:val="800080"/>
      <w:u w:val="single"/>
    </w:rPr>
  </w:style>
  <w:style w:type="character" w:styleId="afff2">
    <w:name w:val="Hyperlink"/>
    <w:basedOn w:val="aff3"/>
    <w:uiPriority w:val="99"/>
    <w:qFormat/>
    <w:rsid w:val="00F50F70"/>
    <w:rPr>
      <w:color w:val="0000FF"/>
      <w:spacing w:val="0"/>
      <w:w w:val="100"/>
      <w:szCs w:val="21"/>
      <w:u w:val="single"/>
    </w:rPr>
  </w:style>
  <w:style w:type="character" w:styleId="afff3">
    <w:name w:val="footnote reference"/>
    <w:basedOn w:val="aff3"/>
    <w:semiHidden/>
    <w:qFormat/>
    <w:rsid w:val="00F50F70"/>
    <w:rPr>
      <w:vertAlign w:val="superscript"/>
    </w:rPr>
  </w:style>
  <w:style w:type="character" w:customStyle="1" w:styleId="Char">
    <w:name w:val="段 Char"/>
    <w:basedOn w:val="aff3"/>
    <w:link w:val="affc"/>
    <w:qFormat/>
    <w:rsid w:val="00F50F70"/>
    <w:rPr>
      <w:rFonts w:ascii="宋体"/>
      <w:sz w:val="21"/>
      <w:lang w:val="en-US" w:eastAsia="zh-CN" w:bidi="ar-SA"/>
    </w:rPr>
  </w:style>
  <w:style w:type="paragraph" w:customStyle="1" w:styleId="a5">
    <w:name w:val="一级条标题"/>
    <w:next w:val="affc"/>
    <w:link w:val="Char0"/>
    <w:qFormat/>
    <w:rsid w:val="00F50F70"/>
    <w:pPr>
      <w:numPr>
        <w:ilvl w:val="1"/>
        <w:numId w:val="2"/>
      </w:numPr>
      <w:spacing w:beforeLines="50" w:afterLines="50"/>
      <w:outlineLvl w:val="2"/>
    </w:pPr>
    <w:rPr>
      <w:rFonts w:ascii="黑体" w:eastAsia="黑体"/>
      <w:sz w:val="21"/>
      <w:szCs w:val="21"/>
    </w:rPr>
  </w:style>
  <w:style w:type="paragraph" w:customStyle="1" w:styleId="afff4">
    <w:name w:val="标准书脚_奇数页"/>
    <w:qFormat/>
    <w:rsid w:val="00F50F70"/>
    <w:pPr>
      <w:spacing w:before="120"/>
      <w:ind w:right="198"/>
      <w:jc w:val="right"/>
    </w:pPr>
    <w:rPr>
      <w:rFonts w:ascii="宋体"/>
      <w:sz w:val="18"/>
      <w:szCs w:val="18"/>
    </w:rPr>
  </w:style>
  <w:style w:type="paragraph" w:customStyle="1" w:styleId="afff5">
    <w:name w:val="标准书眉_奇数页"/>
    <w:next w:val="aff2"/>
    <w:qFormat/>
    <w:rsid w:val="00F50F70"/>
    <w:pPr>
      <w:tabs>
        <w:tab w:val="center" w:pos="4154"/>
        <w:tab w:val="right" w:pos="8306"/>
      </w:tabs>
      <w:spacing w:after="220"/>
      <w:jc w:val="right"/>
    </w:pPr>
    <w:rPr>
      <w:rFonts w:ascii="黑体" w:eastAsia="黑体"/>
      <w:sz w:val="21"/>
      <w:szCs w:val="21"/>
    </w:rPr>
  </w:style>
  <w:style w:type="paragraph" w:customStyle="1" w:styleId="a4">
    <w:name w:val="章标题"/>
    <w:next w:val="affc"/>
    <w:qFormat/>
    <w:rsid w:val="00F50F70"/>
    <w:pPr>
      <w:numPr>
        <w:numId w:val="2"/>
      </w:numPr>
      <w:spacing w:beforeLines="100" w:afterLines="100"/>
      <w:jc w:val="both"/>
      <w:outlineLvl w:val="1"/>
    </w:pPr>
    <w:rPr>
      <w:rFonts w:ascii="黑体" w:eastAsia="黑体"/>
      <w:sz w:val="21"/>
    </w:rPr>
  </w:style>
  <w:style w:type="paragraph" w:customStyle="1" w:styleId="a6">
    <w:name w:val="二级条标题"/>
    <w:basedOn w:val="a5"/>
    <w:next w:val="affc"/>
    <w:qFormat/>
    <w:rsid w:val="00F50F70"/>
    <w:pPr>
      <w:numPr>
        <w:ilvl w:val="2"/>
      </w:numPr>
      <w:spacing w:before="50" w:after="50"/>
      <w:outlineLvl w:val="3"/>
    </w:pPr>
  </w:style>
  <w:style w:type="paragraph" w:customStyle="1" w:styleId="21">
    <w:name w:val="封面标准号2"/>
    <w:qFormat/>
    <w:rsid w:val="00F50F7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rsid w:val="00F50F70"/>
    <w:pPr>
      <w:widowControl w:val="0"/>
      <w:numPr>
        <w:numId w:val="3"/>
      </w:numPr>
      <w:jc w:val="both"/>
    </w:pPr>
    <w:rPr>
      <w:rFonts w:ascii="宋体"/>
      <w:sz w:val="21"/>
    </w:rPr>
  </w:style>
  <w:style w:type="paragraph" w:customStyle="1" w:styleId="ad">
    <w:name w:val="列项●（二级）"/>
    <w:qFormat/>
    <w:rsid w:val="00F50F70"/>
    <w:pPr>
      <w:numPr>
        <w:ilvl w:val="1"/>
        <w:numId w:val="3"/>
      </w:numPr>
      <w:tabs>
        <w:tab w:val="left" w:pos="840"/>
      </w:tabs>
      <w:jc w:val="both"/>
    </w:pPr>
    <w:rPr>
      <w:rFonts w:ascii="宋体"/>
      <w:sz w:val="21"/>
    </w:rPr>
  </w:style>
  <w:style w:type="paragraph" w:customStyle="1" w:styleId="afff6">
    <w:name w:val="目次、标准名称标题"/>
    <w:basedOn w:val="aff2"/>
    <w:next w:val="affc"/>
    <w:qFormat/>
    <w:rsid w:val="00F50F7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c"/>
    <w:qFormat/>
    <w:rsid w:val="00F50F70"/>
    <w:pPr>
      <w:numPr>
        <w:ilvl w:val="3"/>
      </w:numPr>
      <w:outlineLvl w:val="4"/>
    </w:pPr>
  </w:style>
  <w:style w:type="paragraph" w:customStyle="1" w:styleId="a1">
    <w:name w:val="示例"/>
    <w:next w:val="afff7"/>
    <w:qFormat/>
    <w:rsid w:val="00F50F70"/>
    <w:pPr>
      <w:widowControl w:val="0"/>
      <w:numPr>
        <w:numId w:val="4"/>
      </w:numPr>
      <w:jc w:val="both"/>
    </w:pPr>
    <w:rPr>
      <w:rFonts w:ascii="宋体"/>
      <w:sz w:val="18"/>
      <w:szCs w:val="18"/>
    </w:rPr>
  </w:style>
  <w:style w:type="paragraph" w:customStyle="1" w:styleId="afff7">
    <w:name w:val="示例内容"/>
    <w:qFormat/>
    <w:rsid w:val="00F50F70"/>
    <w:pPr>
      <w:ind w:firstLineChars="200" w:firstLine="200"/>
    </w:pPr>
    <w:rPr>
      <w:rFonts w:ascii="宋体"/>
      <w:sz w:val="18"/>
      <w:szCs w:val="18"/>
    </w:rPr>
  </w:style>
  <w:style w:type="paragraph" w:customStyle="1" w:styleId="af1">
    <w:name w:val="数字编号列项（二级）"/>
    <w:qFormat/>
    <w:rsid w:val="00F50F70"/>
    <w:pPr>
      <w:numPr>
        <w:ilvl w:val="1"/>
        <w:numId w:val="5"/>
      </w:numPr>
      <w:jc w:val="both"/>
    </w:pPr>
    <w:rPr>
      <w:rFonts w:ascii="宋体"/>
      <w:sz w:val="21"/>
    </w:rPr>
  </w:style>
  <w:style w:type="paragraph" w:customStyle="1" w:styleId="a8">
    <w:name w:val="四级条标题"/>
    <w:basedOn w:val="a7"/>
    <w:next w:val="affc"/>
    <w:qFormat/>
    <w:rsid w:val="00F50F70"/>
    <w:pPr>
      <w:numPr>
        <w:ilvl w:val="4"/>
      </w:numPr>
      <w:outlineLvl w:val="5"/>
    </w:pPr>
  </w:style>
  <w:style w:type="paragraph" w:customStyle="1" w:styleId="a9">
    <w:name w:val="五级条标题"/>
    <w:basedOn w:val="a8"/>
    <w:next w:val="affc"/>
    <w:qFormat/>
    <w:rsid w:val="00F50F70"/>
    <w:pPr>
      <w:numPr>
        <w:ilvl w:val="5"/>
      </w:numPr>
      <w:outlineLvl w:val="6"/>
    </w:pPr>
  </w:style>
  <w:style w:type="paragraph" w:customStyle="1" w:styleId="aff1">
    <w:name w:val="注："/>
    <w:next w:val="affc"/>
    <w:qFormat/>
    <w:rsid w:val="00F50F70"/>
    <w:pPr>
      <w:widowControl w:val="0"/>
      <w:numPr>
        <w:numId w:val="6"/>
      </w:numPr>
      <w:autoSpaceDE w:val="0"/>
      <w:autoSpaceDN w:val="0"/>
      <w:jc w:val="both"/>
    </w:pPr>
    <w:rPr>
      <w:rFonts w:ascii="宋体"/>
      <w:sz w:val="18"/>
      <w:szCs w:val="18"/>
    </w:rPr>
  </w:style>
  <w:style w:type="paragraph" w:customStyle="1" w:styleId="a">
    <w:name w:val="注×："/>
    <w:qFormat/>
    <w:rsid w:val="00F50F70"/>
    <w:pPr>
      <w:widowControl w:val="0"/>
      <w:numPr>
        <w:numId w:val="7"/>
      </w:numPr>
      <w:autoSpaceDE w:val="0"/>
      <w:autoSpaceDN w:val="0"/>
      <w:jc w:val="both"/>
    </w:pPr>
    <w:rPr>
      <w:rFonts w:ascii="宋体"/>
      <w:sz w:val="18"/>
      <w:szCs w:val="18"/>
    </w:rPr>
  </w:style>
  <w:style w:type="paragraph" w:customStyle="1" w:styleId="af0">
    <w:name w:val="字母编号列项（一级）"/>
    <w:qFormat/>
    <w:rsid w:val="00F50F70"/>
    <w:pPr>
      <w:numPr>
        <w:numId w:val="5"/>
      </w:numPr>
      <w:jc w:val="both"/>
    </w:pPr>
    <w:rPr>
      <w:rFonts w:ascii="宋体"/>
      <w:sz w:val="21"/>
    </w:rPr>
  </w:style>
  <w:style w:type="paragraph" w:customStyle="1" w:styleId="ae">
    <w:name w:val="列项◆（三级）"/>
    <w:basedOn w:val="aff2"/>
    <w:qFormat/>
    <w:rsid w:val="00F50F70"/>
    <w:pPr>
      <w:numPr>
        <w:ilvl w:val="2"/>
        <w:numId w:val="3"/>
      </w:numPr>
    </w:pPr>
    <w:rPr>
      <w:rFonts w:ascii="宋体"/>
      <w:szCs w:val="21"/>
    </w:rPr>
  </w:style>
  <w:style w:type="paragraph" w:customStyle="1" w:styleId="af2">
    <w:name w:val="编号列项（三级）"/>
    <w:qFormat/>
    <w:rsid w:val="00F50F70"/>
    <w:pPr>
      <w:numPr>
        <w:ilvl w:val="2"/>
        <w:numId w:val="5"/>
      </w:numPr>
    </w:pPr>
    <w:rPr>
      <w:rFonts w:ascii="宋体"/>
      <w:sz w:val="21"/>
    </w:rPr>
  </w:style>
  <w:style w:type="paragraph" w:customStyle="1" w:styleId="af3">
    <w:name w:val="示例×："/>
    <w:basedOn w:val="a4"/>
    <w:qFormat/>
    <w:rsid w:val="00F50F70"/>
    <w:pPr>
      <w:numPr>
        <w:numId w:val="8"/>
      </w:numPr>
      <w:spacing w:beforeLines="0" w:afterLines="0"/>
      <w:outlineLvl w:val="9"/>
    </w:pPr>
    <w:rPr>
      <w:rFonts w:ascii="宋体" w:eastAsia="宋体"/>
      <w:sz w:val="18"/>
      <w:szCs w:val="18"/>
    </w:rPr>
  </w:style>
  <w:style w:type="paragraph" w:customStyle="1" w:styleId="afff8">
    <w:name w:val="二级无"/>
    <w:basedOn w:val="a6"/>
    <w:qFormat/>
    <w:rsid w:val="00F50F70"/>
    <w:pPr>
      <w:spacing w:beforeLines="0" w:afterLines="0"/>
    </w:pPr>
    <w:rPr>
      <w:rFonts w:ascii="宋体" w:eastAsia="宋体"/>
    </w:rPr>
  </w:style>
  <w:style w:type="paragraph" w:customStyle="1" w:styleId="afff9">
    <w:name w:val="注：（正文）"/>
    <w:basedOn w:val="aff1"/>
    <w:next w:val="affc"/>
    <w:qFormat/>
    <w:rsid w:val="00F50F70"/>
  </w:style>
  <w:style w:type="paragraph" w:customStyle="1" w:styleId="a3">
    <w:name w:val="注×：（正文）"/>
    <w:qFormat/>
    <w:rsid w:val="00F50F70"/>
    <w:pPr>
      <w:numPr>
        <w:numId w:val="9"/>
      </w:numPr>
      <w:jc w:val="both"/>
    </w:pPr>
    <w:rPr>
      <w:rFonts w:ascii="宋体"/>
      <w:sz w:val="18"/>
      <w:szCs w:val="18"/>
    </w:rPr>
  </w:style>
  <w:style w:type="paragraph" w:customStyle="1" w:styleId="afffa">
    <w:name w:val="标准标志"/>
    <w:next w:val="aff2"/>
    <w:qFormat/>
    <w:rsid w:val="00F50F70"/>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b">
    <w:name w:val="标准称谓"/>
    <w:next w:val="aff2"/>
    <w:qFormat/>
    <w:rsid w:val="00F50F7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c">
    <w:name w:val="标准书脚_偶数页"/>
    <w:qFormat/>
    <w:rsid w:val="00F50F70"/>
    <w:pPr>
      <w:spacing w:before="120"/>
      <w:ind w:left="221"/>
    </w:pPr>
    <w:rPr>
      <w:rFonts w:ascii="宋体"/>
      <w:sz w:val="18"/>
      <w:szCs w:val="18"/>
    </w:rPr>
  </w:style>
  <w:style w:type="paragraph" w:customStyle="1" w:styleId="afffd">
    <w:name w:val="标准书眉_偶数页"/>
    <w:basedOn w:val="afff5"/>
    <w:next w:val="aff2"/>
    <w:qFormat/>
    <w:rsid w:val="00F50F70"/>
    <w:pPr>
      <w:jc w:val="left"/>
    </w:pPr>
  </w:style>
  <w:style w:type="paragraph" w:customStyle="1" w:styleId="afffe">
    <w:name w:val="标准书眉一"/>
    <w:qFormat/>
    <w:rsid w:val="00F50F70"/>
    <w:pPr>
      <w:jc w:val="both"/>
    </w:pPr>
  </w:style>
  <w:style w:type="paragraph" w:customStyle="1" w:styleId="affff">
    <w:name w:val="参考文献"/>
    <w:basedOn w:val="aff2"/>
    <w:next w:val="affc"/>
    <w:qFormat/>
    <w:rsid w:val="00F50F70"/>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0">
    <w:name w:val="参考文献、索引标题"/>
    <w:basedOn w:val="aff2"/>
    <w:next w:val="affc"/>
    <w:qFormat/>
    <w:rsid w:val="00F50F70"/>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1">
    <w:name w:val="发布"/>
    <w:basedOn w:val="aff3"/>
    <w:qFormat/>
    <w:rsid w:val="00F50F70"/>
    <w:rPr>
      <w:rFonts w:ascii="黑体" w:eastAsia="黑体"/>
      <w:spacing w:val="85"/>
      <w:w w:val="100"/>
      <w:position w:val="3"/>
      <w:sz w:val="28"/>
      <w:szCs w:val="28"/>
    </w:rPr>
  </w:style>
  <w:style w:type="paragraph" w:customStyle="1" w:styleId="affff2">
    <w:name w:val="发布部门"/>
    <w:next w:val="affc"/>
    <w:qFormat/>
    <w:rsid w:val="00F50F70"/>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发布日期"/>
    <w:qFormat/>
    <w:rsid w:val="00F50F70"/>
    <w:pPr>
      <w:framePr w:w="3997" w:h="471" w:hRule="exact" w:vSpace="181" w:wrap="around" w:hAnchor="page" w:x="7089" w:y="14097" w:anchorLock="1"/>
    </w:pPr>
    <w:rPr>
      <w:rFonts w:eastAsia="黑体"/>
      <w:sz w:val="28"/>
    </w:rPr>
  </w:style>
  <w:style w:type="paragraph" w:customStyle="1" w:styleId="affff4">
    <w:name w:val="封面标准代替信息"/>
    <w:qFormat/>
    <w:rsid w:val="00F50F70"/>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rsid w:val="00F50F70"/>
    <w:pPr>
      <w:widowControl w:val="0"/>
      <w:kinsoku w:val="0"/>
      <w:overflowPunct w:val="0"/>
      <w:autoSpaceDE w:val="0"/>
      <w:autoSpaceDN w:val="0"/>
      <w:spacing w:before="308"/>
      <w:jc w:val="right"/>
      <w:textAlignment w:val="center"/>
    </w:pPr>
    <w:rPr>
      <w:sz w:val="28"/>
    </w:rPr>
  </w:style>
  <w:style w:type="paragraph" w:customStyle="1" w:styleId="affff5">
    <w:name w:val="封面标准名称"/>
    <w:qFormat/>
    <w:rsid w:val="00F50F70"/>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6">
    <w:name w:val="封面标准英文名称"/>
    <w:basedOn w:val="affff5"/>
    <w:qFormat/>
    <w:rsid w:val="00F50F70"/>
    <w:pPr>
      <w:framePr w:wrap="around"/>
      <w:spacing w:before="370" w:line="400" w:lineRule="exact"/>
    </w:pPr>
    <w:rPr>
      <w:rFonts w:ascii="Times New Roman"/>
      <w:sz w:val="28"/>
      <w:szCs w:val="28"/>
    </w:rPr>
  </w:style>
  <w:style w:type="paragraph" w:customStyle="1" w:styleId="affff7">
    <w:name w:val="封面一致性程度标识"/>
    <w:basedOn w:val="affff6"/>
    <w:qFormat/>
    <w:rsid w:val="00F50F70"/>
    <w:pPr>
      <w:framePr w:wrap="around"/>
      <w:spacing w:before="440"/>
    </w:pPr>
    <w:rPr>
      <w:rFonts w:ascii="宋体" w:eastAsia="宋体"/>
    </w:rPr>
  </w:style>
  <w:style w:type="paragraph" w:customStyle="1" w:styleId="affff8">
    <w:name w:val="封面标准文稿类别"/>
    <w:basedOn w:val="affff7"/>
    <w:qFormat/>
    <w:rsid w:val="00F50F70"/>
    <w:pPr>
      <w:framePr w:wrap="around"/>
      <w:spacing w:after="160" w:line="240" w:lineRule="auto"/>
    </w:pPr>
    <w:rPr>
      <w:sz w:val="24"/>
    </w:rPr>
  </w:style>
  <w:style w:type="paragraph" w:customStyle="1" w:styleId="affff9">
    <w:name w:val="封面标准文稿编辑信息"/>
    <w:basedOn w:val="affff8"/>
    <w:qFormat/>
    <w:rsid w:val="00F50F70"/>
    <w:pPr>
      <w:framePr w:wrap="around"/>
      <w:spacing w:before="180" w:line="180" w:lineRule="exact"/>
    </w:pPr>
    <w:rPr>
      <w:sz w:val="21"/>
    </w:rPr>
  </w:style>
  <w:style w:type="paragraph" w:customStyle="1" w:styleId="affffa">
    <w:name w:val="封面正文"/>
    <w:qFormat/>
    <w:rsid w:val="00F50F70"/>
    <w:pPr>
      <w:jc w:val="both"/>
    </w:pPr>
  </w:style>
  <w:style w:type="paragraph" w:customStyle="1" w:styleId="af8">
    <w:name w:val="附录标识"/>
    <w:basedOn w:val="aff2"/>
    <w:next w:val="affc"/>
    <w:qFormat/>
    <w:rsid w:val="00F50F70"/>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b">
    <w:name w:val="附录标题"/>
    <w:basedOn w:val="affc"/>
    <w:next w:val="affc"/>
    <w:qFormat/>
    <w:rsid w:val="00F50F70"/>
    <w:pPr>
      <w:ind w:firstLineChars="0" w:firstLine="0"/>
      <w:jc w:val="center"/>
    </w:pPr>
    <w:rPr>
      <w:rFonts w:ascii="黑体" w:eastAsia="黑体"/>
    </w:rPr>
  </w:style>
  <w:style w:type="paragraph" w:customStyle="1" w:styleId="af5">
    <w:name w:val="附录表标号"/>
    <w:basedOn w:val="aff2"/>
    <w:next w:val="affc"/>
    <w:qFormat/>
    <w:rsid w:val="00F50F70"/>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c"/>
    <w:qFormat/>
    <w:rsid w:val="00F50F70"/>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c"/>
    <w:qFormat/>
    <w:rsid w:val="00F50F7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c">
    <w:name w:val="附录二级无"/>
    <w:basedOn w:val="afb"/>
    <w:qFormat/>
    <w:rsid w:val="00F50F70"/>
    <w:pPr>
      <w:tabs>
        <w:tab w:val="clear" w:pos="360"/>
      </w:tabs>
      <w:spacing w:beforeLines="0" w:afterLines="0"/>
    </w:pPr>
    <w:rPr>
      <w:rFonts w:ascii="宋体" w:eastAsia="宋体"/>
      <w:szCs w:val="21"/>
    </w:rPr>
  </w:style>
  <w:style w:type="paragraph" w:customStyle="1" w:styleId="affffd">
    <w:name w:val="附录公式"/>
    <w:basedOn w:val="affc"/>
    <w:next w:val="affc"/>
    <w:link w:val="Char1"/>
    <w:qFormat/>
    <w:rsid w:val="00F50F70"/>
  </w:style>
  <w:style w:type="character" w:customStyle="1" w:styleId="Char1">
    <w:name w:val="附录公式 Char"/>
    <w:basedOn w:val="Char"/>
    <w:link w:val="affffd"/>
    <w:qFormat/>
    <w:rsid w:val="00F50F70"/>
    <w:rPr>
      <w:rFonts w:ascii="宋体"/>
      <w:sz w:val="21"/>
      <w:lang w:val="en-US" w:eastAsia="zh-CN" w:bidi="ar-SA"/>
    </w:rPr>
  </w:style>
  <w:style w:type="paragraph" w:customStyle="1" w:styleId="affffe">
    <w:name w:val="附录公式编号制表符"/>
    <w:basedOn w:val="aff2"/>
    <w:next w:val="affc"/>
    <w:qFormat/>
    <w:rsid w:val="00F50F70"/>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c"/>
    <w:qFormat/>
    <w:rsid w:val="00F50F70"/>
    <w:pPr>
      <w:numPr>
        <w:ilvl w:val="4"/>
      </w:numPr>
      <w:outlineLvl w:val="4"/>
    </w:pPr>
  </w:style>
  <w:style w:type="paragraph" w:customStyle="1" w:styleId="afffff">
    <w:name w:val="附录三级无"/>
    <w:basedOn w:val="afc"/>
    <w:qFormat/>
    <w:rsid w:val="00F50F70"/>
    <w:pPr>
      <w:tabs>
        <w:tab w:val="clear" w:pos="360"/>
      </w:tabs>
      <w:spacing w:beforeLines="0" w:afterLines="0"/>
    </w:pPr>
    <w:rPr>
      <w:rFonts w:ascii="宋体" w:eastAsia="宋体"/>
      <w:szCs w:val="21"/>
    </w:rPr>
  </w:style>
  <w:style w:type="paragraph" w:customStyle="1" w:styleId="aff0">
    <w:name w:val="附录数字编号列项（二级）"/>
    <w:qFormat/>
    <w:rsid w:val="00F50F70"/>
    <w:pPr>
      <w:numPr>
        <w:ilvl w:val="1"/>
        <w:numId w:val="12"/>
      </w:numPr>
    </w:pPr>
    <w:rPr>
      <w:rFonts w:ascii="宋体"/>
      <w:sz w:val="21"/>
    </w:rPr>
  </w:style>
  <w:style w:type="paragraph" w:customStyle="1" w:styleId="afd">
    <w:name w:val="附录四级条标题"/>
    <w:basedOn w:val="afc"/>
    <w:next w:val="affc"/>
    <w:qFormat/>
    <w:rsid w:val="00F50F70"/>
    <w:pPr>
      <w:numPr>
        <w:ilvl w:val="5"/>
      </w:numPr>
      <w:outlineLvl w:val="5"/>
    </w:pPr>
  </w:style>
  <w:style w:type="paragraph" w:customStyle="1" w:styleId="afffff0">
    <w:name w:val="附录四级无"/>
    <w:basedOn w:val="afd"/>
    <w:qFormat/>
    <w:rsid w:val="00F50F70"/>
    <w:pPr>
      <w:tabs>
        <w:tab w:val="clear" w:pos="360"/>
      </w:tabs>
      <w:spacing w:beforeLines="0" w:afterLines="0"/>
    </w:pPr>
    <w:rPr>
      <w:rFonts w:ascii="宋体" w:eastAsia="宋体"/>
      <w:szCs w:val="21"/>
    </w:rPr>
  </w:style>
  <w:style w:type="paragraph" w:customStyle="1" w:styleId="aa">
    <w:name w:val="附录图标号"/>
    <w:basedOn w:val="aff2"/>
    <w:qFormat/>
    <w:rsid w:val="00F50F70"/>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c"/>
    <w:qFormat/>
    <w:rsid w:val="00F50F70"/>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c"/>
    <w:qFormat/>
    <w:rsid w:val="00F50F70"/>
    <w:pPr>
      <w:numPr>
        <w:ilvl w:val="6"/>
      </w:numPr>
      <w:outlineLvl w:val="6"/>
    </w:pPr>
  </w:style>
  <w:style w:type="paragraph" w:customStyle="1" w:styleId="afffff1">
    <w:name w:val="附录五级无"/>
    <w:basedOn w:val="afe"/>
    <w:qFormat/>
    <w:rsid w:val="00F50F70"/>
    <w:pPr>
      <w:tabs>
        <w:tab w:val="clear" w:pos="360"/>
      </w:tabs>
      <w:spacing w:beforeLines="0" w:afterLines="0"/>
    </w:pPr>
    <w:rPr>
      <w:rFonts w:ascii="宋体" w:eastAsia="宋体"/>
      <w:szCs w:val="21"/>
    </w:rPr>
  </w:style>
  <w:style w:type="paragraph" w:customStyle="1" w:styleId="af9">
    <w:name w:val="附录章标题"/>
    <w:next w:val="affc"/>
    <w:qFormat/>
    <w:rsid w:val="00F50F70"/>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c"/>
    <w:qFormat/>
    <w:rsid w:val="00F50F70"/>
    <w:pPr>
      <w:numPr>
        <w:ilvl w:val="2"/>
      </w:numPr>
      <w:autoSpaceDN w:val="0"/>
      <w:spacing w:beforeLines="50" w:afterLines="50"/>
      <w:outlineLvl w:val="2"/>
    </w:pPr>
  </w:style>
  <w:style w:type="paragraph" w:customStyle="1" w:styleId="afffff2">
    <w:name w:val="附录一级无"/>
    <w:basedOn w:val="afa"/>
    <w:qFormat/>
    <w:rsid w:val="00F50F70"/>
    <w:pPr>
      <w:tabs>
        <w:tab w:val="clear" w:pos="360"/>
      </w:tabs>
      <w:spacing w:beforeLines="0" w:afterLines="0"/>
    </w:pPr>
    <w:rPr>
      <w:rFonts w:ascii="宋体" w:eastAsia="宋体"/>
      <w:szCs w:val="21"/>
    </w:rPr>
  </w:style>
  <w:style w:type="paragraph" w:customStyle="1" w:styleId="aff">
    <w:name w:val="附录字母编号列项（一级）"/>
    <w:qFormat/>
    <w:rsid w:val="00F50F70"/>
    <w:pPr>
      <w:numPr>
        <w:numId w:val="12"/>
      </w:numPr>
    </w:pPr>
    <w:rPr>
      <w:rFonts w:ascii="宋体"/>
      <w:sz w:val="21"/>
    </w:rPr>
  </w:style>
  <w:style w:type="paragraph" w:customStyle="1" w:styleId="afffff3">
    <w:name w:val="列项说明"/>
    <w:basedOn w:val="aff2"/>
    <w:qFormat/>
    <w:rsid w:val="00F50F70"/>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列项说明数字编号"/>
    <w:qFormat/>
    <w:rsid w:val="00F50F70"/>
    <w:pPr>
      <w:ind w:leftChars="400" w:left="600" w:hangingChars="200" w:hanging="200"/>
    </w:pPr>
    <w:rPr>
      <w:rFonts w:ascii="宋体"/>
      <w:sz w:val="21"/>
    </w:rPr>
  </w:style>
  <w:style w:type="paragraph" w:customStyle="1" w:styleId="afffff5">
    <w:name w:val="目次、索引正文"/>
    <w:qFormat/>
    <w:rsid w:val="00F50F70"/>
    <w:pPr>
      <w:spacing w:line="320" w:lineRule="exact"/>
      <w:jc w:val="both"/>
    </w:pPr>
    <w:rPr>
      <w:rFonts w:ascii="宋体"/>
      <w:sz w:val="21"/>
    </w:rPr>
  </w:style>
  <w:style w:type="paragraph" w:customStyle="1" w:styleId="afffff6">
    <w:name w:val="其他标准标志"/>
    <w:basedOn w:val="afffa"/>
    <w:qFormat/>
    <w:rsid w:val="00F50F70"/>
    <w:pPr>
      <w:framePr w:w="6101" w:wrap="around" w:vAnchor="page" w:hAnchor="page" w:x="4673" w:y="942"/>
    </w:pPr>
    <w:rPr>
      <w:w w:val="130"/>
    </w:rPr>
  </w:style>
  <w:style w:type="paragraph" w:customStyle="1" w:styleId="afffff7">
    <w:name w:val="其他标准称谓"/>
    <w:next w:val="aff2"/>
    <w:qFormat/>
    <w:rsid w:val="00F50F70"/>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其他发布部门"/>
    <w:basedOn w:val="affff2"/>
    <w:qFormat/>
    <w:rsid w:val="00F50F70"/>
    <w:pPr>
      <w:framePr w:wrap="around" w:y="15310"/>
      <w:spacing w:line="0" w:lineRule="atLeast"/>
    </w:pPr>
    <w:rPr>
      <w:rFonts w:ascii="黑体" w:eastAsia="黑体"/>
      <w:b w:val="0"/>
    </w:rPr>
  </w:style>
  <w:style w:type="paragraph" w:customStyle="1" w:styleId="afffff9">
    <w:name w:val="前言、引言标题"/>
    <w:next w:val="affc"/>
    <w:qFormat/>
    <w:rsid w:val="00F50F70"/>
    <w:pPr>
      <w:keepNext/>
      <w:pageBreakBefore/>
      <w:shd w:val="clear" w:color="FFFFFF" w:fill="FFFFFF"/>
      <w:spacing w:before="640" w:after="560"/>
      <w:jc w:val="center"/>
      <w:outlineLvl w:val="0"/>
    </w:pPr>
    <w:rPr>
      <w:rFonts w:ascii="黑体" w:eastAsia="黑体"/>
      <w:sz w:val="32"/>
    </w:rPr>
  </w:style>
  <w:style w:type="paragraph" w:customStyle="1" w:styleId="afffffa">
    <w:name w:val="三级无"/>
    <w:basedOn w:val="a7"/>
    <w:qFormat/>
    <w:rsid w:val="00F50F70"/>
    <w:pPr>
      <w:spacing w:beforeLines="0" w:afterLines="0"/>
    </w:pPr>
    <w:rPr>
      <w:rFonts w:ascii="宋体" w:eastAsia="宋体"/>
    </w:rPr>
  </w:style>
  <w:style w:type="paragraph" w:customStyle="1" w:styleId="afffffb">
    <w:name w:val="实施日期"/>
    <w:basedOn w:val="affff3"/>
    <w:qFormat/>
    <w:rsid w:val="00F50F70"/>
    <w:pPr>
      <w:framePr w:wrap="around" w:vAnchor="page" w:hAnchor="text"/>
      <w:jc w:val="right"/>
    </w:pPr>
  </w:style>
  <w:style w:type="paragraph" w:customStyle="1" w:styleId="afffffc">
    <w:name w:val="示例后文字"/>
    <w:basedOn w:val="affc"/>
    <w:next w:val="affc"/>
    <w:qFormat/>
    <w:rsid w:val="00F50F70"/>
    <w:pPr>
      <w:ind w:firstLine="360"/>
    </w:pPr>
    <w:rPr>
      <w:sz w:val="18"/>
    </w:rPr>
  </w:style>
  <w:style w:type="paragraph" w:customStyle="1" w:styleId="a0">
    <w:name w:val="首示例"/>
    <w:next w:val="affc"/>
    <w:link w:val="Char2"/>
    <w:qFormat/>
    <w:rsid w:val="00F50F70"/>
    <w:pPr>
      <w:numPr>
        <w:numId w:val="14"/>
      </w:numPr>
      <w:tabs>
        <w:tab w:val="left" w:pos="360"/>
      </w:tabs>
      <w:ind w:firstLine="0"/>
    </w:pPr>
    <w:rPr>
      <w:rFonts w:ascii="宋体" w:hAnsi="宋体"/>
      <w:kern w:val="2"/>
      <w:sz w:val="18"/>
      <w:szCs w:val="18"/>
    </w:rPr>
  </w:style>
  <w:style w:type="character" w:customStyle="1" w:styleId="Char2">
    <w:name w:val="首示例 Char"/>
    <w:basedOn w:val="aff3"/>
    <w:link w:val="a0"/>
    <w:qFormat/>
    <w:rsid w:val="00F50F70"/>
    <w:rPr>
      <w:rFonts w:ascii="宋体" w:hAnsi="宋体"/>
      <w:kern w:val="2"/>
      <w:sz w:val="18"/>
      <w:szCs w:val="18"/>
      <w:lang w:val="en-US" w:eastAsia="zh-CN" w:bidi="ar-SA"/>
    </w:rPr>
  </w:style>
  <w:style w:type="paragraph" w:customStyle="1" w:styleId="afffffd">
    <w:name w:val="四级无"/>
    <w:basedOn w:val="a8"/>
    <w:qFormat/>
    <w:rsid w:val="00F50F70"/>
    <w:pPr>
      <w:spacing w:beforeLines="0" w:afterLines="0"/>
    </w:pPr>
    <w:rPr>
      <w:rFonts w:ascii="宋体" w:eastAsia="宋体"/>
    </w:rPr>
  </w:style>
  <w:style w:type="paragraph" w:customStyle="1" w:styleId="afffffe">
    <w:name w:val="条文脚注"/>
    <w:basedOn w:val="af"/>
    <w:qFormat/>
    <w:rsid w:val="00F50F70"/>
    <w:pPr>
      <w:numPr>
        <w:numId w:val="0"/>
      </w:numPr>
      <w:jc w:val="both"/>
    </w:pPr>
  </w:style>
  <w:style w:type="paragraph" w:customStyle="1" w:styleId="affffff">
    <w:name w:val="图标脚注说明"/>
    <w:basedOn w:val="affc"/>
    <w:qFormat/>
    <w:rsid w:val="00F50F70"/>
    <w:pPr>
      <w:ind w:left="840" w:firstLineChars="0" w:hanging="420"/>
    </w:pPr>
    <w:rPr>
      <w:sz w:val="18"/>
      <w:szCs w:val="18"/>
    </w:rPr>
  </w:style>
  <w:style w:type="paragraph" w:customStyle="1" w:styleId="a2">
    <w:name w:val="图表脚注说明"/>
    <w:basedOn w:val="aff2"/>
    <w:qFormat/>
    <w:rsid w:val="00F50F70"/>
    <w:pPr>
      <w:numPr>
        <w:numId w:val="15"/>
      </w:numPr>
    </w:pPr>
    <w:rPr>
      <w:rFonts w:ascii="宋体"/>
      <w:sz w:val="18"/>
      <w:szCs w:val="18"/>
    </w:rPr>
  </w:style>
  <w:style w:type="paragraph" w:customStyle="1" w:styleId="affffff0">
    <w:name w:val="图的脚注"/>
    <w:next w:val="affc"/>
    <w:qFormat/>
    <w:rsid w:val="00F50F70"/>
    <w:pPr>
      <w:widowControl w:val="0"/>
      <w:ind w:leftChars="200" w:left="840" w:hangingChars="200" w:hanging="420"/>
      <w:jc w:val="both"/>
    </w:pPr>
    <w:rPr>
      <w:rFonts w:ascii="宋体"/>
      <w:sz w:val="18"/>
    </w:rPr>
  </w:style>
  <w:style w:type="paragraph" w:customStyle="1" w:styleId="affffff1">
    <w:name w:val="文献分类号"/>
    <w:qFormat/>
    <w:rsid w:val="00F50F70"/>
    <w:pPr>
      <w:framePr w:hSpace="180" w:vSpace="180" w:wrap="around" w:hAnchor="margin" w:y="1" w:anchorLock="1"/>
      <w:widowControl w:val="0"/>
      <w:textAlignment w:val="center"/>
    </w:pPr>
    <w:rPr>
      <w:rFonts w:ascii="黑体" w:eastAsia="黑体"/>
      <w:sz w:val="21"/>
      <w:szCs w:val="21"/>
    </w:rPr>
  </w:style>
  <w:style w:type="paragraph" w:customStyle="1" w:styleId="affffff2">
    <w:name w:val="五级无"/>
    <w:basedOn w:val="a9"/>
    <w:qFormat/>
    <w:rsid w:val="00F50F70"/>
    <w:pPr>
      <w:spacing w:beforeLines="0" w:afterLines="0"/>
    </w:pPr>
    <w:rPr>
      <w:rFonts w:ascii="宋体" w:eastAsia="宋体"/>
    </w:rPr>
  </w:style>
  <w:style w:type="paragraph" w:customStyle="1" w:styleId="affffff3">
    <w:name w:val="一级无"/>
    <w:basedOn w:val="a5"/>
    <w:qFormat/>
    <w:rsid w:val="00F50F70"/>
    <w:pPr>
      <w:spacing w:beforeLines="0" w:afterLines="0"/>
    </w:pPr>
    <w:rPr>
      <w:rFonts w:ascii="宋体" w:eastAsia="宋体"/>
    </w:rPr>
  </w:style>
  <w:style w:type="paragraph" w:customStyle="1" w:styleId="af7">
    <w:name w:val="正文表标题"/>
    <w:next w:val="affc"/>
    <w:qFormat/>
    <w:rsid w:val="00F50F70"/>
    <w:pPr>
      <w:numPr>
        <w:numId w:val="16"/>
      </w:numPr>
      <w:tabs>
        <w:tab w:val="left" w:pos="360"/>
      </w:tabs>
      <w:spacing w:beforeLines="50" w:afterLines="50"/>
      <w:jc w:val="center"/>
    </w:pPr>
    <w:rPr>
      <w:rFonts w:ascii="黑体" w:eastAsia="黑体"/>
      <w:sz w:val="21"/>
    </w:rPr>
  </w:style>
  <w:style w:type="paragraph" w:customStyle="1" w:styleId="affffff4">
    <w:name w:val="正文公式编号制表符"/>
    <w:basedOn w:val="affc"/>
    <w:next w:val="affc"/>
    <w:qFormat/>
    <w:rsid w:val="00F50F70"/>
    <w:pPr>
      <w:ind w:firstLineChars="0" w:firstLine="0"/>
    </w:pPr>
  </w:style>
  <w:style w:type="paragraph" w:customStyle="1" w:styleId="af4">
    <w:name w:val="正文图标题"/>
    <w:next w:val="affc"/>
    <w:qFormat/>
    <w:rsid w:val="00F50F70"/>
    <w:pPr>
      <w:numPr>
        <w:numId w:val="17"/>
      </w:numPr>
      <w:tabs>
        <w:tab w:val="left" w:pos="360"/>
      </w:tabs>
      <w:spacing w:beforeLines="50" w:afterLines="50"/>
      <w:jc w:val="center"/>
    </w:pPr>
    <w:rPr>
      <w:rFonts w:ascii="黑体" w:eastAsia="黑体"/>
      <w:sz w:val="21"/>
    </w:rPr>
  </w:style>
  <w:style w:type="paragraph" w:customStyle="1" w:styleId="affffff5">
    <w:name w:val="终结线"/>
    <w:basedOn w:val="aff2"/>
    <w:qFormat/>
    <w:rsid w:val="00F50F70"/>
    <w:pPr>
      <w:framePr w:hSpace="181" w:vSpace="181" w:wrap="around" w:vAnchor="text" w:hAnchor="margin" w:xAlign="center" w:y="285"/>
    </w:pPr>
  </w:style>
  <w:style w:type="paragraph" w:customStyle="1" w:styleId="affffff6">
    <w:name w:val="其他发布日期"/>
    <w:basedOn w:val="affff3"/>
    <w:qFormat/>
    <w:rsid w:val="00F50F70"/>
    <w:pPr>
      <w:framePr w:wrap="around" w:vAnchor="page" w:hAnchor="text" w:x="1419"/>
    </w:pPr>
  </w:style>
  <w:style w:type="paragraph" w:customStyle="1" w:styleId="affffff7">
    <w:name w:val="其他实施日期"/>
    <w:basedOn w:val="afffffb"/>
    <w:qFormat/>
    <w:rsid w:val="00F50F70"/>
    <w:pPr>
      <w:framePr w:wrap="around"/>
    </w:pPr>
  </w:style>
  <w:style w:type="paragraph" w:customStyle="1" w:styleId="22">
    <w:name w:val="封面标准名称2"/>
    <w:basedOn w:val="affff5"/>
    <w:qFormat/>
    <w:rsid w:val="00F50F70"/>
    <w:pPr>
      <w:framePr w:wrap="around" w:y="4469"/>
      <w:spacing w:beforeLines="630"/>
    </w:pPr>
  </w:style>
  <w:style w:type="paragraph" w:customStyle="1" w:styleId="23">
    <w:name w:val="封面标准英文名称2"/>
    <w:basedOn w:val="affff6"/>
    <w:qFormat/>
    <w:rsid w:val="00F50F70"/>
    <w:pPr>
      <w:framePr w:wrap="around" w:y="4469"/>
    </w:pPr>
  </w:style>
  <w:style w:type="paragraph" w:customStyle="1" w:styleId="24">
    <w:name w:val="封面一致性程度标识2"/>
    <w:basedOn w:val="affff7"/>
    <w:qFormat/>
    <w:rsid w:val="00F50F70"/>
    <w:pPr>
      <w:framePr w:wrap="around" w:y="4469"/>
    </w:pPr>
  </w:style>
  <w:style w:type="paragraph" w:customStyle="1" w:styleId="25">
    <w:name w:val="封面标准文稿类别2"/>
    <w:basedOn w:val="affff8"/>
    <w:qFormat/>
    <w:rsid w:val="00F50F70"/>
    <w:pPr>
      <w:framePr w:wrap="around" w:y="4469"/>
    </w:pPr>
  </w:style>
  <w:style w:type="paragraph" w:customStyle="1" w:styleId="26">
    <w:name w:val="封面标准文稿编辑信息2"/>
    <w:basedOn w:val="affff9"/>
    <w:qFormat/>
    <w:rsid w:val="00F50F70"/>
    <w:pPr>
      <w:framePr w:wrap="around" w:y="4469"/>
    </w:pPr>
  </w:style>
  <w:style w:type="character" w:customStyle="1" w:styleId="Char0">
    <w:name w:val="一级条标题 Char"/>
    <w:basedOn w:val="aff3"/>
    <w:link w:val="a5"/>
    <w:qFormat/>
    <w:rsid w:val="00F50F70"/>
    <w:rPr>
      <w:rFonts w:ascii="黑体" w:eastAsia="黑体"/>
      <w:sz w:val="21"/>
      <w:szCs w:val="21"/>
      <w:lang w:val="en-US" w:eastAsia="zh-CN" w:bidi="ar-SA"/>
    </w:rPr>
  </w:style>
  <w:style w:type="paragraph" w:customStyle="1" w:styleId="Bodytext1">
    <w:name w:val="Body text|1"/>
    <w:basedOn w:val="aff2"/>
    <w:qFormat/>
    <w:rsid w:val="00F50F70"/>
    <w:pPr>
      <w:spacing w:line="312" w:lineRule="auto"/>
    </w:pPr>
    <w:rPr>
      <w:rFonts w:ascii="MingLiU" w:eastAsia="MingLiU" w:hAnsi="MingLiU" w:cs="MingLiU"/>
      <w:sz w:val="20"/>
      <w:szCs w:val="20"/>
      <w:lang w:val="zh-TW" w:eastAsia="zh-TW" w:bidi="zh-TW"/>
    </w:rPr>
  </w:style>
  <w:style w:type="character" w:customStyle="1" w:styleId="12">
    <w:name w:val="未处理的提及1"/>
    <w:basedOn w:val="aff3"/>
    <w:uiPriority w:val="99"/>
    <w:semiHidden/>
    <w:unhideWhenUsed/>
    <w:qFormat/>
    <w:rsid w:val="00F50F70"/>
    <w:rPr>
      <w:color w:val="605E5C"/>
      <w:shd w:val="clear" w:color="auto" w:fill="E1DFDD"/>
    </w:rPr>
  </w:style>
  <w:style w:type="paragraph" w:customStyle="1" w:styleId="affffff8">
    <w:name w:val="段(正文）"/>
    <w:qFormat/>
    <w:rsid w:val="00F50F70"/>
    <w:pPr>
      <w:autoSpaceDE w:val="0"/>
      <w:autoSpaceDN w:val="0"/>
      <w:ind w:firstLine="420"/>
      <w:jc w:val="both"/>
    </w:pPr>
    <w:rPr>
      <w:rFonts w:ascii="宋体" w:hAnsi="Calibri"/>
      <w:sz w:val="21"/>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2"/>
    <customShpInfo spid="_x0000_s1031"/>
    <customShpInfo spid="_x0000_s1030"/>
    <customShpInfo spid="_x0000_s1029"/>
    <customShpInfo spid="_x0000_s1028"/>
  </customShpExts>
</s:customData>
</file>

<file path=customXml/itemProps1.xml><?xml version="1.0" encoding="utf-8"?>
<ds:datastoreItem xmlns:ds="http://schemas.openxmlformats.org/officeDocument/2006/customXml" ds:itemID="{87FD8DD5-6E27-4AF9-9AFC-BEC0940089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681</Words>
  <Characters>3883</Characters>
  <Application>Microsoft Office Word</Application>
  <DocSecurity>0</DocSecurity>
  <Lines>32</Lines>
  <Paragraphs>9</Paragraphs>
  <ScaleCrop>false</ScaleCrop>
  <LinksUpToDate>false</LinksUpToDate>
  <CharactersWithSpaces>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2020-03-02T10:09:00Z</dcterms:created>
  <dcterms:modified xsi:type="dcterms:W3CDTF">2020-09-28T08:17:00Z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