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rPr>
          <w:rFonts w:hAnsi="黑体" w:cs="黑体"/>
          <w:color w:val="auto"/>
        </w:rPr>
      </w:pPr>
      <w:r>
        <w:rPr>
          <w:rFonts w:hint="eastAsia" w:hAnsi="黑体" w:cs="黑体"/>
          <w:color w:val="auto"/>
        </w:rPr>
        <w:t>ICS 67.0</w:t>
      </w:r>
      <w:r>
        <w:rPr>
          <w:rFonts w:hint="eastAsia" w:hAnsi="黑体" w:cs="黑体"/>
          <w:color w:val="auto"/>
          <w:lang w:val="en-US" w:eastAsia="zh-CN"/>
        </w:rPr>
        <w:t>6</w:t>
      </w:r>
      <w:r>
        <w:rPr>
          <w:rFonts w:hint="eastAsia" w:hAnsi="黑体" w:cs="黑体"/>
          <w:color w:val="auto"/>
        </w:rPr>
        <w:t>0</w:t>
      </w:r>
    </w:p>
    <w:p>
      <w:pPr>
        <w:pStyle w:val="119"/>
        <w:rPr>
          <w:rFonts w:hint="default" w:eastAsia="黑体"/>
          <w:color w:val="auto"/>
          <w:lang w:val="en-US" w:eastAsia="zh-CN"/>
        </w:rPr>
      </w:pPr>
      <w:r>
        <w:rPr>
          <w:rFonts w:hint="eastAsia"/>
          <w:color w:val="auto"/>
          <w:lang w:val="en-US" w:eastAsia="zh-CN"/>
        </w:rPr>
        <w:t xml:space="preserve">CCS </w:t>
      </w:r>
      <w:r>
        <w:rPr>
          <w:rFonts w:hint="eastAsia"/>
          <w:color w:val="auto"/>
        </w:rPr>
        <w:t xml:space="preserve">X </w:t>
      </w:r>
      <w:r>
        <w:rPr>
          <w:rFonts w:hint="eastAsia"/>
          <w:color w:val="auto"/>
          <w:lang w:val="en-US" w:eastAsia="zh-CN"/>
        </w:rPr>
        <w:t>11</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19"/>
              <w:rPr>
                <w:color w:val="auto"/>
              </w:rPr>
            </w:pPr>
          </w:p>
          <w:p>
            <w:pPr>
              <w:pStyle w:val="119"/>
              <w:rPr>
                <w:color w:val="auto"/>
              </w:rPr>
            </w:pPr>
            <w:r>
              <w:rPr>
                <w:color w:val="auto"/>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v:fill on="t" focussize="0,0"/>
                      <v:stroke on="f"/>
                      <v:imagedata o:title=""/>
                      <o:lock v:ext="edit" aspectratio="f"/>
                      <v:textbox>
                        <w:txbxContent>
                          <w:p>
                            <w:pPr>
                              <w:jc w:val="center"/>
                            </w:pPr>
                          </w:p>
                        </w:txbxContent>
                      </v:textbox>
                    </v:rect>
                  </w:pict>
                </mc:Fallback>
              </mc:AlternateContent>
            </w:r>
          </w:p>
        </w:tc>
      </w:tr>
    </w:tbl>
    <w:p>
      <w:pPr>
        <w:pStyle w:val="63"/>
        <w:framePr w:w="0" w:hRule="auto"/>
        <w:rPr>
          <w:color w:val="auto"/>
        </w:rPr>
      </w:pPr>
      <w:r>
        <w:rPr>
          <w:rFonts w:hint="eastAsia" w:ascii="黑体" w:hAnsi="黑体" w:eastAsia="黑体" w:cs="黑体"/>
          <w:color w:val="auto"/>
        </w:rPr>
        <w:t>团体标准</w:t>
      </w:r>
    </w:p>
    <w:p>
      <w:pPr>
        <w:pStyle w:val="43"/>
        <w:rPr>
          <w:rFonts w:hAnsi="黑体"/>
          <w:color w:val="auto"/>
        </w:rPr>
      </w:pPr>
      <w:r>
        <w:rPr>
          <w:rFonts w:hint="eastAsia" w:hAnsi="黑体" w:cs="黑体"/>
          <w:color w:val="auto"/>
        </w:rPr>
        <w:t>T/ZFS XXXX—2020</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rPr>
                <w:color w:val="auto"/>
              </w:rPr>
            </w:pPr>
            <w:bookmarkStart w:id="0" w:name="DT"/>
            <w:r>
              <w:rPr>
                <w:color w:val="auto"/>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AiMooUiQEAABYDAAAOAAAAAAAAAAEAIAAAACUBAABkcnMvZTJvRG9j&#10;LnhtbFBLBQYAAAAABgAGAFkBAAAgBQAAAAA=&#10;">
                      <v:fill on="t" focussize="0,0"/>
                      <v:stroke on="f"/>
                      <v:imagedata o:title=""/>
                      <o:lock v:ext="edit" aspectratio="f"/>
                      <v:textbox>
                        <w:txbxContent>
                          <w:p>
                            <w:pPr>
                              <w:jc w:val="center"/>
                            </w:pPr>
                          </w:p>
                        </w:txbxContent>
                      </v:textbox>
                    </v:rect>
                  </w:pict>
                </mc:Fallback>
              </mc:AlternateContent>
            </w:r>
            <w:bookmarkEnd w:id="0"/>
          </w:p>
        </w:tc>
      </w:tr>
    </w:tbl>
    <w:p>
      <w:pPr>
        <w:pStyle w:val="43"/>
        <w:rPr>
          <w:rFonts w:hAnsi="黑体"/>
          <w:color w:val="auto"/>
        </w:rPr>
      </w:pPr>
    </w:p>
    <w:p>
      <w:pPr>
        <w:pStyle w:val="43"/>
        <w:rPr>
          <w:rFonts w:hAnsi="黑体"/>
          <w:color w:val="auto"/>
        </w:rPr>
      </w:pPr>
    </w:p>
    <w:p>
      <w:pPr>
        <w:pStyle w:val="74"/>
        <w:rPr>
          <w:rFonts w:hint="default" w:eastAsia="黑体"/>
          <w:color w:val="auto"/>
          <w:lang w:val="en-US" w:eastAsia="zh-CN"/>
        </w:rPr>
      </w:pPr>
      <w:r>
        <w:rPr>
          <w:rFonts w:hint="eastAsia" w:hAnsi="黑体" w:cs="黑体"/>
          <w:color w:val="auto"/>
          <w:szCs w:val="52"/>
          <w:lang w:val="en-US" w:eastAsia="zh-CN"/>
        </w:rPr>
        <w:t>嘉兴粽子</w:t>
      </w:r>
    </w:p>
    <w:p>
      <w:pPr>
        <w:pStyle w:val="75"/>
        <w:rPr>
          <w:color w:val="auto"/>
        </w:rPr>
      </w:pPr>
      <w:r>
        <w:rPr>
          <w:rFonts w:hint="eastAsia"/>
          <w:color w:val="auto"/>
          <w:lang w:val="en-US" w:eastAsia="zh-CN"/>
        </w:rPr>
        <w:t>Jiaxing zongzi</w:t>
      </w:r>
      <w:r>
        <w:rPr>
          <w:color w:val="auto"/>
        </w:rPr>
        <w:t xml:space="preserve"> </w:t>
      </w:r>
    </w:p>
    <w:p>
      <w:pPr>
        <w:pStyle w:val="76"/>
        <w:rPr>
          <w:color w:val="auto"/>
        </w:rPr>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77"/>
              <w:rPr>
                <w:color w:val="auto"/>
              </w:rPr>
            </w:pPr>
            <w:r>
              <w:rPr>
                <w:color w:val="auto"/>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H9igpaJAQAAFgMAAA4AAAAAAAAAAQAgAAAAJAEAAGRycy9lMm9Eb2Mu&#10;eG1sUEsFBgAAAAAGAAYAWQEAAB8FAAAAAA==&#10;">
                      <v:fill on="t" focussize="0,0"/>
                      <v:stroke on="f"/>
                      <v:imagedata o:title=""/>
                      <o:lock v:ext="edit" aspectratio="f"/>
                      <v:textbox>
                        <w:txbxContent>
                          <w:p>
                            <w:pPr>
                              <w:jc w:val="center"/>
                            </w:pPr>
                          </w:p>
                        </w:txbxContent>
                      </v:textbox>
                      <w10:anchorlock/>
                    </v:rect>
                  </w:pict>
                </mc:Fallback>
              </mc:AlternateContent>
            </w:r>
            <w:r>
              <w:rPr>
                <w:color w:val="auto"/>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D4Yvl1gAAAAkBAAAPAAAAAAAAAAEAIAAAACIAAABkcnMvZG93bnJldi54&#10;bWxQSwECFAAUAAAACACHTuJAP6uvvIoBAAAWAwAADgAAAAAAAAABACAAAAAlAQAAZHJzL2Uyb0Rv&#10;Yy54bWxQSwUGAAAAAAYABgBZAQAAIQUAAAAA&#10;">
                      <v:fill on="t" focussize="0,0"/>
                      <v:stroke on="f"/>
                      <v:imagedata o:title=""/>
                      <o:lock v:ext="edit" aspectratio="f"/>
                      <v:textbox>
                        <w:txbxContent>
                          <w:p>
                            <w:pPr>
                              <w:jc w:val="center"/>
                            </w:pPr>
                          </w:p>
                        </w:txbxContent>
                      </v:textbox>
                    </v:rect>
                  </w:pict>
                </mc:Fallback>
              </mc:AlternateContent>
            </w:r>
            <w:r>
              <w:rPr>
                <w:rFonts w:hint="eastAsia"/>
                <w:color w:val="auto"/>
              </w:rPr>
              <w:t>（</w:t>
            </w:r>
            <w:r>
              <w:rPr>
                <w:rFonts w:hint="eastAsia"/>
                <w:color w:val="auto"/>
                <w:lang w:val="en-US" w:eastAsia="zh-CN"/>
              </w:rPr>
              <w:t>征求意见</w:t>
            </w:r>
            <w:r>
              <w:rPr>
                <w:rFonts w:hint="eastAsia"/>
                <w:color w:val="auto"/>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rPr>
                <w:color w:val="auto"/>
              </w:rPr>
            </w:pPr>
          </w:p>
        </w:tc>
      </w:tr>
    </w:tbl>
    <w:p>
      <w:pPr>
        <w:pStyle w:val="126"/>
        <w:framePr w:hAnchor="page" w:x="1666" w:y="14131"/>
        <w:rPr>
          <w:color w:val="auto"/>
        </w:rPr>
      </w:pPr>
      <w:bookmarkStart w:id="1" w:name="FY"/>
      <w:r>
        <w:rPr>
          <w:rFonts w:ascii="黑体"/>
          <w:color w:val="auto"/>
        </w:rPr>
        <w:fldChar w:fldCharType="begin">
          <w:ffData>
            <w:name w:val="F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hint="eastAsia" w:ascii="黑体"/>
          <w:color w:val="auto"/>
        </w:rPr>
        <w:t>202</w:t>
      </w:r>
      <w:r>
        <w:rPr>
          <w:rFonts w:ascii="黑体"/>
          <w:color w:val="auto"/>
        </w:rPr>
        <w:t>X</w:t>
      </w:r>
      <w:r>
        <w:rPr>
          <w:rFonts w:ascii="黑体"/>
          <w:color w:val="auto"/>
        </w:rPr>
        <w:fldChar w:fldCharType="end"/>
      </w:r>
      <w:bookmarkEnd w:id="1"/>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color w:val="auto"/>
        </w:rPr>
        <w:t xml:space="preserve"> </w:t>
      </w:r>
      <w:r>
        <w:rPr>
          <w:rFonts w:ascii="黑体"/>
          <w:color w:val="auto"/>
        </w:rPr>
        <w:t>-</w:t>
      </w:r>
      <w:r>
        <w:rPr>
          <w:color w:val="auto"/>
        </w:rPr>
        <w:t xml:space="preserve"> </w:t>
      </w:r>
      <w:bookmarkStart w:id="2" w:name="FD"/>
      <w:r>
        <w:rPr>
          <w:rFonts w:ascii="黑体"/>
          <w:color w:val="auto"/>
        </w:rPr>
        <w:fldChar w:fldCharType="begin">
          <w:ffData>
            <w:name w:val="F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2"/>
      <w:r>
        <w:rPr>
          <w:rFonts w:hint="eastAsia"/>
          <w:color w:val="auto"/>
        </w:rPr>
        <w:t>发布</w:t>
      </w:r>
      <w:r>
        <w:rPr>
          <w:color w:val="auto"/>
        </w:rPr>
        <mc:AlternateContent>
          <mc:Choice Requires="wps">
            <w:drawing>
              <wp:anchor distT="0" distB="0" distL="114300" distR="114300" simplePos="0" relativeHeight="251655168" behindDoc="0" locked="1" layoutInCell="1" allowOverlap="1">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5.35pt;margin-top:736.5pt;height:0pt;width:481.9pt;mso-position-vertical-relative:page;z-index:251655168;mso-width-relative:page;mso-height-relative:page;" filled="f" stroked="t" coordsize="21600,21600" o:gfxdata="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omaLYAAAADQEAAA8AAAAAAAAAAQAgAAAAIgAAAGRycy9kb3ducmV2&#10;LnhtbFBLAQIUABQAAAAIAIdO4kBfceS+wwEAAIIDAAAOAAAAAAAAAAEAIAAAACcBAABkcnMvZTJv&#10;RG9jLnhtbFBLBQYAAAAABgAGAFkBAABcBQAAAAA=&#10;">
                <v:fill on="f" focussize="0,0"/>
                <v:stroke color="#000000" joinstyle="round"/>
                <v:imagedata o:title=""/>
                <o:lock v:ext="edit" aspectratio="f"/>
                <w10:anchorlock/>
              </v:line>
            </w:pict>
          </mc:Fallback>
        </mc:AlternateContent>
      </w:r>
    </w:p>
    <w:p>
      <w:pPr>
        <w:pStyle w:val="127"/>
        <w:framePr w:hAnchor="page" w:x="6736" w:y="14131"/>
        <w:rPr>
          <w:color w:val="auto"/>
        </w:rPr>
      </w:pPr>
      <w:bookmarkStart w:id="3" w:name="SY"/>
      <w:r>
        <w:rPr>
          <w:rFonts w:ascii="黑体"/>
          <w:color w:val="auto"/>
        </w:rPr>
        <w:fldChar w:fldCharType="begin">
          <w:ffData>
            <w:name w:val="S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hint="eastAsia" w:ascii="黑体"/>
          <w:color w:val="auto"/>
        </w:rPr>
        <w:t>202</w:t>
      </w:r>
      <w:r>
        <w:rPr>
          <w:rFonts w:ascii="黑体"/>
          <w:color w:val="auto"/>
        </w:rPr>
        <w:t>X</w:t>
      </w:r>
      <w:r>
        <w:rPr>
          <w:rFonts w:ascii="黑体"/>
          <w:color w:val="auto"/>
        </w:rPr>
        <w:fldChar w:fldCharType="end"/>
      </w:r>
      <w:bookmarkEnd w:id="3"/>
      <w:r>
        <w:rPr>
          <w:color w:val="auto"/>
        </w:rPr>
        <w:t xml:space="preserve"> </w:t>
      </w:r>
      <w:r>
        <w:rPr>
          <w:rFonts w:ascii="黑体"/>
          <w:color w:val="auto"/>
        </w:rPr>
        <w:t>-</w:t>
      </w:r>
      <w:r>
        <w:rPr>
          <w:color w:val="auto"/>
        </w:rPr>
        <w:t xml:space="preserve"> </w:t>
      </w:r>
      <w:bookmarkStart w:id="4" w:name="SM"/>
      <w:r>
        <w:rPr>
          <w:rFonts w:ascii="黑体"/>
          <w:color w:val="auto"/>
        </w:rPr>
        <w:fldChar w:fldCharType="begin">
          <w:ffData>
            <w:name w:val="S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4"/>
      <w:r>
        <w:rPr>
          <w:color w:val="auto"/>
        </w:rPr>
        <w:t xml:space="preserve"> </w:t>
      </w:r>
      <w:r>
        <w:rPr>
          <w:rFonts w:ascii="黑体"/>
          <w:color w:val="auto"/>
        </w:rPr>
        <w:t>-</w:t>
      </w:r>
      <w:r>
        <w:rPr>
          <w:color w:val="auto"/>
        </w:rPr>
        <w:t xml:space="preserve"> </w:t>
      </w:r>
      <w:bookmarkStart w:id="5" w:name="SD"/>
      <w:r>
        <w:rPr>
          <w:rFonts w:ascii="黑体"/>
          <w:color w:val="auto"/>
        </w:rPr>
        <w:fldChar w:fldCharType="begin">
          <w:ffData>
            <w:name w:val="S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5"/>
      <w:r>
        <w:rPr>
          <w:rFonts w:hint="eastAsia"/>
          <w:color w:val="auto"/>
        </w:rPr>
        <w:t>实施</w:t>
      </w:r>
    </w:p>
    <w:p>
      <w:pPr>
        <w:pStyle w:val="107"/>
        <w:rPr>
          <w:color w:val="auto"/>
        </w:rPr>
      </w:pPr>
      <w:r>
        <w:rPr>
          <w:rFonts w:hint="eastAsia"/>
          <w:color w:val="auto"/>
        </w:rPr>
        <w:t>浙江省食品学会</w:t>
      </w:r>
      <w:r>
        <w:rPr>
          <w:rFonts w:hAnsi="黑体"/>
          <w:color w:val="auto"/>
        </w:rPr>
        <w:t>   </w:t>
      </w:r>
      <w:r>
        <w:rPr>
          <w:rStyle w:val="69"/>
          <w:rFonts w:hint="eastAsia"/>
          <w:color w:val="auto"/>
        </w:rPr>
        <w:t>发布</w:t>
      </w:r>
    </w:p>
    <w:p>
      <w:pPr>
        <w:pStyle w:val="20"/>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4l/XAAAACQEAAA8AAAAAAAAAAQAgAAAAIgAAAGRycy9kb3ducmV2&#10;LnhtbFBLAQIUABQAAAAIAIdO4kCeSj8fxAEAAIIDAAAOAAAAAAAAAAEAIAAAACYBAABkcnMvZTJv&#10;RG9jLnhtbFBLBQYAAAAABgAGAFkBAABcBQAAAAA=&#10;">
                <v:fill on="f" focussize="0,0"/>
                <v:stroke color="#000000" joinstyle="round"/>
                <v:imagedata o:title=""/>
                <o:lock v:ext="edit" aspectratio="f"/>
              </v:line>
            </w:pict>
          </mc:Fallback>
        </mc:AlternateContent>
      </w:r>
    </w:p>
    <w:p>
      <w:pPr>
        <w:pStyle w:val="46"/>
        <w:rPr>
          <w:color w:val="auto"/>
        </w:rPr>
      </w:pPr>
      <w:bookmarkStart w:id="6" w:name="_Toc34064616"/>
      <w:r>
        <w:rPr>
          <w:rFonts w:hint="eastAsia"/>
          <w:color w:val="auto"/>
        </w:rPr>
        <w:t>目</w:t>
      </w:r>
      <w:bookmarkStart w:id="7" w:name="BKML"/>
      <w:r>
        <w:rPr>
          <w:rFonts w:hAnsi="黑体"/>
          <w:color w:val="auto"/>
        </w:rPr>
        <w:t>  </w:t>
      </w:r>
      <w:r>
        <w:rPr>
          <w:rFonts w:hint="eastAsia"/>
          <w:color w:val="auto"/>
        </w:rPr>
        <w:t>次</w:t>
      </w:r>
      <w:bookmarkEnd w:id="7"/>
    </w:p>
    <w:p>
      <w:pPr>
        <w:pStyle w:val="16"/>
        <w:spacing w:before="78" w:after="78"/>
        <w:jc w:val="both"/>
        <w:rPr>
          <w:rFonts w:ascii="Calibri" w:hAnsi="Calibri"/>
          <w:color w:val="auto"/>
          <w:szCs w:val="22"/>
        </w:rPr>
      </w:pPr>
      <w:r>
        <w:rPr>
          <w:color w:val="auto"/>
        </w:rPr>
        <w:fldChar w:fldCharType="begin" w:fldLock="1"/>
      </w:r>
      <w:r>
        <w:rPr>
          <w:color w:val="auto"/>
        </w:rPr>
        <w:instrText xml:space="preserve"> </w:instrText>
      </w:r>
      <w:r>
        <w:rPr>
          <w:rFonts w:hint="eastAsia"/>
          <w:color w:val="auto"/>
        </w:rPr>
        <w:instrText xml:space="preserve">TOC \h \z \t"前言、引言标题,1,参考文献、索引标题,1,章标题,1,参考文献,1,附录标识,1,一级条标题, 3" \* MERGEFORMAT</w:instrText>
      </w:r>
      <w:r>
        <w:rPr>
          <w:color w:val="auto"/>
        </w:rPr>
        <w:instrText xml:space="preserve"> </w:instrText>
      </w:r>
      <w:r>
        <w:rPr>
          <w:color w:val="auto"/>
        </w:rPr>
        <w:fldChar w:fldCharType="separate"/>
      </w:r>
      <w:r>
        <w:rPr>
          <w:color w:val="auto"/>
        </w:rPr>
        <w:fldChar w:fldCharType="begin"/>
      </w:r>
      <w:r>
        <w:rPr>
          <w:color w:val="auto"/>
        </w:rPr>
        <w:instrText xml:space="preserve"> HYPERLINK \l "_Toc34064674" </w:instrText>
      </w:r>
      <w:r>
        <w:rPr>
          <w:color w:val="auto"/>
        </w:rPr>
        <w:fldChar w:fldCharType="separate"/>
      </w:r>
      <w:r>
        <w:rPr>
          <w:rStyle w:val="35"/>
          <w:rFonts w:hint="eastAsia"/>
          <w:color w:val="auto"/>
        </w:rPr>
        <w:t>前言</w:t>
      </w:r>
      <w:r>
        <w:rPr>
          <w:color w:val="auto"/>
        </w:rPr>
        <w:tab/>
      </w:r>
      <w:r>
        <w:rPr>
          <w:color w:val="auto"/>
        </w:rPr>
        <w:fldChar w:fldCharType="begin" w:fldLock="1"/>
      </w:r>
      <w:r>
        <w:rPr>
          <w:color w:val="auto"/>
        </w:rPr>
        <w:instrText xml:space="preserve"> PAGEREF _Toc34064674 \h </w:instrText>
      </w:r>
      <w:r>
        <w:rPr>
          <w:color w:val="auto"/>
        </w:rPr>
        <w:fldChar w:fldCharType="separate"/>
      </w:r>
      <w:r>
        <w:rPr>
          <w:color w:val="auto"/>
        </w:rPr>
        <w:t>II</w:t>
      </w:r>
      <w:r>
        <w:rPr>
          <w:color w:val="auto"/>
        </w:rPr>
        <w:fldChar w:fldCharType="end"/>
      </w:r>
      <w:r>
        <w:rPr>
          <w:color w:val="auto"/>
        </w:rPr>
        <w:fldChar w:fldCharType="end"/>
      </w:r>
    </w:p>
    <w:p>
      <w:pPr>
        <w:pStyle w:val="16"/>
        <w:spacing w:before="78" w:after="78"/>
        <w:jc w:val="both"/>
        <w:rPr>
          <w:rFonts w:ascii="Calibri" w:hAnsi="Calibri"/>
          <w:color w:val="auto"/>
          <w:szCs w:val="22"/>
        </w:rPr>
      </w:pPr>
      <w:r>
        <w:rPr>
          <w:color w:val="auto"/>
        </w:rPr>
        <w:fldChar w:fldCharType="begin"/>
      </w:r>
      <w:r>
        <w:rPr>
          <w:color w:val="auto"/>
        </w:rPr>
        <w:instrText xml:space="preserve"> HYPERLINK \l "_Toc34064675" </w:instrText>
      </w:r>
      <w:r>
        <w:rPr>
          <w:color w:val="auto"/>
        </w:rPr>
        <w:fldChar w:fldCharType="separate"/>
      </w:r>
      <w:r>
        <w:rPr>
          <w:rStyle w:val="35"/>
          <w:color w:val="auto"/>
        </w:rPr>
        <w:t>1</w:t>
      </w:r>
      <w:r>
        <w:rPr>
          <w:rStyle w:val="35"/>
          <w:rFonts w:hint="eastAsia"/>
          <w:color w:val="auto"/>
        </w:rPr>
        <w:t>　范围</w:t>
      </w:r>
      <w:r>
        <w:rPr>
          <w:color w:val="auto"/>
        </w:rPr>
        <w:tab/>
      </w:r>
      <w:r>
        <w:rPr>
          <w:color w:val="auto"/>
        </w:rPr>
        <w:fldChar w:fldCharType="begin" w:fldLock="1"/>
      </w:r>
      <w:r>
        <w:rPr>
          <w:color w:val="auto"/>
        </w:rPr>
        <w:instrText xml:space="preserve"> PAGEREF _Toc34064675 \h </w:instrText>
      </w:r>
      <w:r>
        <w:rPr>
          <w:color w:val="auto"/>
        </w:rPr>
        <w:fldChar w:fldCharType="separate"/>
      </w:r>
      <w:r>
        <w:rPr>
          <w:color w:val="auto"/>
        </w:rPr>
        <w:t>1</w:t>
      </w:r>
      <w:r>
        <w:rPr>
          <w:color w:val="auto"/>
        </w:rPr>
        <w:fldChar w:fldCharType="end"/>
      </w:r>
      <w:r>
        <w:rPr>
          <w:color w:val="auto"/>
        </w:rPr>
        <w:fldChar w:fldCharType="end"/>
      </w:r>
    </w:p>
    <w:p>
      <w:pPr>
        <w:pStyle w:val="16"/>
        <w:spacing w:before="78" w:after="78"/>
        <w:jc w:val="both"/>
        <w:rPr>
          <w:color w:val="auto"/>
        </w:rPr>
      </w:pPr>
      <w:r>
        <w:rPr>
          <w:color w:val="auto"/>
        </w:rPr>
        <w:fldChar w:fldCharType="begin"/>
      </w:r>
      <w:r>
        <w:rPr>
          <w:color w:val="auto"/>
        </w:rPr>
        <w:instrText xml:space="preserve"> HYPERLINK \l "_Toc34064676" </w:instrText>
      </w:r>
      <w:r>
        <w:rPr>
          <w:color w:val="auto"/>
        </w:rPr>
        <w:fldChar w:fldCharType="separate"/>
      </w:r>
      <w:r>
        <w:rPr>
          <w:rStyle w:val="35"/>
          <w:color w:val="auto"/>
        </w:rPr>
        <w:t>2</w:t>
      </w:r>
      <w:r>
        <w:rPr>
          <w:rStyle w:val="35"/>
          <w:rFonts w:hint="eastAsia"/>
          <w:color w:val="auto"/>
        </w:rPr>
        <w:t>　规范性引用文件</w:t>
      </w:r>
      <w:r>
        <w:rPr>
          <w:color w:val="auto"/>
        </w:rPr>
        <w:tab/>
      </w:r>
      <w:r>
        <w:rPr>
          <w:color w:val="auto"/>
        </w:rPr>
        <w:fldChar w:fldCharType="begin" w:fldLock="1"/>
      </w:r>
      <w:r>
        <w:rPr>
          <w:color w:val="auto"/>
        </w:rPr>
        <w:instrText xml:space="preserve"> PAGEREF _Toc34064676 \h </w:instrText>
      </w:r>
      <w:r>
        <w:rPr>
          <w:color w:val="auto"/>
        </w:rPr>
        <w:fldChar w:fldCharType="separate"/>
      </w:r>
      <w:r>
        <w:rPr>
          <w:color w:val="auto"/>
        </w:rPr>
        <w:t>1</w:t>
      </w:r>
      <w:r>
        <w:rPr>
          <w:color w:val="auto"/>
        </w:rPr>
        <w:fldChar w:fldCharType="end"/>
      </w:r>
      <w:r>
        <w:rPr>
          <w:color w:val="auto"/>
        </w:rPr>
        <w:fldChar w:fldCharType="end"/>
      </w:r>
    </w:p>
    <w:p>
      <w:pPr>
        <w:pStyle w:val="16"/>
        <w:spacing w:before="78" w:after="78"/>
        <w:jc w:val="both"/>
        <w:rPr>
          <w:color w:val="auto"/>
        </w:rPr>
      </w:pPr>
      <w:r>
        <w:rPr>
          <w:color w:val="auto"/>
        </w:rPr>
        <w:fldChar w:fldCharType="begin"/>
      </w:r>
      <w:r>
        <w:rPr>
          <w:color w:val="auto"/>
        </w:rPr>
        <w:instrText xml:space="preserve"> HYPERLINK \l "_Toc34064676" </w:instrText>
      </w:r>
      <w:r>
        <w:rPr>
          <w:color w:val="auto"/>
        </w:rPr>
        <w:fldChar w:fldCharType="separate"/>
      </w:r>
      <w:r>
        <w:rPr>
          <w:rStyle w:val="35"/>
          <w:rFonts w:hint="eastAsia"/>
          <w:color w:val="auto"/>
          <w:lang w:val="en-US" w:eastAsia="zh-CN"/>
        </w:rPr>
        <w:t>3</w:t>
      </w:r>
      <w:r>
        <w:rPr>
          <w:rStyle w:val="35"/>
          <w:rFonts w:hint="eastAsia"/>
          <w:color w:val="auto"/>
        </w:rPr>
        <w:t>　</w:t>
      </w:r>
      <w:r>
        <w:rPr>
          <w:rStyle w:val="35"/>
          <w:rFonts w:hint="eastAsia"/>
          <w:color w:val="auto"/>
          <w:lang w:val="en-US" w:eastAsia="zh-CN"/>
        </w:rPr>
        <w:t>术语和定义</w:t>
      </w:r>
      <w:r>
        <w:rPr>
          <w:color w:val="auto"/>
        </w:rPr>
        <w:tab/>
      </w:r>
      <w:r>
        <w:rPr>
          <w:rFonts w:hint="eastAsia"/>
          <w:color w:val="auto"/>
          <w:lang w:val="en-US" w:eastAsia="zh-CN"/>
        </w:rPr>
        <w:t>2</w:t>
      </w:r>
      <w:r>
        <w:rPr>
          <w:color w:val="auto"/>
        </w:rPr>
        <w:fldChar w:fldCharType="end"/>
      </w:r>
    </w:p>
    <w:p>
      <w:pPr>
        <w:pStyle w:val="16"/>
        <w:spacing w:before="78" w:after="78"/>
        <w:jc w:val="both"/>
        <w:rPr>
          <w:color w:val="auto"/>
        </w:rPr>
      </w:pPr>
      <w:r>
        <w:rPr>
          <w:color w:val="auto"/>
        </w:rPr>
        <w:fldChar w:fldCharType="begin"/>
      </w:r>
      <w:r>
        <w:rPr>
          <w:color w:val="auto"/>
        </w:rPr>
        <w:instrText xml:space="preserve"> HYPERLINK \l "_Toc34064676" </w:instrText>
      </w:r>
      <w:r>
        <w:rPr>
          <w:color w:val="auto"/>
        </w:rPr>
        <w:fldChar w:fldCharType="separate"/>
      </w:r>
      <w:r>
        <w:rPr>
          <w:rStyle w:val="35"/>
          <w:rFonts w:hint="eastAsia"/>
          <w:color w:val="auto"/>
          <w:lang w:val="en-US" w:eastAsia="zh-CN"/>
        </w:rPr>
        <w:t>4</w:t>
      </w:r>
      <w:r>
        <w:rPr>
          <w:rStyle w:val="35"/>
          <w:rFonts w:hint="eastAsia"/>
          <w:color w:val="auto"/>
        </w:rPr>
        <w:t>　</w:t>
      </w:r>
      <w:r>
        <w:rPr>
          <w:rStyle w:val="35"/>
          <w:rFonts w:hint="eastAsia"/>
          <w:color w:val="auto"/>
          <w:lang w:val="en-US" w:eastAsia="zh-CN"/>
        </w:rPr>
        <w:t>产品分类</w:t>
      </w:r>
      <w:r>
        <w:rPr>
          <w:color w:val="auto"/>
        </w:rPr>
        <w:tab/>
      </w:r>
      <w:r>
        <w:rPr>
          <w:rFonts w:hint="eastAsia"/>
          <w:color w:val="auto"/>
          <w:lang w:val="en-US" w:eastAsia="zh-CN"/>
        </w:rPr>
        <w:t>2</w:t>
      </w:r>
      <w:r>
        <w:rPr>
          <w:color w:val="auto"/>
        </w:rPr>
        <w:fldChar w:fldCharType="end"/>
      </w:r>
    </w:p>
    <w:p>
      <w:pPr>
        <w:pStyle w:val="16"/>
        <w:spacing w:before="78" w:after="78"/>
        <w:jc w:val="both"/>
        <w:rPr>
          <w:rFonts w:ascii="Calibri" w:hAnsi="Calibri"/>
          <w:color w:val="auto"/>
          <w:szCs w:val="22"/>
        </w:rPr>
      </w:pPr>
      <w:r>
        <w:rPr>
          <w:color w:val="auto"/>
        </w:rPr>
        <w:fldChar w:fldCharType="begin"/>
      </w:r>
      <w:r>
        <w:rPr>
          <w:color w:val="auto"/>
        </w:rPr>
        <w:instrText xml:space="preserve"> HYPERLINK \l "_Toc34064704" </w:instrText>
      </w:r>
      <w:r>
        <w:rPr>
          <w:color w:val="auto"/>
        </w:rPr>
        <w:fldChar w:fldCharType="separate"/>
      </w:r>
      <w:r>
        <w:rPr>
          <w:rStyle w:val="35"/>
          <w:rFonts w:hint="eastAsia"/>
          <w:color w:val="auto"/>
          <w:lang w:val="en-US" w:eastAsia="zh-CN"/>
        </w:rPr>
        <w:t>5</w:t>
      </w:r>
      <w:r>
        <w:rPr>
          <w:rStyle w:val="35"/>
          <w:rFonts w:hint="eastAsia"/>
          <w:color w:val="auto"/>
        </w:rPr>
        <w:t>　</w:t>
      </w:r>
      <w:r>
        <w:rPr>
          <w:rFonts w:hint="eastAsia"/>
          <w:color w:val="auto"/>
        </w:rPr>
        <w:t>技术要求</w:t>
      </w:r>
      <w:r>
        <w:rPr>
          <w:color w:val="auto"/>
        </w:rPr>
        <w:tab/>
      </w:r>
      <w:r>
        <w:rPr>
          <w:rFonts w:hint="eastAsia"/>
          <w:color w:val="auto"/>
          <w:lang w:val="en-US" w:eastAsia="zh-CN"/>
        </w:rPr>
        <w:t>3</w:t>
      </w:r>
      <w:r>
        <w:rPr>
          <w:color w:val="auto"/>
        </w:rPr>
        <w:fldChar w:fldCharType="end"/>
      </w:r>
    </w:p>
    <w:p>
      <w:pPr>
        <w:pStyle w:val="16"/>
        <w:spacing w:before="78" w:after="78"/>
        <w:jc w:val="both"/>
        <w:rPr>
          <w:rFonts w:ascii="Calibri" w:hAnsi="Calibri"/>
          <w:color w:val="auto"/>
          <w:szCs w:val="22"/>
        </w:rPr>
      </w:pPr>
      <w:r>
        <w:rPr>
          <w:color w:val="auto"/>
        </w:rPr>
        <w:fldChar w:fldCharType="begin"/>
      </w:r>
      <w:r>
        <w:rPr>
          <w:color w:val="auto"/>
        </w:rPr>
        <w:instrText xml:space="preserve"> HYPERLINK \l "_Toc34064708" </w:instrText>
      </w:r>
      <w:r>
        <w:rPr>
          <w:color w:val="auto"/>
        </w:rPr>
        <w:fldChar w:fldCharType="separate"/>
      </w:r>
      <w:r>
        <w:rPr>
          <w:rStyle w:val="35"/>
          <w:rFonts w:hint="eastAsia"/>
          <w:color w:val="auto"/>
          <w:lang w:val="en-US" w:eastAsia="zh-CN"/>
        </w:rPr>
        <w:t>6</w:t>
      </w:r>
      <w:r>
        <w:rPr>
          <w:rStyle w:val="35"/>
          <w:rFonts w:hint="eastAsia"/>
          <w:color w:val="auto"/>
        </w:rPr>
        <w:t>　</w:t>
      </w:r>
      <w:r>
        <w:rPr>
          <w:rFonts w:hint="eastAsia"/>
          <w:color w:val="auto"/>
        </w:rPr>
        <w:t>生产加工过程卫生要求</w:t>
      </w:r>
      <w:r>
        <w:rPr>
          <w:color w:val="auto"/>
        </w:rPr>
        <w:tab/>
      </w:r>
      <w:r>
        <w:rPr>
          <w:rFonts w:hint="eastAsia"/>
          <w:color w:val="auto"/>
          <w:lang w:val="en-US" w:eastAsia="zh-CN"/>
        </w:rPr>
        <w:t>4</w:t>
      </w:r>
      <w:r>
        <w:rPr>
          <w:rFonts w:hint="eastAsia"/>
          <w:color w:val="auto"/>
        </w:rPr>
        <w:fldChar w:fldCharType="end"/>
      </w:r>
    </w:p>
    <w:p>
      <w:pPr>
        <w:pStyle w:val="16"/>
        <w:spacing w:before="78" w:after="78"/>
        <w:jc w:val="both"/>
        <w:rPr>
          <w:color w:val="auto"/>
        </w:rPr>
      </w:pPr>
      <w:r>
        <w:rPr>
          <w:color w:val="auto"/>
        </w:rPr>
        <w:fldChar w:fldCharType="begin"/>
      </w:r>
      <w:r>
        <w:rPr>
          <w:color w:val="auto"/>
        </w:rPr>
        <w:instrText xml:space="preserve"> HYPERLINK \l "_Toc34064712" </w:instrText>
      </w:r>
      <w:r>
        <w:rPr>
          <w:color w:val="auto"/>
        </w:rPr>
        <w:fldChar w:fldCharType="separate"/>
      </w:r>
      <w:r>
        <w:rPr>
          <w:rStyle w:val="35"/>
          <w:rFonts w:hint="eastAsia"/>
          <w:color w:val="auto"/>
          <w:lang w:val="en-US" w:eastAsia="zh-CN"/>
        </w:rPr>
        <w:t>7</w:t>
      </w:r>
      <w:r>
        <w:rPr>
          <w:rStyle w:val="35"/>
          <w:rFonts w:hint="eastAsia"/>
          <w:color w:val="auto"/>
        </w:rPr>
        <w:t>　</w:t>
      </w:r>
      <w:r>
        <w:rPr>
          <w:rFonts w:hint="eastAsia"/>
          <w:color w:val="auto"/>
          <w:lang w:val="en-US" w:eastAsia="zh-CN"/>
        </w:rPr>
        <w:t>试验</w:t>
      </w:r>
      <w:r>
        <w:rPr>
          <w:rFonts w:hint="eastAsia"/>
          <w:color w:val="auto"/>
        </w:rPr>
        <w:t>方法</w:t>
      </w:r>
      <w:r>
        <w:rPr>
          <w:color w:val="auto"/>
        </w:rPr>
        <w:tab/>
      </w:r>
      <w:r>
        <w:rPr>
          <w:rFonts w:hint="eastAsia"/>
          <w:color w:val="auto"/>
          <w:lang w:val="en-US" w:eastAsia="zh-CN"/>
        </w:rPr>
        <w:t>4</w:t>
      </w:r>
      <w:r>
        <w:rPr>
          <w:rFonts w:hint="eastAsia"/>
          <w:color w:val="auto"/>
        </w:rPr>
        <w:fldChar w:fldCharType="end"/>
      </w:r>
    </w:p>
    <w:p>
      <w:pPr>
        <w:pStyle w:val="16"/>
        <w:spacing w:before="78" w:after="78"/>
        <w:jc w:val="both"/>
        <w:rPr>
          <w:color w:val="auto"/>
        </w:rPr>
      </w:pPr>
      <w:r>
        <w:rPr>
          <w:color w:val="auto"/>
        </w:rPr>
        <w:fldChar w:fldCharType="end"/>
      </w:r>
      <w:r>
        <w:rPr>
          <w:color w:val="auto"/>
        </w:rPr>
        <w:fldChar w:fldCharType="begin"/>
      </w:r>
      <w:r>
        <w:rPr>
          <w:color w:val="auto"/>
        </w:rPr>
        <w:instrText xml:space="preserve"> HYPERLINK \l "_Toc34064712" </w:instrText>
      </w:r>
      <w:r>
        <w:rPr>
          <w:color w:val="auto"/>
        </w:rPr>
        <w:fldChar w:fldCharType="separate"/>
      </w:r>
      <w:r>
        <w:rPr>
          <w:rFonts w:hint="eastAsia"/>
          <w:color w:val="auto"/>
          <w:lang w:val="en-US" w:eastAsia="zh-CN"/>
        </w:rPr>
        <w:t>8</w:t>
      </w:r>
      <w:r>
        <w:rPr>
          <w:rStyle w:val="35"/>
          <w:rFonts w:hint="eastAsia"/>
          <w:color w:val="auto"/>
          <w:u w:val="none"/>
        </w:rPr>
        <w:t>　</w:t>
      </w:r>
      <w:r>
        <w:rPr>
          <w:rFonts w:hint="eastAsia"/>
          <w:color w:val="auto"/>
        </w:rPr>
        <w:t>检验规则</w:t>
      </w:r>
      <w:r>
        <w:rPr>
          <w:color w:val="auto"/>
        </w:rPr>
        <w:tab/>
      </w:r>
      <w:r>
        <w:rPr>
          <w:rFonts w:hint="eastAsia"/>
          <w:color w:val="auto"/>
          <w:lang w:val="en-US" w:eastAsia="zh-CN"/>
        </w:rPr>
        <w:t>5</w:t>
      </w:r>
      <w:r>
        <w:rPr>
          <w:rFonts w:hint="eastAsia"/>
          <w:color w:val="auto"/>
        </w:rPr>
        <w:fldChar w:fldCharType="end"/>
      </w:r>
    </w:p>
    <w:p>
      <w:pPr>
        <w:pStyle w:val="16"/>
        <w:spacing w:before="78" w:after="78"/>
        <w:jc w:val="both"/>
        <w:rPr>
          <w:color w:val="auto"/>
        </w:rPr>
      </w:pPr>
      <w:r>
        <w:rPr>
          <w:color w:val="auto"/>
        </w:rPr>
        <w:fldChar w:fldCharType="begin"/>
      </w:r>
      <w:r>
        <w:rPr>
          <w:color w:val="auto"/>
        </w:rPr>
        <w:instrText xml:space="preserve"> HYPERLINK \l "_Toc34064712" </w:instrText>
      </w:r>
      <w:r>
        <w:rPr>
          <w:color w:val="auto"/>
        </w:rPr>
        <w:fldChar w:fldCharType="separate"/>
      </w:r>
      <w:r>
        <w:rPr>
          <w:rFonts w:hint="eastAsia"/>
          <w:color w:val="auto"/>
          <w:lang w:val="en-US" w:eastAsia="zh-CN"/>
        </w:rPr>
        <w:t>9</w:t>
      </w:r>
      <w:r>
        <w:rPr>
          <w:rStyle w:val="34"/>
          <w:rFonts w:hint="eastAsia"/>
          <w:color w:val="auto"/>
          <w:u w:val="none"/>
        </w:rPr>
        <w:t>　</w:t>
      </w:r>
      <w:r>
        <w:rPr>
          <w:rStyle w:val="35"/>
          <w:rFonts w:hint="eastAsia"/>
          <w:color w:val="auto"/>
          <w:u w:val="none"/>
        </w:rPr>
        <w:t>标签、标志和包装</w:t>
      </w:r>
      <w:r>
        <w:rPr>
          <w:color w:val="auto"/>
        </w:rPr>
        <w:tab/>
      </w:r>
      <w:r>
        <w:rPr>
          <w:rFonts w:hint="eastAsia"/>
          <w:color w:val="auto"/>
          <w:lang w:val="en-US" w:eastAsia="zh-CN"/>
        </w:rPr>
        <w:t>6</w:t>
      </w:r>
      <w:r>
        <w:rPr>
          <w:rFonts w:hint="eastAsia"/>
          <w:color w:val="auto"/>
        </w:rPr>
        <w:fldChar w:fldCharType="end"/>
      </w:r>
    </w:p>
    <w:p>
      <w:pPr>
        <w:pStyle w:val="16"/>
        <w:spacing w:before="78" w:after="78"/>
        <w:jc w:val="both"/>
        <w:rPr>
          <w:color w:val="auto"/>
        </w:rPr>
      </w:pPr>
      <w:r>
        <w:rPr>
          <w:color w:val="auto"/>
        </w:rPr>
        <w:fldChar w:fldCharType="begin"/>
      </w:r>
      <w:r>
        <w:rPr>
          <w:color w:val="auto"/>
        </w:rPr>
        <w:instrText xml:space="preserve"> HYPERLINK \l "_Toc34064712" </w:instrText>
      </w:r>
      <w:r>
        <w:rPr>
          <w:color w:val="auto"/>
        </w:rPr>
        <w:fldChar w:fldCharType="separate"/>
      </w:r>
      <w:r>
        <w:rPr>
          <w:rFonts w:hint="eastAsia"/>
          <w:color w:val="auto"/>
          <w:lang w:val="en-US" w:eastAsia="zh-CN"/>
        </w:rPr>
        <w:t>10</w:t>
      </w:r>
      <w:r>
        <w:rPr>
          <w:rStyle w:val="35"/>
          <w:rFonts w:hint="eastAsia"/>
          <w:color w:val="auto"/>
          <w:u w:val="none"/>
        </w:rPr>
        <w:t>　运输和</w:t>
      </w:r>
      <w:r>
        <w:rPr>
          <w:rStyle w:val="35"/>
          <w:rFonts w:hint="eastAsia"/>
          <w:color w:val="auto"/>
          <w:u w:val="none"/>
          <w:lang w:eastAsia="zh-CN"/>
        </w:rPr>
        <w:t>贮存</w:t>
      </w:r>
      <w:r>
        <w:rPr>
          <w:color w:val="auto"/>
        </w:rPr>
        <w:tab/>
      </w:r>
      <w:r>
        <w:rPr>
          <w:rFonts w:hint="eastAsia"/>
          <w:color w:val="auto"/>
          <w:lang w:val="en-US" w:eastAsia="zh-CN"/>
        </w:rPr>
        <w:t>7</w:t>
      </w:r>
      <w:r>
        <w:rPr>
          <w:rFonts w:hint="eastAsia"/>
          <w:color w:val="auto"/>
        </w:rPr>
        <w:fldChar w:fldCharType="end"/>
      </w:r>
    </w:p>
    <w:p>
      <w:pPr>
        <w:pStyle w:val="16"/>
        <w:spacing w:before="78" w:after="78"/>
        <w:jc w:val="both"/>
        <w:rPr>
          <w:color w:val="auto"/>
        </w:rPr>
      </w:pPr>
      <w:r>
        <w:rPr>
          <w:color w:val="auto"/>
        </w:rPr>
        <w:fldChar w:fldCharType="begin"/>
      </w:r>
      <w:r>
        <w:rPr>
          <w:color w:val="auto"/>
        </w:rPr>
        <w:instrText xml:space="preserve"> HYPERLINK \l "_Toc34064712" </w:instrText>
      </w:r>
      <w:r>
        <w:rPr>
          <w:color w:val="auto"/>
        </w:rPr>
        <w:fldChar w:fldCharType="separate"/>
      </w:r>
      <w:r>
        <w:rPr>
          <w:rFonts w:hint="eastAsia"/>
          <w:color w:val="auto"/>
          <w:lang w:val="en-US" w:eastAsia="zh-CN"/>
        </w:rPr>
        <w:t>11</w:t>
      </w:r>
      <w:r>
        <w:rPr>
          <w:rStyle w:val="35"/>
          <w:rFonts w:hint="eastAsia"/>
          <w:color w:val="auto"/>
          <w:u w:val="none"/>
        </w:rPr>
        <w:t>　销售</w:t>
      </w:r>
      <w:r>
        <w:rPr>
          <w:color w:val="auto"/>
        </w:rPr>
        <w:tab/>
      </w:r>
      <w:r>
        <w:rPr>
          <w:rFonts w:hint="eastAsia"/>
          <w:color w:val="auto"/>
          <w:lang w:val="en-US" w:eastAsia="zh-CN"/>
        </w:rPr>
        <w:t>7</w:t>
      </w:r>
      <w:r>
        <w:rPr>
          <w:rFonts w:hint="eastAsia"/>
          <w:color w:val="auto"/>
        </w:rPr>
        <w:fldChar w:fldCharType="end"/>
      </w:r>
    </w:p>
    <w:p>
      <w:pPr>
        <w:pStyle w:val="16"/>
        <w:spacing w:before="78" w:after="78"/>
        <w:jc w:val="both"/>
        <w:rPr>
          <w:color w:val="auto"/>
        </w:rPr>
      </w:pPr>
      <w:r>
        <w:rPr>
          <w:rFonts w:hint="eastAsia"/>
          <w:color w:val="auto"/>
        </w:rPr>
        <w:t>1</w:t>
      </w:r>
      <w:r>
        <w:rPr>
          <w:color w:val="auto"/>
        </w:rPr>
        <w:fldChar w:fldCharType="begin"/>
      </w:r>
      <w:r>
        <w:rPr>
          <w:color w:val="auto"/>
        </w:rPr>
        <w:instrText xml:space="preserve"> HYPERLINK \l "_Toc34064712" </w:instrText>
      </w:r>
      <w:r>
        <w:rPr>
          <w:color w:val="auto"/>
        </w:rPr>
        <w:fldChar w:fldCharType="separate"/>
      </w:r>
      <w:r>
        <w:rPr>
          <w:rFonts w:hint="eastAsia"/>
          <w:color w:val="auto"/>
          <w:lang w:val="en-US" w:eastAsia="zh-CN"/>
        </w:rPr>
        <w:t>2</w:t>
      </w:r>
      <w:r>
        <w:rPr>
          <w:rStyle w:val="35"/>
          <w:rFonts w:hint="eastAsia"/>
          <w:color w:val="auto"/>
          <w:u w:val="none"/>
        </w:rPr>
        <w:t>　召回</w:t>
      </w:r>
      <w:r>
        <w:rPr>
          <w:color w:val="auto"/>
        </w:rPr>
        <w:tab/>
      </w:r>
      <w:r>
        <w:rPr>
          <w:rFonts w:hint="eastAsia"/>
          <w:color w:val="auto"/>
          <w:lang w:val="en-US" w:eastAsia="zh-CN"/>
        </w:rPr>
        <w:t>7</w:t>
      </w:r>
      <w:r>
        <w:rPr>
          <w:rFonts w:hint="eastAsia"/>
          <w:color w:val="auto"/>
        </w:rPr>
        <w:fldChar w:fldCharType="end"/>
      </w:r>
    </w:p>
    <w:p>
      <w:pPr>
        <w:rPr>
          <w:color w:val="auto"/>
        </w:rPr>
      </w:pPr>
    </w:p>
    <w:p>
      <w:pPr>
        <w:pStyle w:val="108"/>
        <w:rPr>
          <w:color w:val="auto"/>
        </w:rPr>
      </w:pPr>
      <w:bookmarkStart w:id="8" w:name="_Toc34064674"/>
      <w:r>
        <w:rPr>
          <w:rFonts w:hint="eastAsia"/>
          <w:color w:val="auto"/>
        </w:rPr>
        <w:t>前</w:t>
      </w:r>
      <w:bookmarkStart w:id="9" w:name="BKQY"/>
      <w:r>
        <w:rPr>
          <w:rFonts w:hAnsi="黑体"/>
          <w:color w:val="auto"/>
        </w:rPr>
        <w:t>  </w:t>
      </w:r>
      <w:r>
        <w:rPr>
          <w:rFonts w:hint="eastAsia"/>
          <w:color w:val="auto"/>
        </w:rPr>
        <w:t>言</w:t>
      </w:r>
      <w:bookmarkEnd w:id="6"/>
      <w:bookmarkEnd w:id="8"/>
      <w:bookmarkEnd w:id="9"/>
    </w:p>
    <w:p>
      <w:pPr>
        <w:pStyle w:val="134"/>
        <w:spacing w:line="313" w:lineRule="exact"/>
        <w:ind w:firstLine="420"/>
        <w:rPr>
          <w:rFonts w:hint="eastAsia" w:ascii="宋体" w:hAnsi="宋体" w:eastAsia="宋体" w:cs="Arial"/>
          <w:color w:val="auto"/>
          <w:sz w:val="21"/>
          <w:szCs w:val="21"/>
          <w:lang w:val="en-US" w:eastAsia="zh-CN" w:bidi="en-US"/>
        </w:rPr>
      </w:pPr>
      <w:r>
        <w:rPr>
          <w:rFonts w:ascii="宋体" w:hAnsi="宋体" w:eastAsia="宋体"/>
          <w:color w:val="auto"/>
          <w:sz w:val="21"/>
          <w:szCs w:val="21"/>
        </w:rPr>
        <w:t>本</w:t>
      </w:r>
      <w:r>
        <w:rPr>
          <w:rFonts w:hint="eastAsia" w:ascii="宋体" w:hAnsi="宋体" w:eastAsia="宋体"/>
          <w:color w:val="auto"/>
          <w:sz w:val="21"/>
          <w:szCs w:val="21"/>
        </w:rPr>
        <w:t>文件</w:t>
      </w:r>
      <w:r>
        <w:rPr>
          <w:rFonts w:ascii="宋体" w:hAnsi="宋体" w:eastAsia="宋体"/>
          <w:color w:val="auto"/>
          <w:sz w:val="21"/>
          <w:szCs w:val="21"/>
        </w:rPr>
        <w:t>按照</w:t>
      </w:r>
      <w:r>
        <w:rPr>
          <w:rFonts w:ascii="宋体" w:hAnsi="宋体" w:eastAsia="宋体" w:cs="Arial"/>
          <w:color w:val="auto"/>
          <w:sz w:val="21"/>
          <w:szCs w:val="21"/>
          <w:lang w:val="en-US" w:eastAsia="zh-CN" w:bidi="en-US"/>
        </w:rPr>
        <w:t>GB/T 1.1—20</w:t>
      </w:r>
      <w:r>
        <w:rPr>
          <w:rFonts w:hint="eastAsia" w:ascii="宋体" w:hAnsi="宋体" w:eastAsia="宋体" w:cs="Arial"/>
          <w:color w:val="auto"/>
          <w:sz w:val="21"/>
          <w:szCs w:val="21"/>
          <w:lang w:val="en-US" w:eastAsia="zh-CN" w:bidi="en-US"/>
        </w:rPr>
        <w:t>20《标准化工作导则</w:t>
      </w:r>
      <w:r>
        <w:rPr>
          <w:rFonts w:ascii="宋体" w:hAnsi="宋体" w:eastAsia="宋体" w:cs="Arial"/>
          <w:color w:val="auto"/>
          <w:sz w:val="21"/>
          <w:szCs w:val="21"/>
          <w:lang w:val="en-US" w:eastAsia="zh-CN" w:bidi="en-US"/>
        </w:rPr>
        <w:t xml:space="preserve"> </w:t>
      </w:r>
      <w:r>
        <w:rPr>
          <w:rFonts w:hint="eastAsia" w:ascii="宋体" w:hAnsi="宋体" w:eastAsia="宋体" w:cs="Arial"/>
          <w:color w:val="auto"/>
          <w:sz w:val="21"/>
          <w:szCs w:val="21"/>
          <w:lang w:val="en-US" w:eastAsia="zh-CN" w:bidi="en-US"/>
        </w:rPr>
        <w:t>第1部分：标准化文件的结构和起草规则》的规定起草。</w:t>
      </w:r>
    </w:p>
    <w:p>
      <w:pPr>
        <w:pStyle w:val="134"/>
        <w:spacing w:line="313" w:lineRule="exact"/>
        <w:ind w:firstLine="420"/>
        <w:rPr>
          <w:rFonts w:hint="eastAsia" w:ascii="宋体" w:hAnsi="宋体" w:eastAsia="宋体" w:cs="Arial"/>
          <w:color w:val="auto"/>
          <w:sz w:val="21"/>
          <w:szCs w:val="21"/>
          <w:lang w:val="en-US" w:eastAsia="zh-CN" w:bidi="en-US"/>
        </w:rPr>
      </w:pPr>
      <w:r>
        <w:rPr>
          <w:rFonts w:hint="eastAsia" w:ascii="宋体" w:hAnsi="宋体" w:eastAsia="宋体" w:cs="Arial"/>
          <w:color w:val="auto"/>
          <w:sz w:val="21"/>
          <w:szCs w:val="21"/>
          <w:lang w:val="en-US" w:eastAsia="zh-CN" w:bidi="en-US"/>
        </w:rPr>
        <w:t>请注意本文件的某些内容可能涉及专利。本文件的发布机构不承担识别专利的责任。</w:t>
      </w:r>
    </w:p>
    <w:p>
      <w:pPr>
        <w:pStyle w:val="134"/>
        <w:spacing w:line="313" w:lineRule="exact"/>
        <w:ind w:firstLine="420"/>
        <w:rPr>
          <w:rFonts w:ascii="宋体" w:hAnsi="宋体" w:eastAsia="宋体"/>
          <w:color w:val="auto"/>
          <w:sz w:val="21"/>
          <w:szCs w:val="21"/>
        </w:rPr>
      </w:pPr>
      <w:r>
        <w:rPr>
          <w:rFonts w:ascii="宋体" w:hAnsi="宋体" w:eastAsia="宋体"/>
          <w:color w:val="auto"/>
          <w:sz w:val="21"/>
          <w:szCs w:val="21"/>
        </w:rPr>
        <w:t>本</w:t>
      </w:r>
      <w:r>
        <w:rPr>
          <w:rFonts w:hint="eastAsia" w:ascii="宋体" w:hAnsi="宋体" w:eastAsia="宋体"/>
          <w:color w:val="auto"/>
          <w:sz w:val="21"/>
          <w:szCs w:val="21"/>
        </w:rPr>
        <w:t>文件</w:t>
      </w:r>
      <w:r>
        <w:rPr>
          <w:rFonts w:ascii="宋体" w:hAnsi="宋体" w:eastAsia="宋体"/>
          <w:color w:val="auto"/>
          <w:sz w:val="21"/>
          <w:szCs w:val="21"/>
        </w:rPr>
        <w:t>由</w:t>
      </w:r>
      <w:r>
        <w:rPr>
          <w:rFonts w:hint="eastAsia" w:ascii="宋体" w:hAnsi="宋体" w:eastAsia="宋体"/>
          <w:color w:val="auto"/>
          <w:sz w:val="21"/>
          <w:szCs w:val="21"/>
          <w:lang w:eastAsia="zh-CN"/>
        </w:rPr>
        <w:t>浙江省食品学会</w:t>
      </w:r>
      <w:r>
        <w:rPr>
          <w:rFonts w:ascii="宋体" w:hAnsi="宋体" w:eastAsia="宋体"/>
          <w:color w:val="auto"/>
          <w:sz w:val="21"/>
          <w:szCs w:val="21"/>
        </w:rPr>
        <w:t>提出</w:t>
      </w:r>
      <w:r>
        <w:rPr>
          <w:rFonts w:hint="eastAsia" w:ascii="宋体" w:hAnsi="宋体" w:eastAsia="宋体"/>
          <w:color w:val="auto"/>
          <w:sz w:val="21"/>
          <w:szCs w:val="21"/>
          <w:lang w:val="en-US" w:eastAsia="zh-CN"/>
        </w:rPr>
        <w:t>并归口</w:t>
      </w:r>
      <w:r>
        <w:rPr>
          <w:rFonts w:ascii="宋体" w:hAnsi="宋体" w:eastAsia="宋体"/>
          <w:color w:val="auto"/>
          <w:sz w:val="21"/>
          <w:szCs w:val="21"/>
        </w:rPr>
        <w:t>。</w:t>
      </w:r>
    </w:p>
    <w:p>
      <w:pPr>
        <w:pStyle w:val="134"/>
        <w:spacing w:line="313" w:lineRule="exact"/>
        <w:ind w:firstLine="420"/>
        <w:rPr>
          <w:rFonts w:ascii="宋体" w:hAnsi="宋体" w:eastAsia="宋体"/>
          <w:color w:val="auto"/>
          <w:sz w:val="21"/>
          <w:szCs w:val="21"/>
        </w:rPr>
      </w:pPr>
      <w:r>
        <w:rPr>
          <w:rFonts w:ascii="宋体" w:hAnsi="宋体" w:eastAsia="宋体"/>
          <w:color w:val="auto"/>
          <w:sz w:val="21"/>
          <w:szCs w:val="21"/>
        </w:rPr>
        <w:t>本</w:t>
      </w:r>
      <w:r>
        <w:rPr>
          <w:rFonts w:hint="eastAsia" w:ascii="宋体" w:hAnsi="宋体" w:eastAsia="宋体"/>
          <w:color w:val="auto"/>
          <w:sz w:val="21"/>
          <w:szCs w:val="21"/>
        </w:rPr>
        <w:t>文件</w:t>
      </w:r>
      <w:r>
        <w:rPr>
          <w:rFonts w:ascii="宋体" w:hAnsi="宋体" w:eastAsia="宋体"/>
          <w:color w:val="auto"/>
          <w:sz w:val="21"/>
          <w:szCs w:val="21"/>
        </w:rPr>
        <w:t>起草单位:</w:t>
      </w:r>
      <w:r>
        <w:rPr>
          <w:rFonts w:hint="eastAsia" w:ascii="宋体" w:hAnsi="宋体" w:eastAsia="宋体"/>
          <w:color w:val="auto"/>
          <w:sz w:val="21"/>
          <w:szCs w:val="21"/>
          <w:lang w:val="en-US" w:eastAsia="zh-CN"/>
        </w:rPr>
        <w:t>XXXXX</w:t>
      </w:r>
      <w:r>
        <w:rPr>
          <w:rFonts w:ascii="宋体" w:hAnsi="宋体" w:eastAsia="宋体"/>
          <w:color w:val="auto"/>
          <w:sz w:val="21"/>
          <w:szCs w:val="21"/>
        </w:rPr>
        <w:t>、</w:t>
      </w:r>
      <w:r>
        <w:rPr>
          <w:rFonts w:hint="eastAsia" w:ascii="宋体" w:hAnsi="宋体" w:eastAsia="宋体"/>
          <w:color w:val="auto"/>
          <w:sz w:val="21"/>
          <w:szCs w:val="21"/>
          <w:lang w:val="en-US" w:eastAsia="zh-CN"/>
        </w:rPr>
        <w:t>XXXXX</w:t>
      </w:r>
      <w:r>
        <w:rPr>
          <w:rFonts w:ascii="宋体" w:hAnsi="宋体" w:eastAsia="宋体"/>
          <w:color w:val="auto"/>
          <w:sz w:val="21"/>
          <w:szCs w:val="21"/>
        </w:rPr>
        <w:t>、</w:t>
      </w:r>
      <w:r>
        <w:rPr>
          <w:rFonts w:hint="eastAsia" w:ascii="宋体" w:hAnsi="宋体" w:eastAsia="宋体"/>
          <w:color w:val="auto"/>
          <w:sz w:val="21"/>
          <w:szCs w:val="21"/>
          <w:lang w:val="en-US" w:eastAsia="zh-CN"/>
        </w:rPr>
        <w:t>XXXXX、XXXXX</w:t>
      </w:r>
      <w:r>
        <w:rPr>
          <w:rFonts w:ascii="宋体" w:hAnsi="宋体" w:eastAsia="宋体"/>
          <w:color w:val="auto"/>
          <w:sz w:val="21"/>
          <w:szCs w:val="21"/>
        </w:rPr>
        <w:t>。</w:t>
      </w:r>
    </w:p>
    <w:p>
      <w:pPr>
        <w:pStyle w:val="20"/>
        <w:rPr>
          <w:rFonts w:hAnsi="宋体"/>
          <w:color w:val="auto"/>
          <w:szCs w:val="21"/>
          <w:lang w:eastAsia="zh-TW"/>
        </w:rPr>
      </w:pPr>
      <w:r>
        <w:rPr>
          <w:rFonts w:hAnsi="宋体"/>
          <w:color w:val="auto"/>
          <w:szCs w:val="21"/>
          <w:lang w:eastAsia="zh-TW"/>
        </w:rPr>
        <w:t>本</w:t>
      </w:r>
      <w:r>
        <w:rPr>
          <w:rFonts w:hint="eastAsia" w:hAnsi="宋体"/>
          <w:color w:val="auto"/>
          <w:szCs w:val="21"/>
          <w:lang w:eastAsia="zh-TW"/>
        </w:rPr>
        <w:t>文件</w:t>
      </w:r>
      <w:r>
        <w:rPr>
          <w:rFonts w:hAnsi="宋体"/>
          <w:color w:val="auto"/>
          <w:szCs w:val="21"/>
          <w:lang w:eastAsia="zh-TW"/>
        </w:rPr>
        <w:t>主要起草人:</w:t>
      </w:r>
      <w:r>
        <w:rPr>
          <w:rFonts w:hint="eastAsia" w:hAnsi="宋体"/>
          <w:color w:val="auto"/>
          <w:szCs w:val="21"/>
          <w:lang w:eastAsia="zh-TW"/>
        </w:rPr>
        <w:t>XXX</w:t>
      </w:r>
      <w:r>
        <w:rPr>
          <w:rFonts w:hAnsi="宋体"/>
          <w:color w:val="auto"/>
          <w:szCs w:val="21"/>
          <w:lang w:eastAsia="zh-TW"/>
        </w:rPr>
        <w:t>、</w:t>
      </w:r>
      <w:r>
        <w:rPr>
          <w:rFonts w:hint="eastAsia" w:hAnsi="宋体"/>
          <w:color w:val="auto"/>
          <w:szCs w:val="21"/>
          <w:lang w:eastAsia="zh-TW"/>
        </w:rPr>
        <w:t>XXX</w:t>
      </w:r>
      <w:r>
        <w:rPr>
          <w:rFonts w:hAnsi="宋体"/>
          <w:color w:val="auto"/>
          <w:szCs w:val="21"/>
          <w:lang w:eastAsia="zh-TW"/>
        </w:rPr>
        <w:t>、</w:t>
      </w:r>
      <w:r>
        <w:rPr>
          <w:rFonts w:hint="eastAsia" w:hAnsi="宋体"/>
          <w:color w:val="auto"/>
          <w:szCs w:val="21"/>
          <w:lang w:eastAsia="zh-TW"/>
        </w:rPr>
        <w:t>XXX</w:t>
      </w:r>
      <w:r>
        <w:rPr>
          <w:rFonts w:hAnsi="宋体"/>
          <w:color w:val="auto"/>
          <w:szCs w:val="21"/>
          <w:lang w:eastAsia="zh-TW"/>
        </w:rPr>
        <w:t>、</w:t>
      </w:r>
      <w:r>
        <w:rPr>
          <w:rFonts w:hint="eastAsia" w:hAnsi="宋体"/>
          <w:color w:val="auto"/>
          <w:szCs w:val="21"/>
          <w:lang w:eastAsia="zh-TW"/>
        </w:rPr>
        <w:t>XXX</w:t>
      </w:r>
      <w:r>
        <w:rPr>
          <w:rFonts w:hAnsi="宋体"/>
          <w:color w:val="auto"/>
          <w:szCs w:val="21"/>
          <w:lang w:eastAsia="zh-TW"/>
        </w:rPr>
        <w:t>、</w:t>
      </w:r>
      <w:r>
        <w:rPr>
          <w:rFonts w:hint="eastAsia" w:hAnsi="宋体"/>
          <w:color w:val="auto"/>
          <w:szCs w:val="21"/>
          <w:lang w:eastAsia="zh-TW"/>
        </w:rPr>
        <w:t>XXX</w:t>
      </w:r>
      <w:r>
        <w:rPr>
          <w:rFonts w:hAnsi="宋体"/>
          <w:color w:val="auto"/>
          <w:szCs w:val="21"/>
          <w:lang w:eastAsia="zh-TW"/>
        </w:rPr>
        <w:t>、</w:t>
      </w:r>
      <w:r>
        <w:rPr>
          <w:rFonts w:hint="eastAsia" w:hAnsi="宋体"/>
          <w:color w:val="auto"/>
          <w:szCs w:val="21"/>
          <w:lang w:eastAsia="zh-TW"/>
        </w:rPr>
        <w:t>XXX</w:t>
      </w:r>
      <w:r>
        <w:rPr>
          <w:rFonts w:hAnsi="宋体"/>
          <w:color w:val="auto"/>
          <w:szCs w:val="21"/>
          <w:lang w:eastAsia="zh-TW"/>
        </w:rPr>
        <w:t>。</w:t>
      </w:r>
    </w:p>
    <w:p>
      <w:pPr>
        <w:pStyle w:val="20"/>
        <w:rPr>
          <w:rFonts w:hAnsi="宋体"/>
          <w:color w:val="auto"/>
          <w:szCs w:val="21"/>
          <w:lang w:eastAsia="zh-TW"/>
        </w:rPr>
      </w:pPr>
    </w:p>
    <w:p>
      <w:pPr>
        <w:pStyle w:val="20"/>
        <w:rPr>
          <w:color w:val="auto"/>
          <w:lang w:eastAsia="zh-TW"/>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1"/>
        <w:numPr>
          <w:ilvl w:val="0"/>
          <w:numId w:val="0"/>
        </w:numPr>
        <w:spacing w:before="312" w:after="312"/>
        <w:jc w:val="center"/>
        <w:rPr>
          <w:rFonts w:hint="eastAsia" w:eastAsia="黑体"/>
          <w:color w:val="auto"/>
          <w:sz w:val="32"/>
          <w:lang w:eastAsia="zh-CN"/>
        </w:rPr>
      </w:pPr>
      <w:bookmarkStart w:id="10" w:name="_Toc34064617"/>
      <w:bookmarkStart w:id="11" w:name="_Toc34064675"/>
      <w:r>
        <w:rPr>
          <w:rFonts w:hint="eastAsia"/>
          <w:color w:val="auto"/>
          <w:sz w:val="32"/>
          <w:lang w:val="en-US" w:eastAsia="zh-CN"/>
        </w:rPr>
        <w:t>嘉兴粽子</w:t>
      </w:r>
    </w:p>
    <w:p>
      <w:pPr>
        <w:pStyle w:val="41"/>
        <w:spacing w:before="312" w:after="312"/>
        <w:rPr>
          <w:color w:val="auto"/>
          <w:szCs w:val="22"/>
        </w:rPr>
      </w:pPr>
      <w:r>
        <w:rPr>
          <w:rFonts w:hint="eastAsia"/>
          <w:color w:val="auto"/>
          <w:szCs w:val="22"/>
        </w:rPr>
        <w:t>范围</w:t>
      </w:r>
      <w:bookmarkEnd w:id="10"/>
      <w:bookmarkEnd w:id="11"/>
    </w:p>
    <w:p>
      <w:pPr>
        <w:pStyle w:val="20"/>
        <w:bidi w:val="0"/>
        <w:rPr>
          <w:color w:val="auto"/>
        </w:rPr>
      </w:pPr>
      <w:r>
        <w:rPr>
          <w:color w:val="auto"/>
        </w:rPr>
        <w:t>本</w:t>
      </w:r>
      <w:r>
        <w:rPr>
          <w:rFonts w:hint="eastAsia"/>
          <w:color w:val="auto"/>
        </w:rPr>
        <w:t>文件</w:t>
      </w:r>
      <w:r>
        <w:rPr>
          <w:color w:val="auto"/>
        </w:rPr>
        <w:t>规定了</w:t>
      </w:r>
      <w:r>
        <w:rPr>
          <w:rFonts w:hint="eastAsia"/>
          <w:color w:val="auto"/>
          <w:lang w:val="en-US" w:eastAsia="zh-CN"/>
        </w:rPr>
        <w:t>嘉兴粽子</w:t>
      </w:r>
      <w:r>
        <w:rPr>
          <w:color w:val="auto"/>
        </w:rPr>
        <w:t>的</w:t>
      </w:r>
      <w:r>
        <w:rPr>
          <w:rFonts w:hint="eastAsia"/>
          <w:color w:val="auto"/>
          <w:lang w:val="en-US" w:eastAsia="zh-CN"/>
        </w:rPr>
        <w:t>术语和定义、产品分类、</w:t>
      </w:r>
      <w:r>
        <w:rPr>
          <w:rFonts w:hint="eastAsia"/>
          <w:color w:val="auto"/>
        </w:rPr>
        <w:t>技术要求、生产加工过程卫生要求、</w:t>
      </w:r>
      <w:r>
        <w:rPr>
          <w:rFonts w:hint="eastAsia"/>
          <w:color w:val="auto"/>
          <w:lang w:val="en-US" w:eastAsia="zh-CN"/>
        </w:rPr>
        <w:t>试验</w:t>
      </w:r>
      <w:r>
        <w:rPr>
          <w:rFonts w:hint="eastAsia"/>
          <w:color w:val="auto"/>
        </w:rPr>
        <w:t>方法、检验规则、标签、标志</w:t>
      </w:r>
      <w:r>
        <w:rPr>
          <w:rFonts w:hint="eastAsia"/>
          <w:color w:val="auto"/>
          <w:lang w:val="en-US" w:eastAsia="zh-CN"/>
        </w:rPr>
        <w:t>和</w:t>
      </w:r>
      <w:r>
        <w:rPr>
          <w:rFonts w:hint="eastAsia"/>
          <w:color w:val="auto"/>
        </w:rPr>
        <w:t>包装、运输</w:t>
      </w:r>
      <w:r>
        <w:rPr>
          <w:rFonts w:hint="eastAsia"/>
          <w:color w:val="auto"/>
          <w:lang w:val="en-US" w:eastAsia="zh-CN"/>
        </w:rPr>
        <w:t>和</w:t>
      </w:r>
      <w:r>
        <w:rPr>
          <w:rFonts w:hint="eastAsia"/>
          <w:color w:val="auto"/>
        </w:rPr>
        <w:t>贮存</w:t>
      </w:r>
      <w:r>
        <w:rPr>
          <w:rFonts w:hint="eastAsia"/>
          <w:color w:val="auto"/>
          <w:lang w:eastAsia="zh-CN"/>
        </w:rPr>
        <w:t>、</w:t>
      </w:r>
      <w:r>
        <w:rPr>
          <w:rFonts w:hint="eastAsia"/>
          <w:color w:val="auto"/>
        </w:rPr>
        <w:t>销售、召回</w:t>
      </w:r>
      <w:r>
        <w:rPr>
          <w:color w:val="auto"/>
        </w:rPr>
        <w:t>方面的要求。</w:t>
      </w:r>
    </w:p>
    <w:p>
      <w:pPr>
        <w:pStyle w:val="20"/>
        <w:bidi w:val="0"/>
        <w:rPr>
          <w:color w:val="auto"/>
        </w:rPr>
      </w:pPr>
      <w:r>
        <w:rPr>
          <w:color w:val="auto"/>
        </w:rPr>
        <w:t>本</w:t>
      </w:r>
      <w:r>
        <w:rPr>
          <w:rFonts w:hint="eastAsia"/>
          <w:color w:val="auto"/>
        </w:rPr>
        <w:t>文件</w:t>
      </w:r>
      <w:r>
        <w:rPr>
          <w:color w:val="auto"/>
        </w:rPr>
        <w:t>适用于</w:t>
      </w:r>
      <w:r>
        <w:rPr>
          <w:rFonts w:hint="eastAsia"/>
          <w:color w:val="auto"/>
          <w:lang w:val="en-US" w:eastAsia="zh-CN"/>
        </w:rPr>
        <w:t>嘉兴粽子</w:t>
      </w:r>
      <w:r>
        <w:rPr>
          <w:rFonts w:hint="eastAsia"/>
          <w:color w:val="auto"/>
        </w:rPr>
        <w:t>的生产、检验和销售。</w:t>
      </w:r>
    </w:p>
    <w:p>
      <w:pPr>
        <w:pStyle w:val="41"/>
        <w:spacing w:before="312" w:after="312"/>
        <w:rPr>
          <w:color w:val="auto"/>
          <w:szCs w:val="22"/>
        </w:rPr>
      </w:pPr>
      <w:bookmarkStart w:id="12" w:name="_Toc34064676"/>
      <w:bookmarkStart w:id="13" w:name="_Toc34064618"/>
      <w:r>
        <w:rPr>
          <w:rFonts w:hint="eastAsia"/>
          <w:color w:val="auto"/>
          <w:szCs w:val="22"/>
        </w:rPr>
        <w:t>规范性引用文件</w:t>
      </w:r>
      <w:bookmarkEnd w:id="12"/>
      <w:bookmarkEnd w:id="13"/>
    </w:p>
    <w:p>
      <w:pPr>
        <w:pStyle w:val="20"/>
        <w:bidi w:val="0"/>
        <w:rPr>
          <w:color w:val="auto"/>
        </w:rPr>
      </w:pPr>
      <w:r>
        <w:rPr>
          <w:rFonts w:hint="eastAsia"/>
          <w:color w:val="auto"/>
        </w:rPr>
        <w:t>下列文件中的内容通过文中的规范性引用而构成本文件必不可少的条款。其中，注日期的引用文件，仅该日期对应的版本适用于本文件</w:t>
      </w:r>
      <w:r>
        <w:rPr>
          <w:rFonts w:hint="eastAsia"/>
          <w:color w:val="auto"/>
          <w:lang w:eastAsia="zh-CN"/>
        </w:rPr>
        <w:t>；</w:t>
      </w:r>
      <w:r>
        <w:rPr>
          <w:rFonts w:hint="eastAsia"/>
          <w:color w:val="auto"/>
        </w:rPr>
        <w:t>不注日期的引用文件，其最新版本（包括所有的修改单）适用于本文件。</w:t>
      </w:r>
    </w:p>
    <w:p>
      <w:pPr>
        <w:pStyle w:val="20"/>
        <w:bidi w:val="0"/>
        <w:rPr>
          <w:rFonts w:hint="eastAsia"/>
          <w:color w:val="auto"/>
        </w:rPr>
      </w:pPr>
      <w:r>
        <w:rPr>
          <w:rFonts w:hint="eastAsia"/>
          <w:color w:val="auto"/>
        </w:rPr>
        <w:t xml:space="preserve">GB/T 191 包装储运图示标志 </w:t>
      </w:r>
    </w:p>
    <w:p>
      <w:pPr>
        <w:pStyle w:val="20"/>
        <w:bidi w:val="0"/>
        <w:rPr>
          <w:rFonts w:hint="eastAsia"/>
          <w:color w:val="auto"/>
        </w:rPr>
      </w:pPr>
      <w:r>
        <w:rPr>
          <w:rFonts w:hint="eastAsia"/>
          <w:color w:val="auto"/>
        </w:rPr>
        <w:t xml:space="preserve">GB/T 317 白砂糖 </w:t>
      </w:r>
    </w:p>
    <w:p>
      <w:pPr>
        <w:pStyle w:val="20"/>
        <w:bidi w:val="0"/>
        <w:rPr>
          <w:rFonts w:hint="eastAsia"/>
          <w:color w:val="auto"/>
        </w:rPr>
      </w:pPr>
      <w:r>
        <w:rPr>
          <w:rFonts w:hint="eastAsia"/>
          <w:color w:val="auto"/>
        </w:rPr>
        <w:t xml:space="preserve">GB/T 1354 大米 </w:t>
      </w:r>
    </w:p>
    <w:p>
      <w:pPr>
        <w:pStyle w:val="20"/>
        <w:bidi w:val="0"/>
        <w:rPr>
          <w:rFonts w:hint="eastAsia"/>
          <w:color w:val="auto"/>
        </w:rPr>
      </w:pPr>
      <w:r>
        <w:rPr>
          <w:rFonts w:hint="eastAsia"/>
          <w:color w:val="auto"/>
        </w:rPr>
        <w:t xml:space="preserve">GB 2707 食品安全国家标准 鲜（冻）畜、禽产品 </w:t>
      </w:r>
    </w:p>
    <w:p>
      <w:pPr>
        <w:pStyle w:val="20"/>
        <w:bidi w:val="0"/>
        <w:rPr>
          <w:rFonts w:hint="eastAsia"/>
          <w:color w:val="auto"/>
        </w:rPr>
      </w:pPr>
      <w:r>
        <w:rPr>
          <w:rFonts w:hint="eastAsia"/>
          <w:color w:val="auto"/>
        </w:rPr>
        <w:t xml:space="preserve">GB 2716 食品安全国家标准 植物油 </w:t>
      </w:r>
    </w:p>
    <w:p>
      <w:pPr>
        <w:pStyle w:val="20"/>
        <w:bidi w:val="0"/>
        <w:rPr>
          <w:rFonts w:hint="eastAsia"/>
          <w:color w:val="auto"/>
        </w:rPr>
      </w:pPr>
      <w:r>
        <w:rPr>
          <w:rFonts w:hint="eastAsia"/>
          <w:color w:val="auto"/>
        </w:rPr>
        <w:t>GB 2717 食品安全国家标准 酱油</w:t>
      </w:r>
    </w:p>
    <w:p>
      <w:pPr>
        <w:pStyle w:val="20"/>
        <w:bidi w:val="0"/>
        <w:rPr>
          <w:rFonts w:hint="eastAsia"/>
          <w:color w:val="auto"/>
        </w:rPr>
      </w:pPr>
      <w:r>
        <w:rPr>
          <w:rFonts w:hint="eastAsia"/>
          <w:color w:val="auto"/>
        </w:rPr>
        <w:t xml:space="preserve">GB 2720 食品安全国家标准 味精  </w:t>
      </w:r>
    </w:p>
    <w:p>
      <w:pPr>
        <w:pStyle w:val="20"/>
        <w:bidi w:val="0"/>
        <w:rPr>
          <w:rFonts w:hint="eastAsia"/>
          <w:color w:val="auto"/>
        </w:rPr>
      </w:pPr>
      <w:r>
        <w:rPr>
          <w:rFonts w:hint="eastAsia"/>
          <w:color w:val="auto"/>
        </w:rPr>
        <w:t xml:space="preserve">GB 2730 食品安全国家标准 腌腊肉制品 </w:t>
      </w:r>
    </w:p>
    <w:p>
      <w:pPr>
        <w:pStyle w:val="20"/>
        <w:bidi w:val="0"/>
        <w:rPr>
          <w:rFonts w:hint="eastAsia"/>
          <w:color w:val="auto"/>
        </w:rPr>
      </w:pPr>
      <w:r>
        <w:rPr>
          <w:rFonts w:hint="eastAsia"/>
          <w:color w:val="auto"/>
        </w:rPr>
        <w:t xml:space="preserve">GB 2733 食品安全国家标准 鲜、冻动物性水产品 </w:t>
      </w:r>
    </w:p>
    <w:p>
      <w:pPr>
        <w:pStyle w:val="20"/>
        <w:bidi w:val="0"/>
        <w:rPr>
          <w:rFonts w:hint="eastAsia"/>
          <w:color w:val="auto"/>
        </w:rPr>
      </w:pPr>
      <w:r>
        <w:rPr>
          <w:rFonts w:hint="eastAsia"/>
          <w:color w:val="auto"/>
        </w:rPr>
        <w:t xml:space="preserve">GB 2749 食品安全国家标准 蛋与蛋制品 </w:t>
      </w:r>
    </w:p>
    <w:p>
      <w:pPr>
        <w:pStyle w:val="20"/>
        <w:bidi w:val="0"/>
        <w:rPr>
          <w:rFonts w:hint="eastAsia"/>
          <w:color w:val="auto"/>
        </w:rPr>
      </w:pPr>
      <w:r>
        <w:rPr>
          <w:rFonts w:hint="eastAsia"/>
          <w:color w:val="auto"/>
        </w:rPr>
        <w:t xml:space="preserve">GB 2760 食品安全国家标准 食品添加剂使用标准 </w:t>
      </w:r>
    </w:p>
    <w:p>
      <w:pPr>
        <w:pStyle w:val="20"/>
        <w:bidi w:val="0"/>
        <w:rPr>
          <w:rFonts w:hint="eastAsia"/>
          <w:color w:val="auto"/>
        </w:rPr>
      </w:pPr>
      <w:r>
        <w:rPr>
          <w:rFonts w:hint="eastAsia"/>
          <w:color w:val="auto"/>
        </w:rPr>
        <w:t xml:space="preserve">GB 2762 食品安全国家标准 食品中污染物限量 </w:t>
      </w:r>
    </w:p>
    <w:p>
      <w:pPr>
        <w:pStyle w:val="20"/>
        <w:bidi w:val="0"/>
        <w:rPr>
          <w:rFonts w:hint="eastAsia"/>
          <w:color w:val="auto"/>
        </w:rPr>
      </w:pPr>
      <w:r>
        <w:rPr>
          <w:rFonts w:hint="eastAsia"/>
          <w:color w:val="auto"/>
        </w:rPr>
        <w:t>GB 4789.2</w:t>
      </w:r>
      <w:r>
        <w:rPr>
          <w:rFonts w:hint="eastAsia"/>
          <w:color w:val="auto"/>
          <w:lang w:val="en-US" w:eastAsia="zh-CN"/>
        </w:rPr>
        <w:t xml:space="preserve"> </w:t>
      </w:r>
      <w:r>
        <w:rPr>
          <w:rFonts w:hint="eastAsia"/>
          <w:color w:val="auto"/>
        </w:rPr>
        <w:t>食品安全国家标准 食品微生物学检验 菌落总数测定</w:t>
      </w:r>
    </w:p>
    <w:p>
      <w:pPr>
        <w:pStyle w:val="20"/>
        <w:bidi w:val="0"/>
        <w:rPr>
          <w:rFonts w:hint="eastAsia"/>
          <w:color w:val="auto"/>
        </w:rPr>
      </w:pPr>
      <w:r>
        <w:rPr>
          <w:rFonts w:hint="eastAsia"/>
          <w:color w:val="auto"/>
        </w:rPr>
        <w:t>GB 4789.3 食品安全国家标准 食品微生物学检验 大肠菌群计数</w:t>
      </w:r>
    </w:p>
    <w:p>
      <w:pPr>
        <w:pStyle w:val="20"/>
        <w:bidi w:val="0"/>
        <w:rPr>
          <w:rFonts w:hint="eastAsia"/>
          <w:color w:val="auto"/>
        </w:rPr>
      </w:pPr>
      <w:r>
        <w:rPr>
          <w:rFonts w:hint="eastAsia"/>
          <w:color w:val="auto"/>
        </w:rPr>
        <w:t>GB 4789.26 食品安全国家标准 食品微生物学检验 商业无菌检验</w:t>
      </w:r>
    </w:p>
    <w:p>
      <w:pPr>
        <w:pStyle w:val="20"/>
        <w:bidi w:val="0"/>
        <w:rPr>
          <w:rFonts w:hint="eastAsia"/>
          <w:color w:val="auto"/>
        </w:rPr>
      </w:pPr>
      <w:r>
        <w:rPr>
          <w:rFonts w:hint="eastAsia"/>
          <w:color w:val="auto"/>
        </w:rPr>
        <w:t>GB 4806.7 食品安全国家标准 食品接触用塑料材料及制品</w:t>
      </w:r>
    </w:p>
    <w:p>
      <w:pPr>
        <w:pStyle w:val="20"/>
        <w:bidi w:val="0"/>
        <w:rPr>
          <w:rFonts w:hint="eastAsia"/>
          <w:color w:val="auto"/>
        </w:rPr>
      </w:pPr>
      <w:r>
        <w:rPr>
          <w:rFonts w:hint="eastAsia"/>
          <w:color w:val="auto"/>
        </w:rPr>
        <w:t>GB 5009.3 食品安全国家标准 食品中水分的测定</w:t>
      </w:r>
    </w:p>
    <w:p>
      <w:pPr>
        <w:pStyle w:val="20"/>
        <w:bidi w:val="0"/>
        <w:rPr>
          <w:rFonts w:hint="eastAsia"/>
          <w:color w:val="auto"/>
        </w:rPr>
      </w:pPr>
      <w:r>
        <w:rPr>
          <w:rFonts w:hint="eastAsia"/>
          <w:color w:val="auto"/>
        </w:rPr>
        <w:t xml:space="preserve">GB 5009.5 食品安全国家标准 食品中蛋白质的测定 </w:t>
      </w:r>
    </w:p>
    <w:p>
      <w:pPr>
        <w:pStyle w:val="20"/>
        <w:bidi w:val="0"/>
        <w:rPr>
          <w:rFonts w:hint="eastAsia"/>
          <w:color w:val="auto"/>
        </w:rPr>
      </w:pPr>
      <w:r>
        <w:rPr>
          <w:rFonts w:hint="eastAsia"/>
          <w:color w:val="auto"/>
        </w:rPr>
        <w:t xml:space="preserve">GB 5009.6 食品安全国家标准 食品中脂肪的测定 </w:t>
      </w:r>
    </w:p>
    <w:p>
      <w:pPr>
        <w:pStyle w:val="20"/>
        <w:bidi w:val="0"/>
        <w:rPr>
          <w:rFonts w:hint="eastAsia"/>
          <w:color w:val="auto"/>
        </w:rPr>
      </w:pPr>
      <w:r>
        <w:rPr>
          <w:rFonts w:hint="eastAsia"/>
          <w:color w:val="auto"/>
        </w:rPr>
        <w:t xml:space="preserve">GB 5009.227 食品安全国家标准 食品中过氧化值的测定  </w:t>
      </w:r>
    </w:p>
    <w:p>
      <w:pPr>
        <w:pStyle w:val="20"/>
        <w:bidi w:val="0"/>
        <w:rPr>
          <w:rFonts w:hint="eastAsia"/>
          <w:color w:val="auto"/>
        </w:rPr>
      </w:pPr>
      <w:r>
        <w:rPr>
          <w:rFonts w:hint="eastAsia"/>
          <w:color w:val="auto"/>
        </w:rPr>
        <w:t>GB 5009.229 食品安全国家标准 食品中酸价的测定</w:t>
      </w:r>
    </w:p>
    <w:p>
      <w:pPr>
        <w:pStyle w:val="20"/>
        <w:bidi w:val="0"/>
        <w:rPr>
          <w:rFonts w:hint="eastAsia"/>
          <w:color w:val="auto"/>
        </w:rPr>
      </w:pPr>
      <w:r>
        <w:rPr>
          <w:rFonts w:hint="eastAsia"/>
          <w:color w:val="auto"/>
        </w:rPr>
        <w:t xml:space="preserve">GB/T 5461 食用盐 </w:t>
      </w:r>
    </w:p>
    <w:p>
      <w:pPr>
        <w:pStyle w:val="20"/>
        <w:bidi w:val="0"/>
        <w:rPr>
          <w:rFonts w:hint="eastAsia"/>
          <w:color w:val="auto"/>
        </w:rPr>
      </w:pPr>
      <w:r>
        <w:rPr>
          <w:rFonts w:hint="eastAsia"/>
          <w:color w:val="auto"/>
        </w:rPr>
        <w:t xml:space="preserve">GB 5749 生活饮用水卫生标准 </w:t>
      </w:r>
    </w:p>
    <w:p>
      <w:pPr>
        <w:pStyle w:val="20"/>
        <w:bidi w:val="0"/>
        <w:rPr>
          <w:rFonts w:hint="eastAsia"/>
          <w:color w:val="auto"/>
        </w:rPr>
      </w:pPr>
      <w:r>
        <w:rPr>
          <w:rFonts w:hint="eastAsia"/>
          <w:color w:val="auto"/>
        </w:rPr>
        <w:t xml:space="preserve">GB 7096 食品安全国家标准 食用菌及其制品 </w:t>
      </w:r>
    </w:p>
    <w:p>
      <w:pPr>
        <w:pStyle w:val="20"/>
        <w:bidi w:val="0"/>
        <w:rPr>
          <w:rFonts w:hint="eastAsia"/>
          <w:color w:val="auto"/>
        </w:rPr>
      </w:pPr>
      <w:r>
        <w:rPr>
          <w:rFonts w:hint="eastAsia"/>
          <w:color w:val="auto"/>
        </w:rPr>
        <w:t>GB 7098</w:t>
      </w:r>
      <w:r>
        <w:rPr>
          <w:rFonts w:hint="eastAsia"/>
          <w:color w:val="auto"/>
          <w:lang w:val="en-US" w:eastAsia="zh-CN"/>
        </w:rPr>
        <w:t xml:space="preserve"> </w:t>
      </w:r>
      <w:r>
        <w:rPr>
          <w:rFonts w:hint="eastAsia"/>
          <w:color w:val="auto"/>
        </w:rPr>
        <w:t xml:space="preserve">食品安全国家标准 罐头食品 </w:t>
      </w:r>
    </w:p>
    <w:p>
      <w:pPr>
        <w:pStyle w:val="20"/>
        <w:bidi w:val="0"/>
        <w:rPr>
          <w:rFonts w:hint="eastAsia"/>
          <w:color w:val="auto"/>
        </w:rPr>
      </w:pPr>
      <w:r>
        <w:rPr>
          <w:rFonts w:hint="eastAsia"/>
          <w:color w:val="auto"/>
        </w:rPr>
        <w:t xml:space="preserve">GB 7099 食品安全国家标准 糕点、面包 </w:t>
      </w:r>
    </w:p>
    <w:p>
      <w:pPr>
        <w:pStyle w:val="20"/>
        <w:bidi w:val="0"/>
        <w:rPr>
          <w:rFonts w:hint="eastAsia"/>
          <w:color w:val="auto"/>
        </w:rPr>
      </w:pPr>
      <w:r>
        <w:rPr>
          <w:rFonts w:hint="eastAsia"/>
          <w:color w:val="auto"/>
        </w:rPr>
        <w:t xml:space="preserve">GB 7718 食品安全国家标准 预包装食品标签通则 </w:t>
      </w:r>
    </w:p>
    <w:p>
      <w:pPr>
        <w:pStyle w:val="20"/>
        <w:bidi w:val="0"/>
        <w:rPr>
          <w:rFonts w:hint="eastAsia"/>
          <w:color w:val="auto"/>
        </w:rPr>
      </w:pPr>
      <w:r>
        <w:rPr>
          <w:rFonts w:hint="eastAsia"/>
          <w:color w:val="auto"/>
        </w:rPr>
        <w:t xml:space="preserve">GB 8957 食品安全国家标准 糕点、面包卫生规范 </w:t>
      </w:r>
    </w:p>
    <w:p>
      <w:pPr>
        <w:pStyle w:val="20"/>
        <w:bidi w:val="0"/>
        <w:rPr>
          <w:rFonts w:hint="eastAsia"/>
          <w:color w:val="auto"/>
        </w:rPr>
      </w:pPr>
      <w:r>
        <w:rPr>
          <w:rFonts w:hint="eastAsia"/>
          <w:color w:val="auto"/>
        </w:rPr>
        <w:t xml:space="preserve">GB/T 10004 包装用塑料复合膜、袋 干法复合、挤出复合 </w:t>
      </w:r>
    </w:p>
    <w:p>
      <w:pPr>
        <w:pStyle w:val="20"/>
        <w:bidi w:val="0"/>
        <w:rPr>
          <w:rFonts w:hint="eastAsia"/>
          <w:color w:val="auto"/>
        </w:rPr>
      </w:pPr>
      <w:r>
        <w:rPr>
          <w:rFonts w:hint="eastAsia"/>
          <w:color w:val="auto"/>
        </w:rPr>
        <w:t xml:space="preserve">GB/T 10459 蚕豆 </w:t>
      </w:r>
    </w:p>
    <w:p>
      <w:pPr>
        <w:pStyle w:val="20"/>
        <w:bidi w:val="0"/>
        <w:rPr>
          <w:rFonts w:hint="eastAsia"/>
          <w:color w:val="auto"/>
        </w:rPr>
      </w:pPr>
      <w:r>
        <w:rPr>
          <w:rFonts w:hint="eastAsia"/>
          <w:color w:val="auto"/>
        </w:rPr>
        <w:t xml:space="preserve">GB/T 10461 小豆 </w:t>
      </w:r>
    </w:p>
    <w:p>
      <w:pPr>
        <w:pStyle w:val="20"/>
        <w:bidi w:val="0"/>
        <w:rPr>
          <w:rFonts w:hint="eastAsia"/>
          <w:color w:val="auto"/>
        </w:rPr>
      </w:pPr>
      <w:r>
        <w:rPr>
          <w:rFonts w:hint="eastAsia"/>
          <w:color w:val="auto"/>
        </w:rPr>
        <w:t xml:space="preserve">GB 14880 食品安全国家标准 食品营养强化剂使用标准 </w:t>
      </w:r>
    </w:p>
    <w:p>
      <w:pPr>
        <w:pStyle w:val="20"/>
        <w:bidi w:val="0"/>
        <w:rPr>
          <w:rFonts w:hint="eastAsia"/>
          <w:color w:val="auto"/>
        </w:rPr>
      </w:pPr>
      <w:r>
        <w:rPr>
          <w:rFonts w:hint="eastAsia"/>
          <w:color w:val="auto"/>
        </w:rPr>
        <w:t>GB 14884 食品安全国家标准 蜜饯</w:t>
      </w:r>
    </w:p>
    <w:p>
      <w:pPr>
        <w:pStyle w:val="20"/>
        <w:bidi w:val="0"/>
        <w:rPr>
          <w:rFonts w:hint="eastAsia"/>
          <w:color w:val="auto"/>
        </w:rPr>
      </w:pPr>
      <w:r>
        <w:rPr>
          <w:rFonts w:hint="eastAsia"/>
          <w:color w:val="auto"/>
        </w:rPr>
        <w:t xml:space="preserve">GB 19295 食品安全国家标准 速冻面米制品  </w:t>
      </w:r>
    </w:p>
    <w:p>
      <w:pPr>
        <w:pStyle w:val="20"/>
        <w:bidi w:val="0"/>
        <w:rPr>
          <w:rFonts w:hint="eastAsia"/>
          <w:color w:val="auto"/>
        </w:rPr>
      </w:pPr>
      <w:r>
        <w:rPr>
          <w:rFonts w:hint="eastAsia"/>
          <w:color w:val="auto"/>
        </w:rPr>
        <w:t>GB 19300 食品安全国家标准 坚果与籽类食品</w:t>
      </w:r>
    </w:p>
    <w:p>
      <w:pPr>
        <w:pStyle w:val="20"/>
        <w:bidi w:val="0"/>
        <w:rPr>
          <w:rFonts w:hint="eastAsia"/>
          <w:color w:val="auto"/>
        </w:rPr>
      </w:pPr>
      <w:r>
        <w:rPr>
          <w:rFonts w:hint="eastAsia"/>
          <w:color w:val="auto"/>
        </w:rPr>
        <w:t xml:space="preserve">GB/T 23780 糕点质量检验方法  </w:t>
      </w:r>
    </w:p>
    <w:p>
      <w:pPr>
        <w:pStyle w:val="20"/>
        <w:bidi w:val="0"/>
        <w:rPr>
          <w:rFonts w:hint="eastAsia"/>
          <w:color w:val="auto"/>
        </w:rPr>
      </w:pPr>
      <w:r>
        <w:rPr>
          <w:rFonts w:hint="eastAsia"/>
          <w:color w:val="auto"/>
        </w:rPr>
        <w:t>GB 28050 食品安全国家标准 预包装食品营养标签通则</w:t>
      </w:r>
    </w:p>
    <w:p>
      <w:pPr>
        <w:pStyle w:val="20"/>
        <w:bidi w:val="0"/>
        <w:rPr>
          <w:rFonts w:hint="eastAsia"/>
          <w:color w:val="auto"/>
        </w:rPr>
      </w:pPr>
      <w:r>
        <w:rPr>
          <w:rFonts w:hint="eastAsia"/>
          <w:color w:val="auto"/>
        </w:rPr>
        <w:t>JJF 1070 定量包装商品净含量计量检验规则</w:t>
      </w:r>
    </w:p>
    <w:p>
      <w:pPr>
        <w:pStyle w:val="20"/>
        <w:bidi w:val="0"/>
        <w:rPr>
          <w:rFonts w:hint="eastAsia"/>
          <w:color w:val="auto"/>
        </w:rPr>
      </w:pPr>
      <w:r>
        <w:rPr>
          <w:rFonts w:hint="eastAsia"/>
          <w:color w:val="auto"/>
        </w:rPr>
        <w:t xml:space="preserve">DB33/3010 食品安全地方标准 粽子生产卫生规范 </w:t>
      </w:r>
    </w:p>
    <w:p>
      <w:pPr>
        <w:pStyle w:val="20"/>
        <w:bidi w:val="0"/>
        <w:rPr>
          <w:color w:val="auto"/>
        </w:rPr>
      </w:pPr>
      <w:r>
        <w:rPr>
          <w:rFonts w:hint="eastAsia"/>
          <w:color w:val="auto"/>
        </w:rPr>
        <w:t>国家质量监督检验检疫总局令[2005]第75号</w:t>
      </w:r>
      <w:r>
        <w:rPr>
          <w:rFonts w:hint="eastAsia"/>
          <w:color w:val="auto"/>
          <w:lang w:val="en-US" w:eastAsia="zh-CN"/>
        </w:rPr>
        <w:t xml:space="preserve"> </w:t>
      </w:r>
      <w:r>
        <w:rPr>
          <w:rFonts w:hint="eastAsia"/>
          <w:color w:val="auto"/>
        </w:rPr>
        <w:t>定量包装商品计量监督管理办法</w:t>
      </w:r>
      <w:r>
        <w:rPr>
          <w:rFonts w:hint="eastAsia"/>
          <w:color w:val="auto"/>
          <w:lang w:val="en-US" w:eastAsia="zh-CN"/>
        </w:rPr>
        <w:t xml:space="preserve"> </w:t>
      </w:r>
    </w:p>
    <w:p>
      <w:pPr>
        <w:pStyle w:val="41"/>
        <w:bidi w:val="0"/>
        <w:rPr>
          <w:rFonts w:hint="default"/>
          <w:color w:val="auto"/>
          <w:lang w:val="en-US" w:eastAsia="zh-CN"/>
        </w:rPr>
      </w:pPr>
      <w:r>
        <w:rPr>
          <w:rFonts w:hint="eastAsia"/>
          <w:color w:val="auto"/>
          <w:lang w:val="en-US" w:eastAsia="zh-CN"/>
        </w:rPr>
        <w:t>术语和定义</w:t>
      </w:r>
    </w:p>
    <w:p>
      <w:pPr>
        <w:pStyle w:val="20"/>
        <w:bidi w:val="0"/>
        <w:rPr>
          <w:rFonts w:hint="default"/>
          <w:color w:val="auto"/>
          <w:lang w:val="en-US" w:eastAsia="zh-CN"/>
        </w:rPr>
      </w:pPr>
      <w:bookmarkStart w:id="14" w:name="_Toc34064620"/>
      <w:bookmarkStart w:id="15" w:name="_Toc34064678"/>
      <w:r>
        <w:rPr>
          <w:rFonts w:hint="eastAsia"/>
          <w:color w:val="auto"/>
        </w:rPr>
        <w:t>下列术语和定义适用于本文件。</w:t>
      </w:r>
      <w:bookmarkEnd w:id="14"/>
      <w:bookmarkEnd w:id="15"/>
    </w:p>
    <w:p>
      <w:pPr>
        <w:pStyle w:val="38"/>
        <w:bidi w:val="0"/>
        <w:rPr>
          <w:rFonts w:hint="default"/>
          <w:color w:val="auto"/>
          <w:lang w:val="en-US" w:eastAsia="zh-CN"/>
        </w:rPr>
      </w:pPr>
    </w:p>
    <w:p>
      <w:pPr>
        <w:pStyle w:val="38"/>
        <w:numPr>
          <w:ilvl w:val="1"/>
          <w:numId w:val="0"/>
        </w:numPr>
        <w:spacing w:before="156" w:after="156"/>
        <w:ind w:firstLine="420" w:firstLineChars="200"/>
        <w:rPr>
          <w:rFonts w:hint="default"/>
          <w:color w:val="auto"/>
          <w:sz w:val="21"/>
          <w:szCs w:val="21"/>
          <w:lang w:val="en-US" w:eastAsia="zh-CN"/>
        </w:rPr>
      </w:pPr>
      <w:r>
        <w:rPr>
          <w:rFonts w:hint="eastAsia"/>
          <w:color w:val="auto"/>
          <w:sz w:val="21"/>
          <w:szCs w:val="21"/>
          <w:lang w:val="en-US" w:eastAsia="zh-CN"/>
        </w:rPr>
        <w:t xml:space="preserve">嘉兴粽子 </w:t>
      </w:r>
      <w:r>
        <w:rPr>
          <w:rFonts w:hint="default" w:ascii="Times New Roman" w:hAnsi="Times New Roman" w:cs="Times New Roman"/>
          <w:color w:val="auto"/>
          <w:sz w:val="21"/>
          <w:szCs w:val="21"/>
          <w:lang w:val="en-US" w:eastAsia="zh-CN"/>
        </w:rPr>
        <w:t xml:space="preserve"> jiaxing zongzi</w:t>
      </w:r>
    </w:p>
    <w:p>
      <w:pPr>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以糯米和（或）其他谷物等为主要原料，添加或不添加豆类、果仁、</w:t>
      </w:r>
      <w:r>
        <w:rPr>
          <w:rFonts w:hint="eastAsia" w:ascii="宋体" w:hAnsi="宋体" w:cs="宋体"/>
          <w:color w:val="auto"/>
          <w:sz w:val="21"/>
          <w:szCs w:val="21"/>
          <w:lang w:val="en-US" w:eastAsia="zh-CN"/>
        </w:rPr>
        <w:t>蜜饯、</w:t>
      </w:r>
      <w:r>
        <w:rPr>
          <w:rFonts w:hint="eastAsia" w:ascii="宋体" w:hAnsi="宋体" w:eastAsia="宋体" w:cs="宋体"/>
          <w:color w:val="auto"/>
          <w:sz w:val="21"/>
          <w:szCs w:val="21"/>
        </w:rPr>
        <w:t>肉禽蛋及其制品</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食用菌</w:t>
      </w:r>
      <w:r>
        <w:rPr>
          <w:rFonts w:hint="eastAsia" w:ascii="宋体" w:hAnsi="宋体" w:eastAsia="宋体" w:cs="宋体"/>
          <w:color w:val="auto"/>
          <w:sz w:val="21"/>
          <w:szCs w:val="21"/>
        </w:rPr>
        <w:t>、水产品、果蔬及其制品等配料，</w:t>
      </w:r>
      <w:r>
        <w:rPr>
          <w:rFonts w:hint="eastAsia" w:ascii="宋体" w:hAnsi="宋体" w:cs="宋体"/>
          <w:color w:val="auto"/>
          <w:sz w:val="21"/>
          <w:szCs w:val="21"/>
          <w:lang w:val="en-US" w:eastAsia="zh-CN"/>
        </w:rPr>
        <w:t>经拌料</w:t>
      </w:r>
      <w:r>
        <w:rPr>
          <w:rFonts w:hint="eastAsia" w:ascii="宋体" w:hAnsi="宋体" w:eastAsia="宋体" w:cs="宋体"/>
          <w:color w:val="auto"/>
          <w:sz w:val="21"/>
          <w:szCs w:val="21"/>
        </w:rPr>
        <w:t>辅以粽叶成型</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呈四面体）</w:t>
      </w:r>
      <w:r>
        <w:rPr>
          <w:rFonts w:hint="eastAsia" w:ascii="宋体" w:hAnsi="宋体" w:cs="宋体"/>
          <w:color w:val="auto"/>
          <w:sz w:val="21"/>
          <w:szCs w:val="21"/>
          <w:lang w:eastAsia="zh-CN"/>
        </w:rPr>
        <w:t>、</w:t>
      </w:r>
      <w:r>
        <w:rPr>
          <w:rFonts w:hint="eastAsia" w:ascii="宋体" w:hAnsi="宋体" w:eastAsia="宋体" w:cs="宋体"/>
          <w:color w:val="auto"/>
          <w:sz w:val="21"/>
          <w:szCs w:val="21"/>
        </w:rPr>
        <w:t>蒸煮熟制而成的产品。</w:t>
      </w:r>
    </w:p>
    <w:p>
      <w:pPr>
        <w:pStyle w:val="38"/>
        <w:bidi w:val="0"/>
        <w:rPr>
          <w:rFonts w:hint="default"/>
          <w:color w:val="auto"/>
          <w:sz w:val="21"/>
          <w:szCs w:val="21"/>
          <w:lang w:val="en-US" w:eastAsia="zh-CN"/>
        </w:rPr>
      </w:pPr>
    </w:p>
    <w:p>
      <w:pPr>
        <w:pStyle w:val="38"/>
        <w:numPr>
          <w:ilvl w:val="1"/>
          <w:numId w:val="0"/>
        </w:numPr>
        <w:spacing w:before="156" w:after="156"/>
        <w:ind w:firstLine="420" w:firstLineChars="200"/>
        <w:rPr>
          <w:rFonts w:hint="default"/>
          <w:color w:val="auto"/>
          <w:sz w:val="21"/>
          <w:szCs w:val="21"/>
          <w:lang w:val="en-US" w:eastAsia="zh-CN"/>
        </w:rPr>
      </w:pPr>
      <w:r>
        <w:rPr>
          <w:rFonts w:hint="eastAsia"/>
          <w:color w:val="auto"/>
          <w:sz w:val="21"/>
          <w:szCs w:val="21"/>
          <w:lang w:val="en-US" w:eastAsia="zh-CN"/>
        </w:rPr>
        <w:t xml:space="preserve">粽叶  </w:t>
      </w:r>
      <w:r>
        <w:rPr>
          <w:rFonts w:hint="default" w:ascii="Times New Roman" w:hAnsi="Times New Roman" w:cs="Times New Roman"/>
          <w:color w:val="auto"/>
          <w:sz w:val="21"/>
          <w:szCs w:val="21"/>
          <w:lang w:val="en-US" w:eastAsia="zh-CN"/>
        </w:rPr>
        <w:t>shell of</w:t>
      </w:r>
      <w:r>
        <w:rPr>
          <w:rFonts w:hint="eastAsia" w:asci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zongzi</w:t>
      </w:r>
    </w:p>
    <w:p>
      <w:pPr>
        <w:pStyle w:val="20"/>
        <w:bidi w:val="0"/>
        <w:rPr>
          <w:rFonts w:hint="eastAsia"/>
          <w:color w:val="auto"/>
          <w:szCs w:val="22"/>
          <w:lang w:val="en-US" w:eastAsia="zh-CN"/>
        </w:rPr>
      </w:pPr>
      <w:r>
        <w:rPr>
          <w:rFonts w:hint="eastAsia"/>
          <w:color w:val="auto"/>
          <w:szCs w:val="22"/>
          <w:lang w:val="en-US" w:eastAsia="zh-CN"/>
        </w:rPr>
        <w:t xml:space="preserve">指粽子生产过程使用并与粽子一起蒸煮的箬叶或符合食品相关要求的植物叶，是形成粽子风味的重要辅助物，包括：箬叶、竹壳等。 </w:t>
      </w:r>
    </w:p>
    <w:p>
      <w:pPr>
        <w:pStyle w:val="38"/>
        <w:bidi w:val="0"/>
        <w:rPr>
          <w:rFonts w:hint="eastAsia"/>
          <w:color w:val="auto"/>
          <w:lang w:val="en-US" w:eastAsia="zh-CN"/>
        </w:rPr>
      </w:pPr>
    </w:p>
    <w:p>
      <w:pPr>
        <w:pStyle w:val="38"/>
        <w:numPr>
          <w:ilvl w:val="1"/>
          <w:numId w:val="0"/>
        </w:numPr>
        <w:bidi w:val="0"/>
        <w:ind w:leftChars="0" w:firstLine="420" w:firstLineChars="200"/>
        <w:rPr>
          <w:rFonts w:hint="eastAsia"/>
          <w:color w:val="auto"/>
          <w:lang w:val="en-US" w:eastAsia="zh-CN"/>
        </w:rPr>
      </w:pPr>
      <w:r>
        <w:rPr>
          <w:rFonts w:hint="eastAsia"/>
          <w:color w:val="auto"/>
          <w:lang w:val="en-US" w:eastAsia="zh-CN"/>
        </w:rPr>
        <w:t>粽体  naked zongzi</w:t>
      </w:r>
    </w:p>
    <w:p>
      <w:pPr>
        <w:pStyle w:val="20"/>
        <w:rPr>
          <w:rFonts w:hint="default"/>
          <w:color w:val="auto"/>
          <w:lang w:val="en-US" w:eastAsia="zh-CN"/>
        </w:rPr>
      </w:pPr>
      <w:r>
        <w:rPr>
          <w:rFonts w:hint="default"/>
          <w:color w:val="auto"/>
          <w:lang w:val="en-US" w:eastAsia="zh-CN"/>
        </w:rPr>
        <w:t xml:space="preserve">指除去粽叶后的裸露粽子。 </w:t>
      </w:r>
    </w:p>
    <w:p>
      <w:pPr>
        <w:pStyle w:val="41"/>
        <w:spacing w:before="312" w:after="312"/>
        <w:rPr>
          <w:rFonts w:hint="default"/>
          <w:color w:val="auto"/>
          <w:szCs w:val="22"/>
          <w:lang w:val="en-US" w:eastAsia="zh-CN"/>
        </w:rPr>
      </w:pPr>
      <w:r>
        <w:rPr>
          <w:rFonts w:hint="eastAsia"/>
          <w:color w:val="auto"/>
          <w:szCs w:val="22"/>
          <w:lang w:val="en-US" w:eastAsia="zh-CN"/>
        </w:rPr>
        <w:t>产品分类</w:t>
      </w:r>
    </w:p>
    <w:p>
      <w:pPr>
        <w:pStyle w:val="121"/>
        <w:bidi w:val="0"/>
        <w:rPr>
          <w:rFonts w:hint="default"/>
          <w:color w:val="auto"/>
          <w:lang w:val="en-US" w:eastAsia="zh-CN"/>
        </w:rPr>
      </w:pPr>
      <w:r>
        <w:rPr>
          <w:rFonts w:hint="default"/>
          <w:color w:val="auto"/>
          <w:lang w:val="en-US" w:eastAsia="zh-CN"/>
        </w:rPr>
        <w:t>产品按生产工艺不同分为</w:t>
      </w:r>
      <w:r>
        <w:rPr>
          <w:rFonts w:hint="eastAsia"/>
          <w:color w:val="auto"/>
          <w:lang w:val="en-US" w:eastAsia="zh-CN"/>
        </w:rPr>
        <w:t>:</w:t>
      </w:r>
    </w:p>
    <w:p>
      <w:pPr>
        <w:pStyle w:val="55"/>
        <w:bidi w:val="0"/>
        <w:rPr>
          <w:rFonts w:hint="default"/>
          <w:color w:val="auto"/>
          <w:lang w:val="en-US" w:eastAsia="zh-CN"/>
        </w:rPr>
      </w:pPr>
      <w:r>
        <w:rPr>
          <w:rFonts w:hint="eastAsia"/>
          <w:color w:val="auto"/>
          <w:lang w:val="en-US" w:eastAsia="zh-CN"/>
        </w:rPr>
        <w:t>有馅类：</w:t>
      </w:r>
      <w:r>
        <w:rPr>
          <w:color w:val="auto"/>
          <w:lang w:val="en-US" w:eastAsia="zh-CN"/>
        </w:rPr>
        <w:t>指生产过程中有包馅工艺的粽子</w:t>
      </w:r>
      <w:r>
        <w:rPr>
          <w:rFonts w:hint="eastAsia"/>
          <w:color w:val="auto"/>
          <w:lang w:val="en-US" w:eastAsia="zh-CN"/>
        </w:rPr>
        <w:t>。</w:t>
      </w:r>
    </w:p>
    <w:p>
      <w:pPr>
        <w:pStyle w:val="55"/>
        <w:bidi w:val="0"/>
        <w:rPr>
          <w:rFonts w:hint="eastAsia"/>
          <w:color w:val="auto"/>
          <w:lang w:val="en-US" w:eastAsia="zh-CN"/>
        </w:rPr>
      </w:pPr>
      <w:r>
        <w:rPr>
          <w:rFonts w:hint="eastAsia"/>
          <w:color w:val="auto"/>
          <w:lang w:val="en-US" w:eastAsia="zh-CN"/>
        </w:rPr>
        <w:t>无馅类：指生产过程中无包馅工艺的粽子。</w:t>
      </w:r>
    </w:p>
    <w:p>
      <w:pPr>
        <w:pStyle w:val="121"/>
        <w:bidi w:val="0"/>
        <w:rPr>
          <w:rFonts w:hint="default"/>
          <w:color w:val="auto"/>
          <w:lang w:val="en-US" w:eastAsia="zh-CN"/>
        </w:rPr>
      </w:pPr>
      <w:r>
        <w:rPr>
          <w:rFonts w:hint="default"/>
          <w:color w:val="auto"/>
          <w:lang w:val="en-US" w:eastAsia="zh-CN"/>
        </w:rPr>
        <w:t>产品按不同的保鲜方式分为</w:t>
      </w:r>
      <w:r>
        <w:rPr>
          <w:rFonts w:hint="eastAsia"/>
          <w:color w:val="auto"/>
          <w:lang w:val="en-US" w:eastAsia="zh-CN"/>
        </w:rPr>
        <w:t>:</w:t>
      </w:r>
    </w:p>
    <w:p>
      <w:pPr>
        <w:pStyle w:val="55"/>
        <w:numPr>
          <w:ilvl w:val="0"/>
          <w:numId w:val="18"/>
        </w:numPr>
        <w:bidi w:val="0"/>
        <w:rPr>
          <w:rFonts w:hint="eastAsia"/>
          <w:color w:val="auto"/>
          <w:szCs w:val="22"/>
          <w:lang w:val="en-US" w:eastAsia="zh-CN"/>
        </w:rPr>
      </w:pPr>
      <w:r>
        <w:rPr>
          <w:rFonts w:hint="eastAsia"/>
          <w:color w:val="auto"/>
          <w:szCs w:val="22"/>
          <w:lang w:val="en-US" w:eastAsia="zh-CN"/>
        </w:rPr>
        <w:t xml:space="preserve">新鲜类:指煮后未经速冻、真空包装等方式处理，在常温下贮存和销售的粽子。 </w:t>
      </w:r>
    </w:p>
    <w:p>
      <w:pPr>
        <w:pStyle w:val="55"/>
        <w:numPr>
          <w:ilvl w:val="0"/>
          <w:numId w:val="18"/>
        </w:numPr>
        <w:bidi w:val="0"/>
        <w:rPr>
          <w:rFonts w:hint="eastAsia"/>
          <w:color w:val="auto"/>
          <w:szCs w:val="22"/>
          <w:lang w:val="en-US" w:eastAsia="zh-CN"/>
        </w:rPr>
      </w:pPr>
      <w:r>
        <w:rPr>
          <w:rFonts w:hint="default"/>
          <w:color w:val="auto"/>
          <w:szCs w:val="22"/>
          <w:lang w:val="en-US" w:eastAsia="zh-CN"/>
        </w:rPr>
        <w:t>速冻类:指煮后经速冻工艺处理并在</w:t>
      </w:r>
      <w:r>
        <w:rPr>
          <w:rFonts w:hint="eastAsia"/>
          <w:color w:val="auto"/>
          <w:szCs w:val="22"/>
          <w:lang w:val="en-US" w:eastAsia="zh-CN"/>
        </w:rPr>
        <w:t>-</w:t>
      </w:r>
      <w:r>
        <w:rPr>
          <w:rFonts w:hint="default"/>
          <w:color w:val="auto"/>
          <w:szCs w:val="22"/>
          <w:lang w:val="en-US" w:eastAsia="zh-CN"/>
        </w:rPr>
        <w:t xml:space="preserve">18℃条件下冷藏和销售的粽子。 </w:t>
      </w:r>
    </w:p>
    <w:p>
      <w:pPr>
        <w:pStyle w:val="55"/>
        <w:numPr>
          <w:ilvl w:val="0"/>
          <w:numId w:val="18"/>
        </w:numPr>
        <w:bidi w:val="0"/>
        <w:rPr>
          <w:rFonts w:hint="eastAsia"/>
          <w:color w:val="auto"/>
          <w:szCs w:val="22"/>
          <w:lang w:val="en-US" w:eastAsia="zh-CN"/>
        </w:rPr>
      </w:pPr>
      <w:r>
        <w:rPr>
          <w:rFonts w:hint="default"/>
          <w:color w:val="auto"/>
          <w:szCs w:val="22"/>
          <w:lang w:val="en-US" w:eastAsia="zh-CN"/>
        </w:rPr>
        <w:t xml:space="preserve">真空包装类:指经真空包装和灭菌工艺处理并以真空包装方式贮存和销售的粽子。 </w:t>
      </w:r>
    </w:p>
    <w:p>
      <w:pPr>
        <w:pStyle w:val="41"/>
        <w:spacing w:before="312" w:after="312"/>
        <w:rPr>
          <w:color w:val="auto"/>
          <w:szCs w:val="22"/>
        </w:rPr>
      </w:pPr>
      <w:r>
        <w:rPr>
          <w:rFonts w:hint="eastAsia"/>
          <w:color w:val="auto"/>
          <w:szCs w:val="22"/>
        </w:rPr>
        <w:t>技术要求</w:t>
      </w:r>
    </w:p>
    <w:p>
      <w:pPr>
        <w:pStyle w:val="38"/>
        <w:spacing w:before="156" w:after="156"/>
        <w:rPr>
          <w:color w:val="auto"/>
        </w:rPr>
      </w:pPr>
      <w:r>
        <w:rPr>
          <w:rFonts w:hint="eastAsia"/>
          <w:color w:val="auto"/>
        </w:rPr>
        <w:t>原辅料要求</w:t>
      </w:r>
    </w:p>
    <w:p>
      <w:pPr>
        <w:pStyle w:val="59"/>
        <w:bidi w:val="0"/>
        <w:rPr>
          <w:color w:val="auto"/>
        </w:rPr>
      </w:pPr>
      <w:r>
        <w:rPr>
          <w:rFonts w:hint="eastAsia"/>
          <w:color w:val="auto"/>
        </w:rPr>
        <w:t>饮用水应符合 GB 5749</w:t>
      </w:r>
      <w:r>
        <w:rPr>
          <w:rFonts w:hint="eastAsia"/>
          <w:color w:val="auto"/>
          <w:lang w:val="en-US" w:eastAsia="zh-CN"/>
        </w:rPr>
        <w:t>的</w:t>
      </w:r>
      <w:r>
        <w:rPr>
          <w:rFonts w:hint="eastAsia"/>
          <w:color w:val="auto"/>
        </w:rPr>
        <w:t>规定。</w:t>
      </w:r>
    </w:p>
    <w:p>
      <w:pPr>
        <w:pStyle w:val="59"/>
        <w:bidi w:val="0"/>
        <w:rPr>
          <w:rFonts w:hint="eastAsia"/>
          <w:color w:val="auto"/>
        </w:rPr>
      </w:pPr>
      <w:r>
        <w:rPr>
          <w:rFonts w:hint="eastAsia"/>
          <w:color w:val="auto"/>
          <w:lang w:val="en-US" w:eastAsia="zh-CN"/>
        </w:rPr>
        <w:t xml:space="preserve">糯米应符合GB/T </w:t>
      </w:r>
      <w:r>
        <w:rPr>
          <w:rFonts w:hint="default"/>
          <w:color w:val="auto"/>
          <w:lang w:val="en-US" w:eastAsia="zh-CN"/>
        </w:rPr>
        <w:t>1354</w:t>
      </w:r>
      <w:r>
        <w:rPr>
          <w:rFonts w:hint="eastAsia"/>
          <w:color w:val="auto"/>
          <w:lang w:val="en-US" w:eastAsia="zh-CN"/>
        </w:rPr>
        <w:t>的</w:t>
      </w:r>
      <w:r>
        <w:rPr>
          <w:rFonts w:hint="default"/>
          <w:color w:val="auto"/>
          <w:lang w:val="en-US" w:eastAsia="zh-CN"/>
        </w:rPr>
        <w:t xml:space="preserve">规定。 </w:t>
      </w:r>
    </w:p>
    <w:p>
      <w:pPr>
        <w:pStyle w:val="59"/>
        <w:bidi w:val="0"/>
        <w:rPr>
          <w:rFonts w:hint="eastAsia"/>
          <w:color w:val="auto"/>
        </w:rPr>
      </w:pPr>
      <w:r>
        <w:rPr>
          <w:rFonts w:hint="eastAsia"/>
          <w:color w:val="auto"/>
          <w:lang w:val="en-US" w:eastAsia="zh-CN"/>
        </w:rPr>
        <w:t>鲜（冻）畜禽肉类</w:t>
      </w:r>
      <w:r>
        <w:rPr>
          <w:rFonts w:hint="default"/>
          <w:color w:val="auto"/>
          <w:lang w:val="en-US" w:eastAsia="zh-CN"/>
        </w:rPr>
        <w:t>应符合GB 2707</w:t>
      </w:r>
      <w:r>
        <w:rPr>
          <w:rFonts w:hint="eastAsia"/>
          <w:color w:val="auto"/>
          <w:lang w:val="en-US" w:eastAsia="zh-CN"/>
        </w:rPr>
        <w:t>的</w:t>
      </w:r>
      <w:r>
        <w:rPr>
          <w:rFonts w:hint="default"/>
          <w:color w:val="auto"/>
          <w:lang w:val="en-US" w:eastAsia="zh-CN"/>
        </w:rPr>
        <w:t xml:space="preserve">规定。 </w:t>
      </w:r>
    </w:p>
    <w:p>
      <w:pPr>
        <w:pStyle w:val="59"/>
        <w:bidi w:val="0"/>
        <w:rPr>
          <w:rFonts w:hint="eastAsia"/>
          <w:color w:val="auto"/>
        </w:rPr>
      </w:pPr>
      <w:r>
        <w:rPr>
          <w:rFonts w:hint="eastAsia"/>
          <w:color w:val="auto"/>
          <w:lang w:val="en-US" w:eastAsia="zh-CN"/>
        </w:rPr>
        <w:t>鲜（冻）动物性水产品</w:t>
      </w:r>
      <w:r>
        <w:rPr>
          <w:rFonts w:hint="default"/>
          <w:color w:val="auto"/>
          <w:lang w:val="en-US" w:eastAsia="zh-CN"/>
        </w:rPr>
        <w:t xml:space="preserve">应符合GB </w:t>
      </w:r>
      <w:r>
        <w:rPr>
          <w:rFonts w:hint="eastAsia"/>
          <w:color w:val="auto"/>
          <w:lang w:val="en-US" w:eastAsia="zh-CN"/>
        </w:rPr>
        <w:t>2733的</w:t>
      </w:r>
      <w:r>
        <w:rPr>
          <w:rFonts w:hint="default"/>
          <w:color w:val="auto"/>
          <w:lang w:val="en-US" w:eastAsia="zh-CN"/>
        </w:rPr>
        <w:t>规定。</w:t>
      </w:r>
    </w:p>
    <w:p>
      <w:pPr>
        <w:pStyle w:val="59"/>
        <w:bidi w:val="0"/>
        <w:rPr>
          <w:rFonts w:hint="eastAsia"/>
          <w:color w:val="auto"/>
        </w:rPr>
      </w:pPr>
      <w:r>
        <w:rPr>
          <w:rFonts w:hint="default"/>
          <w:color w:val="auto"/>
          <w:lang w:val="en-US" w:eastAsia="zh-CN"/>
        </w:rPr>
        <w:t>火腿应符合</w:t>
      </w:r>
      <w:r>
        <w:rPr>
          <w:rFonts w:hint="eastAsia"/>
          <w:color w:val="auto"/>
        </w:rPr>
        <w:t>GB 2730</w:t>
      </w:r>
      <w:r>
        <w:rPr>
          <w:rFonts w:hint="eastAsia"/>
          <w:color w:val="auto"/>
          <w:lang w:val="en-US" w:eastAsia="zh-CN"/>
        </w:rPr>
        <w:t>的</w:t>
      </w:r>
      <w:r>
        <w:rPr>
          <w:rFonts w:hint="default"/>
          <w:color w:val="auto"/>
          <w:lang w:val="en-US" w:eastAsia="zh-CN"/>
        </w:rPr>
        <w:t xml:space="preserve">规定。 </w:t>
      </w:r>
    </w:p>
    <w:p>
      <w:pPr>
        <w:pStyle w:val="59"/>
        <w:bidi w:val="0"/>
        <w:rPr>
          <w:rFonts w:hint="eastAsia"/>
          <w:color w:val="auto"/>
        </w:rPr>
      </w:pPr>
      <w:r>
        <w:rPr>
          <w:rFonts w:hint="default"/>
          <w:color w:val="auto"/>
          <w:lang w:val="en-US" w:eastAsia="zh-CN"/>
        </w:rPr>
        <w:t>小豆应符合GB/T 10461</w:t>
      </w:r>
      <w:r>
        <w:rPr>
          <w:rFonts w:hint="eastAsia"/>
          <w:color w:val="auto"/>
          <w:lang w:val="en-US" w:eastAsia="zh-CN"/>
        </w:rPr>
        <w:t>的</w:t>
      </w:r>
      <w:r>
        <w:rPr>
          <w:rFonts w:hint="default"/>
          <w:color w:val="auto"/>
          <w:lang w:val="en-US" w:eastAsia="zh-CN"/>
        </w:rPr>
        <w:t>规定。</w:t>
      </w:r>
    </w:p>
    <w:p>
      <w:pPr>
        <w:pStyle w:val="59"/>
        <w:bidi w:val="0"/>
        <w:rPr>
          <w:rFonts w:hint="eastAsia"/>
          <w:color w:val="auto"/>
        </w:rPr>
      </w:pPr>
      <w:r>
        <w:rPr>
          <w:rFonts w:hint="eastAsia"/>
          <w:color w:val="auto"/>
          <w:lang w:val="en-US" w:eastAsia="zh-CN"/>
        </w:rPr>
        <w:t>蚕豆</w:t>
      </w:r>
      <w:r>
        <w:rPr>
          <w:rFonts w:hint="default"/>
          <w:color w:val="auto"/>
          <w:lang w:val="en-US" w:eastAsia="zh-CN"/>
        </w:rPr>
        <w:t>应符合</w:t>
      </w:r>
      <w:r>
        <w:rPr>
          <w:rFonts w:hint="eastAsia"/>
          <w:color w:val="auto"/>
          <w:lang w:val="en-US" w:eastAsia="zh-CN"/>
        </w:rPr>
        <w:t>GB/T 10459的</w:t>
      </w:r>
      <w:r>
        <w:rPr>
          <w:rFonts w:hint="default"/>
          <w:color w:val="auto"/>
          <w:lang w:val="en-US" w:eastAsia="zh-CN"/>
        </w:rPr>
        <w:t>规定。</w:t>
      </w:r>
    </w:p>
    <w:p>
      <w:pPr>
        <w:pStyle w:val="59"/>
        <w:bidi w:val="0"/>
        <w:rPr>
          <w:rFonts w:hint="eastAsia"/>
          <w:color w:val="auto"/>
        </w:rPr>
      </w:pPr>
      <w:r>
        <w:rPr>
          <w:rFonts w:hint="default"/>
          <w:color w:val="auto"/>
          <w:lang w:val="en-US" w:eastAsia="zh-CN"/>
        </w:rPr>
        <w:t>蜜饯应符合GB 14884</w:t>
      </w:r>
      <w:r>
        <w:rPr>
          <w:rFonts w:hint="eastAsia"/>
          <w:color w:val="auto"/>
          <w:lang w:val="en-US" w:eastAsia="zh-CN"/>
        </w:rPr>
        <w:t>的</w:t>
      </w:r>
      <w:r>
        <w:rPr>
          <w:rFonts w:hint="default"/>
          <w:color w:val="auto"/>
          <w:lang w:val="en-US" w:eastAsia="zh-CN"/>
        </w:rPr>
        <w:t xml:space="preserve">规定。  </w:t>
      </w:r>
    </w:p>
    <w:p>
      <w:pPr>
        <w:pStyle w:val="59"/>
        <w:bidi w:val="0"/>
        <w:rPr>
          <w:rFonts w:hint="eastAsia"/>
          <w:color w:val="auto"/>
        </w:rPr>
      </w:pPr>
      <w:r>
        <w:rPr>
          <w:rFonts w:hint="default"/>
          <w:color w:val="auto"/>
          <w:lang w:val="en-US" w:eastAsia="zh-CN"/>
        </w:rPr>
        <w:t>食用菌应符合GB 7096</w:t>
      </w:r>
      <w:r>
        <w:rPr>
          <w:rFonts w:hint="eastAsia"/>
          <w:color w:val="auto"/>
          <w:lang w:val="en-US" w:eastAsia="zh-CN"/>
        </w:rPr>
        <w:t>的</w:t>
      </w:r>
      <w:r>
        <w:rPr>
          <w:rFonts w:hint="default"/>
          <w:color w:val="auto"/>
          <w:lang w:val="en-US" w:eastAsia="zh-CN"/>
        </w:rPr>
        <w:t xml:space="preserve">规定。 </w:t>
      </w:r>
    </w:p>
    <w:p>
      <w:pPr>
        <w:pStyle w:val="59"/>
        <w:bidi w:val="0"/>
        <w:rPr>
          <w:rFonts w:hint="eastAsia"/>
          <w:color w:val="auto"/>
        </w:rPr>
      </w:pPr>
      <w:r>
        <w:rPr>
          <w:rFonts w:hint="default"/>
          <w:color w:val="auto"/>
          <w:lang w:val="en-US" w:eastAsia="zh-CN"/>
        </w:rPr>
        <w:t>蛋制品应符合GB 2749</w:t>
      </w:r>
      <w:r>
        <w:rPr>
          <w:rFonts w:hint="eastAsia"/>
          <w:color w:val="auto"/>
          <w:lang w:val="en-US" w:eastAsia="zh-CN"/>
        </w:rPr>
        <w:t>的</w:t>
      </w:r>
      <w:r>
        <w:rPr>
          <w:rFonts w:hint="default"/>
          <w:color w:val="auto"/>
          <w:lang w:val="en-US" w:eastAsia="zh-CN"/>
        </w:rPr>
        <w:t>规定。</w:t>
      </w:r>
    </w:p>
    <w:p>
      <w:pPr>
        <w:pStyle w:val="59"/>
        <w:bidi w:val="0"/>
        <w:rPr>
          <w:rFonts w:hint="eastAsia"/>
          <w:color w:val="auto"/>
        </w:rPr>
      </w:pPr>
      <w:r>
        <w:rPr>
          <w:rFonts w:hint="eastAsia"/>
          <w:color w:val="auto"/>
          <w:lang w:val="en-US" w:eastAsia="zh-CN"/>
        </w:rPr>
        <w:t>果仁</w:t>
      </w:r>
      <w:r>
        <w:rPr>
          <w:rFonts w:hint="default"/>
          <w:color w:val="auto"/>
          <w:lang w:val="en-US" w:eastAsia="zh-CN"/>
        </w:rPr>
        <w:t>应符合</w:t>
      </w:r>
      <w:r>
        <w:rPr>
          <w:rFonts w:hint="eastAsia"/>
          <w:color w:val="auto"/>
        </w:rPr>
        <w:t>GB 19300</w:t>
      </w:r>
      <w:r>
        <w:rPr>
          <w:rFonts w:hint="eastAsia"/>
          <w:color w:val="auto"/>
          <w:lang w:val="en-US" w:eastAsia="zh-CN"/>
        </w:rPr>
        <w:t>的</w:t>
      </w:r>
      <w:r>
        <w:rPr>
          <w:rFonts w:hint="default"/>
          <w:color w:val="auto"/>
          <w:lang w:val="en-US" w:eastAsia="zh-CN"/>
        </w:rPr>
        <w:t>规定。</w:t>
      </w:r>
    </w:p>
    <w:p>
      <w:pPr>
        <w:pStyle w:val="59"/>
        <w:bidi w:val="0"/>
        <w:rPr>
          <w:rFonts w:hint="eastAsia"/>
          <w:color w:val="auto"/>
        </w:rPr>
      </w:pPr>
      <w:r>
        <w:rPr>
          <w:rFonts w:hint="eastAsia"/>
          <w:color w:val="auto"/>
          <w:lang w:val="en-US" w:eastAsia="zh-CN"/>
        </w:rPr>
        <w:t>酱油</w:t>
      </w:r>
      <w:r>
        <w:rPr>
          <w:rFonts w:hint="default"/>
          <w:color w:val="auto"/>
          <w:lang w:val="en-US" w:eastAsia="zh-CN"/>
        </w:rPr>
        <w:t>应符合GB 2717</w:t>
      </w:r>
      <w:r>
        <w:rPr>
          <w:rFonts w:hint="eastAsia"/>
          <w:color w:val="auto"/>
          <w:lang w:val="en-US" w:eastAsia="zh-CN"/>
        </w:rPr>
        <w:t>的</w:t>
      </w:r>
      <w:r>
        <w:rPr>
          <w:rFonts w:hint="default"/>
          <w:color w:val="auto"/>
          <w:lang w:val="en-US" w:eastAsia="zh-CN"/>
        </w:rPr>
        <w:t xml:space="preserve">规定。 </w:t>
      </w:r>
    </w:p>
    <w:p>
      <w:pPr>
        <w:pStyle w:val="59"/>
        <w:bidi w:val="0"/>
        <w:rPr>
          <w:rFonts w:hint="eastAsia"/>
          <w:color w:val="auto"/>
        </w:rPr>
      </w:pPr>
      <w:r>
        <w:rPr>
          <w:rFonts w:hint="default"/>
          <w:color w:val="auto"/>
          <w:lang w:val="en-US" w:eastAsia="zh-CN"/>
        </w:rPr>
        <w:t>食盐应符合GB</w:t>
      </w:r>
      <w:r>
        <w:rPr>
          <w:rFonts w:hint="eastAsia"/>
          <w:color w:val="auto"/>
          <w:lang w:val="en-US" w:eastAsia="zh-CN"/>
        </w:rPr>
        <w:t>/T</w:t>
      </w:r>
      <w:r>
        <w:rPr>
          <w:rFonts w:hint="default"/>
          <w:color w:val="auto"/>
          <w:lang w:val="en-US" w:eastAsia="zh-CN"/>
        </w:rPr>
        <w:t xml:space="preserve"> 5461</w:t>
      </w:r>
      <w:r>
        <w:rPr>
          <w:rFonts w:hint="eastAsia"/>
          <w:color w:val="auto"/>
          <w:lang w:val="en-US" w:eastAsia="zh-CN"/>
        </w:rPr>
        <w:t>的</w:t>
      </w:r>
      <w:r>
        <w:rPr>
          <w:rFonts w:hint="default"/>
          <w:color w:val="auto"/>
          <w:lang w:val="en-US" w:eastAsia="zh-CN"/>
        </w:rPr>
        <w:t xml:space="preserve">规定。 </w:t>
      </w:r>
    </w:p>
    <w:p>
      <w:pPr>
        <w:pStyle w:val="59"/>
        <w:bidi w:val="0"/>
        <w:rPr>
          <w:rFonts w:hint="eastAsia"/>
          <w:color w:val="auto"/>
        </w:rPr>
      </w:pPr>
      <w:r>
        <w:rPr>
          <w:rFonts w:hint="default"/>
          <w:color w:val="auto"/>
          <w:lang w:val="en-US" w:eastAsia="zh-CN"/>
        </w:rPr>
        <w:t>白砂糖应符合GB</w:t>
      </w:r>
      <w:r>
        <w:rPr>
          <w:rFonts w:hint="eastAsia"/>
          <w:color w:val="auto"/>
          <w:lang w:val="en-US" w:eastAsia="zh-CN"/>
        </w:rPr>
        <w:t>/T</w:t>
      </w:r>
      <w:r>
        <w:rPr>
          <w:rFonts w:hint="default"/>
          <w:color w:val="auto"/>
          <w:lang w:val="en-US" w:eastAsia="zh-CN"/>
        </w:rPr>
        <w:t xml:space="preserve"> 317</w:t>
      </w:r>
      <w:r>
        <w:rPr>
          <w:rFonts w:hint="eastAsia"/>
          <w:color w:val="auto"/>
          <w:lang w:val="en-US" w:eastAsia="zh-CN"/>
        </w:rPr>
        <w:t>的</w:t>
      </w:r>
      <w:r>
        <w:rPr>
          <w:rFonts w:hint="default"/>
          <w:color w:val="auto"/>
          <w:lang w:val="en-US" w:eastAsia="zh-CN"/>
        </w:rPr>
        <w:t>规定。</w:t>
      </w:r>
    </w:p>
    <w:p>
      <w:pPr>
        <w:pStyle w:val="59"/>
        <w:bidi w:val="0"/>
        <w:rPr>
          <w:rFonts w:hint="eastAsia"/>
          <w:color w:val="auto"/>
        </w:rPr>
      </w:pPr>
      <w:r>
        <w:rPr>
          <w:rFonts w:hint="default"/>
          <w:color w:val="auto"/>
          <w:lang w:val="en-US" w:eastAsia="zh-CN"/>
        </w:rPr>
        <w:t>味精应符合GB 2720</w:t>
      </w:r>
      <w:r>
        <w:rPr>
          <w:rFonts w:hint="eastAsia"/>
          <w:color w:val="auto"/>
          <w:lang w:val="en-US" w:eastAsia="zh-CN"/>
        </w:rPr>
        <w:t>的</w:t>
      </w:r>
      <w:r>
        <w:rPr>
          <w:rFonts w:hint="default"/>
          <w:color w:val="auto"/>
          <w:lang w:val="en-US" w:eastAsia="zh-CN"/>
        </w:rPr>
        <w:t xml:space="preserve">规定。 </w:t>
      </w:r>
    </w:p>
    <w:p>
      <w:pPr>
        <w:pStyle w:val="59"/>
        <w:bidi w:val="0"/>
        <w:rPr>
          <w:rFonts w:hint="eastAsia"/>
          <w:color w:val="auto"/>
        </w:rPr>
      </w:pPr>
      <w:r>
        <w:rPr>
          <w:rFonts w:hint="default"/>
          <w:color w:val="auto"/>
          <w:lang w:val="en-US" w:eastAsia="zh-CN"/>
        </w:rPr>
        <w:t>植物油应符合GB 2716</w:t>
      </w:r>
      <w:r>
        <w:rPr>
          <w:rFonts w:hint="eastAsia"/>
          <w:color w:val="auto"/>
          <w:lang w:val="en-US" w:eastAsia="zh-CN"/>
        </w:rPr>
        <w:t>的</w:t>
      </w:r>
      <w:r>
        <w:rPr>
          <w:rFonts w:hint="default"/>
          <w:color w:val="auto"/>
          <w:lang w:val="en-US" w:eastAsia="zh-CN"/>
        </w:rPr>
        <w:t xml:space="preserve">规定。 </w:t>
      </w:r>
    </w:p>
    <w:p>
      <w:pPr>
        <w:pStyle w:val="59"/>
        <w:bidi w:val="0"/>
        <w:rPr>
          <w:color w:val="auto"/>
        </w:rPr>
      </w:pPr>
      <w:r>
        <w:rPr>
          <w:rFonts w:hint="default"/>
          <w:color w:val="auto"/>
          <w:lang w:val="en-US" w:eastAsia="zh-CN"/>
        </w:rPr>
        <w:t>粽叶应无异味、无霉变，不使用化学物质进行返青和或增香处理。</w:t>
      </w:r>
    </w:p>
    <w:p>
      <w:pPr>
        <w:pStyle w:val="59"/>
        <w:bidi w:val="0"/>
        <w:rPr>
          <w:color w:val="auto"/>
        </w:rPr>
      </w:pPr>
      <w:r>
        <w:rPr>
          <w:rFonts w:hint="eastAsia"/>
          <w:color w:val="auto"/>
        </w:rPr>
        <w:t>其他原辅料应符合相应的食品标准和有关规定。</w:t>
      </w:r>
    </w:p>
    <w:p>
      <w:pPr>
        <w:pStyle w:val="38"/>
        <w:spacing w:before="156" w:after="156"/>
        <w:rPr>
          <w:color w:val="auto"/>
        </w:rPr>
      </w:pPr>
      <w:r>
        <w:rPr>
          <w:rFonts w:hint="eastAsia"/>
          <w:color w:val="auto"/>
        </w:rPr>
        <w:t>感官要求</w:t>
      </w:r>
      <w:r>
        <w:rPr>
          <w:rFonts w:hint="eastAsia"/>
          <w:color w:val="auto"/>
          <w:lang w:val="en-US" w:eastAsia="zh-CN"/>
        </w:rPr>
        <w:t xml:space="preserve"> </w:t>
      </w:r>
    </w:p>
    <w:p>
      <w:pPr>
        <w:pStyle w:val="59"/>
        <w:numPr>
          <w:ilvl w:val="2"/>
          <w:numId w:val="0"/>
        </w:numPr>
        <w:bidi w:val="0"/>
        <w:ind w:leftChars="0" w:firstLine="420" w:firstLineChars="200"/>
        <w:rPr>
          <w:rFonts w:hint="default"/>
          <w:color w:val="auto"/>
          <w:lang w:val="en-US" w:eastAsia="zh-CN"/>
        </w:rPr>
      </w:pPr>
      <w:r>
        <w:rPr>
          <w:rFonts w:hint="eastAsia"/>
          <w:color w:val="auto"/>
          <w:lang w:val="en-US" w:eastAsia="zh-CN"/>
        </w:rPr>
        <w:t>感官要求</w:t>
      </w:r>
      <w:r>
        <w:rPr>
          <w:rFonts w:hint="eastAsia"/>
          <w:color w:val="auto"/>
        </w:rPr>
        <w:t>应符合表1规定。</w:t>
      </w:r>
    </w:p>
    <w:p>
      <w:pPr>
        <w:pStyle w:val="122"/>
        <w:bidi w:val="0"/>
        <w:rPr>
          <w:color w:val="auto"/>
        </w:rPr>
      </w:pPr>
      <w:r>
        <w:rPr>
          <w:rFonts w:hint="eastAsia"/>
          <w:color w:val="auto"/>
        </w:rPr>
        <w:t>感官要求</w:t>
      </w:r>
    </w:p>
    <w:tbl>
      <w:tblPr>
        <w:tblStyle w:val="30"/>
        <w:tblW w:w="974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58"/>
        <w:gridCol w:w="83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58" w:type="dxa"/>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项目</w:t>
            </w:r>
          </w:p>
        </w:tc>
        <w:tc>
          <w:tcPr>
            <w:tcW w:w="8391" w:type="dxa"/>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58" w:type="dxa"/>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表面形态</w:t>
            </w:r>
          </w:p>
        </w:tc>
        <w:tc>
          <w:tcPr>
            <w:tcW w:w="8391" w:type="dxa"/>
            <w:vAlign w:val="center"/>
          </w:tcPr>
          <w:p>
            <w:pPr>
              <w:pStyle w:val="20"/>
              <w:spacing w:line="340" w:lineRule="exact"/>
              <w:ind w:firstLine="0" w:firstLineChars="0"/>
              <w:jc w:val="center"/>
              <w:rPr>
                <w:rFonts w:hint="default" w:hAnsi="宋体"/>
                <w:color w:val="auto"/>
                <w:szCs w:val="21"/>
                <w:lang w:val="en-US" w:eastAsia="zh-CN"/>
              </w:rPr>
            </w:pPr>
            <w:r>
              <w:rPr>
                <w:rFonts w:hint="eastAsia" w:hAnsi="宋体"/>
                <w:color w:val="auto"/>
                <w:szCs w:val="21"/>
                <w:lang w:val="en-US" w:eastAsia="zh-CN"/>
              </w:rPr>
              <w:t>粽角端正，呈四面体，扎线松紧适当，粽体包裹完整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58" w:type="dxa"/>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色泽</w:t>
            </w:r>
          </w:p>
        </w:tc>
        <w:tc>
          <w:tcPr>
            <w:tcW w:w="8391" w:type="dxa"/>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剥去粽叶，原料中放酱油的粽体米粒呈淡酱色 (不放酱油的粽体呈所用物料应有的色泽)，馅料具有所用物料相应的色</w:t>
            </w:r>
            <w:r>
              <w:rPr>
                <w:rFonts w:hint="default" w:hAnsi="宋体"/>
                <w:color w:val="auto"/>
                <w:szCs w:val="21"/>
                <w:lang w:val="en-US" w:eastAsia="zh-CN"/>
              </w:rPr>
              <w:t>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1" w:hRule="atLeast"/>
          <w:jc w:val="center"/>
        </w:trPr>
        <w:tc>
          <w:tcPr>
            <w:tcW w:w="1358" w:type="dxa"/>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组织状态</w:t>
            </w:r>
          </w:p>
        </w:tc>
        <w:tc>
          <w:tcPr>
            <w:tcW w:w="8391" w:type="dxa"/>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 xml:space="preserve">粽体不过烂，粽子内外无杂质，无夹生，不得有霉变、生虫及其它外来污染物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58" w:type="dxa"/>
            <w:vAlign w:val="center"/>
          </w:tcPr>
          <w:p>
            <w:pPr>
              <w:pStyle w:val="20"/>
              <w:spacing w:line="340" w:lineRule="exact"/>
              <w:ind w:firstLine="0" w:firstLineChars="0"/>
              <w:jc w:val="center"/>
              <w:rPr>
                <w:rFonts w:hint="default" w:hAnsi="宋体"/>
                <w:color w:val="auto"/>
                <w:szCs w:val="21"/>
                <w:lang w:val="en-US" w:eastAsia="zh-CN"/>
              </w:rPr>
            </w:pPr>
            <w:r>
              <w:rPr>
                <w:rFonts w:hint="eastAsia" w:hAnsi="宋体"/>
                <w:color w:val="auto"/>
                <w:szCs w:val="21"/>
                <w:lang w:val="en-US" w:eastAsia="zh-CN"/>
              </w:rPr>
              <w:t>气味和滋味</w:t>
            </w:r>
          </w:p>
        </w:tc>
        <w:tc>
          <w:tcPr>
            <w:tcW w:w="8391" w:type="dxa"/>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具有粽叶、糯米及其它物料固有的滋味和香气，不得有酸败、发霉、发馊等异味</w:t>
            </w:r>
          </w:p>
        </w:tc>
      </w:tr>
    </w:tbl>
    <w:p>
      <w:pPr>
        <w:pStyle w:val="38"/>
        <w:bidi w:val="0"/>
        <w:rPr>
          <w:rFonts w:hint="eastAsia"/>
          <w:color w:val="auto"/>
        </w:rPr>
      </w:pPr>
      <w:r>
        <w:rPr>
          <w:rFonts w:hint="eastAsia"/>
          <w:color w:val="auto"/>
        </w:rPr>
        <w:t>理化指标</w:t>
      </w:r>
    </w:p>
    <w:p>
      <w:pPr>
        <w:pStyle w:val="20"/>
        <w:bidi w:val="0"/>
        <w:rPr>
          <w:rFonts w:hint="eastAsia"/>
          <w:color w:val="auto"/>
          <w:szCs w:val="22"/>
        </w:rPr>
      </w:pPr>
      <w:r>
        <w:rPr>
          <w:rFonts w:hint="eastAsia"/>
          <w:color w:val="auto"/>
          <w:szCs w:val="22"/>
        </w:rPr>
        <w:t>理化指标应符合表</w:t>
      </w:r>
      <w:r>
        <w:rPr>
          <w:rFonts w:hint="eastAsia"/>
          <w:color w:val="auto"/>
          <w:szCs w:val="22"/>
          <w:lang w:val="en-US" w:eastAsia="zh-CN"/>
        </w:rPr>
        <w:t>2</w:t>
      </w:r>
      <w:r>
        <w:rPr>
          <w:rFonts w:hint="eastAsia"/>
          <w:color w:val="auto"/>
          <w:szCs w:val="22"/>
        </w:rPr>
        <w:t>规定。</w:t>
      </w:r>
    </w:p>
    <w:p>
      <w:pPr>
        <w:rPr>
          <w:rFonts w:hint="eastAsia"/>
          <w:color w:val="auto"/>
          <w:szCs w:val="22"/>
        </w:rPr>
      </w:pPr>
      <w:r>
        <w:rPr>
          <w:rFonts w:hint="eastAsia"/>
          <w:color w:val="auto"/>
          <w:szCs w:val="22"/>
        </w:rPr>
        <w:br w:type="page"/>
      </w:r>
    </w:p>
    <w:p>
      <w:pPr>
        <w:pStyle w:val="20"/>
        <w:bidi w:val="0"/>
        <w:rPr>
          <w:rFonts w:hint="eastAsia"/>
          <w:color w:val="auto"/>
          <w:szCs w:val="22"/>
        </w:rPr>
      </w:pPr>
    </w:p>
    <w:p>
      <w:pPr>
        <w:pStyle w:val="122"/>
        <w:bidi w:val="0"/>
        <w:rPr>
          <w:rFonts w:hint="eastAsia"/>
          <w:color w:val="auto"/>
          <w:szCs w:val="22"/>
        </w:rPr>
      </w:pPr>
      <w:r>
        <w:rPr>
          <w:rFonts w:hint="eastAsia"/>
          <w:color w:val="auto"/>
          <w:szCs w:val="22"/>
        </w:rPr>
        <w:t>理化指标</w:t>
      </w:r>
    </w:p>
    <w:tbl>
      <w:tblPr>
        <w:tblStyle w:val="30"/>
        <w:tblW w:w="511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818"/>
        <w:gridCol w:w="818"/>
        <w:gridCol w:w="818"/>
        <w:gridCol w:w="818"/>
        <w:gridCol w:w="818"/>
        <w:gridCol w:w="2"/>
        <w:gridCol w:w="816"/>
        <w:gridCol w:w="2"/>
        <w:gridCol w:w="816"/>
        <w:gridCol w:w="1"/>
        <w:gridCol w:w="8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59" w:type="pct"/>
            <w:vMerge w:val="restart"/>
            <w:tcBorders>
              <w:tl2br w:val="nil"/>
              <w:tr2bl w:val="nil"/>
            </w:tcBorders>
            <w:vAlign w:val="center"/>
          </w:tcPr>
          <w:p>
            <w:pPr>
              <w:pStyle w:val="20"/>
              <w:spacing w:line="340" w:lineRule="exact"/>
              <w:ind w:firstLine="0" w:firstLineChars="0"/>
              <w:jc w:val="center"/>
              <w:rPr>
                <w:color w:val="auto"/>
                <w:szCs w:val="18"/>
              </w:rPr>
            </w:pPr>
            <w:r>
              <w:rPr>
                <w:rFonts w:hint="eastAsia" w:hAnsi="宋体"/>
                <w:color w:val="auto"/>
                <w:szCs w:val="21"/>
                <w:lang w:val="en-US" w:eastAsia="zh-CN"/>
              </w:rPr>
              <w:t>项目</w:t>
            </w:r>
          </w:p>
        </w:tc>
        <w:tc>
          <w:tcPr>
            <w:tcW w:w="1670" w:type="pct"/>
            <w:gridSpan w:val="4"/>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肉馅类</w:t>
            </w:r>
          </w:p>
        </w:tc>
        <w:tc>
          <w:tcPr>
            <w:tcW w:w="836" w:type="pct"/>
            <w:gridSpan w:val="4"/>
            <w:vMerge w:val="restar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非肉馅类</w:t>
            </w:r>
          </w:p>
        </w:tc>
        <w:tc>
          <w:tcPr>
            <w:tcW w:w="834" w:type="pct"/>
            <w:gridSpan w:val="3"/>
            <w:vMerge w:val="restar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无馅类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59" w:type="pct"/>
            <w:vMerge w:val="continue"/>
            <w:tcBorders>
              <w:tl2br w:val="nil"/>
              <w:tr2bl w:val="nil"/>
            </w:tcBorders>
            <w:vAlign w:val="center"/>
          </w:tcPr>
          <w:p>
            <w:pPr>
              <w:pStyle w:val="20"/>
              <w:spacing w:line="340" w:lineRule="exact"/>
              <w:ind w:firstLine="0" w:firstLineChars="0"/>
              <w:jc w:val="center"/>
              <w:rPr>
                <w:color w:val="auto"/>
                <w:szCs w:val="18"/>
              </w:rPr>
            </w:pPr>
          </w:p>
        </w:tc>
        <w:tc>
          <w:tcPr>
            <w:tcW w:w="835" w:type="pct"/>
            <w:gridSpan w:val="2"/>
            <w:tcBorders>
              <w:tl2br w:val="nil"/>
              <w:tr2bl w:val="nil"/>
            </w:tcBorders>
            <w:vAlign w:val="center"/>
          </w:tcPr>
          <w:p>
            <w:pPr>
              <w:pStyle w:val="20"/>
              <w:spacing w:line="340" w:lineRule="exact"/>
              <w:ind w:firstLine="0" w:firstLineChars="0"/>
              <w:jc w:val="center"/>
              <w:rPr>
                <w:rFonts w:hint="eastAsia" w:eastAsia="宋体"/>
                <w:color w:val="auto"/>
                <w:szCs w:val="18"/>
                <w:lang w:val="en-US" w:eastAsia="zh-CN"/>
              </w:rPr>
            </w:pPr>
            <w:r>
              <w:rPr>
                <w:rFonts w:hint="eastAsia"/>
                <w:color w:val="auto"/>
                <w:szCs w:val="18"/>
                <w:lang w:val="en-US" w:eastAsia="zh-CN"/>
              </w:rPr>
              <w:t>大肉粽</w:t>
            </w:r>
          </w:p>
        </w:tc>
        <w:tc>
          <w:tcPr>
            <w:tcW w:w="835" w:type="pct"/>
            <w:gridSpan w:val="2"/>
            <w:tcBorders>
              <w:tl2br w:val="nil"/>
              <w:tr2bl w:val="nil"/>
            </w:tcBorders>
            <w:vAlign w:val="center"/>
          </w:tcPr>
          <w:p>
            <w:pPr>
              <w:pStyle w:val="20"/>
              <w:spacing w:line="340" w:lineRule="exact"/>
              <w:ind w:firstLine="0" w:firstLineChars="0"/>
              <w:jc w:val="center"/>
              <w:rPr>
                <w:rFonts w:hint="default" w:hAnsi="宋体"/>
                <w:color w:val="auto"/>
                <w:szCs w:val="21"/>
                <w:lang w:val="en-US" w:eastAsia="zh-CN"/>
              </w:rPr>
            </w:pPr>
            <w:r>
              <w:rPr>
                <w:rFonts w:hint="eastAsia" w:hAnsi="宋体"/>
                <w:color w:val="auto"/>
                <w:szCs w:val="21"/>
                <w:lang w:val="en-US" w:eastAsia="zh-CN"/>
              </w:rPr>
              <w:t>肉粽</w:t>
            </w:r>
          </w:p>
        </w:tc>
        <w:tc>
          <w:tcPr>
            <w:tcW w:w="836" w:type="pct"/>
            <w:gridSpan w:val="4"/>
            <w:vMerge w:val="continue"/>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p>
        </w:tc>
        <w:tc>
          <w:tcPr>
            <w:tcW w:w="834" w:type="pct"/>
            <w:gridSpan w:val="3"/>
            <w:vMerge w:val="continue"/>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9" w:type="pct"/>
            <w:vMerge w:val="continue"/>
            <w:tcBorders>
              <w:tl2br w:val="nil"/>
              <w:tr2bl w:val="nil"/>
            </w:tcBorders>
            <w:vAlign w:val="center"/>
          </w:tcPr>
          <w:p>
            <w:pPr>
              <w:pStyle w:val="20"/>
              <w:spacing w:line="340" w:lineRule="exact"/>
              <w:ind w:firstLine="0" w:firstLineChars="0"/>
              <w:jc w:val="center"/>
              <w:rPr>
                <w:color w:val="auto"/>
                <w:szCs w:val="18"/>
              </w:rPr>
            </w:pP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优级</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合格</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优级</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合格</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优级</w:t>
            </w:r>
          </w:p>
        </w:tc>
        <w:tc>
          <w:tcPr>
            <w:tcW w:w="417" w:type="pct"/>
            <w:gridSpan w:val="2"/>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合格</w:t>
            </w:r>
          </w:p>
        </w:tc>
        <w:tc>
          <w:tcPr>
            <w:tcW w:w="417" w:type="pct"/>
            <w:gridSpan w:val="2"/>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优级</w:t>
            </w:r>
          </w:p>
        </w:tc>
        <w:tc>
          <w:tcPr>
            <w:tcW w:w="418" w:type="pct"/>
            <w:gridSpan w:val="2"/>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9" w:type="pct"/>
            <w:tcBorders>
              <w:tl2br w:val="nil"/>
              <w:tr2bl w:val="nil"/>
            </w:tcBorders>
            <w:vAlign w:val="center"/>
          </w:tcPr>
          <w:p>
            <w:pPr>
              <w:keepNext w:val="0"/>
              <w:keepLines w:val="0"/>
              <w:widowControl/>
              <w:suppressLineNumbers w:val="0"/>
              <w:jc w:val="left"/>
              <w:rPr>
                <w:color w:val="auto"/>
                <w:szCs w:val="18"/>
              </w:rPr>
            </w:pPr>
            <w:r>
              <w:rPr>
                <w:rFonts w:hint="eastAsia" w:ascii="宋体" w:hAnsi="宋体" w:cs="Times New Roman"/>
                <w:color w:val="auto"/>
                <w:kern w:val="0"/>
                <w:sz w:val="21"/>
                <w:szCs w:val="21"/>
                <w:lang w:val="en-US" w:eastAsia="zh-CN" w:bidi="ar-SA"/>
              </w:rPr>
              <w:t>馅料含量</w:t>
            </w:r>
            <w:r>
              <w:rPr>
                <w:rFonts w:hint="eastAsia" w:ascii="宋体" w:hAnsi="宋体" w:eastAsia="宋体" w:cs="Times New Roman"/>
                <w:color w:val="auto"/>
                <w:kern w:val="0"/>
                <w:sz w:val="21"/>
                <w:szCs w:val="21"/>
                <w:lang w:val="en-US" w:eastAsia="zh-CN" w:bidi="ar-SA"/>
              </w:rPr>
              <w:t>（</w:t>
            </w:r>
            <w:r>
              <w:rPr>
                <w:rFonts w:hint="eastAsia" w:ascii="宋体" w:hAnsi="宋体" w:cs="Times New Roman"/>
                <w:color w:val="auto"/>
                <w:kern w:val="0"/>
                <w:sz w:val="21"/>
                <w:szCs w:val="21"/>
                <w:lang w:val="en-US" w:eastAsia="zh-CN" w:bidi="ar-SA"/>
              </w:rPr>
              <w:t>%</w:t>
            </w:r>
            <w:r>
              <w:rPr>
                <w:rFonts w:hint="eastAsia" w:ascii="宋体" w:hAnsi="宋体" w:eastAsia="宋体" w:cs="Times New Roman"/>
                <w:color w:val="auto"/>
                <w:kern w:val="0"/>
                <w:sz w:val="21"/>
                <w:szCs w:val="21"/>
                <w:lang w:val="en-US" w:eastAsia="zh-CN" w:bidi="ar-SA"/>
              </w:rPr>
              <w:t>）</w:t>
            </w:r>
            <w:r>
              <w:rPr>
                <w:rFonts w:hint="eastAsia" w:ascii="宋体" w:hAnsi="宋体" w:cs="Times New Roman"/>
                <w:color w:val="auto"/>
                <w:kern w:val="0"/>
                <w:sz w:val="21"/>
                <w:szCs w:val="21"/>
                <w:lang w:val="en-US" w:eastAsia="zh-CN" w:bidi="ar-SA"/>
              </w:rPr>
              <w:t xml:space="preserve">             ≥</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10</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8</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6</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12</w:t>
            </w:r>
          </w:p>
        </w:tc>
        <w:tc>
          <w:tcPr>
            <w:tcW w:w="417" w:type="pct"/>
            <w:gridSpan w:val="2"/>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6</w:t>
            </w:r>
          </w:p>
        </w:tc>
        <w:tc>
          <w:tcPr>
            <w:tcW w:w="835" w:type="pct"/>
            <w:gridSpan w:val="4"/>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2730" w:leftChars="0" w:hanging="2730" w:hangingChars="1300"/>
              <w:jc w:val="left"/>
              <w:textAlignment w:val="auto"/>
              <w:rPr>
                <w:color w:val="auto"/>
                <w:szCs w:val="18"/>
              </w:rPr>
            </w:pPr>
            <w:r>
              <w:rPr>
                <w:rFonts w:hint="eastAsia" w:ascii="宋体" w:hAnsi="宋体" w:cs="Times New Roman"/>
                <w:color w:val="auto"/>
                <w:kern w:val="0"/>
                <w:sz w:val="21"/>
                <w:szCs w:val="21"/>
                <w:lang w:val="en-US" w:eastAsia="zh-CN" w:bidi="ar-SA"/>
              </w:rPr>
              <w:t>水分</w:t>
            </w:r>
            <w:r>
              <w:rPr>
                <w:rFonts w:hint="eastAsia" w:ascii="宋体" w:hAnsi="宋体" w:eastAsia="宋体" w:cs="Times New Roman"/>
                <w:color w:val="auto"/>
                <w:kern w:val="0"/>
                <w:sz w:val="21"/>
                <w:szCs w:val="21"/>
                <w:lang w:val="en-US" w:eastAsia="zh-CN" w:bidi="ar-SA"/>
              </w:rPr>
              <w:t>（%）</w:t>
            </w:r>
            <w:r>
              <w:rPr>
                <w:rFonts w:hint="eastAsia" w:ascii="宋体" w:hAnsi="宋体" w:cs="Times New Roman"/>
                <w:color w:val="auto"/>
                <w:kern w:val="0"/>
                <w:sz w:val="21"/>
                <w:szCs w:val="21"/>
                <w:lang w:val="en-US" w:eastAsia="zh-CN" w:bidi="ar-SA"/>
              </w:rPr>
              <w:t xml:space="preserve">                 ≤</w:t>
            </w:r>
          </w:p>
        </w:tc>
        <w:tc>
          <w:tcPr>
            <w:tcW w:w="3340" w:type="pct"/>
            <w:gridSpan w:val="11"/>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9" w:type="pct"/>
            <w:tcBorders>
              <w:tl2br w:val="nil"/>
              <w:tr2bl w:val="nil"/>
            </w:tcBorders>
            <w:vAlign w:val="center"/>
          </w:tcPr>
          <w:p>
            <w:pPr>
              <w:keepNext w:val="0"/>
              <w:keepLines w:val="0"/>
              <w:widowControl/>
              <w:suppressLineNumbers w:val="0"/>
              <w:jc w:val="left"/>
              <w:rPr>
                <w:rFonts w:hint="eastAsia" w:ascii="宋体" w:hAnsi="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蛋白质（%）</w:t>
            </w:r>
            <w:r>
              <w:rPr>
                <w:rFonts w:hint="eastAsia" w:ascii="宋体" w:hAnsi="宋体" w:cs="Times New Roman"/>
                <w:color w:val="auto"/>
                <w:kern w:val="0"/>
                <w:sz w:val="21"/>
                <w:szCs w:val="21"/>
                <w:lang w:val="en-US" w:eastAsia="zh-CN" w:bidi="ar-SA"/>
              </w:rPr>
              <w:t xml:space="preserve">               ≥</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4</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2</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4</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2</w:t>
            </w:r>
          </w:p>
        </w:tc>
        <w:tc>
          <w:tcPr>
            <w:tcW w:w="835" w:type="pct"/>
            <w:gridSpan w:val="3"/>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w:t>
            </w:r>
          </w:p>
        </w:tc>
        <w:tc>
          <w:tcPr>
            <w:tcW w:w="835" w:type="pct"/>
            <w:gridSpan w:val="4"/>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9" w:type="pct"/>
            <w:tcBorders>
              <w:tl2br w:val="nil"/>
              <w:tr2bl w:val="nil"/>
            </w:tcBorders>
            <w:vAlign w:val="center"/>
          </w:tcPr>
          <w:p>
            <w:pPr>
              <w:keepNext w:val="0"/>
              <w:keepLines w:val="0"/>
              <w:widowControl/>
              <w:suppressLineNumbers w:val="0"/>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脂肪（%）</w:t>
            </w:r>
            <w:r>
              <w:rPr>
                <w:rFonts w:hint="eastAsia" w:ascii="宋体" w:hAnsi="宋体" w:cs="Times New Roman"/>
                <w:color w:val="auto"/>
                <w:kern w:val="0"/>
                <w:sz w:val="21"/>
                <w:szCs w:val="21"/>
                <w:lang w:val="en-US" w:eastAsia="zh-CN" w:bidi="ar-SA"/>
              </w:rPr>
              <w:t xml:space="preserve">                 ≤</w:t>
            </w:r>
          </w:p>
        </w:tc>
        <w:tc>
          <w:tcPr>
            <w:tcW w:w="1670" w:type="pct"/>
            <w:gridSpan w:val="4"/>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17.5</w:t>
            </w:r>
          </w:p>
        </w:tc>
        <w:tc>
          <w:tcPr>
            <w:tcW w:w="835" w:type="pct"/>
            <w:gridSpan w:val="3"/>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w:t>
            </w:r>
          </w:p>
        </w:tc>
        <w:tc>
          <w:tcPr>
            <w:tcW w:w="835" w:type="pct"/>
            <w:gridSpan w:val="4"/>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2730" w:leftChars="0" w:hanging="2730" w:hangingChars="1300"/>
              <w:jc w:val="left"/>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酸价（以脂肪计）(KOH</w:t>
            </w:r>
            <w:r>
              <w:rPr>
                <w:rFonts w:hint="eastAsia" w:ascii="宋体" w:hAnsi="宋体" w:cs="Times New Roman"/>
                <w:color w:val="auto"/>
                <w:kern w:val="0"/>
                <w:sz w:val="21"/>
                <w:szCs w:val="21"/>
                <w:lang w:val="en-US" w:eastAsia="zh-CN" w:bidi="ar-SA"/>
              </w:rPr>
              <w:t>）</w:t>
            </w:r>
            <w:r>
              <w:rPr>
                <w:rFonts w:hint="eastAsia" w:ascii="宋体" w:hAnsi="宋体" w:eastAsia="宋体" w:cs="Times New Roman"/>
                <w:color w:val="auto"/>
                <w:kern w:val="0"/>
                <w:sz w:val="21"/>
                <w:szCs w:val="21"/>
                <w:lang w:val="en-US" w:eastAsia="zh-CN" w:bidi="ar-SA"/>
              </w:rPr>
              <w:t>（mg/g）</w:t>
            </w:r>
            <w:r>
              <w:rPr>
                <w:rFonts w:hint="eastAsia" w:ascii="宋体" w:hAnsi="宋体" w:cs="Times New Roman"/>
                <w:color w:val="auto"/>
                <w:kern w:val="0"/>
                <w:sz w:val="21"/>
                <w:szCs w:val="21"/>
                <w:lang w:val="en-US" w:eastAsia="zh-CN" w:bidi="ar-SA"/>
              </w:rPr>
              <w:t>≤</w:t>
            </w:r>
          </w:p>
        </w:tc>
        <w:tc>
          <w:tcPr>
            <w:tcW w:w="3340" w:type="pct"/>
            <w:gridSpan w:val="11"/>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659" w:type="pct"/>
            <w:tcBorders>
              <w:tl2br w:val="nil"/>
              <w:tr2bl w:val="nil"/>
            </w:tcBorders>
            <w:vAlign w:val="center"/>
          </w:tcPr>
          <w:p>
            <w:pPr>
              <w:keepNext w:val="0"/>
              <w:keepLines w:val="0"/>
              <w:widowControl/>
              <w:suppressLineNumbers w:val="0"/>
              <w:ind w:left="2730" w:leftChars="0" w:hanging="2730" w:hangingChars="1300"/>
              <w:jc w:val="left"/>
              <w:rPr>
                <w:rFonts w:hint="eastAsia" w:ascii="宋体" w:hAnsi="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过氧化值(以脂肪计)</w:t>
            </w:r>
            <w:r>
              <w:rPr>
                <w:rFonts w:hint="eastAsia" w:ascii="宋体" w:hAnsi="宋体" w:eastAsia="宋体" w:cs="Times New Roman"/>
                <w:color w:val="auto"/>
                <w:kern w:val="0"/>
                <w:sz w:val="21"/>
                <w:szCs w:val="21"/>
                <w:lang w:val="en-US" w:eastAsia="zh-CN" w:bidi="ar-SA"/>
              </w:rPr>
              <w:t>（</w:t>
            </w:r>
            <w:r>
              <w:rPr>
                <w:rFonts w:hint="eastAsia" w:ascii="宋体" w:hAnsi="宋体" w:cs="Times New Roman"/>
                <w:color w:val="auto"/>
                <w:kern w:val="0"/>
                <w:sz w:val="21"/>
                <w:szCs w:val="21"/>
                <w:lang w:val="en-US" w:eastAsia="zh-CN" w:bidi="ar-SA"/>
              </w:rPr>
              <w:t>g/100g</w:t>
            </w:r>
            <w:r>
              <w:rPr>
                <w:rFonts w:hint="eastAsia" w:ascii="宋体" w:hAnsi="宋体" w:eastAsia="宋体" w:cs="Times New Roman"/>
                <w:color w:val="auto"/>
                <w:kern w:val="0"/>
                <w:sz w:val="21"/>
                <w:szCs w:val="21"/>
                <w:lang w:val="en-US" w:eastAsia="zh-CN" w:bidi="ar-SA"/>
              </w:rPr>
              <w:t>）</w:t>
            </w:r>
            <w:r>
              <w:rPr>
                <w:rFonts w:hint="eastAsia" w:ascii="宋体" w:hAnsi="宋体" w:cs="Times New Roman"/>
                <w:color w:val="auto"/>
                <w:kern w:val="0"/>
                <w:sz w:val="21"/>
                <w:szCs w:val="21"/>
                <w:lang w:val="en-US" w:eastAsia="zh-CN" w:bidi="ar-SA"/>
              </w:rPr>
              <w:t>≤</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0.15</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0.25</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0.15</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0.25</w:t>
            </w:r>
          </w:p>
        </w:tc>
        <w:tc>
          <w:tcPr>
            <w:tcW w:w="418" w:type="pct"/>
            <w:gridSpan w:val="2"/>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0.15</w:t>
            </w:r>
          </w:p>
        </w:tc>
        <w:tc>
          <w:tcPr>
            <w:tcW w:w="417" w:type="pct"/>
            <w:gridSpan w:val="2"/>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0.25</w:t>
            </w:r>
          </w:p>
        </w:tc>
        <w:tc>
          <w:tcPr>
            <w:tcW w:w="417" w:type="pct"/>
            <w:gridSpan w:val="2"/>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0.15</w:t>
            </w:r>
          </w:p>
        </w:tc>
        <w:tc>
          <w:tcPr>
            <w:tcW w:w="417" w:type="pct"/>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12"/>
            <w:tcBorders>
              <w:tl2br w:val="nil"/>
              <w:tr2bl w:val="nil"/>
            </w:tcBorders>
            <w:vAlign w:val="center"/>
          </w:tcPr>
          <w:p>
            <w:pPr>
              <w:pStyle w:val="60"/>
              <w:bidi w:val="0"/>
              <w:rPr>
                <w:rFonts w:hint="default"/>
                <w:color w:val="auto"/>
                <w:lang w:val="en-US" w:eastAsia="zh-CN"/>
              </w:rPr>
            </w:pPr>
            <w:r>
              <w:rPr>
                <w:rFonts w:hint="eastAsia"/>
                <w:color w:val="auto"/>
                <w:lang w:val="en-US" w:eastAsia="zh-CN"/>
              </w:rPr>
              <w:t>酸价和过氧化值指标仅适用于配料中添加油脂的产品</w:t>
            </w:r>
          </w:p>
        </w:tc>
      </w:tr>
    </w:tbl>
    <w:p>
      <w:pPr>
        <w:pStyle w:val="38"/>
        <w:spacing w:before="156" w:after="156"/>
        <w:rPr>
          <w:color w:val="auto"/>
        </w:rPr>
      </w:pPr>
      <w:r>
        <w:rPr>
          <w:rFonts w:hint="eastAsia"/>
          <w:color w:val="auto"/>
        </w:rPr>
        <w:t>污染物限量</w:t>
      </w:r>
    </w:p>
    <w:p>
      <w:pPr>
        <w:pStyle w:val="20"/>
        <w:bidi w:val="0"/>
        <w:rPr>
          <w:rFonts w:hint="eastAsia"/>
          <w:color w:val="auto"/>
        </w:rPr>
      </w:pPr>
      <w:r>
        <w:rPr>
          <w:rFonts w:hint="eastAsia"/>
          <w:color w:val="auto"/>
        </w:rPr>
        <w:t>污染物限量应符合GB 276</w:t>
      </w:r>
      <w:r>
        <w:rPr>
          <w:rFonts w:hint="eastAsia"/>
          <w:color w:val="auto"/>
          <w:lang w:val="en-US" w:eastAsia="zh-CN"/>
        </w:rPr>
        <w:t>2</w:t>
      </w:r>
      <w:r>
        <w:rPr>
          <w:rFonts w:hint="eastAsia"/>
          <w:color w:val="auto"/>
        </w:rPr>
        <w:t>的规定。</w:t>
      </w:r>
    </w:p>
    <w:p>
      <w:pPr>
        <w:pStyle w:val="38"/>
        <w:bidi w:val="0"/>
        <w:rPr>
          <w:color w:val="auto"/>
        </w:rPr>
      </w:pPr>
      <w:r>
        <w:rPr>
          <w:rFonts w:hint="eastAsia"/>
          <w:color w:val="auto"/>
        </w:rPr>
        <w:t>微生物限量</w:t>
      </w:r>
    </w:p>
    <w:p>
      <w:pPr>
        <w:pStyle w:val="59"/>
        <w:bidi w:val="0"/>
        <w:rPr>
          <w:rFonts w:hint="default"/>
          <w:color w:val="auto"/>
          <w:lang w:val="en-US" w:eastAsia="zh-CN"/>
        </w:rPr>
      </w:pPr>
      <w:r>
        <w:rPr>
          <w:rFonts w:hint="eastAsia"/>
          <w:color w:val="auto"/>
          <w:lang w:val="en-US" w:eastAsia="zh-CN"/>
        </w:rPr>
        <w:t>速冻类粽子微生物限量应符合GB 19295的规定。</w:t>
      </w:r>
    </w:p>
    <w:p>
      <w:pPr>
        <w:pStyle w:val="59"/>
        <w:bidi w:val="0"/>
        <w:rPr>
          <w:rFonts w:hint="default"/>
          <w:color w:val="auto"/>
          <w:lang w:val="en-US" w:eastAsia="zh-CN"/>
        </w:rPr>
      </w:pPr>
      <w:r>
        <w:rPr>
          <w:rFonts w:hint="eastAsia"/>
          <w:color w:val="auto"/>
          <w:lang w:val="en-US" w:eastAsia="zh-CN"/>
        </w:rPr>
        <w:t>经商业无菌工艺生产的粽子应符合GB 7098的规定。</w:t>
      </w:r>
    </w:p>
    <w:p>
      <w:pPr>
        <w:pStyle w:val="59"/>
        <w:bidi w:val="0"/>
        <w:rPr>
          <w:rFonts w:hint="default"/>
          <w:color w:val="auto"/>
          <w:lang w:val="en-US" w:eastAsia="zh-CN"/>
        </w:rPr>
      </w:pPr>
      <w:r>
        <w:rPr>
          <w:rFonts w:hint="eastAsia"/>
          <w:color w:val="auto"/>
          <w:lang w:val="en-US" w:eastAsia="zh-CN"/>
        </w:rPr>
        <w:t>其它类粽子微生物限量应符合GB 7099的规定。</w:t>
      </w:r>
    </w:p>
    <w:p>
      <w:pPr>
        <w:pStyle w:val="38"/>
        <w:spacing w:before="156" w:after="156"/>
        <w:rPr>
          <w:rFonts w:hint="default"/>
          <w:color w:val="auto"/>
          <w:lang w:val="en-US" w:eastAsia="zh-CN"/>
        </w:rPr>
      </w:pPr>
      <w:r>
        <w:rPr>
          <w:rFonts w:hint="eastAsia"/>
          <w:color w:val="auto"/>
        </w:rPr>
        <w:t>食品添加剂</w:t>
      </w:r>
      <w:r>
        <w:rPr>
          <w:rFonts w:hint="eastAsia"/>
          <w:color w:val="auto"/>
          <w:lang w:val="en-US" w:eastAsia="zh-CN"/>
        </w:rPr>
        <w:t>与食品营养强化剂限量</w:t>
      </w:r>
    </w:p>
    <w:p>
      <w:pPr>
        <w:pStyle w:val="20"/>
        <w:bidi w:val="0"/>
        <w:rPr>
          <w:rFonts w:hint="default"/>
          <w:color w:val="auto"/>
          <w:lang w:val="en-US" w:eastAsia="zh-CN"/>
        </w:rPr>
      </w:pPr>
      <w:r>
        <w:rPr>
          <w:rFonts w:hint="eastAsia"/>
          <w:color w:val="auto"/>
          <w:lang w:val="en-US" w:eastAsia="zh-CN"/>
        </w:rPr>
        <w:t xml:space="preserve">食品添加剂的使用应符合GB 2760的规定，食品营养强化剂的使用应符合GB 14880的规定。 </w:t>
      </w:r>
    </w:p>
    <w:p>
      <w:pPr>
        <w:pStyle w:val="38"/>
        <w:spacing w:before="156" w:after="156"/>
        <w:rPr>
          <w:color w:val="auto"/>
        </w:rPr>
      </w:pPr>
      <w:r>
        <w:rPr>
          <w:rFonts w:hint="eastAsia"/>
          <w:color w:val="auto"/>
        </w:rPr>
        <w:t>净含量</w:t>
      </w:r>
    </w:p>
    <w:p>
      <w:pPr>
        <w:pStyle w:val="20"/>
        <w:bidi w:val="0"/>
        <w:rPr>
          <w:color w:val="auto"/>
        </w:rPr>
      </w:pPr>
      <w:r>
        <w:rPr>
          <w:rFonts w:hint="eastAsia"/>
          <w:color w:val="auto"/>
          <w:lang w:val="en-US" w:eastAsia="zh-CN"/>
        </w:rPr>
        <w:t>净含量</w:t>
      </w:r>
      <w:r>
        <w:rPr>
          <w:rFonts w:hint="eastAsia"/>
          <w:color w:val="auto"/>
        </w:rPr>
        <w:t>应符合《定量包装商品计量监督管理办法》的有关规定。</w:t>
      </w:r>
    </w:p>
    <w:p>
      <w:pPr>
        <w:pStyle w:val="41"/>
        <w:spacing w:before="312" w:after="312"/>
        <w:rPr>
          <w:color w:val="auto"/>
          <w:szCs w:val="22"/>
        </w:rPr>
      </w:pPr>
      <w:r>
        <w:rPr>
          <w:rFonts w:hint="eastAsia"/>
          <w:color w:val="auto"/>
        </w:rPr>
        <w:t>生产加工过程卫生要求</w:t>
      </w:r>
    </w:p>
    <w:p>
      <w:pPr>
        <w:pStyle w:val="121"/>
        <w:bidi w:val="0"/>
        <w:rPr>
          <w:rFonts w:hint="eastAsia"/>
          <w:color w:val="auto"/>
        </w:rPr>
      </w:pPr>
      <w:r>
        <w:rPr>
          <w:rFonts w:hint="eastAsia"/>
          <w:color w:val="auto"/>
        </w:rPr>
        <w:t>生产加工</w:t>
      </w:r>
      <w:r>
        <w:rPr>
          <w:rFonts w:hint="eastAsia"/>
          <w:color w:val="auto"/>
          <w:lang w:val="en-US" w:eastAsia="zh-CN"/>
        </w:rPr>
        <w:t>过</w:t>
      </w:r>
      <w:r>
        <w:rPr>
          <w:rFonts w:hint="eastAsia"/>
          <w:color w:val="auto"/>
        </w:rPr>
        <w:t>程</w:t>
      </w:r>
      <w:r>
        <w:rPr>
          <w:rFonts w:hint="eastAsia"/>
          <w:color w:val="auto"/>
          <w:lang w:val="en-US" w:eastAsia="zh-CN"/>
        </w:rPr>
        <w:t>卫生要求</w:t>
      </w:r>
      <w:r>
        <w:rPr>
          <w:rFonts w:hint="eastAsia"/>
          <w:color w:val="auto"/>
        </w:rPr>
        <w:t>应符合</w:t>
      </w:r>
      <w:r>
        <w:rPr>
          <w:rFonts w:hint="eastAsia"/>
          <w:color w:val="auto"/>
          <w:lang w:val="en-US" w:eastAsia="zh-CN"/>
        </w:rPr>
        <w:t>GB 8957和DB33/3010</w:t>
      </w:r>
      <w:r>
        <w:rPr>
          <w:rFonts w:hint="eastAsia"/>
          <w:color w:val="auto"/>
        </w:rPr>
        <w:t>的规定。</w:t>
      </w:r>
    </w:p>
    <w:p>
      <w:pPr>
        <w:pStyle w:val="121"/>
        <w:bidi w:val="0"/>
        <w:rPr>
          <w:rFonts w:hint="eastAsia"/>
          <w:color w:val="auto"/>
          <w:lang w:val="en-US" w:eastAsia="zh-CN"/>
        </w:rPr>
      </w:pPr>
      <w:r>
        <w:rPr>
          <w:rFonts w:hint="eastAsia"/>
          <w:color w:val="auto"/>
          <w:lang w:val="en-US" w:eastAsia="zh-CN"/>
        </w:rPr>
        <w:t>速冻类粽子</w:t>
      </w:r>
      <w:r>
        <w:rPr>
          <w:rFonts w:hint="eastAsia"/>
          <w:color w:val="auto"/>
        </w:rPr>
        <w:t>生产加工</w:t>
      </w:r>
      <w:r>
        <w:rPr>
          <w:rFonts w:hint="eastAsia"/>
          <w:color w:val="auto"/>
          <w:lang w:val="en-US" w:eastAsia="zh-CN"/>
        </w:rPr>
        <w:t>过</w:t>
      </w:r>
      <w:r>
        <w:rPr>
          <w:rFonts w:hint="eastAsia"/>
          <w:color w:val="auto"/>
        </w:rPr>
        <w:t>程</w:t>
      </w:r>
      <w:r>
        <w:rPr>
          <w:rFonts w:hint="eastAsia"/>
          <w:color w:val="auto"/>
          <w:lang w:val="en-US" w:eastAsia="zh-CN"/>
        </w:rPr>
        <w:t>卫生要求还</w:t>
      </w:r>
      <w:r>
        <w:rPr>
          <w:rFonts w:hint="eastAsia"/>
          <w:color w:val="auto"/>
        </w:rPr>
        <w:t>应符合</w:t>
      </w:r>
      <w:r>
        <w:rPr>
          <w:rFonts w:hint="eastAsia"/>
          <w:color w:val="auto"/>
          <w:lang w:val="en-US" w:eastAsia="zh-CN"/>
        </w:rPr>
        <w:t>GB 31646的规定。</w:t>
      </w:r>
    </w:p>
    <w:p>
      <w:pPr>
        <w:pStyle w:val="121"/>
        <w:bidi w:val="0"/>
        <w:rPr>
          <w:rFonts w:hint="default"/>
          <w:color w:val="auto"/>
          <w:lang w:val="en-US" w:eastAsia="zh-CN"/>
        </w:rPr>
      </w:pPr>
      <w:r>
        <w:rPr>
          <w:rFonts w:hint="eastAsia"/>
          <w:color w:val="auto"/>
          <w:lang w:val="en-US" w:eastAsia="zh-CN"/>
        </w:rPr>
        <w:t>商业无菌工艺生产的粽子</w:t>
      </w:r>
      <w:r>
        <w:rPr>
          <w:rFonts w:hint="eastAsia"/>
          <w:color w:val="auto"/>
        </w:rPr>
        <w:t>生产加工</w:t>
      </w:r>
      <w:r>
        <w:rPr>
          <w:rFonts w:hint="eastAsia"/>
          <w:color w:val="auto"/>
          <w:lang w:val="en-US" w:eastAsia="zh-CN"/>
        </w:rPr>
        <w:t>过</w:t>
      </w:r>
      <w:r>
        <w:rPr>
          <w:rFonts w:hint="eastAsia"/>
          <w:color w:val="auto"/>
        </w:rPr>
        <w:t>程</w:t>
      </w:r>
      <w:r>
        <w:rPr>
          <w:rFonts w:hint="eastAsia"/>
          <w:color w:val="auto"/>
          <w:lang w:val="en-US" w:eastAsia="zh-CN"/>
        </w:rPr>
        <w:t>卫生要求还</w:t>
      </w:r>
      <w:r>
        <w:rPr>
          <w:rFonts w:hint="eastAsia"/>
          <w:color w:val="auto"/>
        </w:rPr>
        <w:t>应符合</w:t>
      </w:r>
      <w:r>
        <w:rPr>
          <w:rFonts w:hint="eastAsia"/>
          <w:color w:val="auto"/>
          <w:lang w:val="en-US" w:eastAsia="zh-CN"/>
        </w:rPr>
        <w:t>GB 8950的规定。</w:t>
      </w:r>
    </w:p>
    <w:p>
      <w:pPr>
        <w:pStyle w:val="41"/>
        <w:spacing w:before="312" w:after="312"/>
        <w:rPr>
          <w:color w:val="auto"/>
          <w:sz w:val="20"/>
        </w:rPr>
      </w:pPr>
      <w:r>
        <w:rPr>
          <w:rFonts w:hint="eastAsia"/>
          <w:color w:val="auto"/>
          <w:lang w:val="en-US" w:eastAsia="zh-CN"/>
        </w:rPr>
        <w:t>试验</w:t>
      </w:r>
      <w:r>
        <w:rPr>
          <w:rFonts w:hint="eastAsia"/>
          <w:color w:val="auto"/>
        </w:rPr>
        <w:t>方法</w:t>
      </w:r>
    </w:p>
    <w:p>
      <w:pPr>
        <w:pStyle w:val="38"/>
        <w:spacing w:before="156" w:after="156"/>
        <w:rPr>
          <w:color w:val="auto"/>
        </w:rPr>
      </w:pPr>
      <w:r>
        <w:rPr>
          <w:rFonts w:hint="eastAsia"/>
          <w:color w:val="auto"/>
        </w:rPr>
        <w:t>感官</w:t>
      </w:r>
      <w:r>
        <w:rPr>
          <w:rFonts w:hint="eastAsia"/>
          <w:color w:val="auto"/>
          <w:lang w:val="en-US" w:eastAsia="zh-CN"/>
        </w:rPr>
        <w:t>要求</w:t>
      </w:r>
    </w:p>
    <w:p>
      <w:pPr>
        <w:pStyle w:val="20"/>
        <w:bidi w:val="0"/>
        <w:rPr>
          <w:color w:val="auto"/>
        </w:rPr>
      </w:pPr>
      <w:r>
        <w:rPr>
          <w:rFonts w:hint="eastAsia"/>
          <w:color w:val="auto"/>
          <w:lang w:val="en-US" w:eastAsia="zh-CN"/>
        </w:rPr>
        <w:t>取以销售包装计的样品一件，先目测表面形态，再按包装上标明的食用方法进行复热后剥去粽叶将</w:t>
      </w:r>
      <w:r>
        <w:rPr>
          <w:rFonts w:hint="default"/>
          <w:color w:val="auto"/>
          <w:lang w:val="en-US" w:eastAsia="zh-CN"/>
        </w:rPr>
        <w:t>粽子置于清洁的白瓷盘中，</w:t>
      </w:r>
      <w:r>
        <w:rPr>
          <w:rFonts w:hint="eastAsia"/>
          <w:color w:val="auto"/>
          <w:lang w:val="en-US" w:eastAsia="zh-CN"/>
        </w:rPr>
        <w:t>在自然光下观察</w:t>
      </w:r>
      <w:r>
        <w:rPr>
          <w:rFonts w:hint="default"/>
          <w:color w:val="auto"/>
          <w:lang w:val="en-US" w:eastAsia="zh-CN"/>
        </w:rPr>
        <w:t>色泽及表面杂质，然后以餐刀剖开分别用目测、鼻嗅和口尝检查其组织形态、气味与滋味。</w:t>
      </w:r>
    </w:p>
    <w:p>
      <w:pPr>
        <w:pStyle w:val="38"/>
        <w:spacing w:before="156" w:after="156"/>
        <w:rPr>
          <w:color w:val="auto"/>
        </w:rPr>
      </w:pPr>
      <w:r>
        <w:rPr>
          <w:rFonts w:hint="eastAsia"/>
          <w:color w:val="auto"/>
        </w:rPr>
        <w:t>理化指标</w:t>
      </w:r>
    </w:p>
    <w:p>
      <w:pPr>
        <w:pStyle w:val="42"/>
        <w:spacing w:before="156" w:after="156"/>
        <w:rPr>
          <w:rFonts w:hint="eastAsia"/>
          <w:color w:val="auto"/>
          <w:szCs w:val="22"/>
          <w:lang w:val="en-US" w:eastAsia="zh-CN"/>
        </w:rPr>
      </w:pPr>
      <w:r>
        <w:rPr>
          <w:rFonts w:hint="eastAsia"/>
          <w:color w:val="auto"/>
          <w:lang w:val="en-US" w:eastAsia="zh-CN"/>
        </w:rPr>
        <w:t xml:space="preserve">馅料含量  </w:t>
      </w:r>
    </w:p>
    <w:p>
      <w:pPr>
        <w:pStyle w:val="20"/>
        <w:bidi w:val="0"/>
        <w:rPr>
          <w:rFonts w:hint="eastAsia"/>
          <w:color w:val="auto"/>
          <w:lang w:val="en-US" w:eastAsia="zh-CN"/>
        </w:rPr>
      </w:pPr>
      <w:r>
        <w:rPr>
          <w:rFonts w:hint="eastAsia"/>
          <w:color w:val="auto"/>
          <w:lang w:val="en-US" w:eastAsia="zh-CN"/>
        </w:rPr>
        <w:t>按GB/T 23780中馅料含量的检验方法测定，称量时肉馅类粽子只称取肉类。</w:t>
      </w:r>
    </w:p>
    <w:p>
      <w:pPr>
        <w:pStyle w:val="42"/>
        <w:spacing w:before="156" w:after="156"/>
        <w:rPr>
          <w:rFonts w:hint="eastAsia"/>
          <w:color w:val="auto"/>
          <w:lang w:val="en-US" w:eastAsia="zh-CN"/>
        </w:rPr>
      </w:pPr>
      <w:r>
        <w:rPr>
          <w:rFonts w:hint="eastAsia"/>
          <w:color w:val="auto"/>
          <w:lang w:val="en-US" w:eastAsia="zh-CN"/>
        </w:rPr>
        <w:t>水分</w:t>
      </w:r>
    </w:p>
    <w:p>
      <w:pPr>
        <w:pStyle w:val="20"/>
        <w:rPr>
          <w:rFonts w:hint="eastAsia"/>
          <w:color w:val="auto"/>
          <w:lang w:val="en-US" w:eastAsia="zh-CN"/>
        </w:rPr>
      </w:pPr>
      <w:r>
        <w:rPr>
          <w:rFonts w:hint="eastAsia"/>
          <w:color w:val="auto"/>
          <w:lang w:val="en-US" w:eastAsia="zh-CN"/>
        </w:rPr>
        <w:t>按GB 5009.3 规定的方法测定。</w:t>
      </w:r>
    </w:p>
    <w:p>
      <w:pPr>
        <w:pStyle w:val="42"/>
        <w:spacing w:before="156" w:after="156"/>
        <w:rPr>
          <w:rFonts w:hint="eastAsia"/>
          <w:color w:val="auto"/>
          <w:lang w:val="en-US" w:eastAsia="zh-CN"/>
        </w:rPr>
      </w:pPr>
      <w:r>
        <w:rPr>
          <w:rFonts w:hint="eastAsia"/>
          <w:color w:val="auto"/>
          <w:lang w:val="en-US" w:eastAsia="zh-CN"/>
        </w:rPr>
        <w:t>蛋白质</w:t>
      </w:r>
    </w:p>
    <w:p>
      <w:pPr>
        <w:pStyle w:val="20"/>
        <w:rPr>
          <w:rFonts w:hint="eastAsia"/>
          <w:color w:val="auto"/>
          <w:lang w:val="en-US" w:eastAsia="zh-CN"/>
        </w:rPr>
      </w:pPr>
      <w:r>
        <w:rPr>
          <w:rFonts w:hint="eastAsia"/>
          <w:color w:val="auto"/>
          <w:lang w:val="en-US" w:eastAsia="zh-CN"/>
        </w:rPr>
        <w:t>按GB 5009.5 规定的方法测定。</w:t>
      </w:r>
    </w:p>
    <w:p>
      <w:pPr>
        <w:pStyle w:val="42"/>
        <w:spacing w:before="156" w:after="156"/>
        <w:rPr>
          <w:rFonts w:hint="eastAsia"/>
          <w:color w:val="auto"/>
          <w:lang w:val="en-US" w:eastAsia="zh-CN"/>
        </w:rPr>
      </w:pPr>
      <w:r>
        <w:rPr>
          <w:rFonts w:hint="eastAsia"/>
          <w:color w:val="auto"/>
          <w:lang w:val="en-US" w:eastAsia="zh-CN"/>
        </w:rPr>
        <w:t>脂肪</w:t>
      </w:r>
    </w:p>
    <w:p>
      <w:pPr>
        <w:pStyle w:val="20"/>
        <w:rPr>
          <w:rFonts w:hint="default"/>
          <w:color w:val="auto"/>
          <w:lang w:val="en-US" w:eastAsia="zh-CN"/>
        </w:rPr>
      </w:pPr>
      <w:r>
        <w:rPr>
          <w:rFonts w:hint="default"/>
          <w:color w:val="auto"/>
          <w:lang w:val="en-US" w:eastAsia="zh-CN"/>
        </w:rPr>
        <w:t>按GB 5009.6</w:t>
      </w:r>
      <w:r>
        <w:rPr>
          <w:rFonts w:hint="eastAsia"/>
          <w:color w:val="auto"/>
          <w:lang w:val="en-US" w:eastAsia="zh-CN"/>
        </w:rPr>
        <w:t xml:space="preserve"> 规定的方法测定。</w:t>
      </w:r>
    </w:p>
    <w:p>
      <w:pPr>
        <w:pStyle w:val="42"/>
        <w:spacing w:before="156" w:after="156"/>
        <w:rPr>
          <w:rFonts w:hint="eastAsia"/>
          <w:color w:val="auto"/>
          <w:lang w:val="en-US" w:eastAsia="zh-CN"/>
        </w:rPr>
      </w:pPr>
      <w:r>
        <w:rPr>
          <w:rFonts w:hint="eastAsia"/>
          <w:color w:val="auto"/>
          <w:lang w:val="en-US" w:eastAsia="zh-CN"/>
        </w:rPr>
        <w:t>酸价</w:t>
      </w:r>
    </w:p>
    <w:p>
      <w:pPr>
        <w:pStyle w:val="20"/>
        <w:rPr>
          <w:rFonts w:hint="default"/>
          <w:color w:val="auto"/>
          <w:lang w:val="en-US" w:eastAsia="zh-CN"/>
        </w:rPr>
      </w:pPr>
      <w:r>
        <w:rPr>
          <w:rFonts w:hint="eastAsia"/>
          <w:color w:val="auto"/>
          <w:lang w:val="en-US" w:eastAsia="zh-CN"/>
        </w:rPr>
        <w:t>按GB 5009.229 规定的方法测定。</w:t>
      </w:r>
    </w:p>
    <w:p>
      <w:pPr>
        <w:pStyle w:val="42"/>
        <w:spacing w:before="156" w:after="156"/>
        <w:rPr>
          <w:rFonts w:hint="eastAsia"/>
          <w:color w:val="auto"/>
          <w:lang w:val="en-US" w:eastAsia="zh-CN"/>
        </w:rPr>
      </w:pPr>
      <w:r>
        <w:rPr>
          <w:rFonts w:hint="eastAsia"/>
          <w:color w:val="auto"/>
          <w:lang w:val="en-US" w:eastAsia="zh-CN"/>
        </w:rPr>
        <w:t>过氧化值</w:t>
      </w:r>
    </w:p>
    <w:p>
      <w:pPr>
        <w:pStyle w:val="20"/>
        <w:rPr>
          <w:rFonts w:hint="eastAsia"/>
          <w:color w:val="auto"/>
          <w:lang w:val="en-US" w:eastAsia="zh-CN"/>
        </w:rPr>
      </w:pPr>
      <w:r>
        <w:rPr>
          <w:rFonts w:hint="eastAsia"/>
          <w:color w:val="auto"/>
          <w:lang w:val="en-US" w:eastAsia="zh-CN"/>
        </w:rPr>
        <w:t>按GB 5009.227 规定的方法测定。</w:t>
      </w:r>
    </w:p>
    <w:p>
      <w:pPr>
        <w:pStyle w:val="38"/>
        <w:spacing w:before="156" w:after="156"/>
        <w:rPr>
          <w:rFonts w:hint="eastAsia"/>
          <w:color w:val="auto"/>
        </w:rPr>
      </w:pPr>
      <w:r>
        <w:rPr>
          <w:rFonts w:hint="eastAsia"/>
          <w:color w:val="auto"/>
        </w:rPr>
        <w:t>微生物</w:t>
      </w:r>
      <w:r>
        <w:rPr>
          <w:rFonts w:hint="eastAsia"/>
          <w:color w:val="auto"/>
          <w:lang w:val="en-US" w:eastAsia="zh-CN"/>
        </w:rPr>
        <w:t>限量</w:t>
      </w:r>
    </w:p>
    <w:p>
      <w:pPr>
        <w:pStyle w:val="42"/>
        <w:spacing w:before="156" w:after="156"/>
        <w:rPr>
          <w:color w:val="auto"/>
        </w:rPr>
      </w:pPr>
      <w:r>
        <w:rPr>
          <w:rFonts w:hint="eastAsia"/>
          <w:color w:val="auto"/>
        </w:rPr>
        <w:t>菌落总数</w:t>
      </w:r>
    </w:p>
    <w:p>
      <w:pPr>
        <w:pStyle w:val="20"/>
        <w:bidi w:val="0"/>
        <w:rPr>
          <w:color w:val="auto"/>
        </w:rPr>
      </w:pPr>
      <w:r>
        <w:rPr>
          <w:rFonts w:hint="eastAsia"/>
          <w:color w:val="auto"/>
        </w:rPr>
        <w:t>按GB 47</w:t>
      </w:r>
      <w:r>
        <w:rPr>
          <w:rFonts w:hint="eastAsia"/>
          <w:color w:val="auto"/>
          <w:lang w:val="en-US" w:eastAsia="zh-CN"/>
        </w:rPr>
        <w:t>89.</w:t>
      </w:r>
      <w:r>
        <w:rPr>
          <w:rFonts w:hint="eastAsia"/>
          <w:color w:val="auto"/>
        </w:rPr>
        <w:t>2 规定的方法</w:t>
      </w:r>
      <w:r>
        <w:rPr>
          <w:rFonts w:hint="eastAsia"/>
          <w:color w:val="auto"/>
          <w:lang w:val="en-US" w:eastAsia="zh-CN"/>
        </w:rPr>
        <w:t>测定</w:t>
      </w:r>
      <w:r>
        <w:rPr>
          <w:rFonts w:hint="eastAsia"/>
          <w:color w:val="auto"/>
        </w:rPr>
        <w:t>。</w:t>
      </w:r>
    </w:p>
    <w:p>
      <w:pPr>
        <w:pStyle w:val="42"/>
        <w:spacing w:before="156" w:after="156"/>
        <w:rPr>
          <w:color w:val="auto"/>
        </w:rPr>
      </w:pPr>
      <w:r>
        <w:rPr>
          <w:rFonts w:hint="eastAsia"/>
          <w:color w:val="auto"/>
        </w:rPr>
        <w:t>大肠菌群</w:t>
      </w:r>
    </w:p>
    <w:p>
      <w:pPr>
        <w:pStyle w:val="20"/>
        <w:bidi w:val="0"/>
        <w:rPr>
          <w:rFonts w:hint="eastAsia"/>
          <w:color w:val="auto"/>
        </w:rPr>
      </w:pPr>
      <w:r>
        <w:rPr>
          <w:rFonts w:hint="eastAsia"/>
          <w:color w:val="auto"/>
        </w:rPr>
        <w:t>按GB 4789.3 规定的</w:t>
      </w:r>
      <w:r>
        <w:rPr>
          <w:rFonts w:hint="eastAsia"/>
          <w:color w:val="auto"/>
          <w:lang w:val="en-US" w:eastAsia="zh-CN"/>
        </w:rPr>
        <w:t>平板计数法测定</w:t>
      </w:r>
      <w:r>
        <w:rPr>
          <w:rFonts w:hint="eastAsia"/>
          <w:color w:val="auto"/>
        </w:rPr>
        <w:t>。</w:t>
      </w:r>
    </w:p>
    <w:p>
      <w:pPr>
        <w:pStyle w:val="42"/>
        <w:spacing w:before="156" w:after="156"/>
        <w:rPr>
          <w:rFonts w:hint="default"/>
          <w:color w:val="auto"/>
          <w:lang w:val="en-US" w:eastAsia="zh-CN"/>
        </w:rPr>
      </w:pPr>
      <w:r>
        <w:rPr>
          <w:rFonts w:hint="eastAsia"/>
          <w:color w:val="auto"/>
          <w:lang w:val="en-US" w:eastAsia="zh-CN"/>
        </w:rPr>
        <w:t>商业无菌</w:t>
      </w:r>
    </w:p>
    <w:p>
      <w:pPr>
        <w:pStyle w:val="20"/>
        <w:bidi w:val="0"/>
        <w:rPr>
          <w:rFonts w:hint="eastAsia"/>
          <w:color w:val="auto"/>
        </w:rPr>
      </w:pPr>
      <w:r>
        <w:rPr>
          <w:rFonts w:hint="eastAsia"/>
          <w:color w:val="auto"/>
        </w:rPr>
        <w:t>按GB 4789.26</w:t>
      </w:r>
      <w:r>
        <w:rPr>
          <w:rFonts w:hint="eastAsia"/>
          <w:color w:val="auto"/>
          <w:lang w:val="en-US" w:eastAsia="zh-CN"/>
        </w:rPr>
        <w:t xml:space="preserve"> </w:t>
      </w:r>
      <w:r>
        <w:rPr>
          <w:rFonts w:hint="eastAsia"/>
          <w:color w:val="auto"/>
        </w:rPr>
        <w:t>规定的方法</w:t>
      </w:r>
      <w:r>
        <w:rPr>
          <w:rFonts w:hint="eastAsia"/>
          <w:color w:val="auto"/>
          <w:lang w:val="en-US" w:eastAsia="zh-CN"/>
        </w:rPr>
        <w:t>测定</w:t>
      </w:r>
      <w:r>
        <w:rPr>
          <w:rFonts w:hint="eastAsia"/>
          <w:color w:val="auto"/>
        </w:rPr>
        <w:t>。</w:t>
      </w:r>
    </w:p>
    <w:p>
      <w:pPr>
        <w:pStyle w:val="38"/>
        <w:spacing w:before="156" w:after="156"/>
        <w:rPr>
          <w:rFonts w:hint="eastAsia"/>
          <w:color w:val="auto"/>
          <w:lang w:val="en-US" w:eastAsia="zh-CN"/>
        </w:rPr>
      </w:pPr>
      <w:r>
        <w:rPr>
          <w:rFonts w:hint="eastAsia"/>
          <w:color w:val="auto"/>
          <w:lang w:val="en-US" w:eastAsia="zh-CN"/>
        </w:rPr>
        <w:t>净含量</w:t>
      </w:r>
    </w:p>
    <w:p>
      <w:pPr>
        <w:pStyle w:val="20"/>
        <w:bidi w:val="0"/>
        <w:rPr>
          <w:rFonts w:hint="eastAsia"/>
          <w:color w:val="auto"/>
          <w:lang w:val="en-US" w:eastAsia="zh-CN"/>
        </w:rPr>
      </w:pPr>
      <w:r>
        <w:rPr>
          <w:rFonts w:hint="eastAsia"/>
          <w:color w:val="auto"/>
        </w:rPr>
        <w:t>按JJF 1070</w:t>
      </w:r>
      <w:r>
        <w:rPr>
          <w:rFonts w:hint="eastAsia"/>
          <w:color w:val="auto"/>
          <w:lang w:val="en-US" w:eastAsia="zh-CN"/>
        </w:rPr>
        <w:t xml:space="preserve"> </w:t>
      </w:r>
      <w:r>
        <w:rPr>
          <w:rFonts w:hint="eastAsia"/>
          <w:color w:val="auto"/>
        </w:rPr>
        <w:t>规定的方法</w:t>
      </w:r>
      <w:r>
        <w:rPr>
          <w:rFonts w:hint="eastAsia"/>
          <w:color w:val="auto"/>
          <w:lang w:val="en-US" w:eastAsia="zh-CN"/>
        </w:rPr>
        <w:t>测定</w:t>
      </w:r>
      <w:r>
        <w:rPr>
          <w:rFonts w:hint="eastAsia"/>
          <w:color w:val="auto"/>
        </w:rPr>
        <w:t>。</w:t>
      </w:r>
    </w:p>
    <w:p>
      <w:pPr>
        <w:pStyle w:val="41"/>
        <w:spacing w:before="312" w:after="312"/>
        <w:rPr>
          <w:color w:val="auto"/>
          <w:szCs w:val="22"/>
        </w:rPr>
      </w:pPr>
      <w:r>
        <w:rPr>
          <w:rFonts w:hint="eastAsia"/>
          <w:color w:val="auto"/>
          <w:szCs w:val="22"/>
        </w:rPr>
        <w:t>检验规则</w:t>
      </w:r>
    </w:p>
    <w:p>
      <w:pPr>
        <w:pStyle w:val="38"/>
        <w:spacing w:before="156" w:after="156"/>
        <w:rPr>
          <w:color w:val="auto"/>
        </w:rPr>
      </w:pPr>
      <w:r>
        <w:rPr>
          <w:rFonts w:hint="eastAsia"/>
          <w:color w:val="auto"/>
        </w:rPr>
        <w:t>组批</w:t>
      </w:r>
    </w:p>
    <w:p>
      <w:pPr>
        <w:pStyle w:val="20"/>
        <w:bidi w:val="0"/>
        <w:rPr>
          <w:color w:val="auto"/>
        </w:rPr>
      </w:pPr>
      <w:r>
        <w:rPr>
          <w:rFonts w:hint="eastAsia"/>
          <w:color w:val="auto"/>
        </w:rPr>
        <w:t>同一班次、同一品种和相同工艺的产品为一批。</w:t>
      </w:r>
    </w:p>
    <w:p>
      <w:pPr>
        <w:pStyle w:val="38"/>
        <w:spacing w:before="156" w:after="156"/>
        <w:rPr>
          <w:color w:val="auto"/>
        </w:rPr>
      </w:pPr>
      <w:r>
        <w:rPr>
          <w:rFonts w:hint="eastAsia"/>
          <w:color w:val="auto"/>
        </w:rPr>
        <w:t>抽样</w:t>
      </w:r>
    </w:p>
    <w:p>
      <w:pPr>
        <w:pStyle w:val="59"/>
        <w:bidi w:val="0"/>
        <w:rPr>
          <w:rFonts w:hint="eastAsia"/>
          <w:color w:val="auto"/>
        </w:rPr>
      </w:pPr>
      <w:r>
        <w:rPr>
          <w:rFonts w:hint="eastAsia"/>
          <w:color w:val="auto"/>
        </w:rPr>
        <w:t>在成品库内抽样，抽样单位以</w:t>
      </w:r>
      <w:r>
        <w:rPr>
          <w:rFonts w:hint="eastAsia"/>
          <w:color w:val="auto"/>
          <w:lang w:val="en-US" w:eastAsia="zh-CN"/>
        </w:rPr>
        <w:t>只（个）</w:t>
      </w:r>
      <w:r>
        <w:rPr>
          <w:rFonts w:hint="eastAsia"/>
          <w:color w:val="auto"/>
        </w:rPr>
        <w:t>计。</w:t>
      </w:r>
    </w:p>
    <w:p>
      <w:pPr>
        <w:pStyle w:val="59"/>
        <w:bidi w:val="0"/>
        <w:rPr>
          <w:rFonts w:hint="eastAsia"/>
          <w:color w:val="auto"/>
        </w:rPr>
      </w:pPr>
      <w:r>
        <w:rPr>
          <w:rFonts w:hint="eastAsia"/>
          <w:color w:val="auto"/>
        </w:rPr>
        <w:t>抽样基数不得少于2</w:t>
      </w:r>
      <w:r>
        <w:rPr>
          <w:rFonts w:hint="eastAsia"/>
          <w:color w:val="auto"/>
          <w:lang w:val="en-US" w:eastAsia="zh-CN"/>
        </w:rPr>
        <w:t>5</w:t>
      </w:r>
      <w:r>
        <w:rPr>
          <w:rFonts w:hint="eastAsia"/>
          <w:color w:val="auto"/>
        </w:rPr>
        <w:t>kg，抽样数量为2kg（不少于12个独立包装）</w:t>
      </w:r>
      <w:r>
        <w:rPr>
          <w:rFonts w:hint="eastAsia"/>
          <w:color w:val="auto"/>
          <w:lang w:eastAsia="zh-CN"/>
        </w:rPr>
        <w:t>，</w:t>
      </w:r>
      <w:r>
        <w:rPr>
          <w:rFonts w:hint="eastAsia"/>
          <w:color w:val="auto"/>
          <w:lang w:val="en-US" w:eastAsia="zh-CN"/>
        </w:rPr>
        <w:t>数量满足检验和备样的需要</w:t>
      </w:r>
      <w:r>
        <w:rPr>
          <w:rFonts w:hint="eastAsia"/>
          <w:color w:val="auto"/>
        </w:rPr>
        <w:t>,分为2份，1份检验，1份备查</w:t>
      </w:r>
      <w:r>
        <w:rPr>
          <w:rFonts w:hint="eastAsia"/>
          <w:color w:val="auto"/>
          <w:lang w:val="en-US" w:eastAsia="zh-CN"/>
        </w:rPr>
        <w:t>。</w:t>
      </w:r>
    </w:p>
    <w:p>
      <w:pPr>
        <w:pStyle w:val="38"/>
        <w:spacing w:before="156" w:after="156"/>
        <w:rPr>
          <w:color w:val="auto"/>
        </w:rPr>
      </w:pPr>
      <w:r>
        <w:rPr>
          <w:rFonts w:hint="eastAsia"/>
          <w:color w:val="auto"/>
        </w:rPr>
        <w:t>出厂检验</w:t>
      </w:r>
    </w:p>
    <w:p>
      <w:pPr>
        <w:pStyle w:val="59"/>
        <w:bidi w:val="0"/>
        <w:rPr>
          <w:color w:val="auto"/>
        </w:rPr>
      </w:pPr>
      <w:r>
        <w:rPr>
          <w:rFonts w:hint="eastAsia"/>
          <w:color w:val="auto"/>
          <w:lang w:val="en-US" w:eastAsia="zh-CN"/>
        </w:rPr>
        <w:t>速冻类粽子</w:t>
      </w:r>
      <w:r>
        <w:rPr>
          <w:rFonts w:hint="eastAsia"/>
          <w:color w:val="auto"/>
        </w:rPr>
        <w:t>出厂检验</w:t>
      </w:r>
      <w:r>
        <w:rPr>
          <w:rFonts w:hint="eastAsia"/>
          <w:color w:val="auto"/>
          <w:lang w:val="en-US" w:eastAsia="zh-CN"/>
        </w:rPr>
        <w:t>项目</w:t>
      </w:r>
      <w:r>
        <w:rPr>
          <w:rFonts w:hint="eastAsia"/>
          <w:color w:val="auto"/>
        </w:rPr>
        <w:t>包括</w:t>
      </w:r>
      <w:r>
        <w:rPr>
          <w:rFonts w:hint="eastAsia"/>
          <w:color w:val="auto"/>
          <w:lang w:val="en-US" w:eastAsia="zh-CN"/>
        </w:rPr>
        <w:t>:</w:t>
      </w:r>
      <w:r>
        <w:rPr>
          <w:rFonts w:hint="eastAsia"/>
          <w:color w:val="auto"/>
        </w:rPr>
        <w:t>感官</w:t>
      </w:r>
      <w:r>
        <w:rPr>
          <w:rFonts w:hint="eastAsia"/>
          <w:color w:val="auto"/>
          <w:lang w:val="en-US" w:eastAsia="zh-CN"/>
        </w:rPr>
        <w:t>要求</w:t>
      </w:r>
      <w:r>
        <w:rPr>
          <w:rFonts w:hint="eastAsia"/>
          <w:color w:val="auto"/>
          <w:lang w:eastAsia="zh-CN"/>
        </w:rPr>
        <w:t>、</w:t>
      </w:r>
      <w:r>
        <w:rPr>
          <w:rFonts w:hint="eastAsia"/>
          <w:color w:val="auto"/>
        </w:rPr>
        <w:t>净含量</w:t>
      </w:r>
      <w:r>
        <w:rPr>
          <w:rFonts w:hint="eastAsia"/>
          <w:color w:val="auto"/>
          <w:lang w:eastAsia="zh-CN"/>
        </w:rPr>
        <w:t>、</w:t>
      </w:r>
      <w:r>
        <w:rPr>
          <w:rFonts w:hint="eastAsia"/>
          <w:color w:val="auto"/>
          <w:lang w:val="en-US" w:eastAsia="zh-CN"/>
        </w:rPr>
        <w:t>馅料含量、</w:t>
      </w:r>
      <w:r>
        <w:rPr>
          <w:rFonts w:hint="eastAsia"/>
          <w:color w:val="auto"/>
        </w:rPr>
        <w:t>菌落总数</w:t>
      </w:r>
      <w:r>
        <w:rPr>
          <w:rFonts w:hint="eastAsia"/>
          <w:color w:val="auto"/>
          <w:lang w:val="en-US" w:eastAsia="zh-CN"/>
        </w:rPr>
        <w:t>和</w:t>
      </w:r>
      <w:r>
        <w:rPr>
          <w:rFonts w:hint="eastAsia"/>
          <w:color w:val="auto"/>
        </w:rPr>
        <w:t>大肠菌群</w:t>
      </w:r>
      <w:r>
        <w:rPr>
          <w:rFonts w:hint="eastAsia"/>
          <w:color w:val="auto"/>
          <w:lang w:eastAsia="zh-CN"/>
        </w:rPr>
        <w:t>。</w:t>
      </w:r>
    </w:p>
    <w:p>
      <w:pPr>
        <w:pStyle w:val="59"/>
        <w:bidi w:val="0"/>
        <w:rPr>
          <w:color w:val="auto"/>
        </w:rPr>
      </w:pPr>
      <w:r>
        <w:rPr>
          <w:rFonts w:hint="eastAsia"/>
          <w:color w:val="auto"/>
          <w:lang w:val="en-US" w:eastAsia="zh-CN"/>
        </w:rPr>
        <w:t>经商业无菌工艺生产的食品</w:t>
      </w:r>
      <w:r>
        <w:rPr>
          <w:rFonts w:hint="eastAsia"/>
          <w:color w:val="auto"/>
        </w:rPr>
        <w:t>出厂检验</w:t>
      </w:r>
      <w:r>
        <w:rPr>
          <w:rFonts w:hint="eastAsia"/>
          <w:color w:val="auto"/>
          <w:lang w:val="en-US" w:eastAsia="zh-CN"/>
        </w:rPr>
        <w:t>项目</w:t>
      </w:r>
      <w:r>
        <w:rPr>
          <w:rFonts w:hint="eastAsia"/>
          <w:color w:val="auto"/>
        </w:rPr>
        <w:t>包括出厂检验</w:t>
      </w:r>
      <w:r>
        <w:rPr>
          <w:rFonts w:hint="eastAsia"/>
          <w:color w:val="auto"/>
          <w:lang w:val="en-US" w:eastAsia="zh-CN"/>
        </w:rPr>
        <w:t>项目</w:t>
      </w:r>
      <w:r>
        <w:rPr>
          <w:rFonts w:hint="eastAsia"/>
          <w:color w:val="auto"/>
        </w:rPr>
        <w:t>包括</w:t>
      </w:r>
      <w:r>
        <w:rPr>
          <w:rFonts w:hint="eastAsia"/>
          <w:color w:val="auto"/>
          <w:lang w:eastAsia="zh-CN"/>
        </w:rPr>
        <w:t>：</w:t>
      </w:r>
      <w:r>
        <w:rPr>
          <w:rFonts w:hint="eastAsia"/>
          <w:color w:val="auto"/>
        </w:rPr>
        <w:t>感官</w:t>
      </w:r>
      <w:r>
        <w:rPr>
          <w:rFonts w:hint="eastAsia"/>
          <w:color w:val="auto"/>
          <w:lang w:val="en-US" w:eastAsia="zh-CN"/>
        </w:rPr>
        <w:t>要求</w:t>
      </w:r>
      <w:r>
        <w:rPr>
          <w:rFonts w:hint="eastAsia"/>
          <w:color w:val="auto"/>
          <w:lang w:eastAsia="zh-CN"/>
        </w:rPr>
        <w:t>、</w:t>
      </w:r>
      <w:r>
        <w:rPr>
          <w:rFonts w:hint="eastAsia"/>
          <w:color w:val="auto"/>
        </w:rPr>
        <w:t>净含量</w:t>
      </w:r>
      <w:r>
        <w:rPr>
          <w:rFonts w:hint="eastAsia"/>
          <w:color w:val="auto"/>
          <w:lang w:eastAsia="zh-CN"/>
        </w:rPr>
        <w:t>、</w:t>
      </w:r>
      <w:r>
        <w:rPr>
          <w:rFonts w:hint="eastAsia"/>
          <w:color w:val="auto"/>
          <w:lang w:val="en-US" w:eastAsia="zh-CN"/>
        </w:rPr>
        <w:t>馅料含量和商业无菌。</w:t>
      </w:r>
    </w:p>
    <w:p>
      <w:pPr>
        <w:pStyle w:val="59"/>
        <w:bidi w:val="0"/>
        <w:rPr>
          <w:color w:val="auto"/>
        </w:rPr>
      </w:pPr>
      <w:r>
        <w:rPr>
          <w:rFonts w:hint="eastAsia"/>
          <w:color w:val="auto"/>
          <w:lang w:val="en-US" w:eastAsia="zh-CN"/>
        </w:rPr>
        <w:t>其它类粽子</w:t>
      </w:r>
      <w:r>
        <w:rPr>
          <w:rFonts w:hint="eastAsia"/>
          <w:color w:val="auto"/>
        </w:rPr>
        <w:t>出厂检验</w:t>
      </w:r>
      <w:r>
        <w:rPr>
          <w:rFonts w:hint="eastAsia"/>
          <w:color w:val="auto"/>
          <w:lang w:val="en-US" w:eastAsia="zh-CN"/>
        </w:rPr>
        <w:t>项目</w:t>
      </w:r>
      <w:r>
        <w:rPr>
          <w:rFonts w:hint="eastAsia"/>
          <w:color w:val="auto"/>
        </w:rPr>
        <w:t>包括</w:t>
      </w:r>
      <w:r>
        <w:rPr>
          <w:rFonts w:hint="eastAsia"/>
          <w:color w:val="auto"/>
          <w:lang w:val="en-US" w:eastAsia="zh-CN"/>
        </w:rPr>
        <w:t>:</w:t>
      </w:r>
      <w:r>
        <w:rPr>
          <w:rFonts w:hint="eastAsia"/>
          <w:color w:val="auto"/>
        </w:rPr>
        <w:t>感官</w:t>
      </w:r>
      <w:r>
        <w:rPr>
          <w:rFonts w:hint="eastAsia"/>
          <w:color w:val="auto"/>
          <w:lang w:val="en-US" w:eastAsia="zh-CN"/>
        </w:rPr>
        <w:t>要求</w:t>
      </w:r>
      <w:r>
        <w:rPr>
          <w:rFonts w:hint="eastAsia"/>
          <w:color w:val="auto"/>
          <w:lang w:eastAsia="zh-CN"/>
        </w:rPr>
        <w:t>、</w:t>
      </w:r>
      <w:r>
        <w:rPr>
          <w:rFonts w:hint="eastAsia"/>
          <w:color w:val="auto"/>
        </w:rPr>
        <w:t>净含量</w:t>
      </w:r>
      <w:r>
        <w:rPr>
          <w:rFonts w:hint="eastAsia"/>
          <w:color w:val="auto"/>
          <w:lang w:val="en-US" w:eastAsia="zh-CN"/>
        </w:rPr>
        <w:t>和馅料含量。</w:t>
      </w:r>
    </w:p>
    <w:p>
      <w:pPr>
        <w:pStyle w:val="59"/>
        <w:bidi w:val="0"/>
        <w:rPr>
          <w:color w:val="auto"/>
        </w:rPr>
      </w:pPr>
      <w:r>
        <w:rPr>
          <w:rFonts w:hint="eastAsia"/>
          <w:color w:val="auto"/>
          <w:lang w:val="en-US" w:eastAsia="zh-CN"/>
        </w:rPr>
        <w:t>有馅类粽子优级产品</w:t>
      </w:r>
      <w:r>
        <w:rPr>
          <w:rFonts w:hint="eastAsia"/>
          <w:color w:val="auto"/>
        </w:rPr>
        <w:t>出厂检验</w:t>
      </w:r>
      <w:r>
        <w:rPr>
          <w:rFonts w:hint="eastAsia"/>
          <w:color w:val="auto"/>
          <w:lang w:val="en-US" w:eastAsia="zh-CN"/>
        </w:rPr>
        <w:t>项目还</w:t>
      </w:r>
      <w:r>
        <w:rPr>
          <w:rFonts w:hint="eastAsia"/>
          <w:color w:val="auto"/>
        </w:rPr>
        <w:t>包括</w:t>
      </w:r>
      <w:r>
        <w:rPr>
          <w:rFonts w:hint="eastAsia"/>
          <w:color w:val="auto"/>
          <w:lang w:val="en-US" w:eastAsia="zh-CN"/>
        </w:rPr>
        <w:t>过氧化值</w:t>
      </w:r>
      <w:r>
        <w:rPr>
          <w:rFonts w:hint="eastAsia"/>
          <w:color w:val="auto"/>
        </w:rPr>
        <w:t>。</w:t>
      </w:r>
    </w:p>
    <w:p>
      <w:pPr>
        <w:pStyle w:val="38"/>
        <w:bidi w:val="0"/>
        <w:rPr>
          <w:rFonts w:hint="default"/>
          <w:color w:val="auto"/>
          <w:lang w:val="en-US" w:eastAsia="zh-CN"/>
        </w:rPr>
      </w:pPr>
      <w:r>
        <w:rPr>
          <w:rFonts w:hint="eastAsia"/>
          <w:color w:val="auto"/>
          <w:lang w:val="en-US" w:eastAsia="zh-CN"/>
        </w:rPr>
        <w:t>出厂检验判定规则</w:t>
      </w:r>
    </w:p>
    <w:p>
      <w:pPr>
        <w:pStyle w:val="59"/>
        <w:bidi w:val="0"/>
        <w:rPr>
          <w:rFonts w:hint="eastAsia"/>
          <w:color w:val="auto"/>
        </w:rPr>
      </w:pPr>
      <w:r>
        <w:rPr>
          <w:rFonts w:hint="eastAsia"/>
          <w:color w:val="auto"/>
        </w:rPr>
        <w:t>出厂检验项目全部符合本</w:t>
      </w:r>
      <w:r>
        <w:rPr>
          <w:rFonts w:hint="eastAsia"/>
          <w:color w:val="auto"/>
          <w:lang w:val="en-US" w:eastAsia="zh-CN"/>
        </w:rPr>
        <w:t>文件</w:t>
      </w:r>
      <w:r>
        <w:rPr>
          <w:rFonts w:hint="eastAsia"/>
          <w:color w:val="auto"/>
        </w:rPr>
        <w:t>规定要求的，判该批为合格（或</w:t>
      </w:r>
      <w:r>
        <w:rPr>
          <w:rFonts w:hint="eastAsia"/>
          <w:color w:val="auto"/>
          <w:lang w:val="en-US" w:eastAsia="zh-CN"/>
        </w:rPr>
        <w:t>优</w:t>
      </w:r>
      <w:r>
        <w:rPr>
          <w:rFonts w:hint="eastAsia"/>
          <w:color w:val="auto"/>
        </w:rPr>
        <w:t>级）产品。</w:t>
      </w:r>
    </w:p>
    <w:p>
      <w:pPr>
        <w:pStyle w:val="59"/>
        <w:bidi w:val="0"/>
        <w:rPr>
          <w:rFonts w:hint="eastAsia"/>
          <w:color w:val="auto"/>
        </w:rPr>
      </w:pPr>
      <w:r>
        <w:rPr>
          <w:rFonts w:hint="eastAsia"/>
          <w:color w:val="auto"/>
        </w:rPr>
        <w:t>出厂检验项目如有1项不符合本</w:t>
      </w:r>
      <w:r>
        <w:rPr>
          <w:rFonts w:hint="eastAsia"/>
          <w:color w:val="auto"/>
          <w:lang w:val="en-US" w:eastAsia="zh-CN"/>
        </w:rPr>
        <w:t>文件</w:t>
      </w:r>
      <w:r>
        <w:rPr>
          <w:rFonts w:hint="eastAsia"/>
          <w:color w:val="auto"/>
        </w:rPr>
        <w:t>规定的要求，可在抽样批次中加倍抽样复检，仍有1项不符合本</w:t>
      </w:r>
      <w:r>
        <w:rPr>
          <w:rFonts w:hint="eastAsia"/>
          <w:color w:val="auto"/>
          <w:lang w:val="en-US" w:eastAsia="zh-CN"/>
        </w:rPr>
        <w:t>文件</w:t>
      </w:r>
      <w:r>
        <w:rPr>
          <w:rFonts w:hint="eastAsia"/>
          <w:color w:val="auto"/>
        </w:rPr>
        <w:t>要求的，判该批为不合格（不符合）产品。超过及2项不符合本</w:t>
      </w:r>
      <w:r>
        <w:rPr>
          <w:rFonts w:hint="eastAsia"/>
          <w:color w:val="auto"/>
          <w:lang w:val="en-US" w:eastAsia="zh-CN"/>
        </w:rPr>
        <w:t>文件</w:t>
      </w:r>
      <w:r>
        <w:rPr>
          <w:rFonts w:hint="eastAsia"/>
          <w:color w:val="auto"/>
        </w:rPr>
        <w:t>规定要求的，不应复检，直接判该批为不合格（不符合）产品。</w:t>
      </w:r>
    </w:p>
    <w:p>
      <w:pPr>
        <w:pStyle w:val="59"/>
        <w:bidi w:val="0"/>
        <w:rPr>
          <w:color w:val="auto"/>
        </w:rPr>
      </w:pPr>
      <w:r>
        <w:rPr>
          <w:rFonts w:hint="eastAsia"/>
          <w:color w:val="auto"/>
        </w:rPr>
        <w:t>微生物项目如有</w:t>
      </w:r>
      <w:r>
        <w:rPr>
          <w:rFonts w:hint="eastAsia"/>
          <w:color w:val="auto"/>
          <w:lang w:val="en-US" w:eastAsia="zh-CN"/>
        </w:rPr>
        <w:t>1</w:t>
      </w:r>
      <w:r>
        <w:rPr>
          <w:rFonts w:hint="eastAsia"/>
          <w:color w:val="auto"/>
        </w:rPr>
        <w:t>项不符合</w:t>
      </w:r>
      <w:r>
        <w:rPr>
          <w:rFonts w:hint="eastAsia"/>
          <w:color w:val="auto"/>
          <w:lang w:val="en-US" w:eastAsia="zh-CN"/>
        </w:rPr>
        <w:t>本文件</w:t>
      </w:r>
      <w:r>
        <w:rPr>
          <w:rFonts w:hint="eastAsia"/>
          <w:color w:val="auto"/>
        </w:rPr>
        <w:t>，判为不合格品，不得复检。</w:t>
      </w:r>
    </w:p>
    <w:p>
      <w:pPr>
        <w:pStyle w:val="38"/>
        <w:spacing w:before="156" w:after="156"/>
        <w:rPr>
          <w:rFonts w:hint="eastAsia"/>
          <w:color w:val="auto"/>
        </w:rPr>
      </w:pPr>
      <w:r>
        <w:rPr>
          <w:rFonts w:hint="eastAsia"/>
          <w:color w:val="auto"/>
        </w:rPr>
        <w:t>型式检验</w:t>
      </w:r>
    </w:p>
    <w:p>
      <w:pPr>
        <w:pStyle w:val="59"/>
        <w:rPr>
          <w:color w:val="auto"/>
        </w:rPr>
      </w:pPr>
      <w:r>
        <w:rPr>
          <w:rFonts w:hint="eastAsia"/>
          <w:color w:val="auto"/>
        </w:rPr>
        <w:t>正常生产时应每6个月进行一次型式检验；此外有下列情况之一时，亦应进行型式检验：</w:t>
      </w:r>
    </w:p>
    <w:p>
      <w:pPr>
        <w:pStyle w:val="55"/>
        <w:numPr>
          <w:ilvl w:val="0"/>
          <w:numId w:val="19"/>
        </w:numPr>
        <w:rPr>
          <w:color w:val="auto"/>
        </w:rPr>
      </w:pPr>
      <w:r>
        <w:rPr>
          <w:rFonts w:hint="eastAsia"/>
          <w:color w:val="auto"/>
        </w:rPr>
        <w:t>新产品试制鉴定时；</w:t>
      </w:r>
    </w:p>
    <w:p>
      <w:pPr>
        <w:pStyle w:val="55"/>
        <w:numPr>
          <w:ilvl w:val="0"/>
          <w:numId w:val="19"/>
        </w:numPr>
        <w:rPr>
          <w:color w:val="auto"/>
        </w:rPr>
      </w:pPr>
      <w:r>
        <w:rPr>
          <w:rFonts w:hint="eastAsia"/>
          <w:color w:val="auto"/>
        </w:rPr>
        <w:t>原料、生产工艺有较大改变，可能影响产品质量时；</w:t>
      </w:r>
    </w:p>
    <w:p>
      <w:pPr>
        <w:pStyle w:val="55"/>
        <w:numPr>
          <w:ilvl w:val="0"/>
          <w:numId w:val="19"/>
        </w:numPr>
        <w:rPr>
          <w:color w:val="auto"/>
        </w:rPr>
      </w:pPr>
      <w:r>
        <w:rPr>
          <w:rFonts w:hint="eastAsia"/>
          <w:color w:val="auto"/>
        </w:rPr>
        <w:t>产品停产半年以上，恢复生产时；</w:t>
      </w:r>
    </w:p>
    <w:p>
      <w:pPr>
        <w:pStyle w:val="55"/>
        <w:numPr>
          <w:ilvl w:val="0"/>
          <w:numId w:val="19"/>
        </w:numPr>
        <w:rPr>
          <w:color w:val="auto"/>
        </w:rPr>
      </w:pPr>
      <w:r>
        <w:rPr>
          <w:rFonts w:hint="eastAsia"/>
          <w:color w:val="auto"/>
        </w:rPr>
        <w:t>出厂检验结果与上一次型式检验结果有较大差异时；</w:t>
      </w:r>
    </w:p>
    <w:p>
      <w:pPr>
        <w:pStyle w:val="55"/>
        <w:numPr>
          <w:ilvl w:val="0"/>
          <w:numId w:val="19"/>
        </w:numPr>
        <w:rPr>
          <w:rFonts w:hint="eastAsia"/>
          <w:color w:val="auto"/>
        </w:rPr>
      </w:pPr>
      <w:r>
        <w:rPr>
          <w:rFonts w:hint="eastAsia"/>
          <w:color w:val="auto"/>
        </w:rPr>
        <w:t>国家质量监督机构提出要求时。</w:t>
      </w:r>
    </w:p>
    <w:p>
      <w:pPr>
        <w:pStyle w:val="59"/>
        <w:bidi w:val="0"/>
        <w:rPr>
          <w:rFonts w:hint="eastAsia"/>
          <w:color w:val="auto"/>
        </w:rPr>
      </w:pPr>
      <w:r>
        <w:rPr>
          <w:rFonts w:hint="eastAsia"/>
          <w:color w:val="auto"/>
        </w:rPr>
        <w:t>型式检验应按照</w:t>
      </w:r>
      <w:r>
        <w:rPr>
          <w:rFonts w:hint="eastAsia"/>
          <w:color w:val="auto"/>
          <w:lang w:val="en-US" w:eastAsia="zh-CN"/>
        </w:rPr>
        <w:t>5</w:t>
      </w:r>
      <w:r>
        <w:rPr>
          <w:rFonts w:hint="eastAsia"/>
          <w:color w:val="auto"/>
        </w:rPr>
        <w:t>.2～</w:t>
      </w:r>
      <w:r>
        <w:rPr>
          <w:rFonts w:hint="eastAsia"/>
          <w:color w:val="auto"/>
          <w:lang w:val="en-US" w:eastAsia="zh-CN"/>
        </w:rPr>
        <w:t>5</w:t>
      </w:r>
      <w:r>
        <w:rPr>
          <w:rFonts w:hint="eastAsia"/>
          <w:color w:val="auto"/>
        </w:rPr>
        <w:t>.</w:t>
      </w:r>
      <w:r>
        <w:rPr>
          <w:rFonts w:hint="eastAsia"/>
          <w:color w:val="auto"/>
          <w:lang w:val="en-US" w:eastAsia="zh-CN"/>
        </w:rPr>
        <w:t>7</w:t>
      </w:r>
      <w:r>
        <w:rPr>
          <w:rFonts w:hint="eastAsia"/>
          <w:color w:val="auto"/>
        </w:rPr>
        <w:t>的项目进行检验。</w:t>
      </w:r>
    </w:p>
    <w:p>
      <w:pPr>
        <w:pStyle w:val="38"/>
        <w:bidi w:val="0"/>
        <w:rPr>
          <w:rFonts w:hint="default"/>
          <w:color w:val="auto"/>
          <w:lang w:val="en-US" w:eastAsia="zh-CN"/>
        </w:rPr>
      </w:pPr>
      <w:r>
        <w:rPr>
          <w:rFonts w:hint="eastAsia"/>
          <w:color w:val="auto"/>
          <w:lang w:val="en-US" w:eastAsia="zh-CN"/>
        </w:rPr>
        <w:t>型式检验判定规则</w:t>
      </w:r>
    </w:p>
    <w:p>
      <w:pPr>
        <w:pStyle w:val="59"/>
        <w:bidi w:val="0"/>
        <w:rPr>
          <w:rFonts w:hint="eastAsia"/>
          <w:color w:val="auto"/>
        </w:rPr>
      </w:pPr>
      <w:r>
        <w:rPr>
          <w:rFonts w:hint="eastAsia"/>
          <w:color w:val="auto"/>
        </w:rPr>
        <w:t>型式检验项目全部符合本</w:t>
      </w:r>
      <w:r>
        <w:rPr>
          <w:rFonts w:hint="eastAsia"/>
          <w:color w:val="auto"/>
          <w:lang w:val="en-US" w:eastAsia="zh-CN"/>
        </w:rPr>
        <w:t>文件</w:t>
      </w:r>
      <w:r>
        <w:rPr>
          <w:rFonts w:hint="eastAsia"/>
          <w:color w:val="auto"/>
        </w:rPr>
        <w:t>规定要求的，判该批为合格（或</w:t>
      </w:r>
      <w:r>
        <w:rPr>
          <w:rFonts w:hint="eastAsia"/>
          <w:color w:val="auto"/>
          <w:lang w:val="en-US" w:eastAsia="zh-CN"/>
        </w:rPr>
        <w:t>优</w:t>
      </w:r>
      <w:r>
        <w:rPr>
          <w:rFonts w:hint="eastAsia"/>
          <w:color w:val="auto"/>
        </w:rPr>
        <w:t>级）产品。</w:t>
      </w:r>
    </w:p>
    <w:p>
      <w:pPr>
        <w:pStyle w:val="59"/>
        <w:bidi w:val="0"/>
        <w:rPr>
          <w:rFonts w:hint="eastAsia"/>
          <w:color w:val="auto"/>
        </w:rPr>
      </w:pPr>
      <w:r>
        <w:rPr>
          <w:rFonts w:hint="eastAsia"/>
          <w:color w:val="auto"/>
        </w:rPr>
        <w:t>型式检验项目不超过3项（含3项）不符合本</w:t>
      </w:r>
      <w:r>
        <w:rPr>
          <w:rFonts w:hint="eastAsia"/>
          <w:color w:val="auto"/>
          <w:lang w:val="en-US" w:eastAsia="zh-CN"/>
        </w:rPr>
        <w:t>文件</w:t>
      </w:r>
      <w:r>
        <w:rPr>
          <w:rFonts w:hint="eastAsia"/>
          <w:color w:val="auto"/>
        </w:rPr>
        <w:t>的，可在抽样批次中加倍抽样复检，复检后仍有1项不符合本</w:t>
      </w:r>
      <w:r>
        <w:rPr>
          <w:rFonts w:hint="eastAsia"/>
          <w:color w:val="auto"/>
          <w:lang w:val="en-US" w:eastAsia="zh-CN"/>
        </w:rPr>
        <w:t>文件</w:t>
      </w:r>
      <w:r>
        <w:rPr>
          <w:rFonts w:hint="eastAsia"/>
          <w:color w:val="auto"/>
        </w:rPr>
        <w:t>要求的，判该批为不合格（不符合）产品。超过3项不符合本</w:t>
      </w:r>
      <w:r>
        <w:rPr>
          <w:rFonts w:hint="eastAsia"/>
          <w:color w:val="auto"/>
          <w:lang w:val="en-US" w:eastAsia="zh-CN"/>
        </w:rPr>
        <w:t>文件</w:t>
      </w:r>
      <w:r>
        <w:rPr>
          <w:rFonts w:hint="eastAsia"/>
          <w:color w:val="auto"/>
        </w:rPr>
        <w:t>的，不应复检，判该批为不合格（不符合）产品。</w:t>
      </w:r>
    </w:p>
    <w:p>
      <w:pPr>
        <w:pStyle w:val="59"/>
        <w:bidi w:val="0"/>
        <w:rPr>
          <w:rFonts w:hint="eastAsia"/>
          <w:color w:val="auto"/>
        </w:rPr>
      </w:pPr>
      <w:r>
        <w:rPr>
          <w:rFonts w:hint="eastAsia"/>
          <w:color w:val="auto"/>
        </w:rPr>
        <w:t>微生物项目如有</w:t>
      </w:r>
      <w:r>
        <w:rPr>
          <w:rFonts w:hint="eastAsia"/>
          <w:color w:val="auto"/>
          <w:lang w:val="en-US" w:eastAsia="zh-CN"/>
        </w:rPr>
        <w:t>1</w:t>
      </w:r>
      <w:r>
        <w:rPr>
          <w:rFonts w:hint="eastAsia"/>
          <w:color w:val="auto"/>
        </w:rPr>
        <w:t>项不符合</w:t>
      </w:r>
      <w:r>
        <w:rPr>
          <w:rFonts w:hint="eastAsia"/>
          <w:color w:val="auto"/>
          <w:lang w:val="en-US" w:eastAsia="zh-CN"/>
        </w:rPr>
        <w:t>本文件</w:t>
      </w:r>
      <w:r>
        <w:rPr>
          <w:rFonts w:hint="eastAsia"/>
          <w:color w:val="auto"/>
        </w:rPr>
        <w:t>的，判为不合格品，不得复检。</w:t>
      </w:r>
    </w:p>
    <w:p>
      <w:pPr>
        <w:pStyle w:val="41"/>
        <w:spacing w:before="312" w:after="312"/>
        <w:rPr>
          <w:color w:val="auto"/>
          <w:szCs w:val="22"/>
        </w:rPr>
      </w:pPr>
      <w:r>
        <w:rPr>
          <w:rFonts w:hint="eastAsia"/>
          <w:color w:val="auto"/>
          <w:szCs w:val="22"/>
        </w:rPr>
        <w:t>标签、标志和包装</w:t>
      </w:r>
    </w:p>
    <w:p>
      <w:pPr>
        <w:pStyle w:val="38"/>
        <w:spacing w:before="156" w:after="156"/>
        <w:rPr>
          <w:color w:val="auto"/>
        </w:rPr>
      </w:pPr>
      <w:r>
        <w:rPr>
          <w:rFonts w:hint="eastAsia"/>
          <w:color w:val="auto"/>
        </w:rPr>
        <w:t>标签、标志</w:t>
      </w:r>
    </w:p>
    <w:p>
      <w:pPr>
        <w:pStyle w:val="121"/>
        <w:numPr>
          <w:ilvl w:val="1"/>
          <w:numId w:val="0"/>
        </w:numPr>
        <w:bidi w:val="0"/>
        <w:ind w:leftChars="0" w:firstLine="630" w:firstLineChars="300"/>
        <w:rPr>
          <w:color w:val="auto"/>
        </w:rPr>
      </w:pPr>
      <w:r>
        <w:rPr>
          <w:rFonts w:hint="eastAsia"/>
          <w:color w:val="auto"/>
        </w:rPr>
        <w:t>产品标签应符合GB 7718</w:t>
      </w:r>
      <w:r>
        <w:rPr>
          <w:rFonts w:hint="eastAsia"/>
          <w:color w:val="auto"/>
          <w:lang w:val="en-US" w:eastAsia="zh-CN"/>
        </w:rPr>
        <w:t>和</w:t>
      </w:r>
      <w:r>
        <w:rPr>
          <w:rFonts w:hint="eastAsia"/>
          <w:color w:val="auto"/>
        </w:rPr>
        <w:t>GB 28050的规定</w:t>
      </w:r>
      <w:r>
        <w:rPr>
          <w:rFonts w:hint="eastAsia"/>
          <w:color w:val="auto"/>
          <w:lang w:eastAsia="zh-CN"/>
        </w:rPr>
        <w:t>，</w:t>
      </w:r>
      <w:r>
        <w:rPr>
          <w:rFonts w:hint="eastAsia"/>
          <w:color w:val="auto"/>
          <w:lang w:val="en-US" w:eastAsia="zh-CN"/>
        </w:rPr>
        <w:t>分级产品上应注明产品等级。速冻类粽子还应注明速冻及熟制品</w:t>
      </w:r>
      <w:r>
        <w:rPr>
          <w:rFonts w:hint="eastAsia"/>
          <w:color w:val="auto"/>
          <w:lang w:eastAsia="zh-CN"/>
        </w:rPr>
        <w:t>；</w:t>
      </w:r>
      <w:r>
        <w:rPr>
          <w:rFonts w:hint="eastAsia"/>
          <w:color w:val="auto"/>
        </w:rPr>
        <w:t>包装运输标志应符合GB/T 191的规定。</w:t>
      </w:r>
      <w:r>
        <w:rPr>
          <w:rFonts w:hint="eastAsia"/>
          <w:color w:val="auto"/>
          <w:lang w:val="en-US" w:eastAsia="zh-CN"/>
        </w:rPr>
        <w:t>新鲜类粽子</w:t>
      </w:r>
      <w:r>
        <w:rPr>
          <w:rFonts w:hint="eastAsia"/>
          <w:color w:val="auto"/>
          <w:lang w:eastAsia="zh-CN"/>
        </w:rPr>
        <w:t>应</w:t>
      </w:r>
      <w:r>
        <w:rPr>
          <w:rFonts w:hint="eastAsia"/>
          <w:color w:val="auto"/>
        </w:rPr>
        <w:t>在容器、外包装上标明产品的名称、生产日期或者生产批号、保质期及生产经营者名称、地址、联系方式等内容。</w:t>
      </w:r>
    </w:p>
    <w:p>
      <w:pPr>
        <w:pStyle w:val="38"/>
        <w:spacing w:before="156" w:after="156"/>
        <w:rPr>
          <w:color w:val="auto"/>
        </w:rPr>
      </w:pPr>
      <w:r>
        <w:rPr>
          <w:rFonts w:hint="eastAsia"/>
          <w:color w:val="auto"/>
        </w:rPr>
        <w:t>包装</w:t>
      </w:r>
    </w:p>
    <w:p>
      <w:pPr>
        <w:pStyle w:val="20"/>
        <w:bidi w:val="0"/>
        <w:rPr>
          <w:rFonts w:hint="eastAsia"/>
          <w:color w:val="auto"/>
        </w:rPr>
      </w:pPr>
      <w:r>
        <w:rPr>
          <w:rFonts w:hint="eastAsia"/>
          <w:color w:val="auto"/>
        </w:rPr>
        <w:t>使用复合包装材料应符合GB 4806.7</w:t>
      </w:r>
      <w:r>
        <w:rPr>
          <w:rFonts w:hint="eastAsia"/>
          <w:color w:val="auto"/>
          <w:lang w:val="en-US" w:eastAsia="zh-CN"/>
        </w:rPr>
        <w:t>或</w:t>
      </w:r>
      <w:r>
        <w:rPr>
          <w:rFonts w:hint="eastAsia"/>
          <w:color w:val="auto"/>
        </w:rPr>
        <w:t>GB/T 10004的规定</w:t>
      </w:r>
      <w:r>
        <w:rPr>
          <w:rFonts w:hint="eastAsia"/>
          <w:color w:val="auto"/>
          <w:lang w:eastAsia="zh-CN"/>
        </w:rPr>
        <w:t>。</w:t>
      </w:r>
      <w:r>
        <w:rPr>
          <w:rFonts w:hint="eastAsia"/>
          <w:color w:val="auto"/>
        </w:rPr>
        <w:t>扎线应使用棉线、麻线或符合食品相关产品要求的材料</w:t>
      </w:r>
      <w:r>
        <w:rPr>
          <w:rFonts w:hint="eastAsia"/>
          <w:color w:val="auto"/>
          <w:lang w:eastAsia="zh-CN"/>
        </w:rPr>
        <w:t>，</w:t>
      </w:r>
      <w:r>
        <w:rPr>
          <w:rFonts w:hint="eastAsia"/>
          <w:color w:val="auto"/>
        </w:rPr>
        <w:t>其他包装材料和容器必须符合相应国家标准和有关规定。</w:t>
      </w:r>
    </w:p>
    <w:p>
      <w:pPr>
        <w:pStyle w:val="41"/>
        <w:spacing w:before="312" w:after="312"/>
        <w:rPr>
          <w:color w:val="auto"/>
          <w:szCs w:val="22"/>
        </w:rPr>
      </w:pPr>
      <w:r>
        <w:rPr>
          <w:rFonts w:hint="eastAsia"/>
          <w:color w:val="auto"/>
          <w:szCs w:val="22"/>
        </w:rPr>
        <w:t>运输和</w:t>
      </w:r>
      <w:r>
        <w:rPr>
          <w:rFonts w:hint="eastAsia"/>
          <w:color w:val="auto"/>
          <w:szCs w:val="22"/>
          <w:lang w:eastAsia="zh-CN"/>
        </w:rPr>
        <w:t>贮存</w:t>
      </w:r>
    </w:p>
    <w:p>
      <w:pPr>
        <w:pStyle w:val="38"/>
        <w:spacing w:before="156" w:after="156"/>
        <w:rPr>
          <w:color w:val="auto"/>
        </w:rPr>
      </w:pPr>
      <w:r>
        <w:rPr>
          <w:rFonts w:hint="eastAsia"/>
          <w:color w:val="auto"/>
        </w:rPr>
        <w:t>运输</w:t>
      </w:r>
    </w:p>
    <w:p>
      <w:pPr>
        <w:pStyle w:val="59"/>
        <w:bidi w:val="0"/>
        <w:rPr>
          <w:color w:val="auto"/>
        </w:rPr>
      </w:pPr>
      <w:r>
        <w:rPr>
          <w:color w:val="auto"/>
        </w:rPr>
        <w:t>运输工具应清洁卫生，不得与有毒</w:t>
      </w:r>
      <w:r>
        <w:rPr>
          <w:rFonts w:hint="eastAsia"/>
          <w:color w:val="auto"/>
          <w:lang w:val="en-US" w:eastAsia="zh-CN"/>
        </w:rPr>
        <w:t>有害</w:t>
      </w:r>
      <w:r>
        <w:rPr>
          <w:color w:val="auto"/>
        </w:rPr>
        <w:t>、有异味等污染性货物混运。运输中应防止</w:t>
      </w:r>
      <w:r>
        <w:rPr>
          <w:rFonts w:hint="eastAsia"/>
          <w:color w:val="auto"/>
        </w:rPr>
        <w:t>踩踏、</w:t>
      </w:r>
      <w:r>
        <w:rPr>
          <w:color w:val="auto"/>
        </w:rPr>
        <w:t>挤压、碰撞、日晒、雨淋。装卸时应轻搬轻放，严禁抛掷。</w:t>
      </w:r>
    </w:p>
    <w:p>
      <w:pPr>
        <w:pStyle w:val="59"/>
        <w:bidi w:val="0"/>
        <w:rPr>
          <w:color w:val="auto"/>
        </w:rPr>
      </w:pPr>
      <w:r>
        <w:rPr>
          <w:rFonts w:hint="eastAsia"/>
          <w:color w:val="auto"/>
        </w:rPr>
        <w:t>速冻</w:t>
      </w:r>
      <w:r>
        <w:rPr>
          <w:rFonts w:hint="eastAsia"/>
          <w:color w:val="auto"/>
          <w:lang w:val="en-US" w:eastAsia="zh-CN"/>
        </w:rPr>
        <w:t>类</w:t>
      </w:r>
      <w:r>
        <w:rPr>
          <w:rFonts w:hint="eastAsia"/>
          <w:color w:val="auto"/>
        </w:rPr>
        <w:t>粽子应使用冷藏食品车运输，冷藏厢在运输途中必须保持</w:t>
      </w:r>
      <w:r>
        <w:rPr>
          <w:rFonts w:hint="eastAsia"/>
          <w:color w:val="auto"/>
          <w:lang w:val="en-US" w:eastAsia="zh-CN"/>
        </w:rPr>
        <w:t>-</w:t>
      </w:r>
      <w:r>
        <w:rPr>
          <w:rFonts w:hint="eastAsia"/>
          <w:color w:val="auto"/>
        </w:rPr>
        <w:t>1</w:t>
      </w:r>
      <w:r>
        <w:rPr>
          <w:rFonts w:hint="eastAsia"/>
          <w:color w:val="auto"/>
          <w:lang w:val="en-US" w:eastAsia="zh-CN"/>
        </w:rPr>
        <w:t>2</w:t>
      </w:r>
      <w:r>
        <w:rPr>
          <w:rFonts w:hint="eastAsia"/>
          <w:color w:val="auto"/>
        </w:rPr>
        <w:t>℃以下，但交货后应尽快降至</w:t>
      </w:r>
      <w:r>
        <w:rPr>
          <w:rFonts w:hint="eastAsia"/>
          <w:color w:val="auto"/>
          <w:lang w:val="en-US" w:eastAsia="zh-CN"/>
        </w:rPr>
        <w:t>-</w:t>
      </w:r>
      <w:r>
        <w:rPr>
          <w:rFonts w:hint="eastAsia"/>
          <w:color w:val="auto"/>
        </w:rPr>
        <w:t>18℃以下。</w:t>
      </w:r>
    </w:p>
    <w:p>
      <w:pPr>
        <w:pStyle w:val="38"/>
        <w:spacing w:before="156" w:after="156"/>
        <w:rPr>
          <w:color w:val="auto"/>
        </w:rPr>
      </w:pPr>
      <w:r>
        <w:rPr>
          <w:rFonts w:hint="eastAsia"/>
          <w:color w:val="auto"/>
          <w:szCs w:val="22"/>
          <w:lang w:val="en-US" w:eastAsia="zh-CN"/>
        </w:rPr>
        <w:t>贮</w:t>
      </w:r>
      <w:r>
        <w:rPr>
          <w:rFonts w:hint="eastAsia"/>
          <w:color w:val="auto"/>
          <w:szCs w:val="22"/>
        </w:rPr>
        <w:t>存</w:t>
      </w:r>
    </w:p>
    <w:p>
      <w:pPr>
        <w:pStyle w:val="59"/>
        <w:bidi w:val="0"/>
        <w:rPr>
          <w:color w:val="auto"/>
        </w:rPr>
      </w:pPr>
      <w:r>
        <w:rPr>
          <w:rFonts w:hint="eastAsia"/>
          <w:color w:val="auto"/>
          <w:lang w:val="en-US" w:eastAsia="zh-CN"/>
        </w:rPr>
        <w:t>粽子</w:t>
      </w:r>
      <w:r>
        <w:rPr>
          <w:color w:val="auto"/>
        </w:rPr>
        <w:t>应贮存在干燥、通风的仓库内，</w:t>
      </w:r>
      <w:r>
        <w:rPr>
          <w:rFonts w:hint="eastAsia"/>
          <w:color w:val="auto"/>
          <w:lang w:val="en-US" w:eastAsia="zh-CN"/>
        </w:rPr>
        <w:t>具有防虫害和防鼠措施。</w:t>
      </w:r>
      <w:r>
        <w:rPr>
          <w:color w:val="auto"/>
        </w:rPr>
        <w:t>不得与有毒</w:t>
      </w:r>
      <w:r>
        <w:rPr>
          <w:rFonts w:hint="eastAsia"/>
          <w:color w:val="auto"/>
          <w:lang w:val="en-US" w:eastAsia="zh-CN"/>
        </w:rPr>
        <w:t>有害</w:t>
      </w:r>
      <w:r>
        <w:rPr>
          <w:color w:val="auto"/>
        </w:rPr>
        <w:t>、有异味</w:t>
      </w:r>
      <w:r>
        <w:rPr>
          <w:rFonts w:hint="eastAsia"/>
          <w:color w:val="auto"/>
          <w:lang w:val="en-US" w:eastAsia="zh-CN"/>
        </w:rPr>
        <w:t>的</w:t>
      </w:r>
      <w:r>
        <w:rPr>
          <w:color w:val="auto"/>
        </w:rPr>
        <w:t>货物混贮。</w:t>
      </w:r>
    </w:p>
    <w:p>
      <w:pPr>
        <w:pStyle w:val="59"/>
        <w:bidi w:val="0"/>
        <w:rPr>
          <w:rFonts w:hint="default"/>
          <w:color w:val="auto"/>
          <w:lang w:val="en-US" w:eastAsia="zh-CN"/>
        </w:rPr>
      </w:pPr>
      <w:r>
        <w:rPr>
          <w:rFonts w:hint="eastAsia"/>
          <w:color w:val="auto"/>
          <w:lang w:val="en-US" w:eastAsia="zh-CN"/>
        </w:rPr>
        <w:t>粽子应分批次、分等级堆放，码放整齐，层数不宜过多。产品不得与墙面、地面接触。</w:t>
      </w:r>
    </w:p>
    <w:p>
      <w:pPr>
        <w:pStyle w:val="59"/>
        <w:bidi w:val="0"/>
        <w:rPr>
          <w:rFonts w:hint="default"/>
          <w:color w:val="auto"/>
          <w:lang w:val="en-US" w:eastAsia="zh-CN"/>
        </w:rPr>
      </w:pPr>
      <w:r>
        <w:rPr>
          <w:rFonts w:hint="eastAsia"/>
          <w:color w:val="auto"/>
          <w:lang w:val="en-US" w:eastAsia="zh-CN"/>
        </w:rPr>
        <w:t>新鲜类粽子和真空包装类粽子的库温应控制在常温，速冻类粽子应贮藏在-18℃以下的库位中。</w:t>
      </w:r>
    </w:p>
    <w:p>
      <w:pPr>
        <w:pStyle w:val="41"/>
        <w:spacing w:before="312" w:after="312"/>
        <w:rPr>
          <w:color w:val="auto"/>
          <w:szCs w:val="22"/>
        </w:rPr>
      </w:pPr>
      <w:r>
        <w:rPr>
          <w:rFonts w:hint="eastAsia"/>
          <w:color w:val="auto"/>
          <w:szCs w:val="22"/>
        </w:rPr>
        <w:t>销售</w:t>
      </w:r>
    </w:p>
    <w:p>
      <w:pPr>
        <w:pStyle w:val="121"/>
        <w:numPr>
          <w:numId w:val="0"/>
        </w:numPr>
        <w:bidi w:val="0"/>
        <w:ind w:leftChars="0" w:firstLine="420" w:firstLineChars="200"/>
        <w:rPr>
          <w:rFonts w:hint="eastAsia"/>
          <w:color w:val="auto"/>
        </w:rPr>
      </w:pPr>
      <w:r>
        <w:rPr>
          <w:rFonts w:hint="eastAsia"/>
          <w:color w:val="auto"/>
        </w:rPr>
        <w:t>销售的</w:t>
      </w:r>
      <w:r>
        <w:rPr>
          <w:rFonts w:hint="eastAsia"/>
          <w:color w:val="auto"/>
          <w:lang w:val="en-US" w:eastAsia="zh-CN"/>
        </w:rPr>
        <w:t>粽子</w:t>
      </w:r>
      <w:r>
        <w:rPr>
          <w:rFonts w:hint="eastAsia"/>
          <w:color w:val="auto"/>
        </w:rPr>
        <w:t>应检验合格</w:t>
      </w:r>
      <w:r>
        <w:rPr>
          <w:rFonts w:hint="eastAsia"/>
          <w:color w:val="auto"/>
          <w:lang w:eastAsia="zh-CN"/>
        </w:rPr>
        <w:t>，</w:t>
      </w:r>
      <w:r>
        <w:rPr>
          <w:rFonts w:hint="eastAsia"/>
          <w:color w:val="auto"/>
          <w:lang w:eastAsia="zh-CN"/>
        </w:rPr>
        <w:t>应</w:t>
      </w:r>
      <w:r>
        <w:rPr>
          <w:rFonts w:hint="eastAsia"/>
          <w:color w:val="auto"/>
        </w:rPr>
        <w:t>建立</w:t>
      </w:r>
      <w:r>
        <w:rPr>
          <w:rFonts w:hint="eastAsia"/>
          <w:color w:val="auto"/>
          <w:lang w:val="en-US" w:eastAsia="zh-CN"/>
        </w:rPr>
        <w:t>粽子</w:t>
      </w:r>
      <w:r>
        <w:rPr>
          <w:rFonts w:hint="eastAsia"/>
          <w:color w:val="auto"/>
        </w:rPr>
        <w:t>销售记录制度，如实记录销售</w:t>
      </w:r>
      <w:r>
        <w:rPr>
          <w:rFonts w:hint="eastAsia"/>
          <w:color w:val="auto"/>
          <w:lang w:val="en-US" w:eastAsia="zh-CN"/>
        </w:rPr>
        <w:t>粽子</w:t>
      </w:r>
      <w:r>
        <w:rPr>
          <w:rFonts w:hint="eastAsia"/>
          <w:color w:val="auto"/>
        </w:rPr>
        <w:t>的名称、规格、数量、生产日期或者生产批号、保质期、销售日期以及购货者名称、地址、联系方式等内容，保存相关凭证。记录和凭证保存期限不得少于产品保质期满后六个月。</w:t>
      </w:r>
      <w:bookmarkStart w:id="16" w:name="_GoBack"/>
      <w:bookmarkEnd w:id="16"/>
    </w:p>
    <w:p>
      <w:pPr>
        <w:pStyle w:val="41"/>
        <w:spacing w:before="312" w:after="312"/>
        <w:rPr>
          <w:color w:val="auto"/>
          <w:szCs w:val="22"/>
        </w:rPr>
      </w:pPr>
      <w:r>
        <w:rPr>
          <w:rFonts w:hint="eastAsia" w:hAnsi="黑体" w:cs="黑体"/>
          <w:color w:val="auto"/>
          <w:szCs w:val="21"/>
        </w:rPr>
        <w:t>召回</w:t>
      </w:r>
    </w:p>
    <w:p>
      <w:pPr>
        <w:pStyle w:val="121"/>
        <w:pBdr>
          <w:top w:val="none" w:color="auto" w:sz="0" w:space="0"/>
          <w:left w:val="none" w:color="auto" w:sz="0" w:space="0"/>
          <w:bottom w:val="none" w:color="auto" w:sz="0" w:space="0"/>
          <w:right w:val="none" w:color="auto" w:sz="0" w:space="0"/>
        </w:pBdr>
        <w:rPr>
          <w:color w:val="auto"/>
        </w:rPr>
      </w:pPr>
      <w:r>
        <w:rPr>
          <w:rFonts w:hint="eastAsia"/>
          <w:color w:val="auto"/>
        </w:rPr>
        <w:t>发现其生产的</w:t>
      </w:r>
      <w:r>
        <w:rPr>
          <w:rFonts w:hint="eastAsia"/>
          <w:color w:val="auto"/>
          <w:lang w:val="en-US" w:eastAsia="zh-CN"/>
        </w:rPr>
        <w:t>粽子</w:t>
      </w:r>
      <w:r>
        <w:rPr>
          <w:rFonts w:hint="eastAsia"/>
          <w:color w:val="auto"/>
        </w:rPr>
        <w:t>不符合食品安全标准或者有证据证明可能危害人体健康的，</w:t>
      </w:r>
      <w:r>
        <w:rPr>
          <w:rFonts w:hint="eastAsia"/>
          <w:color w:val="auto"/>
          <w:lang w:eastAsia="zh-CN"/>
        </w:rPr>
        <w:t>应</w:t>
      </w:r>
      <w:r>
        <w:rPr>
          <w:rFonts w:hint="eastAsia"/>
          <w:color w:val="auto"/>
        </w:rPr>
        <w:t>立即停止生产，召回已经上市销售的</w:t>
      </w:r>
      <w:r>
        <w:rPr>
          <w:rFonts w:hint="eastAsia"/>
          <w:color w:val="auto"/>
          <w:lang w:val="en-US" w:eastAsia="zh-CN"/>
        </w:rPr>
        <w:t>粽子</w:t>
      </w:r>
      <w:r>
        <w:rPr>
          <w:rFonts w:hint="eastAsia"/>
          <w:color w:val="auto"/>
        </w:rPr>
        <w:t>，通知相关生产经营者和消费者，并记录召回和通知情况。</w:t>
      </w:r>
    </w:p>
    <w:p>
      <w:pPr>
        <w:pStyle w:val="121"/>
        <w:pBdr>
          <w:top w:val="none" w:color="auto" w:sz="0" w:space="0"/>
          <w:left w:val="none" w:color="auto" w:sz="0" w:space="0"/>
          <w:bottom w:val="none" w:color="auto" w:sz="0" w:space="0"/>
          <w:right w:val="none" w:color="auto" w:sz="0" w:space="0"/>
        </w:pBdr>
        <w:rPr>
          <w:color w:val="auto"/>
        </w:rPr>
      </w:pPr>
      <w:r>
        <w:rPr>
          <w:rFonts w:hint="eastAsia"/>
          <w:color w:val="auto"/>
          <w:lang w:eastAsia="zh-CN"/>
        </w:rPr>
        <w:t>应</w:t>
      </w:r>
      <w:r>
        <w:rPr>
          <w:rFonts w:hint="eastAsia"/>
          <w:color w:val="auto"/>
        </w:rPr>
        <w:t>将</w:t>
      </w:r>
      <w:r>
        <w:rPr>
          <w:rFonts w:hint="eastAsia"/>
          <w:color w:val="auto"/>
          <w:lang w:val="en-US" w:eastAsia="zh-CN"/>
        </w:rPr>
        <w:t>粽子</w:t>
      </w:r>
      <w:r>
        <w:rPr>
          <w:rFonts w:hint="eastAsia"/>
          <w:color w:val="auto"/>
        </w:rPr>
        <w:t>召回和处理情况向所在地县级</w:t>
      </w:r>
      <w:r>
        <w:rPr>
          <w:rFonts w:hint="eastAsia"/>
          <w:color w:val="auto"/>
          <w:lang w:val="en-US" w:eastAsia="zh-CN"/>
        </w:rPr>
        <w:t>市场</w:t>
      </w:r>
      <w:r>
        <w:rPr>
          <w:rFonts w:hint="eastAsia"/>
          <w:color w:val="auto"/>
        </w:rPr>
        <w:t>监督管理部门报告;需要对召回的</w:t>
      </w:r>
      <w:r>
        <w:rPr>
          <w:rFonts w:hint="eastAsia"/>
          <w:color w:val="auto"/>
          <w:lang w:val="en-US" w:eastAsia="zh-CN"/>
        </w:rPr>
        <w:t>粽子</w:t>
      </w:r>
      <w:r>
        <w:rPr>
          <w:rFonts w:hint="eastAsia"/>
          <w:color w:val="auto"/>
        </w:rPr>
        <w:t>进行无害化处理、销毁的，</w:t>
      </w:r>
      <w:r>
        <w:rPr>
          <w:rFonts w:hint="eastAsia"/>
          <w:color w:val="auto"/>
          <w:lang w:eastAsia="zh-CN"/>
        </w:rPr>
        <w:t>应</w:t>
      </w:r>
      <w:r>
        <w:rPr>
          <w:rFonts w:hint="eastAsia"/>
          <w:color w:val="auto"/>
        </w:rPr>
        <w:t>提前报告时间、地点。县级</w:t>
      </w:r>
      <w:r>
        <w:rPr>
          <w:rFonts w:hint="eastAsia"/>
          <w:color w:val="auto"/>
          <w:lang w:val="en-US" w:eastAsia="zh-CN"/>
        </w:rPr>
        <w:t>市场</w:t>
      </w:r>
      <w:r>
        <w:rPr>
          <w:rFonts w:hint="eastAsia"/>
          <w:color w:val="auto"/>
        </w:rPr>
        <w:t>监督管理部门认为必要的，</w:t>
      </w:r>
      <w:r>
        <w:rPr>
          <w:rFonts w:hint="eastAsia"/>
          <w:color w:val="auto"/>
          <w:lang w:val="en-US" w:eastAsia="zh-CN"/>
        </w:rPr>
        <w:t>企业应配合其</w:t>
      </w:r>
      <w:r>
        <w:rPr>
          <w:rFonts w:hint="eastAsia"/>
          <w:color w:val="auto"/>
        </w:rPr>
        <w:t>实施现场监督。</w:t>
      </w:r>
    </w:p>
    <w:p>
      <w:pPr>
        <w:pStyle w:val="125"/>
        <w:rPr>
          <w:color w:val="auto"/>
        </w:rPr>
      </w:pPr>
      <w:r>
        <w:rPr>
          <w:color w:val="auto"/>
        </w:rPr>
        <w:t>_________________________________</w:t>
      </w:r>
    </w:p>
    <w:sectPr>
      <w:pgSz w:w="11906" w:h="16838"/>
      <w:pgMar w:top="567" w:right="1134" w:bottom="1134" w:left="1418" w:header="1417"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0" w:hRule="auto" w:hSpace="0" w:wrap="auto" w:vAnchor="margin" w:hAnchor="text" w:xAlign="left" w:yAlign="inline"/>
      <w:spacing w:before="0" w:after="220" w:line="240" w:lineRule="auto"/>
      <w:jc w:val="left"/>
      <w:rPr>
        <w:rFonts w:hAnsi="黑体"/>
        <w:sz w:val="21"/>
        <w:szCs w:val="21"/>
      </w:rPr>
    </w:pPr>
    <w:r>
      <w:rPr>
        <w:rFonts w:hAnsi="黑体"/>
        <w:sz w:val="21"/>
        <w:szCs w:val="21"/>
      </w:rPr>
      <w:t xml:space="preserve">T/ZFS </w:t>
    </w:r>
    <w:r>
      <w:rPr>
        <w:rFonts w:hint="eastAsia" w:hAnsi="黑体"/>
        <w:sz w:val="21"/>
        <w:szCs w:val="21"/>
      </w:rPr>
      <w:t>XX</w:t>
    </w:r>
    <w:r>
      <w:rPr>
        <w:rFonts w:hAnsi="黑体"/>
        <w:sz w:val="21"/>
        <w:szCs w:val="21"/>
      </w:rPr>
      <w:t>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6C3E"/>
    <w:rsid w:val="00027155"/>
    <w:rsid w:val="00027280"/>
    <w:rsid w:val="000320A7"/>
    <w:rsid w:val="00032310"/>
    <w:rsid w:val="00035925"/>
    <w:rsid w:val="000477BB"/>
    <w:rsid w:val="00067288"/>
    <w:rsid w:val="00067CDF"/>
    <w:rsid w:val="00067D87"/>
    <w:rsid w:val="00074FBE"/>
    <w:rsid w:val="00083A09"/>
    <w:rsid w:val="0009005E"/>
    <w:rsid w:val="000921C1"/>
    <w:rsid w:val="00092857"/>
    <w:rsid w:val="000A20A9"/>
    <w:rsid w:val="000A48B1"/>
    <w:rsid w:val="000B3143"/>
    <w:rsid w:val="000B5142"/>
    <w:rsid w:val="000B572F"/>
    <w:rsid w:val="000C6B05"/>
    <w:rsid w:val="000C6DD6"/>
    <w:rsid w:val="000C73D4"/>
    <w:rsid w:val="000D3D4C"/>
    <w:rsid w:val="000D4F51"/>
    <w:rsid w:val="000D718B"/>
    <w:rsid w:val="000E0C46"/>
    <w:rsid w:val="000F030C"/>
    <w:rsid w:val="000F129C"/>
    <w:rsid w:val="001024A1"/>
    <w:rsid w:val="001056DE"/>
    <w:rsid w:val="00111723"/>
    <w:rsid w:val="00111EF8"/>
    <w:rsid w:val="001124C0"/>
    <w:rsid w:val="00122069"/>
    <w:rsid w:val="00122AB0"/>
    <w:rsid w:val="00127208"/>
    <w:rsid w:val="0013175F"/>
    <w:rsid w:val="00131E96"/>
    <w:rsid w:val="00132D85"/>
    <w:rsid w:val="001330D0"/>
    <w:rsid w:val="00142329"/>
    <w:rsid w:val="00143E3E"/>
    <w:rsid w:val="0014698F"/>
    <w:rsid w:val="001512B4"/>
    <w:rsid w:val="001620A5"/>
    <w:rsid w:val="00163263"/>
    <w:rsid w:val="001638D4"/>
    <w:rsid w:val="001649C8"/>
    <w:rsid w:val="00164E53"/>
    <w:rsid w:val="0016699D"/>
    <w:rsid w:val="001713B4"/>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6DC2"/>
    <w:rsid w:val="001C149C"/>
    <w:rsid w:val="001C21AC"/>
    <w:rsid w:val="001C47BA"/>
    <w:rsid w:val="001C4AC9"/>
    <w:rsid w:val="001C59EA"/>
    <w:rsid w:val="001C6EDE"/>
    <w:rsid w:val="001D406C"/>
    <w:rsid w:val="001D41EE"/>
    <w:rsid w:val="001D5ED5"/>
    <w:rsid w:val="001E0380"/>
    <w:rsid w:val="001E13B1"/>
    <w:rsid w:val="001E3543"/>
    <w:rsid w:val="001F3A19"/>
    <w:rsid w:val="002007C1"/>
    <w:rsid w:val="00206E3E"/>
    <w:rsid w:val="00217A9A"/>
    <w:rsid w:val="00234467"/>
    <w:rsid w:val="0023453A"/>
    <w:rsid w:val="00237D8D"/>
    <w:rsid w:val="00241DA2"/>
    <w:rsid w:val="0024277B"/>
    <w:rsid w:val="00247FEE"/>
    <w:rsid w:val="00250E7D"/>
    <w:rsid w:val="0025292A"/>
    <w:rsid w:val="002565D5"/>
    <w:rsid w:val="0025773E"/>
    <w:rsid w:val="0026063E"/>
    <w:rsid w:val="002622C0"/>
    <w:rsid w:val="002717F9"/>
    <w:rsid w:val="002778AE"/>
    <w:rsid w:val="00277CF3"/>
    <w:rsid w:val="0028269A"/>
    <w:rsid w:val="00283590"/>
    <w:rsid w:val="00286973"/>
    <w:rsid w:val="00294E70"/>
    <w:rsid w:val="00297183"/>
    <w:rsid w:val="00297C2B"/>
    <w:rsid w:val="002A1924"/>
    <w:rsid w:val="002A1B52"/>
    <w:rsid w:val="002A7420"/>
    <w:rsid w:val="002B0F12"/>
    <w:rsid w:val="002B1308"/>
    <w:rsid w:val="002B4554"/>
    <w:rsid w:val="002C72D8"/>
    <w:rsid w:val="002D11FA"/>
    <w:rsid w:val="002D3849"/>
    <w:rsid w:val="002D44AD"/>
    <w:rsid w:val="002E0DDF"/>
    <w:rsid w:val="002E1E34"/>
    <w:rsid w:val="002E2906"/>
    <w:rsid w:val="002E39A5"/>
    <w:rsid w:val="002E5635"/>
    <w:rsid w:val="002E64C3"/>
    <w:rsid w:val="002E6A2C"/>
    <w:rsid w:val="002E7B2D"/>
    <w:rsid w:val="002F1D8C"/>
    <w:rsid w:val="002F21DA"/>
    <w:rsid w:val="00301F39"/>
    <w:rsid w:val="00306D5A"/>
    <w:rsid w:val="00312980"/>
    <w:rsid w:val="00325926"/>
    <w:rsid w:val="00327A8A"/>
    <w:rsid w:val="00336610"/>
    <w:rsid w:val="00342904"/>
    <w:rsid w:val="00343F73"/>
    <w:rsid w:val="00345060"/>
    <w:rsid w:val="0035323B"/>
    <w:rsid w:val="003609D2"/>
    <w:rsid w:val="00361E3E"/>
    <w:rsid w:val="00363F22"/>
    <w:rsid w:val="003666F0"/>
    <w:rsid w:val="00367058"/>
    <w:rsid w:val="00370C63"/>
    <w:rsid w:val="00375564"/>
    <w:rsid w:val="00383191"/>
    <w:rsid w:val="00384F02"/>
    <w:rsid w:val="00386DED"/>
    <w:rsid w:val="003912E7"/>
    <w:rsid w:val="00393947"/>
    <w:rsid w:val="003A049E"/>
    <w:rsid w:val="003A2275"/>
    <w:rsid w:val="003A47C0"/>
    <w:rsid w:val="003A6A4F"/>
    <w:rsid w:val="003A7088"/>
    <w:rsid w:val="003B00DF"/>
    <w:rsid w:val="003B1275"/>
    <w:rsid w:val="003B1778"/>
    <w:rsid w:val="003B4738"/>
    <w:rsid w:val="003C11CB"/>
    <w:rsid w:val="003C75F3"/>
    <w:rsid w:val="003C78A3"/>
    <w:rsid w:val="003C7C66"/>
    <w:rsid w:val="003D227D"/>
    <w:rsid w:val="003D290F"/>
    <w:rsid w:val="003D4E29"/>
    <w:rsid w:val="003E1867"/>
    <w:rsid w:val="003E1E24"/>
    <w:rsid w:val="003E5729"/>
    <w:rsid w:val="003F198C"/>
    <w:rsid w:val="003F4EE0"/>
    <w:rsid w:val="00402153"/>
    <w:rsid w:val="00402FC1"/>
    <w:rsid w:val="00413AE4"/>
    <w:rsid w:val="0041659E"/>
    <w:rsid w:val="00425082"/>
    <w:rsid w:val="00425EB9"/>
    <w:rsid w:val="004263BB"/>
    <w:rsid w:val="004264BC"/>
    <w:rsid w:val="00431DEB"/>
    <w:rsid w:val="00431F8C"/>
    <w:rsid w:val="004349F9"/>
    <w:rsid w:val="0043620B"/>
    <w:rsid w:val="00445976"/>
    <w:rsid w:val="00446B29"/>
    <w:rsid w:val="00447FC3"/>
    <w:rsid w:val="00453F9A"/>
    <w:rsid w:val="0045778F"/>
    <w:rsid w:val="004630E3"/>
    <w:rsid w:val="004653F9"/>
    <w:rsid w:val="00471E91"/>
    <w:rsid w:val="00474675"/>
    <w:rsid w:val="0047470C"/>
    <w:rsid w:val="00475A73"/>
    <w:rsid w:val="00475B89"/>
    <w:rsid w:val="004803C0"/>
    <w:rsid w:val="0048356B"/>
    <w:rsid w:val="00485A50"/>
    <w:rsid w:val="004929DD"/>
    <w:rsid w:val="004A06C6"/>
    <w:rsid w:val="004A1EAF"/>
    <w:rsid w:val="004A2602"/>
    <w:rsid w:val="004A35F9"/>
    <w:rsid w:val="004A4644"/>
    <w:rsid w:val="004B24C1"/>
    <w:rsid w:val="004C292F"/>
    <w:rsid w:val="004C620D"/>
    <w:rsid w:val="004F00C6"/>
    <w:rsid w:val="004F16D5"/>
    <w:rsid w:val="004F24D3"/>
    <w:rsid w:val="004F7563"/>
    <w:rsid w:val="00503053"/>
    <w:rsid w:val="00510280"/>
    <w:rsid w:val="00513D73"/>
    <w:rsid w:val="00514A43"/>
    <w:rsid w:val="005174E5"/>
    <w:rsid w:val="0051796D"/>
    <w:rsid w:val="00517BFE"/>
    <w:rsid w:val="005207C1"/>
    <w:rsid w:val="00522393"/>
    <w:rsid w:val="00522620"/>
    <w:rsid w:val="00525656"/>
    <w:rsid w:val="00533009"/>
    <w:rsid w:val="00534C02"/>
    <w:rsid w:val="005408FE"/>
    <w:rsid w:val="0054264B"/>
    <w:rsid w:val="0054375C"/>
    <w:rsid w:val="00543786"/>
    <w:rsid w:val="00544AE1"/>
    <w:rsid w:val="0054693D"/>
    <w:rsid w:val="005533D7"/>
    <w:rsid w:val="00553498"/>
    <w:rsid w:val="005703DE"/>
    <w:rsid w:val="00570A1D"/>
    <w:rsid w:val="0058464E"/>
    <w:rsid w:val="0058479E"/>
    <w:rsid w:val="005A01CB"/>
    <w:rsid w:val="005A58FF"/>
    <w:rsid w:val="005A5EAF"/>
    <w:rsid w:val="005A64C0"/>
    <w:rsid w:val="005B3C11"/>
    <w:rsid w:val="005B669B"/>
    <w:rsid w:val="005B69CE"/>
    <w:rsid w:val="005B7BC9"/>
    <w:rsid w:val="005C1C28"/>
    <w:rsid w:val="005C6DB5"/>
    <w:rsid w:val="005D2C93"/>
    <w:rsid w:val="005E18A5"/>
    <w:rsid w:val="005E19E7"/>
    <w:rsid w:val="005F1457"/>
    <w:rsid w:val="005F5391"/>
    <w:rsid w:val="005F564E"/>
    <w:rsid w:val="005F7DEA"/>
    <w:rsid w:val="00601D69"/>
    <w:rsid w:val="0061716C"/>
    <w:rsid w:val="006224C6"/>
    <w:rsid w:val="006243A1"/>
    <w:rsid w:val="00632E56"/>
    <w:rsid w:val="00634048"/>
    <w:rsid w:val="00634C5E"/>
    <w:rsid w:val="00635CBA"/>
    <w:rsid w:val="0064338B"/>
    <w:rsid w:val="00646542"/>
    <w:rsid w:val="006504F4"/>
    <w:rsid w:val="00654BC9"/>
    <w:rsid w:val="006552FD"/>
    <w:rsid w:val="0065768A"/>
    <w:rsid w:val="00663AF3"/>
    <w:rsid w:val="00666548"/>
    <w:rsid w:val="00666B6C"/>
    <w:rsid w:val="00673E5A"/>
    <w:rsid w:val="0067541F"/>
    <w:rsid w:val="00676C85"/>
    <w:rsid w:val="00680F97"/>
    <w:rsid w:val="00682682"/>
    <w:rsid w:val="00682702"/>
    <w:rsid w:val="00682EA7"/>
    <w:rsid w:val="00692368"/>
    <w:rsid w:val="0069237E"/>
    <w:rsid w:val="00696DDD"/>
    <w:rsid w:val="006A2EBC"/>
    <w:rsid w:val="006A479C"/>
    <w:rsid w:val="006A5EA0"/>
    <w:rsid w:val="006A783B"/>
    <w:rsid w:val="006A7B33"/>
    <w:rsid w:val="006B4E13"/>
    <w:rsid w:val="006B75DD"/>
    <w:rsid w:val="006C0FCE"/>
    <w:rsid w:val="006C35C2"/>
    <w:rsid w:val="006C67E0"/>
    <w:rsid w:val="006C7ABA"/>
    <w:rsid w:val="006D0D60"/>
    <w:rsid w:val="006D1122"/>
    <w:rsid w:val="006D2B21"/>
    <w:rsid w:val="006D3C00"/>
    <w:rsid w:val="006E3675"/>
    <w:rsid w:val="006E4A7F"/>
    <w:rsid w:val="006F1094"/>
    <w:rsid w:val="006F7BCB"/>
    <w:rsid w:val="00701857"/>
    <w:rsid w:val="00704DF6"/>
    <w:rsid w:val="0070651C"/>
    <w:rsid w:val="007132A3"/>
    <w:rsid w:val="00715030"/>
    <w:rsid w:val="00716421"/>
    <w:rsid w:val="007202D3"/>
    <w:rsid w:val="00724EFB"/>
    <w:rsid w:val="0072519C"/>
    <w:rsid w:val="00732762"/>
    <w:rsid w:val="00735395"/>
    <w:rsid w:val="007419C3"/>
    <w:rsid w:val="00743254"/>
    <w:rsid w:val="007467A7"/>
    <w:rsid w:val="007469DD"/>
    <w:rsid w:val="0074741B"/>
    <w:rsid w:val="0074759E"/>
    <w:rsid w:val="007478EA"/>
    <w:rsid w:val="0075415C"/>
    <w:rsid w:val="00755F79"/>
    <w:rsid w:val="00763502"/>
    <w:rsid w:val="00780D84"/>
    <w:rsid w:val="007913AB"/>
    <w:rsid w:val="007914F7"/>
    <w:rsid w:val="00793DDC"/>
    <w:rsid w:val="007A07E4"/>
    <w:rsid w:val="007B1625"/>
    <w:rsid w:val="007B706E"/>
    <w:rsid w:val="007B71EB"/>
    <w:rsid w:val="007C6205"/>
    <w:rsid w:val="007C686A"/>
    <w:rsid w:val="007C728E"/>
    <w:rsid w:val="007D2C53"/>
    <w:rsid w:val="007D3D60"/>
    <w:rsid w:val="007D49D8"/>
    <w:rsid w:val="007D5A3D"/>
    <w:rsid w:val="007E1980"/>
    <w:rsid w:val="007E4B76"/>
    <w:rsid w:val="007E5EA8"/>
    <w:rsid w:val="007E7DA1"/>
    <w:rsid w:val="007F0CF1"/>
    <w:rsid w:val="007F12A5"/>
    <w:rsid w:val="007F4CF1"/>
    <w:rsid w:val="007F758D"/>
    <w:rsid w:val="007F7D52"/>
    <w:rsid w:val="008042A4"/>
    <w:rsid w:val="0080654C"/>
    <w:rsid w:val="008071C6"/>
    <w:rsid w:val="0081116B"/>
    <w:rsid w:val="00817A00"/>
    <w:rsid w:val="00817E36"/>
    <w:rsid w:val="00820EC5"/>
    <w:rsid w:val="00831018"/>
    <w:rsid w:val="00835DB3"/>
    <w:rsid w:val="0083617B"/>
    <w:rsid w:val="008371BD"/>
    <w:rsid w:val="00837DEB"/>
    <w:rsid w:val="008504A8"/>
    <w:rsid w:val="0085282E"/>
    <w:rsid w:val="00852A8A"/>
    <w:rsid w:val="00863B41"/>
    <w:rsid w:val="00865902"/>
    <w:rsid w:val="0086649F"/>
    <w:rsid w:val="00867E9C"/>
    <w:rsid w:val="008706CA"/>
    <w:rsid w:val="0087198C"/>
    <w:rsid w:val="00872C1F"/>
    <w:rsid w:val="0087343F"/>
    <w:rsid w:val="00873B42"/>
    <w:rsid w:val="00877725"/>
    <w:rsid w:val="008856D8"/>
    <w:rsid w:val="00892E82"/>
    <w:rsid w:val="008961AC"/>
    <w:rsid w:val="008A1116"/>
    <w:rsid w:val="008B7EFF"/>
    <w:rsid w:val="008C1B58"/>
    <w:rsid w:val="008C1F11"/>
    <w:rsid w:val="008C39AE"/>
    <w:rsid w:val="008C431F"/>
    <w:rsid w:val="008C590D"/>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C4D"/>
    <w:rsid w:val="00920596"/>
    <w:rsid w:val="00920AB8"/>
    <w:rsid w:val="009213E0"/>
    <w:rsid w:val="00924085"/>
    <w:rsid w:val="009279DE"/>
    <w:rsid w:val="00930116"/>
    <w:rsid w:val="009352EE"/>
    <w:rsid w:val="0093678E"/>
    <w:rsid w:val="0094212C"/>
    <w:rsid w:val="00942D07"/>
    <w:rsid w:val="00954689"/>
    <w:rsid w:val="009552D8"/>
    <w:rsid w:val="009604BF"/>
    <w:rsid w:val="009617C9"/>
    <w:rsid w:val="00961C93"/>
    <w:rsid w:val="00962F1B"/>
    <w:rsid w:val="00963004"/>
    <w:rsid w:val="00965324"/>
    <w:rsid w:val="009673C3"/>
    <w:rsid w:val="00967716"/>
    <w:rsid w:val="0097091E"/>
    <w:rsid w:val="00975D0E"/>
    <w:rsid w:val="009760D3"/>
    <w:rsid w:val="00977132"/>
    <w:rsid w:val="00981A4B"/>
    <w:rsid w:val="00982501"/>
    <w:rsid w:val="0098408D"/>
    <w:rsid w:val="009877D3"/>
    <w:rsid w:val="00994E8F"/>
    <w:rsid w:val="009951DC"/>
    <w:rsid w:val="009959BB"/>
    <w:rsid w:val="00997158"/>
    <w:rsid w:val="009A3A7C"/>
    <w:rsid w:val="009B2ADB"/>
    <w:rsid w:val="009B603A"/>
    <w:rsid w:val="009B787B"/>
    <w:rsid w:val="009C0284"/>
    <w:rsid w:val="009C2D0E"/>
    <w:rsid w:val="009C3DAC"/>
    <w:rsid w:val="009C421D"/>
    <w:rsid w:val="009C42E0"/>
    <w:rsid w:val="009C79D6"/>
    <w:rsid w:val="009D2AAF"/>
    <w:rsid w:val="009D5362"/>
    <w:rsid w:val="009E1415"/>
    <w:rsid w:val="009E5909"/>
    <w:rsid w:val="009E6116"/>
    <w:rsid w:val="009F4BC8"/>
    <w:rsid w:val="00A02E43"/>
    <w:rsid w:val="00A065F9"/>
    <w:rsid w:val="00A07F34"/>
    <w:rsid w:val="00A1013E"/>
    <w:rsid w:val="00A10F0E"/>
    <w:rsid w:val="00A17D4E"/>
    <w:rsid w:val="00A22154"/>
    <w:rsid w:val="00A23290"/>
    <w:rsid w:val="00A25C38"/>
    <w:rsid w:val="00A36BBE"/>
    <w:rsid w:val="00A37E92"/>
    <w:rsid w:val="00A406AA"/>
    <w:rsid w:val="00A4307A"/>
    <w:rsid w:val="00A47EBB"/>
    <w:rsid w:val="00A505D0"/>
    <w:rsid w:val="00A51CDD"/>
    <w:rsid w:val="00A528C3"/>
    <w:rsid w:val="00A57EDC"/>
    <w:rsid w:val="00A6161D"/>
    <w:rsid w:val="00A6304A"/>
    <w:rsid w:val="00A65C4E"/>
    <w:rsid w:val="00A6730D"/>
    <w:rsid w:val="00A71625"/>
    <w:rsid w:val="00A71B9B"/>
    <w:rsid w:val="00A751C7"/>
    <w:rsid w:val="00A82006"/>
    <w:rsid w:val="00A86B4A"/>
    <w:rsid w:val="00A87844"/>
    <w:rsid w:val="00A9083A"/>
    <w:rsid w:val="00AA038C"/>
    <w:rsid w:val="00AA20CE"/>
    <w:rsid w:val="00AA2AC1"/>
    <w:rsid w:val="00AA7A09"/>
    <w:rsid w:val="00AB3B50"/>
    <w:rsid w:val="00AC05B1"/>
    <w:rsid w:val="00AC1038"/>
    <w:rsid w:val="00AD168E"/>
    <w:rsid w:val="00AD356C"/>
    <w:rsid w:val="00AE2914"/>
    <w:rsid w:val="00AE6D15"/>
    <w:rsid w:val="00AF0422"/>
    <w:rsid w:val="00B0046E"/>
    <w:rsid w:val="00B04182"/>
    <w:rsid w:val="00B07AE3"/>
    <w:rsid w:val="00B11430"/>
    <w:rsid w:val="00B17459"/>
    <w:rsid w:val="00B21FC4"/>
    <w:rsid w:val="00B30705"/>
    <w:rsid w:val="00B30F2D"/>
    <w:rsid w:val="00B353EB"/>
    <w:rsid w:val="00B3786B"/>
    <w:rsid w:val="00B439AB"/>
    <w:rsid w:val="00B439C4"/>
    <w:rsid w:val="00B43CCC"/>
    <w:rsid w:val="00B4535E"/>
    <w:rsid w:val="00B528DF"/>
    <w:rsid w:val="00B52A8C"/>
    <w:rsid w:val="00B531EE"/>
    <w:rsid w:val="00B636A8"/>
    <w:rsid w:val="00B665C6"/>
    <w:rsid w:val="00B73CD5"/>
    <w:rsid w:val="00B805AF"/>
    <w:rsid w:val="00B824F3"/>
    <w:rsid w:val="00B83EF5"/>
    <w:rsid w:val="00B869EC"/>
    <w:rsid w:val="00B9397A"/>
    <w:rsid w:val="00B9633D"/>
    <w:rsid w:val="00BA2EBE"/>
    <w:rsid w:val="00BB0F28"/>
    <w:rsid w:val="00BB1332"/>
    <w:rsid w:val="00BB3479"/>
    <w:rsid w:val="00BB458A"/>
    <w:rsid w:val="00BB5582"/>
    <w:rsid w:val="00BB71AF"/>
    <w:rsid w:val="00BC58F4"/>
    <w:rsid w:val="00BC6824"/>
    <w:rsid w:val="00BD00D3"/>
    <w:rsid w:val="00BD1659"/>
    <w:rsid w:val="00BD3AA9"/>
    <w:rsid w:val="00BD4A18"/>
    <w:rsid w:val="00BD6DB2"/>
    <w:rsid w:val="00BE11A5"/>
    <w:rsid w:val="00BE11CF"/>
    <w:rsid w:val="00BE21AB"/>
    <w:rsid w:val="00BE55CB"/>
    <w:rsid w:val="00BF0ED2"/>
    <w:rsid w:val="00BF100C"/>
    <w:rsid w:val="00BF1588"/>
    <w:rsid w:val="00BF3800"/>
    <w:rsid w:val="00BF617A"/>
    <w:rsid w:val="00C01411"/>
    <w:rsid w:val="00C03330"/>
    <w:rsid w:val="00C0379D"/>
    <w:rsid w:val="00C03931"/>
    <w:rsid w:val="00C05FE3"/>
    <w:rsid w:val="00C17E9C"/>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4095D"/>
    <w:rsid w:val="00C44203"/>
    <w:rsid w:val="00C50F1A"/>
    <w:rsid w:val="00C601D2"/>
    <w:rsid w:val="00C62698"/>
    <w:rsid w:val="00C657AB"/>
    <w:rsid w:val="00C65BCC"/>
    <w:rsid w:val="00C66970"/>
    <w:rsid w:val="00C766E4"/>
    <w:rsid w:val="00C8691C"/>
    <w:rsid w:val="00C920BB"/>
    <w:rsid w:val="00CA168A"/>
    <w:rsid w:val="00CA2AB4"/>
    <w:rsid w:val="00CA357E"/>
    <w:rsid w:val="00CA44F9"/>
    <w:rsid w:val="00CA4A69"/>
    <w:rsid w:val="00CA5C47"/>
    <w:rsid w:val="00CB1C05"/>
    <w:rsid w:val="00CB6161"/>
    <w:rsid w:val="00CC3E0C"/>
    <w:rsid w:val="00CC58D3"/>
    <w:rsid w:val="00CC784D"/>
    <w:rsid w:val="00CD28E4"/>
    <w:rsid w:val="00CD48B1"/>
    <w:rsid w:val="00CE2F8B"/>
    <w:rsid w:val="00CF1BA4"/>
    <w:rsid w:val="00CF3F8F"/>
    <w:rsid w:val="00D0337B"/>
    <w:rsid w:val="00D07990"/>
    <w:rsid w:val="00D079B2"/>
    <w:rsid w:val="00D114E9"/>
    <w:rsid w:val="00D11F0A"/>
    <w:rsid w:val="00D175E8"/>
    <w:rsid w:val="00D31F2E"/>
    <w:rsid w:val="00D32DD9"/>
    <w:rsid w:val="00D338E2"/>
    <w:rsid w:val="00D35371"/>
    <w:rsid w:val="00D412FB"/>
    <w:rsid w:val="00D429C6"/>
    <w:rsid w:val="00D45289"/>
    <w:rsid w:val="00D47748"/>
    <w:rsid w:val="00D53AA1"/>
    <w:rsid w:val="00D54CC3"/>
    <w:rsid w:val="00D5735A"/>
    <w:rsid w:val="00D6041A"/>
    <w:rsid w:val="00D61149"/>
    <w:rsid w:val="00D6225F"/>
    <w:rsid w:val="00D633EB"/>
    <w:rsid w:val="00D75194"/>
    <w:rsid w:val="00D82939"/>
    <w:rsid w:val="00D82FF7"/>
    <w:rsid w:val="00D847FE"/>
    <w:rsid w:val="00D85D7E"/>
    <w:rsid w:val="00D87177"/>
    <w:rsid w:val="00D877D9"/>
    <w:rsid w:val="00D87F72"/>
    <w:rsid w:val="00D91986"/>
    <w:rsid w:val="00D9243D"/>
    <w:rsid w:val="00D964EA"/>
    <w:rsid w:val="00D966D0"/>
    <w:rsid w:val="00DA0C59"/>
    <w:rsid w:val="00DA2593"/>
    <w:rsid w:val="00DA3991"/>
    <w:rsid w:val="00DB01D2"/>
    <w:rsid w:val="00DB1D39"/>
    <w:rsid w:val="00DB7E6C"/>
    <w:rsid w:val="00DD108D"/>
    <w:rsid w:val="00DD13B8"/>
    <w:rsid w:val="00DD5A29"/>
    <w:rsid w:val="00DD5D9D"/>
    <w:rsid w:val="00DE1A46"/>
    <w:rsid w:val="00DE35CB"/>
    <w:rsid w:val="00DF067D"/>
    <w:rsid w:val="00DF21E9"/>
    <w:rsid w:val="00DF2F9A"/>
    <w:rsid w:val="00DF3ECA"/>
    <w:rsid w:val="00E00325"/>
    <w:rsid w:val="00E00684"/>
    <w:rsid w:val="00E00F14"/>
    <w:rsid w:val="00E06386"/>
    <w:rsid w:val="00E11943"/>
    <w:rsid w:val="00E1217C"/>
    <w:rsid w:val="00E16540"/>
    <w:rsid w:val="00E17EAB"/>
    <w:rsid w:val="00E208AD"/>
    <w:rsid w:val="00E21912"/>
    <w:rsid w:val="00E24EB4"/>
    <w:rsid w:val="00E31395"/>
    <w:rsid w:val="00E320ED"/>
    <w:rsid w:val="00E3270B"/>
    <w:rsid w:val="00E33AFB"/>
    <w:rsid w:val="00E34218"/>
    <w:rsid w:val="00E3476E"/>
    <w:rsid w:val="00E46282"/>
    <w:rsid w:val="00E5216E"/>
    <w:rsid w:val="00E62448"/>
    <w:rsid w:val="00E717C6"/>
    <w:rsid w:val="00E82344"/>
    <w:rsid w:val="00E84C82"/>
    <w:rsid w:val="00E84D64"/>
    <w:rsid w:val="00E85CF2"/>
    <w:rsid w:val="00E8638F"/>
    <w:rsid w:val="00E87408"/>
    <w:rsid w:val="00E914C4"/>
    <w:rsid w:val="00E934F5"/>
    <w:rsid w:val="00E95024"/>
    <w:rsid w:val="00E96961"/>
    <w:rsid w:val="00EA3FB3"/>
    <w:rsid w:val="00EA72EC"/>
    <w:rsid w:val="00EB11CB"/>
    <w:rsid w:val="00EB275A"/>
    <w:rsid w:val="00EB786A"/>
    <w:rsid w:val="00EC1578"/>
    <w:rsid w:val="00EC1C72"/>
    <w:rsid w:val="00EC3CC9"/>
    <w:rsid w:val="00EC680A"/>
    <w:rsid w:val="00EC6E0A"/>
    <w:rsid w:val="00ED3C58"/>
    <w:rsid w:val="00EE2BED"/>
    <w:rsid w:val="00EE374B"/>
    <w:rsid w:val="00EE3B5E"/>
    <w:rsid w:val="00EF7E90"/>
    <w:rsid w:val="00F005D2"/>
    <w:rsid w:val="00F11BB5"/>
    <w:rsid w:val="00F1417B"/>
    <w:rsid w:val="00F21272"/>
    <w:rsid w:val="00F216CB"/>
    <w:rsid w:val="00F34B99"/>
    <w:rsid w:val="00F35D8B"/>
    <w:rsid w:val="00F52DAB"/>
    <w:rsid w:val="00F543F0"/>
    <w:rsid w:val="00F6004E"/>
    <w:rsid w:val="00F704D7"/>
    <w:rsid w:val="00F7649B"/>
    <w:rsid w:val="00F7776E"/>
    <w:rsid w:val="00F81D29"/>
    <w:rsid w:val="00F8294E"/>
    <w:rsid w:val="00F8585D"/>
    <w:rsid w:val="00F861CF"/>
    <w:rsid w:val="00F86F7A"/>
    <w:rsid w:val="00F91C4D"/>
    <w:rsid w:val="00F92FD9"/>
    <w:rsid w:val="00FA6684"/>
    <w:rsid w:val="00FA731E"/>
    <w:rsid w:val="00FA75C4"/>
    <w:rsid w:val="00FB2B38"/>
    <w:rsid w:val="00FB6804"/>
    <w:rsid w:val="00FC6358"/>
    <w:rsid w:val="00FD28AD"/>
    <w:rsid w:val="00FD320D"/>
    <w:rsid w:val="00FD7613"/>
    <w:rsid w:val="00FE23DE"/>
    <w:rsid w:val="00FF3977"/>
    <w:rsid w:val="00FF4AB6"/>
    <w:rsid w:val="00FF615F"/>
    <w:rsid w:val="01074428"/>
    <w:rsid w:val="01547D6B"/>
    <w:rsid w:val="01785D9B"/>
    <w:rsid w:val="01C65DFC"/>
    <w:rsid w:val="025E17A9"/>
    <w:rsid w:val="02AF59BB"/>
    <w:rsid w:val="032F5C2F"/>
    <w:rsid w:val="033C5E11"/>
    <w:rsid w:val="033D37D1"/>
    <w:rsid w:val="034F1057"/>
    <w:rsid w:val="03CE50C4"/>
    <w:rsid w:val="044067DF"/>
    <w:rsid w:val="044079D0"/>
    <w:rsid w:val="04502F45"/>
    <w:rsid w:val="046205DC"/>
    <w:rsid w:val="047A5D6D"/>
    <w:rsid w:val="048A6440"/>
    <w:rsid w:val="05175584"/>
    <w:rsid w:val="052315C2"/>
    <w:rsid w:val="0580673A"/>
    <w:rsid w:val="058D6240"/>
    <w:rsid w:val="05D979FD"/>
    <w:rsid w:val="06324B68"/>
    <w:rsid w:val="063F196E"/>
    <w:rsid w:val="06853EAC"/>
    <w:rsid w:val="068625B4"/>
    <w:rsid w:val="06C75059"/>
    <w:rsid w:val="06ED06ED"/>
    <w:rsid w:val="07012D20"/>
    <w:rsid w:val="075236A2"/>
    <w:rsid w:val="078E6D42"/>
    <w:rsid w:val="07C3219B"/>
    <w:rsid w:val="07E26747"/>
    <w:rsid w:val="07E66850"/>
    <w:rsid w:val="07F11706"/>
    <w:rsid w:val="07F16D53"/>
    <w:rsid w:val="07F316BF"/>
    <w:rsid w:val="08240245"/>
    <w:rsid w:val="08341F25"/>
    <w:rsid w:val="0858376D"/>
    <w:rsid w:val="08911A08"/>
    <w:rsid w:val="08A30BD9"/>
    <w:rsid w:val="08F140F3"/>
    <w:rsid w:val="094957A4"/>
    <w:rsid w:val="099A29F6"/>
    <w:rsid w:val="09B27034"/>
    <w:rsid w:val="09C423F8"/>
    <w:rsid w:val="09CE4DC2"/>
    <w:rsid w:val="09D57451"/>
    <w:rsid w:val="0A5C3089"/>
    <w:rsid w:val="0A9A7709"/>
    <w:rsid w:val="0ABF6C52"/>
    <w:rsid w:val="0AC10B29"/>
    <w:rsid w:val="0AF5724F"/>
    <w:rsid w:val="0B0260F6"/>
    <w:rsid w:val="0B351BD5"/>
    <w:rsid w:val="0B5D68CC"/>
    <w:rsid w:val="0B943771"/>
    <w:rsid w:val="0B994268"/>
    <w:rsid w:val="0BD447EA"/>
    <w:rsid w:val="0BE521AA"/>
    <w:rsid w:val="0C671BB7"/>
    <w:rsid w:val="0C754E18"/>
    <w:rsid w:val="0CEC1C44"/>
    <w:rsid w:val="0CEC5348"/>
    <w:rsid w:val="0D0824A1"/>
    <w:rsid w:val="0D7F0CB8"/>
    <w:rsid w:val="0D835C1B"/>
    <w:rsid w:val="0DD45756"/>
    <w:rsid w:val="0DEB4712"/>
    <w:rsid w:val="0E5C2B08"/>
    <w:rsid w:val="0E6C4231"/>
    <w:rsid w:val="0E9425D7"/>
    <w:rsid w:val="0EB00F2F"/>
    <w:rsid w:val="0EFF51A9"/>
    <w:rsid w:val="0F163A6F"/>
    <w:rsid w:val="0F39181C"/>
    <w:rsid w:val="0F490B7B"/>
    <w:rsid w:val="0F4D6A3D"/>
    <w:rsid w:val="0F583E34"/>
    <w:rsid w:val="0F7673E6"/>
    <w:rsid w:val="0FD94FBB"/>
    <w:rsid w:val="0FFB7AAC"/>
    <w:rsid w:val="100722F9"/>
    <w:rsid w:val="1015718D"/>
    <w:rsid w:val="102608F5"/>
    <w:rsid w:val="10891024"/>
    <w:rsid w:val="11164A2A"/>
    <w:rsid w:val="115B7A5D"/>
    <w:rsid w:val="116E0F0A"/>
    <w:rsid w:val="117076BE"/>
    <w:rsid w:val="1176543F"/>
    <w:rsid w:val="11957523"/>
    <w:rsid w:val="11C57572"/>
    <w:rsid w:val="11CA4098"/>
    <w:rsid w:val="11CD5C11"/>
    <w:rsid w:val="121C3C6A"/>
    <w:rsid w:val="122F7668"/>
    <w:rsid w:val="12574288"/>
    <w:rsid w:val="12A01F3F"/>
    <w:rsid w:val="12AF078B"/>
    <w:rsid w:val="12D01B4F"/>
    <w:rsid w:val="12DF18E3"/>
    <w:rsid w:val="130F04B7"/>
    <w:rsid w:val="1336404B"/>
    <w:rsid w:val="13473B89"/>
    <w:rsid w:val="13A0427C"/>
    <w:rsid w:val="13B62C21"/>
    <w:rsid w:val="1402574B"/>
    <w:rsid w:val="14142DAD"/>
    <w:rsid w:val="14823275"/>
    <w:rsid w:val="14942A02"/>
    <w:rsid w:val="14DD5103"/>
    <w:rsid w:val="152A56C9"/>
    <w:rsid w:val="152B34FF"/>
    <w:rsid w:val="155B6799"/>
    <w:rsid w:val="1574406A"/>
    <w:rsid w:val="158D360F"/>
    <w:rsid w:val="15A069F5"/>
    <w:rsid w:val="15C713BF"/>
    <w:rsid w:val="15D70B04"/>
    <w:rsid w:val="15E000A5"/>
    <w:rsid w:val="1626489C"/>
    <w:rsid w:val="16713D93"/>
    <w:rsid w:val="1692242B"/>
    <w:rsid w:val="169B25D0"/>
    <w:rsid w:val="16A351E6"/>
    <w:rsid w:val="16BA246A"/>
    <w:rsid w:val="16F740BE"/>
    <w:rsid w:val="17183164"/>
    <w:rsid w:val="171B2F7A"/>
    <w:rsid w:val="173F2519"/>
    <w:rsid w:val="176D4FD8"/>
    <w:rsid w:val="17886A73"/>
    <w:rsid w:val="179E211C"/>
    <w:rsid w:val="17CB5B86"/>
    <w:rsid w:val="17D17533"/>
    <w:rsid w:val="1816519E"/>
    <w:rsid w:val="181E1746"/>
    <w:rsid w:val="189D0BBC"/>
    <w:rsid w:val="18E717D1"/>
    <w:rsid w:val="190679EA"/>
    <w:rsid w:val="190E02A3"/>
    <w:rsid w:val="190E5F2F"/>
    <w:rsid w:val="195A6500"/>
    <w:rsid w:val="19721C0B"/>
    <w:rsid w:val="19BD4D99"/>
    <w:rsid w:val="19BF1B60"/>
    <w:rsid w:val="19C40AE8"/>
    <w:rsid w:val="1A032FF7"/>
    <w:rsid w:val="1A0F7C6F"/>
    <w:rsid w:val="1A151FD4"/>
    <w:rsid w:val="1A27127B"/>
    <w:rsid w:val="1A452ED0"/>
    <w:rsid w:val="1A5D5824"/>
    <w:rsid w:val="1A8E4611"/>
    <w:rsid w:val="1A933A30"/>
    <w:rsid w:val="1ADC1605"/>
    <w:rsid w:val="1AFB6D86"/>
    <w:rsid w:val="1B546048"/>
    <w:rsid w:val="1B5B322D"/>
    <w:rsid w:val="1B855AAC"/>
    <w:rsid w:val="1B9505D7"/>
    <w:rsid w:val="1B9D6637"/>
    <w:rsid w:val="1BB86A80"/>
    <w:rsid w:val="1BEF4653"/>
    <w:rsid w:val="1C024B99"/>
    <w:rsid w:val="1C2B4A2D"/>
    <w:rsid w:val="1C690D90"/>
    <w:rsid w:val="1C8D2D57"/>
    <w:rsid w:val="1CAD6963"/>
    <w:rsid w:val="1CB7775A"/>
    <w:rsid w:val="1CD75C4A"/>
    <w:rsid w:val="1D020E4C"/>
    <w:rsid w:val="1D371D71"/>
    <w:rsid w:val="1D436EA3"/>
    <w:rsid w:val="1D7502B2"/>
    <w:rsid w:val="1DA00AE3"/>
    <w:rsid w:val="1DB95428"/>
    <w:rsid w:val="1DD362AA"/>
    <w:rsid w:val="1E015151"/>
    <w:rsid w:val="1E3627DF"/>
    <w:rsid w:val="1E636513"/>
    <w:rsid w:val="1E7A0881"/>
    <w:rsid w:val="1EA17D49"/>
    <w:rsid w:val="1ECA7071"/>
    <w:rsid w:val="1F0639E9"/>
    <w:rsid w:val="1F572990"/>
    <w:rsid w:val="1FA674A8"/>
    <w:rsid w:val="1FB2622D"/>
    <w:rsid w:val="1FB555C8"/>
    <w:rsid w:val="1FBD552E"/>
    <w:rsid w:val="1FC7340B"/>
    <w:rsid w:val="2010417C"/>
    <w:rsid w:val="201D38D8"/>
    <w:rsid w:val="20B25FCE"/>
    <w:rsid w:val="20BB72A3"/>
    <w:rsid w:val="20CA1119"/>
    <w:rsid w:val="212B1697"/>
    <w:rsid w:val="215A6510"/>
    <w:rsid w:val="219D6374"/>
    <w:rsid w:val="219E64B9"/>
    <w:rsid w:val="21A53745"/>
    <w:rsid w:val="21BB646C"/>
    <w:rsid w:val="21BE4E21"/>
    <w:rsid w:val="220A2FEC"/>
    <w:rsid w:val="228918CB"/>
    <w:rsid w:val="229739E8"/>
    <w:rsid w:val="22A5229B"/>
    <w:rsid w:val="22B6774D"/>
    <w:rsid w:val="22D00E09"/>
    <w:rsid w:val="22D07DE5"/>
    <w:rsid w:val="234A4E97"/>
    <w:rsid w:val="23501C03"/>
    <w:rsid w:val="23866B1B"/>
    <w:rsid w:val="238B5297"/>
    <w:rsid w:val="23B83477"/>
    <w:rsid w:val="23F75DA9"/>
    <w:rsid w:val="2407233A"/>
    <w:rsid w:val="242511B4"/>
    <w:rsid w:val="243709AE"/>
    <w:rsid w:val="24506FEB"/>
    <w:rsid w:val="245F2468"/>
    <w:rsid w:val="24777930"/>
    <w:rsid w:val="248D289C"/>
    <w:rsid w:val="24904DBB"/>
    <w:rsid w:val="24B900AB"/>
    <w:rsid w:val="251E57FC"/>
    <w:rsid w:val="25645EC6"/>
    <w:rsid w:val="25656F5A"/>
    <w:rsid w:val="25842856"/>
    <w:rsid w:val="25A6193F"/>
    <w:rsid w:val="25E26A71"/>
    <w:rsid w:val="260F1C89"/>
    <w:rsid w:val="26285BE4"/>
    <w:rsid w:val="2663105E"/>
    <w:rsid w:val="26A33800"/>
    <w:rsid w:val="26A668FD"/>
    <w:rsid w:val="27207D1E"/>
    <w:rsid w:val="2728014E"/>
    <w:rsid w:val="272A3DC5"/>
    <w:rsid w:val="275447B5"/>
    <w:rsid w:val="2758574D"/>
    <w:rsid w:val="27775ABA"/>
    <w:rsid w:val="279A68A6"/>
    <w:rsid w:val="27C13418"/>
    <w:rsid w:val="27C17E95"/>
    <w:rsid w:val="27E601CE"/>
    <w:rsid w:val="27F974FE"/>
    <w:rsid w:val="285E4A3D"/>
    <w:rsid w:val="286E26D9"/>
    <w:rsid w:val="28981E30"/>
    <w:rsid w:val="289E2684"/>
    <w:rsid w:val="28BC4AAE"/>
    <w:rsid w:val="28F10AE6"/>
    <w:rsid w:val="29005643"/>
    <w:rsid w:val="29007408"/>
    <w:rsid w:val="29436844"/>
    <w:rsid w:val="29525F43"/>
    <w:rsid w:val="29B615DA"/>
    <w:rsid w:val="29CB34BB"/>
    <w:rsid w:val="2AB1392C"/>
    <w:rsid w:val="2B1677A2"/>
    <w:rsid w:val="2B2C0FA3"/>
    <w:rsid w:val="2B3F2ED9"/>
    <w:rsid w:val="2B597F6C"/>
    <w:rsid w:val="2B671774"/>
    <w:rsid w:val="2B6B7387"/>
    <w:rsid w:val="2B967FD9"/>
    <w:rsid w:val="2BAE3439"/>
    <w:rsid w:val="2BB86BEC"/>
    <w:rsid w:val="2BCA75B8"/>
    <w:rsid w:val="2BD90C89"/>
    <w:rsid w:val="2C3C4557"/>
    <w:rsid w:val="2C5507A4"/>
    <w:rsid w:val="2C566B43"/>
    <w:rsid w:val="2C6258F4"/>
    <w:rsid w:val="2C7F6D20"/>
    <w:rsid w:val="2C8D7095"/>
    <w:rsid w:val="2CA77004"/>
    <w:rsid w:val="2CAF424B"/>
    <w:rsid w:val="2CC27532"/>
    <w:rsid w:val="2CD32DFA"/>
    <w:rsid w:val="2CF86D7F"/>
    <w:rsid w:val="2DC120C6"/>
    <w:rsid w:val="2DD96FF6"/>
    <w:rsid w:val="2DED1E76"/>
    <w:rsid w:val="2E1B2C9B"/>
    <w:rsid w:val="2E4634E1"/>
    <w:rsid w:val="2E476241"/>
    <w:rsid w:val="2EA92741"/>
    <w:rsid w:val="2F2972E8"/>
    <w:rsid w:val="2F321787"/>
    <w:rsid w:val="2F582328"/>
    <w:rsid w:val="2F684D83"/>
    <w:rsid w:val="2FA81A87"/>
    <w:rsid w:val="2FBA602C"/>
    <w:rsid w:val="2FC5318D"/>
    <w:rsid w:val="2FD86310"/>
    <w:rsid w:val="30540DBB"/>
    <w:rsid w:val="305C7444"/>
    <w:rsid w:val="307309DA"/>
    <w:rsid w:val="308519FC"/>
    <w:rsid w:val="308F3138"/>
    <w:rsid w:val="30983C27"/>
    <w:rsid w:val="30D12E91"/>
    <w:rsid w:val="30FB2512"/>
    <w:rsid w:val="31454DF1"/>
    <w:rsid w:val="3192731B"/>
    <w:rsid w:val="31A52F6E"/>
    <w:rsid w:val="321E7A75"/>
    <w:rsid w:val="323066C5"/>
    <w:rsid w:val="325C00B5"/>
    <w:rsid w:val="32601FAB"/>
    <w:rsid w:val="32B0416E"/>
    <w:rsid w:val="32CD4B1D"/>
    <w:rsid w:val="32FD0B48"/>
    <w:rsid w:val="330B7F2F"/>
    <w:rsid w:val="334B5ACD"/>
    <w:rsid w:val="336E531C"/>
    <w:rsid w:val="338B3C68"/>
    <w:rsid w:val="338D2F41"/>
    <w:rsid w:val="33AC7881"/>
    <w:rsid w:val="34146EE9"/>
    <w:rsid w:val="341D45B5"/>
    <w:rsid w:val="342A0608"/>
    <w:rsid w:val="34320032"/>
    <w:rsid w:val="3438113D"/>
    <w:rsid w:val="343E2EB2"/>
    <w:rsid w:val="348B5DE1"/>
    <w:rsid w:val="348E6718"/>
    <w:rsid w:val="34C61D14"/>
    <w:rsid w:val="3505522A"/>
    <w:rsid w:val="3522456F"/>
    <w:rsid w:val="35370042"/>
    <w:rsid w:val="35AD4019"/>
    <w:rsid w:val="35B05892"/>
    <w:rsid w:val="35F96BDD"/>
    <w:rsid w:val="36474CB1"/>
    <w:rsid w:val="364A1F47"/>
    <w:rsid w:val="367A0B01"/>
    <w:rsid w:val="368D37A4"/>
    <w:rsid w:val="36AE4ED5"/>
    <w:rsid w:val="36E94F23"/>
    <w:rsid w:val="36F64A15"/>
    <w:rsid w:val="37720514"/>
    <w:rsid w:val="37C624D9"/>
    <w:rsid w:val="37D6117A"/>
    <w:rsid w:val="37ED2937"/>
    <w:rsid w:val="37F27663"/>
    <w:rsid w:val="384546AC"/>
    <w:rsid w:val="3846569B"/>
    <w:rsid w:val="38605909"/>
    <w:rsid w:val="389E5AD4"/>
    <w:rsid w:val="38E35C95"/>
    <w:rsid w:val="390219C2"/>
    <w:rsid w:val="39043021"/>
    <w:rsid w:val="3912283A"/>
    <w:rsid w:val="39234EF4"/>
    <w:rsid w:val="395976B0"/>
    <w:rsid w:val="39B41FDE"/>
    <w:rsid w:val="39C4031C"/>
    <w:rsid w:val="39C739F8"/>
    <w:rsid w:val="39E53DC3"/>
    <w:rsid w:val="3A1074BD"/>
    <w:rsid w:val="3A2C5CC1"/>
    <w:rsid w:val="3A3D35FA"/>
    <w:rsid w:val="3A576091"/>
    <w:rsid w:val="3A5B48E4"/>
    <w:rsid w:val="3A6556B1"/>
    <w:rsid w:val="3A89160F"/>
    <w:rsid w:val="3A8A53D7"/>
    <w:rsid w:val="3A9F67E7"/>
    <w:rsid w:val="3AAB6548"/>
    <w:rsid w:val="3AD825F7"/>
    <w:rsid w:val="3ADA252C"/>
    <w:rsid w:val="3AE72AB7"/>
    <w:rsid w:val="3B2516E7"/>
    <w:rsid w:val="3B2B4556"/>
    <w:rsid w:val="3B3027C4"/>
    <w:rsid w:val="3B433799"/>
    <w:rsid w:val="3B7001FC"/>
    <w:rsid w:val="3BB67D39"/>
    <w:rsid w:val="3BBE2857"/>
    <w:rsid w:val="3BBE39CD"/>
    <w:rsid w:val="3BC67E24"/>
    <w:rsid w:val="3C1D4CA5"/>
    <w:rsid w:val="3C2F46D2"/>
    <w:rsid w:val="3C96009E"/>
    <w:rsid w:val="3C97666E"/>
    <w:rsid w:val="3CFB11C0"/>
    <w:rsid w:val="3D180776"/>
    <w:rsid w:val="3D443A33"/>
    <w:rsid w:val="3D5B1B0F"/>
    <w:rsid w:val="3DB9452E"/>
    <w:rsid w:val="3DF23E59"/>
    <w:rsid w:val="3E3109AA"/>
    <w:rsid w:val="3E66401B"/>
    <w:rsid w:val="3E966B57"/>
    <w:rsid w:val="3EA7188F"/>
    <w:rsid w:val="3F2F06EA"/>
    <w:rsid w:val="3F972FEF"/>
    <w:rsid w:val="3FAC5F9A"/>
    <w:rsid w:val="3FDE4479"/>
    <w:rsid w:val="403F1243"/>
    <w:rsid w:val="4048155E"/>
    <w:rsid w:val="404D4792"/>
    <w:rsid w:val="408503AB"/>
    <w:rsid w:val="40B55762"/>
    <w:rsid w:val="40C7148D"/>
    <w:rsid w:val="417334B1"/>
    <w:rsid w:val="418612DB"/>
    <w:rsid w:val="418C66D9"/>
    <w:rsid w:val="41C13B4E"/>
    <w:rsid w:val="41E62294"/>
    <w:rsid w:val="41E7409E"/>
    <w:rsid w:val="42244C13"/>
    <w:rsid w:val="422C204E"/>
    <w:rsid w:val="42324FC8"/>
    <w:rsid w:val="42442980"/>
    <w:rsid w:val="4267730F"/>
    <w:rsid w:val="427D67B9"/>
    <w:rsid w:val="42AE2D62"/>
    <w:rsid w:val="42AE5A9C"/>
    <w:rsid w:val="42B913C3"/>
    <w:rsid w:val="42DA3846"/>
    <w:rsid w:val="42E15CC3"/>
    <w:rsid w:val="430351BD"/>
    <w:rsid w:val="434642F4"/>
    <w:rsid w:val="437F086D"/>
    <w:rsid w:val="43893DB3"/>
    <w:rsid w:val="438E69B3"/>
    <w:rsid w:val="43EB4550"/>
    <w:rsid w:val="43EF6303"/>
    <w:rsid w:val="440601E3"/>
    <w:rsid w:val="440E3772"/>
    <w:rsid w:val="4486578F"/>
    <w:rsid w:val="452705C0"/>
    <w:rsid w:val="455C4166"/>
    <w:rsid w:val="45696D9A"/>
    <w:rsid w:val="458A2682"/>
    <w:rsid w:val="45AE131F"/>
    <w:rsid w:val="45B23F67"/>
    <w:rsid w:val="45C96982"/>
    <w:rsid w:val="45D51E02"/>
    <w:rsid w:val="4611444F"/>
    <w:rsid w:val="462016B6"/>
    <w:rsid w:val="46216B92"/>
    <w:rsid w:val="46446E01"/>
    <w:rsid w:val="468336D4"/>
    <w:rsid w:val="46911BD9"/>
    <w:rsid w:val="46AB7F3F"/>
    <w:rsid w:val="46D76AB4"/>
    <w:rsid w:val="47170370"/>
    <w:rsid w:val="471B693B"/>
    <w:rsid w:val="47295E8C"/>
    <w:rsid w:val="473162E0"/>
    <w:rsid w:val="475E4D43"/>
    <w:rsid w:val="476F655F"/>
    <w:rsid w:val="47A733EC"/>
    <w:rsid w:val="48040A77"/>
    <w:rsid w:val="481B532D"/>
    <w:rsid w:val="482A209D"/>
    <w:rsid w:val="48753D20"/>
    <w:rsid w:val="48822C63"/>
    <w:rsid w:val="489A7BA3"/>
    <w:rsid w:val="48B2664F"/>
    <w:rsid w:val="48F55797"/>
    <w:rsid w:val="490675D9"/>
    <w:rsid w:val="496E7C4F"/>
    <w:rsid w:val="49712FD9"/>
    <w:rsid w:val="49B50CC8"/>
    <w:rsid w:val="49D00631"/>
    <w:rsid w:val="49D46173"/>
    <w:rsid w:val="4A0837DF"/>
    <w:rsid w:val="4A095BFD"/>
    <w:rsid w:val="4A6F1A42"/>
    <w:rsid w:val="4A7216AE"/>
    <w:rsid w:val="4A795CD7"/>
    <w:rsid w:val="4AD675AB"/>
    <w:rsid w:val="4ADF7F1A"/>
    <w:rsid w:val="4AE26B3E"/>
    <w:rsid w:val="4B0C3609"/>
    <w:rsid w:val="4B4C3C3C"/>
    <w:rsid w:val="4B6B5D5E"/>
    <w:rsid w:val="4BE6584C"/>
    <w:rsid w:val="4C0B0C5A"/>
    <w:rsid w:val="4C2812E9"/>
    <w:rsid w:val="4C610905"/>
    <w:rsid w:val="4C664525"/>
    <w:rsid w:val="4C876D90"/>
    <w:rsid w:val="4CBD72C6"/>
    <w:rsid w:val="4CC96FE0"/>
    <w:rsid w:val="4CCE0681"/>
    <w:rsid w:val="4CE62402"/>
    <w:rsid w:val="4D1D16D7"/>
    <w:rsid w:val="4D62204F"/>
    <w:rsid w:val="4E5D1152"/>
    <w:rsid w:val="4E871BE7"/>
    <w:rsid w:val="4EC218D7"/>
    <w:rsid w:val="4F055989"/>
    <w:rsid w:val="4F257000"/>
    <w:rsid w:val="4F27285C"/>
    <w:rsid w:val="4F9E0605"/>
    <w:rsid w:val="4FEC1443"/>
    <w:rsid w:val="4FFB5696"/>
    <w:rsid w:val="50180D2E"/>
    <w:rsid w:val="506147B1"/>
    <w:rsid w:val="507C1952"/>
    <w:rsid w:val="50DE03B2"/>
    <w:rsid w:val="50F27F44"/>
    <w:rsid w:val="51233284"/>
    <w:rsid w:val="51A87779"/>
    <w:rsid w:val="51F30DE4"/>
    <w:rsid w:val="521F41B6"/>
    <w:rsid w:val="52627692"/>
    <w:rsid w:val="52811294"/>
    <w:rsid w:val="52AD1EEB"/>
    <w:rsid w:val="52C57969"/>
    <w:rsid w:val="52F366AF"/>
    <w:rsid w:val="53022452"/>
    <w:rsid w:val="531C512C"/>
    <w:rsid w:val="53232D50"/>
    <w:rsid w:val="534E4B81"/>
    <w:rsid w:val="53600DA6"/>
    <w:rsid w:val="536400FC"/>
    <w:rsid w:val="53736871"/>
    <w:rsid w:val="5376123C"/>
    <w:rsid w:val="537B6ABF"/>
    <w:rsid w:val="537C2F52"/>
    <w:rsid w:val="537D3E6F"/>
    <w:rsid w:val="53C62C4C"/>
    <w:rsid w:val="541539FE"/>
    <w:rsid w:val="54666CDD"/>
    <w:rsid w:val="54683DE6"/>
    <w:rsid w:val="54CF764F"/>
    <w:rsid w:val="55160500"/>
    <w:rsid w:val="55171D84"/>
    <w:rsid w:val="551808D1"/>
    <w:rsid w:val="55282B68"/>
    <w:rsid w:val="55776B26"/>
    <w:rsid w:val="55DD317A"/>
    <w:rsid w:val="56350660"/>
    <w:rsid w:val="565255A9"/>
    <w:rsid w:val="567265E5"/>
    <w:rsid w:val="56BF4FD3"/>
    <w:rsid w:val="56DC64C0"/>
    <w:rsid w:val="56F62EF8"/>
    <w:rsid w:val="573E6BC2"/>
    <w:rsid w:val="57457F43"/>
    <w:rsid w:val="5774104E"/>
    <w:rsid w:val="57A15777"/>
    <w:rsid w:val="57E03821"/>
    <w:rsid w:val="581E3966"/>
    <w:rsid w:val="58734A4B"/>
    <w:rsid w:val="58A764AA"/>
    <w:rsid w:val="58CE1718"/>
    <w:rsid w:val="58D54539"/>
    <w:rsid w:val="58F52EA7"/>
    <w:rsid w:val="58FB4D54"/>
    <w:rsid w:val="592712FE"/>
    <w:rsid w:val="59A57608"/>
    <w:rsid w:val="59BE42B3"/>
    <w:rsid w:val="59EE0815"/>
    <w:rsid w:val="5A674FB2"/>
    <w:rsid w:val="5AA24FF0"/>
    <w:rsid w:val="5AA5690D"/>
    <w:rsid w:val="5AD3421A"/>
    <w:rsid w:val="5AD55106"/>
    <w:rsid w:val="5B084578"/>
    <w:rsid w:val="5B545339"/>
    <w:rsid w:val="5B6E0573"/>
    <w:rsid w:val="5B7B5B4D"/>
    <w:rsid w:val="5BA872E3"/>
    <w:rsid w:val="5C0465C2"/>
    <w:rsid w:val="5C2226E8"/>
    <w:rsid w:val="5C4304BA"/>
    <w:rsid w:val="5C4E15E5"/>
    <w:rsid w:val="5C5B39BC"/>
    <w:rsid w:val="5CC96699"/>
    <w:rsid w:val="5CE547E4"/>
    <w:rsid w:val="5CE668C5"/>
    <w:rsid w:val="5CF11851"/>
    <w:rsid w:val="5D0532B9"/>
    <w:rsid w:val="5D1E40B4"/>
    <w:rsid w:val="5D1F4F35"/>
    <w:rsid w:val="5D2A0203"/>
    <w:rsid w:val="5D2C0B02"/>
    <w:rsid w:val="5D372F5E"/>
    <w:rsid w:val="5D42572B"/>
    <w:rsid w:val="5D7633C7"/>
    <w:rsid w:val="5D8D5302"/>
    <w:rsid w:val="5DA720F7"/>
    <w:rsid w:val="5DC801DF"/>
    <w:rsid w:val="5DCE7AD1"/>
    <w:rsid w:val="5E2B132B"/>
    <w:rsid w:val="5E2B7E95"/>
    <w:rsid w:val="5E45379C"/>
    <w:rsid w:val="5E803493"/>
    <w:rsid w:val="5E831ABC"/>
    <w:rsid w:val="5E9B2D5E"/>
    <w:rsid w:val="5EC9384E"/>
    <w:rsid w:val="5ED93125"/>
    <w:rsid w:val="5EEA0883"/>
    <w:rsid w:val="5F356FB1"/>
    <w:rsid w:val="5F9A72A7"/>
    <w:rsid w:val="5FC15874"/>
    <w:rsid w:val="5FC973E1"/>
    <w:rsid w:val="5FCC27B6"/>
    <w:rsid w:val="5FCE3931"/>
    <w:rsid w:val="5FE3598E"/>
    <w:rsid w:val="5FF02E68"/>
    <w:rsid w:val="60A7365D"/>
    <w:rsid w:val="61273440"/>
    <w:rsid w:val="61501007"/>
    <w:rsid w:val="616040FE"/>
    <w:rsid w:val="616517E2"/>
    <w:rsid w:val="61761BB9"/>
    <w:rsid w:val="61870177"/>
    <w:rsid w:val="6190090D"/>
    <w:rsid w:val="61CC75F9"/>
    <w:rsid w:val="61DB05F4"/>
    <w:rsid w:val="61DF4C8D"/>
    <w:rsid w:val="61EB5A5F"/>
    <w:rsid w:val="61F83EE4"/>
    <w:rsid w:val="62364EF5"/>
    <w:rsid w:val="6240666B"/>
    <w:rsid w:val="624B7AEC"/>
    <w:rsid w:val="627B0AAA"/>
    <w:rsid w:val="62817A92"/>
    <w:rsid w:val="62895FCC"/>
    <w:rsid w:val="62D87097"/>
    <w:rsid w:val="62D97AB9"/>
    <w:rsid w:val="62DB30C6"/>
    <w:rsid w:val="62F5104A"/>
    <w:rsid w:val="62F9058A"/>
    <w:rsid w:val="63033040"/>
    <w:rsid w:val="63104F20"/>
    <w:rsid w:val="63173049"/>
    <w:rsid w:val="63257C19"/>
    <w:rsid w:val="633F483D"/>
    <w:rsid w:val="63751DAA"/>
    <w:rsid w:val="63D1569B"/>
    <w:rsid w:val="63DB41F1"/>
    <w:rsid w:val="63F201DA"/>
    <w:rsid w:val="644B5858"/>
    <w:rsid w:val="645535A7"/>
    <w:rsid w:val="64664CE3"/>
    <w:rsid w:val="64884AA7"/>
    <w:rsid w:val="648B1BF5"/>
    <w:rsid w:val="64916122"/>
    <w:rsid w:val="64932C35"/>
    <w:rsid w:val="64A36D75"/>
    <w:rsid w:val="64B85C43"/>
    <w:rsid w:val="64D33FA8"/>
    <w:rsid w:val="6516115C"/>
    <w:rsid w:val="65520B1F"/>
    <w:rsid w:val="6561679F"/>
    <w:rsid w:val="659F4349"/>
    <w:rsid w:val="65D84FC6"/>
    <w:rsid w:val="65D971C7"/>
    <w:rsid w:val="65DD5893"/>
    <w:rsid w:val="660D6683"/>
    <w:rsid w:val="662802A0"/>
    <w:rsid w:val="662D6C21"/>
    <w:rsid w:val="66325ED1"/>
    <w:rsid w:val="665D1235"/>
    <w:rsid w:val="666C5DFC"/>
    <w:rsid w:val="66B81ED3"/>
    <w:rsid w:val="66BA7EEE"/>
    <w:rsid w:val="66F55B8F"/>
    <w:rsid w:val="6707755A"/>
    <w:rsid w:val="678176F6"/>
    <w:rsid w:val="679B04DF"/>
    <w:rsid w:val="680D52E1"/>
    <w:rsid w:val="6812670D"/>
    <w:rsid w:val="68621280"/>
    <w:rsid w:val="686E53A1"/>
    <w:rsid w:val="6872589F"/>
    <w:rsid w:val="689626B7"/>
    <w:rsid w:val="68AC2A98"/>
    <w:rsid w:val="68CF3421"/>
    <w:rsid w:val="692B51E2"/>
    <w:rsid w:val="69364124"/>
    <w:rsid w:val="69406230"/>
    <w:rsid w:val="69A667C3"/>
    <w:rsid w:val="69D739D0"/>
    <w:rsid w:val="69F97AF8"/>
    <w:rsid w:val="6A2F3E9C"/>
    <w:rsid w:val="6A4F6A83"/>
    <w:rsid w:val="6A5B1B81"/>
    <w:rsid w:val="6A892ED6"/>
    <w:rsid w:val="6AB71B26"/>
    <w:rsid w:val="6AE65546"/>
    <w:rsid w:val="6B183B4F"/>
    <w:rsid w:val="6B377E4D"/>
    <w:rsid w:val="6B763B99"/>
    <w:rsid w:val="6BAB7857"/>
    <w:rsid w:val="6BC728F5"/>
    <w:rsid w:val="6BD82DE2"/>
    <w:rsid w:val="6BDC39F9"/>
    <w:rsid w:val="6BF30BF6"/>
    <w:rsid w:val="6C4F07B5"/>
    <w:rsid w:val="6C55278A"/>
    <w:rsid w:val="6C7E6178"/>
    <w:rsid w:val="6C905EB8"/>
    <w:rsid w:val="6C965589"/>
    <w:rsid w:val="6CDF4419"/>
    <w:rsid w:val="6CFA42C6"/>
    <w:rsid w:val="6D1727A7"/>
    <w:rsid w:val="6D4E7E24"/>
    <w:rsid w:val="6D566C6B"/>
    <w:rsid w:val="6DBF470C"/>
    <w:rsid w:val="6DE95414"/>
    <w:rsid w:val="6E285893"/>
    <w:rsid w:val="6E3C7073"/>
    <w:rsid w:val="6E6662DE"/>
    <w:rsid w:val="6E696B78"/>
    <w:rsid w:val="6EBD61FF"/>
    <w:rsid w:val="6ED40266"/>
    <w:rsid w:val="6EE036C0"/>
    <w:rsid w:val="6F5E1453"/>
    <w:rsid w:val="6F7A0A3E"/>
    <w:rsid w:val="6FAE7B62"/>
    <w:rsid w:val="6FCF6F3C"/>
    <w:rsid w:val="70037722"/>
    <w:rsid w:val="70043A7C"/>
    <w:rsid w:val="703A535A"/>
    <w:rsid w:val="703B6B81"/>
    <w:rsid w:val="703D799F"/>
    <w:rsid w:val="70CF015A"/>
    <w:rsid w:val="716E5317"/>
    <w:rsid w:val="7189122D"/>
    <w:rsid w:val="718C3F06"/>
    <w:rsid w:val="71EC08E9"/>
    <w:rsid w:val="72303E25"/>
    <w:rsid w:val="723C1524"/>
    <w:rsid w:val="7286140E"/>
    <w:rsid w:val="72F30425"/>
    <w:rsid w:val="733A7BC8"/>
    <w:rsid w:val="739B1E44"/>
    <w:rsid w:val="73DC0A4E"/>
    <w:rsid w:val="73E2321F"/>
    <w:rsid w:val="74424463"/>
    <w:rsid w:val="7463676E"/>
    <w:rsid w:val="748C1E68"/>
    <w:rsid w:val="74914D61"/>
    <w:rsid w:val="74BB530C"/>
    <w:rsid w:val="75103572"/>
    <w:rsid w:val="752F7894"/>
    <w:rsid w:val="753E5133"/>
    <w:rsid w:val="754119E9"/>
    <w:rsid w:val="754410FD"/>
    <w:rsid w:val="75935D5C"/>
    <w:rsid w:val="75A62176"/>
    <w:rsid w:val="75BE071B"/>
    <w:rsid w:val="75E12DF4"/>
    <w:rsid w:val="761829F7"/>
    <w:rsid w:val="762F1900"/>
    <w:rsid w:val="76372D31"/>
    <w:rsid w:val="764E28D8"/>
    <w:rsid w:val="766625BE"/>
    <w:rsid w:val="76767A8E"/>
    <w:rsid w:val="76C73788"/>
    <w:rsid w:val="77F0569A"/>
    <w:rsid w:val="78036DAC"/>
    <w:rsid w:val="781A04AF"/>
    <w:rsid w:val="783E3FCC"/>
    <w:rsid w:val="78427236"/>
    <w:rsid w:val="786A13B8"/>
    <w:rsid w:val="786B5135"/>
    <w:rsid w:val="78782431"/>
    <w:rsid w:val="788E3D7B"/>
    <w:rsid w:val="78A0302E"/>
    <w:rsid w:val="78B61350"/>
    <w:rsid w:val="78C87849"/>
    <w:rsid w:val="78CE2881"/>
    <w:rsid w:val="78D30DAB"/>
    <w:rsid w:val="78F77A92"/>
    <w:rsid w:val="790B0F09"/>
    <w:rsid w:val="79540E66"/>
    <w:rsid w:val="795A1076"/>
    <w:rsid w:val="795A30EE"/>
    <w:rsid w:val="79714C5B"/>
    <w:rsid w:val="798329EE"/>
    <w:rsid w:val="798E3BDF"/>
    <w:rsid w:val="79B81103"/>
    <w:rsid w:val="79FB045F"/>
    <w:rsid w:val="7A0C35AB"/>
    <w:rsid w:val="7A1A0716"/>
    <w:rsid w:val="7A4C1580"/>
    <w:rsid w:val="7A894748"/>
    <w:rsid w:val="7AAF0D64"/>
    <w:rsid w:val="7ABD2760"/>
    <w:rsid w:val="7AE27F1E"/>
    <w:rsid w:val="7B21528E"/>
    <w:rsid w:val="7B2851B8"/>
    <w:rsid w:val="7B377036"/>
    <w:rsid w:val="7B4B2EE9"/>
    <w:rsid w:val="7B94206D"/>
    <w:rsid w:val="7BA24E10"/>
    <w:rsid w:val="7BAC165E"/>
    <w:rsid w:val="7BDE7FF1"/>
    <w:rsid w:val="7C154B89"/>
    <w:rsid w:val="7C2A1258"/>
    <w:rsid w:val="7C33547B"/>
    <w:rsid w:val="7C376E73"/>
    <w:rsid w:val="7C4D351A"/>
    <w:rsid w:val="7C54086D"/>
    <w:rsid w:val="7CA75B69"/>
    <w:rsid w:val="7CB636F3"/>
    <w:rsid w:val="7D032928"/>
    <w:rsid w:val="7D122C47"/>
    <w:rsid w:val="7D230E52"/>
    <w:rsid w:val="7D2E1679"/>
    <w:rsid w:val="7D445545"/>
    <w:rsid w:val="7DF449F2"/>
    <w:rsid w:val="7E060930"/>
    <w:rsid w:val="7E0A5F33"/>
    <w:rsid w:val="7E737BDE"/>
    <w:rsid w:val="7E8B5049"/>
    <w:rsid w:val="7E9F428E"/>
    <w:rsid w:val="7ED859C2"/>
    <w:rsid w:val="7EEA1749"/>
    <w:rsid w:val="7F4A6F86"/>
    <w:rsid w:val="7FAC321C"/>
    <w:rsid w:val="7FD0105B"/>
    <w:rsid w:val="7FED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semiHidden="0" w:name="toc 5"/>
    <w:lsdException w:qFormat="1" w:unhideWhenUsed="0" w:uiPriority="0" w:name="toc 6"/>
    <w:lsdException w:qFormat="1" w:unhideWhenUsed="0" w:uiPriority="0" w:name="toc 7"/>
    <w:lsdException w:qFormat="1" w:unhideWhenUsed="0" w:uiPriority="0" w:semiHidden="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qFormat/>
    <w:uiPriority w:val="0"/>
    <w:pPr>
      <w:tabs>
        <w:tab w:val="right" w:leader="dot" w:pos="9241"/>
      </w:tabs>
      <w:ind w:firstLine="300" w:firstLineChars="300"/>
      <w:jc w:val="left"/>
    </w:pPr>
    <w:rPr>
      <w:rFonts w:ascii="宋体"/>
      <w:szCs w:val="21"/>
    </w:rPr>
  </w:style>
  <w:style w:type="paragraph" w:styleId="10">
    <w:name w:val="toc 3"/>
    <w:basedOn w:val="1"/>
    <w:next w:val="1"/>
    <w:qFormat/>
    <w:uiPriority w:val="39"/>
    <w:pPr>
      <w:tabs>
        <w:tab w:val="right" w:leader="dot" w:pos="9241"/>
      </w:tabs>
      <w:ind w:firstLine="102" w:firstLineChars="100"/>
      <w:jc w:val="left"/>
    </w:pPr>
    <w:rPr>
      <w:rFonts w:ascii="宋体"/>
      <w:szCs w:val="21"/>
    </w:rPr>
  </w:style>
  <w:style w:type="paragraph" w:styleId="11">
    <w:name w:val="toc 8"/>
    <w:basedOn w:val="1"/>
    <w:next w:val="1"/>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footer"/>
    <w:basedOn w:val="1"/>
    <w:qFormat/>
    <w:uiPriority w:val="0"/>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toc 1"/>
    <w:basedOn w:val="1"/>
    <w:next w:val="1"/>
    <w:qFormat/>
    <w:uiPriority w:val="39"/>
    <w:pPr>
      <w:tabs>
        <w:tab w:val="right" w:leader="dot" w:pos="9241"/>
      </w:tabs>
      <w:spacing w:beforeLines="25" w:afterLines="25"/>
      <w:jc w:val="left"/>
    </w:pPr>
    <w:rPr>
      <w:rFonts w:ascii="宋体"/>
      <w:szCs w:val="21"/>
    </w:rPr>
  </w:style>
  <w:style w:type="paragraph" w:styleId="17">
    <w:name w:val="toc 4"/>
    <w:basedOn w:val="1"/>
    <w:next w:val="1"/>
    <w:semiHidden/>
    <w:qFormat/>
    <w:uiPriority w:val="0"/>
    <w:pPr>
      <w:tabs>
        <w:tab w:val="right" w:leader="dot" w:pos="9241"/>
      </w:tabs>
      <w:ind w:firstLine="198" w:firstLineChars="200"/>
      <w:jc w:val="left"/>
    </w:pPr>
    <w:rPr>
      <w:rFonts w:ascii="宋体"/>
      <w:szCs w:val="21"/>
    </w:rPr>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toc 6"/>
    <w:basedOn w:val="1"/>
    <w:next w:val="1"/>
    <w:semiHidden/>
    <w:qFormat/>
    <w:uiPriority w:val="0"/>
    <w:pPr>
      <w:tabs>
        <w:tab w:val="right" w:leader="dot" w:pos="9241"/>
      </w:tabs>
      <w:ind w:firstLine="403" w:firstLineChars="400"/>
      <w:jc w:val="left"/>
    </w:pPr>
    <w:rPr>
      <w:rFonts w:ascii="宋体"/>
      <w:szCs w:val="21"/>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toc 2"/>
    <w:basedOn w:val="1"/>
    <w:next w:val="1"/>
    <w:semiHidden/>
    <w:qFormat/>
    <w:uiPriority w:val="0"/>
    <w:pPr>
      <w:tabs>
        <w:tab w:val="right" w:leader="dot" w:pos="9241"/>
      </w:tabs>
    </w:pPr>
    <w:rPr>
      <w:rFonts w:ascii="宋体"/>
      <w:szCs w:val="21"/>
    </w:rPr>
  </w:style>
  <w:style w:type="paragraph" w:styleId="26">
    <w:name w:val="toc 9"/>
    <w:basedOn w:val="1"/>
    <w:next w:val="1"/>
    <w:semiHidden/>
    <w:qFormat/>
    <w:uiPriority w:val="0"/>
    <w:pPr>
      <w:ind w:left="1470"/>
      <w:jc w:val="left"/>
    </w:pPr>
    <w:rPr>
      <w:sz w:val="20"/>
      <w:szCs w:val="20"/>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0"/>
    <w:qFormat/>
    <w:uiPriority w:val="0"/>
    <w:rPr>
      <w:rFonts w:ascii="宋体"/>
      <w:sz w:val="21"/>
      <w:lang w:val="en-US" w:eastAsia="zh-CN" w:bidi="ar-SA"/>
    </w:rPr>
  </w:style>
  <w:style w:type="paragraph" w:customStyle="1" w:styleId="38">
    <w:name w:val="一级条标题"/>
    <w:next w:val="20"/>
    <w:link w:val="13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0"/>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0"/>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0"/>
    <w:qFormat/>
    <w:uiPriority w:val="0"/>
    <w:pPr>
      <w:numPr>
        <w:ilvl w:val="4"/>
      </w:numPr>
      <w:outlineLvl w:val="5"/>
    </w:pPr>
  </w:style>
  <w:style w:type="paragraph" w:customStyle="1" w:styleId="52">
    <w:name w:val="五级条标题"/>
    <w:basedOn w:val="51"/>
    <w:next w:val="20"/>
    <w:qFormat/>
    <w:uiPriority w:val="0"/>
    <w:pPr>
      <w:numPr>
        <w:ilvl w:val="5"/>
      </w:numPr>
      <w:outlineLvl w:val="6"/>
    </w:pPr>
  </w:style>
  <w:style w:type="paragraph" w:customStyle="1" w:styleId="53">
    <w:name w:val="注："/>
    <w:next w:val="20"/>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link w:val="137"/>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0"/>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0"/>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0"/>
    <w:next w:val="20"/>
    <w:qFormat/>
    <w:uiPriority w:val="0"/>
    <w:pPr>
      <w:ind w:firstLine="0" w:firstLineChars="0"/>
      <w:jc w:val="center"/>
    </w:pPr>
    <w:rPr>
      <w:rFonts w:ascii="黑体" w:eastAsia="黑体"/>
    </w:rPr>
  </w:style>
  <w:style w:type="paragraph" w:customStyle="1" w:styleId="82">
    <w:name w:val="附录表标号"/>
    <w:basedOn w:val="1"/>
    <w:next w:val="2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0"/>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0"/>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0"/>
    <w:next w:val="20"/>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0"/>
    <w:link w:val="136"/>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0"/>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0"/>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0"/>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0"/>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0"/>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0"/>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hAnchor="text"/>
      <w:jc w:val="right"/>
    </w:pPr>
  </w:style>
  <w:style w:type="paragraph" w:customStyle="1" w:styleId="111">
    <w:name w:val="示例后文字"/>
    <w:basedOn w:val="20"/>
    <w:next w:val="20"/>
    <w:qFormat/>
    <w:uiPriority w:val="0"/>
    <w:pPr>
      <w:ind w:firstLine="360"/>
    </w:pPr>
    <w:rPr>
      <w:sz w:val="18"/>
    </w:rPr>
  </w:style>
  <w:style w:type="paragraph" w:customStyle="1" w:styleId="112">
    <w:name w:val="首示例"/>
    <w:next w:val="20"/>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1"/>
    <w:qFormat/>
    <w:uiPriority w:val="0"/>
    <w:pPr>
      <w:numPr>
        <w:numId w:val="0"/>
      </w:numPr>
      <w:jc w:val="both"/>
    </w:pPr>
  </w:style>
  <w:style w:type="paragraph" w:customStyle="1" w:styleId="116">
    <w:name w:val="图标脚注说明"/>
    <w:basedOn w:val="20"/>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0"/>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0"/>
    <w:next w:val="20"/>
    <w:qFormat/>
    <w:uiPriority w:val="0"/>
    <w:pPr>
      <w:ind w:firstLine="0" w:firstLineChars="0"/>
    </w:pPr>
  </w:style>
  <w:style w:type="paragraph" w:customStyle="1" w:styleId="124">
    <w:name w:val="正文图标题"/>
    <w:next w:val="20"/>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hAnchor="text"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character" w:customStyle="1" w:styleId="133">
    <w:name w:val="一级条标题 Char"/>
    <w:basedOn w:val="31"/>
    <w:link w:val="38"/>
    <w:qFormat/>
    <w:uiPriority w:val="0"/>
    <w:rPr>
      <w:rFonts w:ascii="黑体" w:eastAsia="黑体"/>
      <w:sz w:val="21"/>
      <w:szCs w:val="21"/>
      <w:lang w:val="en-US" w:eastAsia="zh-CN" w:bidi="ar-SA"/>
    </w:rPr>
  </w:style>
  <w:style w:type="paragraph" w:customStyle="1" w:styleId="134">
    <w:name w:val="Body text|1"/>
    <w:basedOn w:val="1"/>
    <w:qFormat/>
    <w:uiPriority w:val="0"/>
    <w:pPr>
      <w:spacing w:line="312" w:lineRule="auto"/>
    </w:pPr>
    <w:rPr>
      <w:rFonts w:ascii="MingLiU" w:hAnsi="MingLiU" w:eastAsia="MingLiU" w:cs="MingLiU"/>
      <w:sz w:val="20"/>
      <w:szCs w:val="20"/>
      <w:lang w:val="zh-TW" w:eastAsia="zh-TW" w:bidi="zh-TW"/>
    </w:rPr>
  </w:style>
  <w:style w:type="character" w:customStyle="1" w:styleId="135">
    <w:name w:val="未处理的提及1"/>
    <w:basedOn w:val="31"/>
    <w:semiHidden/>
    <w:unhideWhenUsed/>
    <w:qFormat/>
    <w:uiPriority w:val="99"/>
    <w:rPr>
      <w:color w:val="605E5C"/>
      <w:shd w:val="clear" w:color="auto" w:fill="E1DFDD"/>
    </w:rPr>
  </w:style>
  <w:style w:type="character" w:customStyle="1" w:styleId="136">
    <w:name w:val="附录公式编号制表符 Char"/>
    <w:link w:val="88"/>
    <w:qFormat/>
    <w:uiPriority w:val="0"/>
    <w:rPr>
      <w:rFonts w:ascii="宋体"/>
      <w:kern w:val="0"/>
      <w:szCs w:val="20"/>
    </w:rPr>
  </w:style>
  <w:style w:type="character" w:customStyle="1" w:styleId="137">
    <w:name w:val="字母编号列项（一级） Char"/>
    <w:link w:val="55"/>
    <w:qFormat/>
    <w:uiPriority w:val="0"/>
    <w:rPr>
      <w:rFonts w:ascii="宋体" w:hAnsi="Times New Roman" w:eastAsia="宋体" w:cs="Times New Roman"/>
      <w:sz w:val="21"/>
      <w:lang w:val="en-US" w:eastAsia="zh-CN" w:bidi="ar-SA"/>
    </w:rPr>
  </w:style>
  <w:style w:type="paragraph" w:customStyle="1" w:styleId="138">
    <w:name w:val="列表段落1"/>
    <w:basedOn w:val="1"/>
    <w:unhideWhenUsed/>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D8DD5-6E27-4AF9-9AFC-BEC09400892A}">
  <ds:schemaRefs/>
</ds:datastoreItem>
</file>

<file path=docProps/app.xml><?xml version="1.0" encoding="utf-8"?>
<Properties xmlns="http://schemas.openxmlformats.org/officeDocument/2006/extended-properties" xmlns:vt="http://schemas.openxmlformats.org/officeDocument/2006/docPropsVTypes">
  <Template>Normal</Template>
  <Pages>10</Pages>
  <Words>659</Words>
  <Characters>3761</Characters>
  <Lines>31</Lines>
  <Paragraphs>8</Paragraphs>
  <TotalTime>4</TotalTime>
  <ScaleCrop>false</ScaleCrop>
  <LinksUpToDate>false</LinksUpToDate>
  <CharactersWithSpaces>4412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2020-03-02T10:09:00Z</dcterms:created>
  <cp:lastPrinted>2020-09-23T05:55:00Z</cp:lastPrinted>
  <dcterms:modified xsi:type="dcterms:W3CDTF">2020-09-28T07:59:00Z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