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EED37" w14:textId="77777777" w:rsidR="00B724DD" w:rsidRDefault="00A14D98">
      <w:pPr>
        <w:spacing w:afterLines="100" w:after="312"/>
        <w:jc w:val="center"/>
        <w:rPr>
          <w:rFonts w:ascii="宋体" w:hAnsi="宋体" w:cs="宋体"/>
          <w:b/>
          <w:sz w:val="32"/>
          <w:szCs w:val="32"/>
        </w:rPr>
      </w:pPr>
      <w:r>
        <w:rPr>
          <w:rFonts w:ascii="宋体" w:hAnsi="宋体" w:cs="宋体" w:hint="eastAsia"/>
          <w:b/>
          <w:sz w:val="32"/>
          <w:szCs w:val="32"/>
        </w:rPr>
        <w:t xml:space="preserve">《嘉兴酱（卤）鸭》编制说明 </w:t>
      </w:r>
    </w:p>
    <w:p w14:paraId="1D7F529D" w14:textId="77777777" w:rsidR="00B724DD" w:rsidRDefault="00A14D98">
      <w:pPr>
        <w:rPr>
          <w:rFonts w:ascii="黑体" w:eastAsia="黑体" w:hAnsi="黑体" w:cs="黑体"/>
          <w:bCs/>
          <w:szCs w:val="21"/>
        </w:rPr>
      </w:pPr>
      <w:r>
        <w:rPr>
          <w:rFonts w:ascii="黑体" w:eastAsia="黑体" w:hAnsi="黑体" w:cs="黑体" w:hint="eastAsia"/>
          <w:bCs/>
          <w:szCs w:val="21"/>
        </w:rPr>
        <w:t>一、项目来源：</w:t>
      </w:r>
    </w:p>
    <w:p w14:paraId="38911FA3" w14:textId="77777777" w:rsidR="00B724DD" w:rsidRDefault="00A14D98">
      <w:pPr>
        <w:ind w:firstLineChars="200" w:firstLine="420"/>
        <w:rPr>
          <w:rFonts w:ascii="宋体" w:hAnsi="宋体"/>
          <w:color w:val="000000"/>
          <w:szCs w:val="21"/>
        </w:rPr>
      </w:pPr>
      <w:r>
        <w:rPr>
          <w:rFonts w:ascii="宋体" w:hAnsi="宋体" w:hint="eastAsia"/>
          <w:color w:val="000000"/>
          <w:szCs w:val="21"/>
        </w:rPr>
        <w:t>根据浙江省食品学会关于印发2020年度第二批团体标准立项的通知，浙江子午线质量标准化研究有限公司等单位组织起草工作组负责团体标准《嘉兴酱（卤）鸭》草案稿的起草工作，并由浙江省食品学会归口。</w:t>
      </w:r>
    </w:p>
    <w:p w14:paraId="32777872" w14:textId="77777777" w:rsidR="00B724DD" w:rsidRDefault="00A14D98">
      <w:pPr>
        <w:rPr>
          <w:rFonts w:ascii="黑体" w:eastAsia="黑体" w:hAnsi="黑体" w:cs="黑体"/>
          <w:szCs w:val="21"/>
        </w:rPr>
      </w:pPr>
      <w:r>
        <w:rPr>
          <w:rFonts w:ascii="黑体" w:eastAsia="黑体" w:hAnsi="黑体" w:cs="黑体" w:hint="eastAsia"/>
          <w:szCs w:val="21"/>
        </w:rPr>
        <w:t>二、标准制定工作的目的与意义：</w:t>
      </w:r>
    </w:p>
    <w:p w14:paraId="2C548B27" w14:textId="77777777" w:rsidR="00B724DD" w:rsidRDefault="00A14D98">
      <w:pPr>
        <w:pStyle w:val="10"/>
        <w:rPr>
          <w:rFonts w:ascii="宋体" w:hAnsi="宋体"/>
          <w:color w:val="000000"/>
          <w:szCs w:val="21"/>
        </w:rPr>
      </w:pPr>
      <w:r>
        <w:rPr>
          <w:rFonts w:ascii="宋体" w:hAnsi="宋体"/>
          <w:color w:val="000000"/>
          <w:szCs w:val="21"/>
        </w:rPr>
        <w:t>酱卤食品有着非常悠久的历史，制作方法简单易操作，且风味俱佳，深受食者追捧。</w:t>
      </w:r>
      <w:r>
        <w:rPr>
          <w:rFonts w:ascii="宋体" w:hAnsi="宋体" w:hint="eastAsia"/>
          <w:color w:val="000000"/>
          <w:szCs w:val="21"/>
        </w:rPr>
        <w:t>酱（卤）鸭属于酱卤食品的一种，</w:t>
      </w:r>
      <w:r>
        <w:rPr>
          <w:rFonts w:ascii="宋体" w:hAnsi="宋体"/>
          <w:color w:val="000000"/>
          <w:szCs w:val="21"/>
        </w:rPr>
        <w:t>是江南</w:t>
      </w:r>
      <w:r>
        <w:rPr>
          <w:rFonts w:ascii="宋体" w:hAnsi="宋体" w:hint="eastAsia"/>
          <w:color w:val="000000"/>
          <w:szCs w:val="21"/>
        </w:rPr>
        <w:t>地区</w:t>
      </w:r>
      <w:r>
        <w:rPr>
          <w:rFonts w:ascii="宋体" w:hAnsi="宋体"/>
          <w:color w:val="000000"/>
          <w:szCs w:val="21"/>
        </w:rPr>
        <w:t>传统风味名菜之一。</w:t>
      </w:r>
      <w:r>
        <w:rPr>
          <w:rFonts w:ascii="宋体" w:hAnsi="宋体" w:hint="eastAsia"/>
          <w:color w:val="000000"/>
          <w:szCs w:val="21"/>
        </w:rPr>
        <w:t>酱（卤）鸭制品选料精致，注重色、香、味、形，工艺细腻，</w:t>
      </w:r>
      <w:r>
        <w:rPr>
          <w:rFonts w:ascii="宋体" w:hAnsi="宋体"/>
          <w:color w:val="000000"/>
          <w:szCs w:val="21"/>
        </w:rPr>
        <w:t>皮黑肉嫩、醇厚不腻</w:t>
      </w:r>
      <w:r>
        <w:rPr>
          <w:rFonts w:ascii="宋体" w:hAnsi="宋体" w:hint="eastAsia"/>
          <w:color w:val="000000"/>
          <w:szCs w:val="21"/>
        </w:rPr>
        <w:t>、</w:t>
      </w:r>
      <w:r>
        <w:rPr>
          <w:rFonts w:ascii="宋体" w:hAnsi="宋体"/>
          <w:color w:val="000000"/>
          <w:szCs w:val="21"/>
        </w:rPr>
        <w:t>香鲜美味</w:t>
      </w:r>
      <w:r>
        <w:rPr>
          <w:rFonts w:ascii="宋体" w:hAnsi="宋体" w:hint="eastAsia"/>
          <w:color w:val="000000"/>
          <w:szCs w:val="21"/>
        </w:rPr>
        <w:t>。酱（卤）鸭制品不仅具有独特的风味，还有丰富的营养价值，富含必需氨基酸、脂肪酸、维生素和微量元素，能够满足人们的消费需求，市场需求巨大。</w:t>
      </w:r>
    </w:p>
    <w:p w14:paraId="426B138F" w14:textId="77777777" w:rsidR="00B724DD" w:rsidRDefault="00A14D98">
      <w:pPr>
        <w:pStyle w:val="10"/>
        <w:rPr>
          <w:rFonts w:ascii="宋体" w:hAnsi="宋体"/>
          <w:color w:val="000000"/>
          <w:szCs w:val="21"/>
        </w:rPr>
      </w:pPr>
      <w:r>
        <w:rPr>
          <w:rFonts w:ascii="宋体" w:hAnsi="宋体" w:hint="eastAsia"/>
          <w:color w:val="000000"/>
          <w:szCs w:val="21"/>
        </w:rPr>
        <w:t>嘉兴酱（卤）鸭是嘉兴地区极具特色的传统美食，色泽褐红，油而不腻，味鲜入骨，食之使人胃口大开，是多年来嘉兴人民一代一代传承下来，又深深烙印在百姓心中的传统美味。</w:t>
      </w:r>
    </w:p>
    <w:p w14:paraId="20DA3E3A" w14:textId="77777777" w:rsidR="00B724DD" w:rsidRDefault="00A14D98">
      <w:pPr>
        <w:pStyle w:val="10"/>
        <w:rPr>
          <w:rFonts w:ascii="宋体" w:hAnsi="宋体"/>
          <w:szCs w:val="21"/>
        </w:rPr>
      </w:pPr>
      <w:r>
        <w:rPr>
          <w:rFonts w:ascii="宋体" w:hAnsi="宋体" w:hint="eastAsia"/>
          <w:szCs w:val="21"/>
        </w:rPr>
        <w:t>经过多年的发展，嘉兴酱（卤）鸭加工技术取得了明显的成效，新加工技术的使用范围正在逐步扩大，大大地促进了嘉兴酱（卤）鸭制品行业的发展。例如嘉兴酱（卤）鸭生产企业在解冻过程中采用了冷藏解冻等技术来保证酱（卤）鸭制品的品质，使原料的损失降低到最小的程度。还有嘉兴酱（卤）鸭生产使用真空包装技术来包装酱（卤）鸭制品，较好地解决了防腐保鲜等问题，延长了产品的货架期；此外锁鲜技术的应用，可以在不影响嘉兴酱（卤）鸭制品的风味和营养物质的情况下，提高产品的品质和保质期。</w:t>
      </w:r>
    </w:p>
    <w:p w14:paraId="6F91F269" w14:textId="77777777" w:rsidR="00B724DD" w:rsidRDefault="00A14D98">
      <w:pPr>
        <w:pStyle w:val="10"/>
        <w:rPr>
          <w:rFonts w:ascii="宋体" w:hAnsi="宋体"/>
          <w:szCs w:val="21"/>
        </w:rPr>
      </w:pPr>
      <w:r>
        <w:rPr>
          <w:rFonts w:ascii="宋体" w:hAnsi="宋体" w:hint="eastAsia"/>
          <w:szCs w:val="21"/>
        </w:rPr>
        <w:t>制定规范的嘉兴酱（卤）鸭标准，统一酱（卤）鸭的产品标准，指导企业生产优级的酱（卤）鸭产品，可以体现企业的品牌价值，提高企业及嘉兴酱（卤）鸭在全国的品牌竞争力。标准的制定让企业有依据可依，同时减少生产企业可能存在的食品安全隐患，保障酱（卤）鸭的食品安全，确保广大消费者的食品安全。</w:t>
      </w:r>
    </w:p>
    <w:p w14:paraId="4D0DA0F4" w14:textId="77777777" w:rsidR="00B724DD" w:rsidRDefault="00A14D98">
      <w:pPr>
        <w:ind w:firstLineChars="200" w:firstLine="420"/>
        <w:rPr>
          <w:rFonts w:ascii="宋体" w:hAnsi="宋体"/>
          <w:szCs w:val="21"/>
        </w:rPr>
      </w:pPr>
      <w:r>
        <w:rPr>
          <w:rFonts w:ascii="宋体" w:hAnsi="宋体" w:hint="eastAsia"/>
          <w:szCs w:val="21"/>
        </w:rPr>
        <w:t>嘉兴酱（卤）鸭标准的制定还能够填补我国酱（卤）鸭标准方面的空白，提高整个行业的市场竞争力，有利于酱（卤）鸭行业的有序健康发展，同时为我国食品监管机构提供执法的科学依据。</w:t>
      </w:r>
    </w:p>
    <w:p w14:paraId="1EE47F65" w14:textId="77777777" w:rsidR="00B724DD" w:rsidRDefault="00A14D98">
      <w:pPr>
        <w:rPr>
          <w:rFonts w:ascii="黑体" w:eastAsia="黑体" w:hAnsi="黑体" w:cs="黑体"/>
          <w:szCs w:val="21"/>
        </w:rPr>
      </w:pPr>
      <w:r>
        <w:rPr>
          <w:rFonts w:ascii="黑体" w:eastAsia="黑体" w:hAnsi="黑体" w:cs="黑体" w:hint="eastAsia"/>
          <w:szCs w:val="21"/>
        </w:rPr>
        <w:t>三、与我国法律法规和其他标准的关系：</w:t>
      </w:r>
    </w:p>
    <w:p w14:paraId="3EF7F57F" w14:textId="77777777" w:rsidR="00B724DD" w:rsidRDefault="00A14D98">
      <w:pPr>
        <w:ind w:firstLineChars="200" w:firstLine="420"/>
        <w:rPr>
          <w:rFonts w:ascii="宋体" w:hAnsi="宋体"/>
          <w:color w:val="000000"/>
          <w:szCs w:val="21"/>
        </w:rPr>
      </w:pPr>
      <w:r>
        <w:rPr>
          <w:rFonts w:ascii="宋体" w:hAnsi="宋体" w:hint="eastAsia"/>
          <w:szCs w:val="21"/>
        </w:rPr>
        <w:t>从国内标准来看，嘉兴酱（卤）鸭目前执行的国家标准是</w:t>
      </w:r>
      <w:r>
        <w:rPr>
          <w:rFonts w:ascii="宋体" w:hAnsi="宋体" w:hint="eastAsia"/>
          <w:color w:val="000000"/>
          <w:szCs w:val="21"/>
        </w:rPr>
        <w:t>GB/T 23586 酱卤肉制品和GB 2726食品安全国家标准 熟肉制品，但这些国家标准仍然存在一些问题。</w:t>
      </w:r>
    </w:p>
    <w:p w14:paraId="4991DEA1" w14:textId="77777777" w:rsidR="00B724DD" w:rsidRDefault="00A14D98">
      <w:pPr>
        <w:ind w:firstLineChars="200" w:firstLine="420"/>
        <w:rPr>
          <w:rFonts w:ascii="宋体" w:hAnsi="宋体"/>
          <w:color w:val="000000"/>
          <w:szCs w:val="21"/>
        </w:rPr>
      </w:pPr>
      <w:r>
        <w:rPr>
          <w:rFonts w:ascii="宋体" w:hAnsi="宋体" w:hint="eastAsia"/>
          <w:color w:val="000000"/>
          <w:szCs w:val="21"/>
        </w:rPr>
        <w:t>GB 2726《食品安全国家标准 熟肉制品》只是对熟肉制品的食品安全规定了安全指标，如果作为嘉兴酱（卤）鸭的产品标准缺少质量指标要求。</w:t>
      </w:r>
    </w:p>
    <w:p w14:paraId="7C16A9FD" w14:textId="77777777" w:rsidR="00B724DD" w:rsidRDefault="00A14D98">
      <w:pPr>
        <w:ind w:firstLineChars="200" w:firstLine="420"/>
        <w:rPr>
          <w:rFonts w:ascii="宋体" w:hAnsi="宋体"/>
          <w:color w:val="000000"/>
          <w:szCs w:val="21"/>
        </w:rPr>
      </w:pPr>
      <w:r>
        <w:rPr>
          <w:rFonts w:ascii="宋体" w:hAnsi="宋体" w:hint="eastAsia"/>
          <w:color w:val="000000"/>
          <w:szCs w:val="21"/>
        </w:rPr>
        <w:t>GB/T 23586《酱卤肉制品》包括了酱卤肉制品的质量指标要求，但对于嘉兴酱（卤）鸭来说无个性化指标以及分级指标。</w:t>
      </w:r>
    </w:p>
    <w:p w14:paraId="0C845782" w14:textId="77777777" w:rsidR="00B724DD" w:rsidRDefault="00A14D98">
      <w:pPr>
        <w:ind w:firstLineChars="200" w:firstLine="420"/>
        <w:rPr>
          <w:rFonts w:ascii="宋体" w:hAnsi="宋体"/>
          <w:color w:val="000000"/>
          <w:szCs w:val="21"/>
        </w:rPr>
      </w:pPr>
      <w:r>
        <w:rPr>
          <w:rFonts w:ascii="宋体" w:hAnsi="宋体" w:hint="eastAsia"/>
          <w:color w:val="000000"/>
          <w:szCs w:val="21"/>
        </w:rPr>
        <w:t>参考了行业标准N</w:t>
      </w:r>
      <w:r>
        <w:rPr>
          <w:rFonts w:ascii="宋体" w:hAnsi="宋体"/>
          <w:color w:val="000000"/>
          <w:szCs w:val="21"/>
        </w:rPr>
        <w:t>Y/T 628</w:t>
      </w:r>
      <w:r>
        <w:rPr>
          <w:rFonts w:ascii="宋体" w:hAnsi="宋体" w:hint="eastAsia"/>
          <w:color w:val="000000"/>
          <w:szCs w:val="21"/>
        </w:rPr>
        <w:t>《板鸭》。</w:t>
      </w:r>
    </w:p>
    <w:p w14:paraId="4C1DCECC" w14:textId="77777777" w:rsidR="00B724DD" w:rsidRDefault="00A14D98">
      <w:pPr>
        <w:ind w:firstLineChars="200" w:firstLine="420"/>
        <w:rPr>
          <w:rFonts w:ascii="宋体" w:hAnsi="宋体"/>
          <w:szCs w:val="21"/>
        </w:rPr>
      </w:pPr>
      <w:r>
        <w:rPr>
          <w:rFonts w:ascii="宋体" w:hAnsi="宋体" w:hint="eastAsia"/>
          <w:szCs w:val="21"/>
        </w:rPr>
        <w:t>参考了</w:t>
      </w:r>
      <w:r>
        <w:rPr>
          <w:rFonts w:hAnsi="宋体" w:cs="宋体" w:hint="eastAsia"/>
        </w:rPr>
        <w:t>《中华人民共和国食品安全法》</w:t>
      </w:r>
      <w:r>
        <w:rPr>
          <w:rFonts w:ascii="宋体" w:hAnsi="宋体" w:cs="宋体" w:hint="eastAsia"/>
        </w:rPr>
        <w:t>(2018修正)中第六十三条的规定。</w:t>
      </w:r>
    </w:p>
    <w:p w14:paraId="2E934745" w14:textId="77777777" w:rsidR="00B724DD" w:rsidRDefault="00A14D98">
      <w:pPr>
        <w:rPr>
          <w:rFonts w:ascii="宋体" w:hAnsi="宋体" w:cs="黑体"/>
          <w:szCs w:val="21"/>
        </w:rPr>
      </w:pPr>
      <w:r>
        <w:rPr>
          <w:rFonts w:ascii="黑体" w:eastAsia="黑体" w:hAnsi="黑体" w:cs="黑体" w:hint="eastAsia"/>
          <w:szCs w:val="21"/>
        </w:rPr>
        <w:t>四、标准制定工作主要过程：</w:t>
      </w:r>
    </w:p>
    <w:p w14:paraId="6321EFC4" w14:textId="77777777" w:rsidR="00B724DD" w:rsidRDefault="00A14D98">
      <w:pPr>
        <w:snapToGrid w:val="0"/>
        <w:ind w:firstLineChars="200" w:firstLine="420"/>
        <w:jc w:val="left"/>
        <w:rPr>
          <w:rFonts w:ascii="宋体" w:hAnsi="宋体"/>
          <w:szCs w:val="21"/>
        </w:rPr>
      </w:pPr>
      <w:r>
        <w:rPr>
          <w:rFonts w:ascii="宋体" w:hAnsi="宋体" w:hint="eastAsia"/>
          <w:szCs w:val="21"/>
        </w:rPr>
        <w:t>1、2020年8月10日-8月20日，收集相关的国家标准、法律法规等信息。</w:t>
      </w:r>
    </w:p>
    <w:p w14:paraId="27F819E8" w14:textId="77777777" w:rsidR="00B724DD" w:rsidRDefault="00A14D98">
      <w:pPr>
        <w:snapToGrid w:val="0"/>
        <w:ind w:firstLineChars="200" w:firstLine="420"/>
        <w:jc w:val="left"/>
        <w:rPr>
          <w:rFonts w:ascii="宋体" w:hAnsi="宋体"/>
          <w:szCs w:val="21"/>
        </w:rPr>
      </w:pPr>
      <w:r>
        <w:rPr>
          <w:rFonts w:ascii="宋体" w:hAnsi="宋体" w:hint="eastAsia"/>
          <w:szCs w:val="21"/>
        </w:rPr>
        <w:t>2、2020年8月20日-8月30日，收集、攥写和提交团体标准立项申请材料。</w:t>
      </w:r>
    </w:p>
    <w:p w14:paraId="74069BBD" w14:textId="6E8880E9" w:rsidR="00B724DD" w:rsidRDefault="00A14D98">
      <w:pPr>
        <w:snapToGrid w:val="0"/>
        <w:ind w:firstLineChars="200" w:firstLine="420"/>
        <w:jc w:val="left"/>
        <w:rPr>
          <w:rFonts w:ascii="宋体" w:hAnsi="宋体"/>
          <w:szCs w:val="21"/>
        </w:rPr>
      </w:pPr>
      <w:r>
        <w:rPr>
          <w:rFonts w:ascii="宋体" w:hAnsi="宋体" w:hint="eastAsia"/>
          <w:szCs w:val="21"/>
        </w:rPr>
        <w:t>3、2020年9月4日，浙江省食品学会印发了《浙江省食品学会发布2020年度第二批团体标准立项》</w:t>
      </w:r>
      <w:r w:rsidR="009761ED">
        <w:rPr>
          <w:rFonts w:ascii="宋体" w:hAnsi="宋体" w:hint="eastAsia"/>
          <w:szCs w:val="21"/>
        </w:rPr>
        <w:t>的文件</w:t>
      </w:r>
      <w:r>
        <w:rPr>
          <w:rFonts w:ascii="宋体" w:hAnsi="宋体" w:hint="eastAsia"/>
          <w:szCs w:val="21"/>
        </w:rPr>
        <w:t>。</w:t>
      </w:r>
    </w:p>
    <w:p w14:paraId="3C91A649" w14:textId="77777777" w:rsidR="00B724DD" w:rsidRDefault="00A14D98">
      <w:pPr>
        <w:snapToGrid w:val="0"/>
        <w:ind w:firstLineChars="200" w:firstLine="420"/>
        <w:jc w:val="left"/>
        <w:rPr>
          <w:rFonts w:ascii="宋体" w:hAnsi="宋体"/>
          <w:szCs w:val="21"/>
        </w:rPr>
      </w:pPr>
      <w:r>
        <w:rPr>
          <w:rFonts w:ascii="宋体" w:hAnsi="宋体" w:hint="eastAsia"/>
          <w:szCs w:val="21"/>
        </w:rPr>
        <w:t>4、2020年9月5日-9月18日，完成《嘉兴酱（卤）鸭》团体标准草案稿。</w:t>
      </w:r>
    </w:p>
    <w:p w14:paraId="3AA5057A" w14:textId="05C65E6A" w:rsidR="00B724DD" w:rsidRDefault="00A14D98">
      <w:pPr>
        <w:snapToGrid w:val="0"/>
        <w:ind w:firstLineChars="200" w:firstLine="420"/>
        <w:jc w:val="left"/>
        <w:rPr>
          <w:rFonts w:ascii="宋体" w:hAnsi="宋体"/>
          <w:szCs w:val="21"/>
        </w:rPr>
      </w:pPr>
      <w:r>
        <w:rPr>
          <w:rFonts w:ascii="宋体" w:hAnsi="宋体" w:hint="eastAsia"/>
          <w:szCs w:val="21"/>
        </w:rPr>
        <w:t>5、2020年9月19日-9月25日，形成了《嘉兴酱（卤）鸭》工作组讨论稿。</w:t>
      </w:r>
    </w:p>
    <w:p w14:paraId="67CFF3AF" w14:textId="77777777" w:rsidR="006717E7" w:rsidRDefault="006717E7">
      <w:pPr>
        <w:snapToGrid w:val="0"/>
        <w:ind w:firstLineChars="200" w:firstLine="420"/>
        <w:jc w:val="left"/>
        <w:rPr>
          <w:rFonts w:ascii="宋体" w:hAnsi="宋体"/>
          <w:szCs w:val="21"/>
        </w:rPr>
      </w:pPr>
      <w:r>
        <w:rPr>
          <w:rFonts w:ascii="宋体" w:hAnsi="宋体" w:hint="eastAsia"/>
          <w:szCs w:val="21"/>
        </w:rPr>
        <w:t>6、2020年9月26日，召开专家研讨会，会议主要提出以下几点建议：（1）嘉兴酱（卤）鸭定义中增加“食糖”辅料，增加“硬杆毛”的定义描述；（2）4.2感官要求中将“无毛”修改为</w:t>
      </w:r>
      <w:r>
        <w:rPr>
          <w:rFonts w:ascii="宋体" w:hAnsi="宋体" w:hint="eastAsia"/>
          <w:szCs w:val="21"/>
        </w:rPr>
        <w:lastRenderedPageBreak/>
        <w:t>“无硬杆毛，无绒毛”，“允许有少量杂毛”修改为“无硬杆毛，允许有绒毛”，提出感官要求鸭皮完整程度仅适用于带皮部位；（3）提出6.1感官要求提出对带皮部位观察鸭皮完整程度，6.2.4水分的测定应取固形物测定。</w:t>
      </w:r>
    </w:p>
    <w:p w14:paraId="2FC45CAA" w14:textId="77777777" w:rsidR="005C18B9" w:rsidRDefault="005C18B9">
      <w:pPr>
        <w:snapToGrid w:val="0"/>
        <w:ind w:firstLineChars="200" w:firstLine="420"/>
        <w:jc w:val="left"/>
        <w:rPr>
          <w:rFonts w:ascii="宋体" w:hAnsi="宋体"/>
          <w:szCs w:val="21"/>
        </w:rPr>
      </w:pPr>
      <w:r>
        <w:rPr>
          <w:rFonts w:ascii="宋体" w:hAnsi="宋体" w:hint="eastAsia"/>
          <w:szCs w:val="21"/>
        </w:rPr>
        <w:t>7、2020年9月27日-9月28日，完成《嘉兴酱（卤）鸭》征求意见稿。</w:t>
      </w:r>
    </w:p>
    <w:p w14:paraId="1B23A24D" w14:textId="77777777" w:rsidR="00B724DD" w:rsidRDefault="00A14D98">
      <w:pPr>
        <w:rPr>
          <w:rFonts w:ascii="黑体" w:eastAsia="黑体" w:hAnsi="黑体" w:cs="黑体"/>
          <w:szCs w:val="21"/>
        </w:rPr>
      </w:pPr>
      <w:r>
        <w:rPr>
          <w:rFonts w:ascii="黑体" w:eastAsia="黑体" w:hAnsi="黑体" w:cs="黑体" w:hint="eastAsia"/>
          <w:szCs w:val="21"/>
        </w:rPr>
        <w:t>五、标准制定原则：</w:t>
      </w:r>
    </w:p>
    <w:p w14:paraId="411634D2" w14:textId="77777777" w:rsidR="00B724DD" w:rsidRDefault="00A14D98">
      <w:pPr>
        <w:widowControl/>
        <w:ind w:firstLineChars="200" w:firstLine="420"/>
        <w:rPr>
          <w:rFonts w:ascii="宋体" w:hAnsi="宋体" w:cs="宋体"/>
          <w:szCs w:val="21"/>
        </w:rPr>
      </w:pPr>
      <w:r>
        <w:rPr>
          <w:rFonts w:ascii="宋体" w:hAnsi="宋体" w:cs="宋体" w:hint="eastAsia"/>
          <w:szCs w:val="21"/>
        </w:rPr>
        <w:t>根据《中华人民共和国食品安全法》及其实施条例等有关法律法规，按GB/T 1.1-2020的编写原则进行编写。以加强嘉兴酱（卤）鸭卫生安全为原则，深入调查研究，保证规范起草工作的科学性、规范性和可操作性。</w:t>
      </w:r>
    </w:p>
    <w:p w14:paraId="0BF535C2" w14:textId="77777777" w:rsidR="00B724DD" w:rsidRDefault="00A14D98">
      <w:pPr>
        <w:rPr>
          <w:rFonts w:ascii="宋体" w:hAnsi="宋体" w:cs="宋体"/>
          <w:color w:val="000000"/>
          <w:szCs w:val="21"/>
        </w:rPr>
      </w:pPr>
      <w:r>
        <w:rPr>
          <w:rFonts w:ascii="宋体" w:hAnsi="宋体" w:cs="宋体" w:hint="eastAsia"/>
          <w:szCs w:val="21"/>
        </w:rPr>
        <w:t xml:space="preserve">   （一）</w:t>
      </w:r>
      <w:r>
        <w:rPr>
          <w:rFonts w:ascii="宋体" w:hAnsi="宋体" w:cs="宋体" w:hint="eastAsia"/>
          <w:color w:val="000000"/>
          <w:szCs w:val="21"/>
        </w:rPr>
        <w:t>可操作性原则</w:t>
      </w:r>
    </w:p>
    <w:p w14:paraId="591C024E" w14:textId="77777777" w:rsidR="00B724DD" w:rsidRDefault="00A14D98">
      <w:pPr>
        <w:widowControl/>
        <w:ind w:firstLineChars="200" w:firstLine="420"/>
        <w:rPr>
          <w:rFonts w:ascii="宋体" w:hAnsi="宋体" w:cs="宋体"/>
          <w:szCs w:val="21"/>
        </w:rPr>
      </w:pPr>
      <w:r>
        <w:rPr>
          <w:rFonts w:ascii="宋体" w:hAnsi="宋体" w:cs="宋体" w:hint="eastAsia"/>
          <w:szCs w:val="21"/>
        </w:rPr>
        <w:t>本标准制定过程中按照可操作性的原则，结合嘉兴酱（卤）鸭生产企业的实际情况，对标准内容进行科学设定。为酱（卤）鸭行业、酱（卤）鸭生产企业、检测单位、市场监督等部门提供科学管理的依据。</w:t>
      </w:r>
    </w:p>
    <w:p w14:paraId="22915855" w14:textId="77777777" w:rsidR="00B724DD" w:rsidRDefault="00A14D98">
      <w:pPr>
        <w:rPr>
          <w:rFonts w:ascii="宋体" w:hAnsi="宋体" w:cs="宋体"/>
          <w:color w:val="000000"/>
          <w:szCs w:val="21"/>
        </w:rPr>
      </w:pPr>
      <w:r>
        <w:rPr>
          <w:rFonts w:ascii="宋体" w:hAnsi="宋体" w:cs="宋体" w:hint="eastAsia"/>
          <w:color w:val="000000"/>
          <w:szCs w:val="21"/>
        </w:rPr>
        <w:t xml:space="preserve">   （二）与国内外标准协调一致原则</w:t>
      </w:r>
    </w:p>
    <w:p w14:paraId="3CF6813B" w14:textId="77777777" w:rsidR="00B724DD" w:rsidRDefault="00A14D98">
      <w:pPr>
        <w:widowControl/>
        <w:ind w:firstLineChars="200" w:firstLine="420"/>
        <w:rPr>
          <w:rFonts w:ascii="宋体" w:hAnsi="宋体" w:cs="宋体"/>
          <w:szCs w:val="21"/>
        </w:rPr>
      </w:pPr>
      <w:r>
        <w:rPr>
          <w:rFonts w:ascii="宋体" w:hAnsi="宋体" w:cs="宋体" w:hint="eastAsia"/>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14:paraId="57C891CB" w14:textId="77777777" w:rsidR="00B724DD" w:rsidRDefault="00A14D98">
      <w:pPr>
        <w:rPr>
          <w:rFonts w:ascii="宋体" w:hAnsi="宋体" w:cs="宋体"/>
          <w:szCs w:val="21"/>
        </w:rPr>
      </w:pPr>
      <w:r>
        <w:rPr>
          <w:rFonts w:ascii="宋体" w:hAnsi="宋体" w:cs="宋体" w:hint="eastAsia"/>
          <w:b/>
          <w:color w:val="000000"/>
          <w:szCs w:val="21"/>
        </w:rPr>
        <w:t xml:space="preserve">    </w:t>
      </w:r>
      <w:r>
        <w:rPr>
          <w:rFonts w:ascii="宋体" w:hAnsi="宋体" w:cs="宋体" w:hint="eastAsia"/>
          <w:color w:val="000000"/>
          <w:szCs w:val="21"/>
        </w:rPr>
        <w:t>（三）公开透明的原则</w:t>
      </w:r>
    </w:p>
    <w:p w14:paraId="448DFF06" w14:textId="77777777" w:rsidR="00B724DD" w:rsidRDefault="00A14D98">
      <w:pPr>
        <w:widowControl/>
        <w:ind w:firstLineChars="200" w:firstLine="420"/>
        <w:rPr>
          <w:rFonts w:ascii="宋体" w:hAnsi="宋体" w:cs="宋体"/>
          <w:szCs w:val="21"/>
        </w:rPr>
      </w:pPr>
      <w:r>
        <w:rPr>
          <w:rFonts w:ascii="宋体" w:hAnsi="宋体" w:cs="宋体" w:hint="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167D60B3" w14:textId="77777777" w:rsidR="00B724DD" w:rsidRDefault="00A14D98">
      <w:pPr>
        <w:rPr>
          <w:rFonts w:ascii="黑体" w:eastAsia="黑体" w:hAnsi="黑体" w:cs="黑体"/>
          <w:szCs w:val="21"/>
        </w:rPr>
      </w:pPr>
      <w:r>
        <w:rPr>
          <w:rFonts w:ascii="黑体" w:eastAsia="黑体" w:hAnsi="黑体" w:cs="黑体" w:hint="eastAsia"/>
          <w:szCs w:val="21"/>
        </w:rPr>
        <w:t>六、标准主要条款说明：</w:t>
      </w:r>
    </w:p>
    <w:p w14:paraId="62F36C7F" w14:textId="77777777" w:rsidR="00B724DD" w:rsidRDefault="00A14D98">
      <w:pPr>
        <w:rPr>
          <w:rFonts w:ascii="宋体" w:hAnsi="宋体" w:cs="宋体"/>
          <w:b/>
          <w:bCs/>
          <w:szCs w:val="21"/>
        </w:rPr>
      </w:pPr>
      <w:r>
        <w:rPr>
          <w:rFonts w:ascii="宋体" w:hAnsi="宋体" w:cs="宋体" w:hint="eastAsia"/>
          <w:b/>
          <w:bCs/>
          <w:szCs w:val="21"/>
        </w:rPr>
        <w:t>1标准名称和范围</w:t>
      </w:r>
    </w:p>
    <w:p w14:paraId="2F962A31" w14:textId="77777777" w:rsidR="00B724DD" w:rsidRDefault="00A14D98">
      <w:pPr>
        <w:ind w:firstLineChars="200" w:firstLine="420"/>
        <w:rPr>
          <w:rFonts w:ascii="宋体" w:hAnsi="宋体"/>
          <w:color w:val="000000"/>
          <w:szCs w:val="21"/>
        </w:rPr>
      </w:pPr>
      <w:r>
        <w:rPr>
          <w:rFonts w:ascii="宋体" w:hAnsi="宋体" w:hint="eastAsia"/>
          <w:szCs w:val="21"/>
        </w:rPr>
        <w:t>根据关于浙江省食品学会发布</w:t>
      </w:r>
      <w:r>
        <w:rPr>
          <w:rFonts w:ascii="宋体" w:hAnsi="宋体" w:hint="eastAsia"/>
          <w:color w:val="000000"/>
          <w:szCs w:val="21"/>
        </w:rPr>
        <w:t>2020年度第二批团体标准立项的通知，标准名称为“嘉兴酱卤鸭”。于2020年9月25日工作组讨论后修改为“嘉兴酱（卤）鸭”。</w:t>
      </w:r>
    </w:p>
    <w:p w14:paraId="2EDD5C6A" w14:textId="77777777" w:rsidR="00B724DD" w:rsidRDefault="00A14D98">
      <w:pPr>
        <w:pStyle w:val="af0"/>
        <w:spacing w:beforeLines="0" w:afterLines="0" w:line="240" w:lineRule="auto"/>
        <w:rPr>
          <w:rFonts w:hAnsi="宋体" w:cs="宋体"/>
          <w:szCs w:val="21"/>
        </w:rPr>
      </w:pPr>
      <w:r>
        <w:rPr>
          <w:rFonts w:hAnsi="宋体" w:cs="宋体" w:hint="eastAsia"/>
          <w:szCs w:val="21"/>
        </w:rPr>
        <w:t>范围根据标准内容确定，本文件规定了嘉兴酱（卤）鸭的术语和定义、要求、</w:t>
      </w:r>
      <w:r>
        <w:rPr>
          <w:rFonts w:hAnsi="宋体" w:cs="宋体" w:hint="eastAsia"/>
          <w:szCs w:val="21"/>
          <w:lang w:val="zh-TW" w:eastAsia="zh-TW"/>
        </w:rPr>
        <w:t>生产加工</w:t>
      </w:r>
      <w:r>
        <w:rPr>
          <w:rFonts w:hAnsi="宋体" w:cs="宋体" w:hint="eastAsia"/>
          <w:szCs w:val="21"/>
        </w:rPr>
        <w:t>过程</w:t>
      </w:r>
      <w:r>
        <w:rPr>
          <w:rFonts w:hAnsi="宋体" w:cs="宋体" w:hint="eastAsia"/>
          <w:szCs w:val="21"/>
          <w:lang w:val="zh-TW" w:eastAsia="zh-TW"/>
        </w:rPr>
        <w:t>卫生要求</w:t>
      </w:r>
      <w:r>
        <w:rPr>
          <w:rFonts w:hAnsi="宋体" w:cs="宋体" w:hint="eastAsia"/>
          <w:szCs w:val="21"/>
          <w:lang w:val="zh-TW"/>
        </w:rPr>
        <w:t>、</w:t>
      </w:r>
      <w:r>
        <w:rPr>
          <w:rFonts w:hAnsi="宋体" w:cs="宋体" w:hint="eastAsia"/>
          <w:szCs w:val="21"/>
        </w:rPr>
        <w:t>试验方法、检验规则、</w:t>
      </w:r>
      <w:r>
        <w:rPr>
          <w:rFonts w:hAnsi="宋体" w:cs="宋体" w:hint="eastAsia"/>
          <w:szCs w:val="21"/>
          <w:lang w:val="zh-TW" w:eastAsia="zh-TW"/>
        </w:rPr>
        <w:t>包装</w:t>
      </w:r>
      <w:r>
        <w:rPr>
          <w:rFonts w:hAnsi="宋体" w:cs="宋体" w:hint="eastAsia"/>
          <w:szCs w:val="21"/>
          <w:lang w:val="zh-TW"/>
        </w:rPr>
        <w:t>、</w:t>
      </w:r>
      <w:r>
        <w:rPr>
          <w:rFonts w:hAnsi="宋体" w:cs="宋体" w:hint="eastAsia"/>
          <w:szCs w:val="21"/>
          <w:lang w:val="zh-TW" w:eastAsia="zh-TW"/>
        </w:rPr>
        <w:t>标签</w:t>
      </w:r>
      <w:r>
        <w:rPr>
          <w:rFonts w:hAnsi="宋体" w:cs="宋体" w:hint="eastAsia"/>
          <w:szCs w:val="21"/>
        </w:rPr>
        <w:t>和标志</w:t>
      </w:r>
      <w:r>
        <w:rPr>
          <w:rFonts w:hAnsi="宋体" w:cs="宋体" w:hint="eastAsia"/>
          <w:szCs w:val="21"/>
          <w:lang w:val="zh-TW" w:eastAsia="zh-TW"/>
        </w:rPr>
        <w:t>、运输</w:t>
      </w:r>
      <w:r>
        <w:rPr>
          <w:rFonts w:hAnsi="宋体" w:cs="宋体" w:hint="eastAsia"/>
          <w:szCs w:val="21"/>
          <w:lang w:val="zh-TW"/>
        </w:rPr>
        <w:t>和</w:t>
      </w:r>
      <w:r>
        <w:rPr>
          <w:rFonts w:hAnsi="宋体" w:cs="宋体" w:hint="eastAsia"/>
          <w:szCs w:val="21"/>
          <w:lang w:val="zh-TW" w:eastAsia="zh-TW"/>
        </w:rPr>
        <w:t>贮存</w:t>
      </w:r>
      <w:r>
        <w:rPr>
          <w:rFonts w:hAnsi="宋体" w:cs="宋体" w:hint="eastAsia"/>
          <w:szCs w:val="21"/>
        </w:rPr>
        <w:t xml:space="preserve">、销售及召回的要求。    </w:t>
      </w:r>
    </w:p>
    <w:p w14:paraId="7D2F1456" w14:textId="77777777" w:rsidR="00B724DD" w:rsidRDefault="00A14D98">
      <w:pPr>
        <w:pStyle w:val="af0"/>
        <w:spacing w:beforeLines="0" w:afterLines="0" w:line="240" w:lineRule="auto"/>
        <w:rPr>
          <w:rFonts w:hAnsi="宋体" w:cs="宋体"/>
          <w:szCs w:val="21"/>
        </w:rPr>
      </w:pPr>
      <w:r>
        <w:rPr>
          <w:rFonts w:hAnsi="宋体" w:cs="宋体" w:hint="eastAsia"/>
          <w:szCs w:val="21"/>
        </w:rPr>
        <w:t>本文件适用于嘉兴酱（卤）鸭的生产、检验和销售。</w:t>
      </w:r>
    </w:p>
    <w:p w14:paraId="122C3289" w14:textId="77777777" w:rsidR="00B724DD" w:rsidRDefault="00FB1813" w:rsidP="00FB1813">
      <w:pPr>
        <w:rPr>
          <w:rFonts w:ascii="宋体" w:hAnsi="宋体" w:cs="宋体"/>
          <w:b/>
          <w:bCs/>
          <w:szCs w:val="21"/>
        </w:rPr>
      </w:pPr>
      <w:r>
        <w:rPr>
          <w:rFonts w:ascii="宋体" w:hAnsi="宋体" w:cs="宋体" w:hint="eastAsia"/>
          <w:b/>
          <w:bCs/>
          <w:szCs w:val="21"/>
        </w:rPr>
        <w:t>2</w:t>
      </w:r>
      <w:r w:rsidR="00A14D98">
        <w:rPr>
          <w:rFonts w:ascii="宋体" w:hAnsi="宋体" w:cs="宋体" w:hint="eastAsia"/>
          <w:b/>
          <w:bCs/>
          <w:szCs w:val="21"/>
        </w:rPr>
        <w:t>规范性引用文件</w:t>
      </w:r>
    </w:p>
    <w:p w14:paraId="449B7F05" w14:textId="77777777" w:rsidR="00B724DD" w:rsidRDefault="00A14D98">
      <w:pPr>
        <w:ind w:firstLineChars="200" w:firstLine="420"/>
        <w:rPr>
          <w:rFonts w:ascii="宋体" w:hAnsi="宋体" w:cs="宋体"/>
          <w:color w:val="000000"/>
          <w:szCs w:val="21"/>
        </w:rPr>
      </w:pPr>
      <w:r>
        <w:rPr>
          <w:rFonts w:ascii="宋体" w:hAnsi="宋体" w:cs="宋体" w:hint="eastAsia"/>
          <w:color w:val="000000"/>
          <w:szCs w:val="21"/>
        </w:rPr>
        <w:t>在规范性引用文件中，根据嘉兴酱（卤）鸭要求中“原辅料要求、污染物限量、微生物限量、食品添加剂和食品营养强化剂、净含量”、生产加工过程卫生要求、试验方法、包装、标签和标志、销售条款引用了相关国家标准等文件。</w:t>
      </w:r>
    </w:p>
    <w:p w14:paraId="1C64C713" w14:textId="77777777" w:rsidR="00B724DD" w:rsidRDefault="00FB1813" w:rsidP="00FB1813">
      <w:pPr>
        <w:rPr>
          <w:rFonts w:ascii="宋体" w:hAnsi="宋体" w:cs="宋体"/>
          <w:b/>
          <w:bCs/>
          <w:szCs w:val="21"/>
        </w:rPr>
      </w:pPr>
      <w:r>
        <w:rPr>
          <w:rFonts w:ascii="宋体" w:hAnsi="宋体" w:cs="宋体" w:hint="eastAsia"/>
          <w:b/>
          <w:bCs/>
          <w:szCs w:val="21"/>
        </w:rPr>
        <w:t>3</w:t>
      </w:r>
      <w:r w:rsidR="00A14D98">
        <w:rPr>
          <w:rFonts w:ascii="宋体" w:hAnsi="宋体" w:cs="宋体" w:hint="eastAsia"/>
          <w:b/>
          <w:bCs/>
          <w:szCs w:val="21"/>
        </w:rPr>
        <w:t>术语和定义</w:t>
      </w:r>
    </w:p>
    <w:p w14:paraId="6135D8BA" w14:textId="77777777" w:rsidR="00B724DD" w:rsidRDefault="00A14D98">
      <w:pPr>
        <w:pStyle w:val="af0"/>
        <w:spacing w:beforeLines="0" w:afterLines="0" w:line="240" w:lineRule="auto"/>
        <w:rPr>
          <w:rFonts w:hAnsi="宋体" w:cs="宋体"/>
          <w:sz w:val="24"/>
          <w:szCs w:val="24"/>
        </w:rPr>
      </w:pPr>
      <w:r>
        <w:rPr>
          <w:rFonts w:hAnsi="宋体" w:cs="宋体" w:hint="eastAsia"/>
          <w:szCs w:val="21"/>
        </w:rPr>
        <w:t>根据GB/T 23586 酱卤肉制品中3.1的定义和参考实际工艺过程将其定义为“</w:t>
      </w:r>
      <w:r>
        <w:rPr>
          <w:rFonts w:hint="eastAsia"/>
          <w:szCs w:val="21"/>
        </w:rPr>
        <w:t>以鲜（冻）鸭为原料，经解冻（或不解冻）放在加有食用盐、酱油（或不加）、香辛料等辅料的水中，经预煮（或不预煮）、浸泡（或不浸泡）、烧煮、酱制（卤制）、包装、灭菌或不灭菌等工艺加工而成的酱卤肉制品。</w:t>
      </w:r>
      <w:r>
        <w:rPr>
          <w:rFonts w:hAnsi="宋体" w:cs="宋体" w:hint="eastAsia"/>
          <w:szCs w:val="21"/>
        </w:rPr>
        <w:t>”</w:t>
      </w:r>
      <w:r w:rsidR="006717E7" w:rsidRPr="006717E7">
        <w:rPr>
          <w:rFonts w:hAnsi="宋体" w:hint="eastAsia"/>
          <w:color w:val="000000"/>
          <w:szCs w:val="21"/>
        </w:rPr>
        <w:t xml:space="preserve"> </w:t>
      </w:r>
      <w:r w:rsidR="006717E7">
        <w:rPr>
          <w:rFonts w:hAnsi="宋体" w:hint="eastAsia"/>
          <w:color w:val="000000"/>
          <w:szCs w:val="21"/>
        </w:rPr>
        <w:t>于2020年9月26日专家研讨会辅料中增加“食糖”。最终修改为</w:t>
      </w:r>
      <w:r w:rsidR="006717E7">
        <w:rPr>
          <w:rFonts w:hAnsi="宋体" w:cs="宋体" w:hint="eastAsia"/>
          <w:szCs w:val="21"/>
        </w:rPr>
        <w:t>“</w:t>
      </w:r>
      <w:r w:rsidR="006717E7">
        <w:rPr>
          <w:rFonts w:hint="eastAsia"/>
          <w:szCs w:val="21"/>
        </w:rPr>
        <w:t>以鲜（冻）鸭为原料，经解冻（或不解冻）放在加有食用盐、酱油（或不加）、食糖、香辛料等辅料的水中，经预煮（或不预煮）、浸泡（或不浸泡）、烧煮、酱制（卤制）、包装、灭菌或不灭菌等工艺加工而成的酱卤肉制品。</w:t>
      </w:r>
      <w:r w:rsidR="006717E7">
        <w:rPr>
          <w:rFonts w:hAnsi="宋体" w:cs="宋体" w:hint="eastAsia"/>
          <w:szCs w:val="21"/>
        </w:rPr>
        <w:t>”</w:t>
      </w:r>
    </w:p>
    <w:p w14:paraId="69C83394" w14:textId="77777777" w:rsidR="00B724DD" w:rsidRDefault="00FB1813" w:rsidP="00FB1813">
      <w:pPr>
        <w:rPr>
          <w:rFonts w:ascii="宋体" w:hAnsi="宋体" w:cs="宋体"/>
          <w:b/>
          <w:bCs/>
          <w:kern w:val="0"/>
          <w:szCs w:val="21"/>
        </w:rPr>
      </w:pPr>
      <w:r>
        <w:rPr>
          <w:rFonts w:ascii="宋体" w:hAnsi="宋体" w:cs="宋体" w:hint="eastAsia"/>
          <w:b/>
          <w:bCs/>
          <w:szCs w:val="21"/>
        </w:rPr>
        <w:t>4</w:t>
      </w:r>
      <w:r w:rsidR="00A14D98">
        <w:rPr>
          <w:rFonts w:ascii="宋体" w:hAnsi="宋体" w:cs="宋体" w:hint="eastAsia"/>
          <w:b/>
          <w:bCs/>
          <w:szCs w:val="21"/>
        </w:rPr>
        <w:t>要求</w:t>
      </w:r>
    </w:p>
    <w:p w14:paraId="406FB711" w14:textId="77777777" w:rsidR="00B724DD" w:rsidRDefault="00A14D98">
      <w:pPr>
        <w:pStyle w:val="afc"/>
      </w:pPr>
      <w:r>
        <w:rPr>
          <w:rFonts w:hint="eastAsia"/>
        </w:rPr>
        <w:t>4.1原辅料要求</w:t>
      </w:r>
    </w:p>
    <w:p w14:paraId="18CEDC26" w14:textId="77777777" w:rsidR="00B724DD" w:rsidRDefault="00A14D98">
      <w:pPr>
        <w:rPr>
          <w:rFonts w:ascii="宋体" w:hAnsi="宋体" w:cs="宋体"/>
          <w:szCs w:val="21"/>
        </w:rPr>
      </w:pPr>
      <w:r>
        <w:rPr>
          <w:rFonts w:ascii="宋体" w:hAnsi="宋体" w:cs="宋体"/>
          <w:szCs w:val="21"/>
        </w:rPr>
        <w:t>对使用的原辅料进行了规定，符合相关国家及行业标准</w:t>
      </w:r>
      <w:r>
        <w:rPr>
          <w:rFonts w:ascii="宋体" w:hAnsi="宋体" w:cs="宋体" w:hint="eastAsia"/>
          <w:szCs w:val="21"/>
        </w:rPr>
        <w:t>。</w:t>
      </w:r>
      <w:r w:rsidR="00904524">
        <w:rPr>
          <w:rFonts w:ascii="宋体" w:hAnsi="宋体" w:cs="宋体" w:hint="eastAsia"/>
          <w:szCs w:val="21"/>
        </w:rPr>
        <w:t>于2020年9月24日专家研讨会提出增加辅料食糖，最终确定原辅料要求</w:t>
      </w:r>
      <w:r>
        <w:rPr>
          <w:rFonts w:ascii="宋体" w:hAnsi="宋体" w:cs="宋体" w:hint="eastAsia"/>
          <w:szCs w:val="21"/>
        </w:rPr>
        <w:t>具体要求如下</w:t>
      </w:r>
    </w:p>
    <w:p w14:paraId="52E05088" w14:textId="77777777" w:rsidR="00B724DD" w:rsidRPr="00A14D98" w:rsidRDefault="00A14D98">
      <w:pPr>
        <w:pStyle w:val="afa"/>
        <w:spacing w:line="240" w:lineRule="auto"/>
        <w:rPr>
          <w:rFonts w:hAnsi="宋体"/>
        </w:rPr>
      </w:pPr>
      <w:r w:rsidRPr="00FB1813">
        <w:rPr>
          <w:rFonts w:hAnsi="宋体" w:cs="黑体" w:hint="eastAsia"/>
          <w:b/>
        </w:rPr>
        <w:t>4.1.1</w:t>
      </w:r>
      <w:r w:rsidRPr="00A14D98">
        <w:rPr>
          <w:rFonts w:hAnsi="宋体" w:hint="eastAsia"/>
        </w:rPr>
        <w:t>鲜（冻）鸭应符合GB 2707、GB 16869规定的要求。</w:t>
      </w:r>
    </w:p>
    <w:p w14:paraId="027E4A20" w14:textId="77777777" w:rsidR="00B724DD" w:rsidRPr="00A14D98" w:rsidRDefault="00A14D98">
      <w:pPr>
        <w:pStyle w:val="afa"/>
        <w:spacing w:line="240" w:lineRule="auto"/>
        <w:rPr>
          <w:rFonts w:hAnsi="宋体"/>
        </w:rPr>
      </w:pPr>
      <w:r w:rsidRPr="00FB1813">
        <w:rPr>
          <w:rFonts w:hAnsi="宋体" w:cs="黑体" w:hint="eastAsia"/>
          <w:b/>
        </w:rPr>
        <w:t>4.1.2</w:t>
      </w:r>
      <w:r w:rsidRPr="00A14D98">
        <w:rPr>
          <w:rFonts w:hAnsi="宋体" w:hint="eastAsia"/>
        </w:rPr>
        <w:t>食用盐应符合GB/T 5461</w:t>
      </w:r>
      <w:r w:rsidR="00904524" w:rsidRPr="00A14D98">
        <w:rPr>
          <w:rFonts w:hAnsi="宋体" w:hint="eastAsia"/>
        </w:rPr>
        <w:t>的</w:t>
      </w:r>
      <w:r w:rsidRPr="00A14D98">
        <w:rPr>
          <w:rFonts w:hAnsi="宋体" w:hint="eastAsia"/>
        </w:rPr>
        <w:t>规定。</w:t>
      </w:r>
    </w:p>
    <w:p w14:paraId="41EE6380" w14:textId="77777777" w:rsidR="00B724DD" w:rsidRPr="00A14D98" w:rsidRDefault="00A14D98">
      <w:pPr>
        <w:pStyle w:val="afa"/>
        <w:spacing w:line="240" w:lineRule="auto"/>
        <w:rPr>
          <w:rFonts w:hAnsi="宋体"/>
        </w:rPr>
      </w:pPr>
      <w:r w:rsidRPr="00FB1813">
        <w:rPr>
          <w:rFonts w:hAnsi="宋体" w:cs="黑体" w:hint="eastAsia"/>
          <w:b/>
        </w:rPr>
        <w:lastRenderedPageBreak/>
        <w:t>4.1.3</w:t>
      </w:r>
      <w:r w:rsidRPr="00A14D98">
        <w:rPr>
          <w:rFonts w:hAnsi="宋体" w:hint="eastAsia"/>
        </w:rPr>
        <w:t xml:space="preserve">酱油应符合GB 2717 </w:t>
      </w:r>
      <w:r w:rsidR="00904524" w:rsidRPr="00A14D98">
        <w:rPr>
          <w:rFonts w:hAnsi="宋体" w:hint="eastAsia"/>
        </w:rPr>
        <w:t>的</w:t>
      </w:r>
      <w:r w:rsidRPr="00A14D98">
        <w:rPr>
          <w:rFonts w:hAnsi="宋体" w:hint="eastAsia"/>
        </w:rPr>
        <w:t>规定。</w:t>
      </w:r>
    </w:p>
    <w:p w14:paraId="716BEFFA" w14:textId="77777777" w:rsidR="00904524" w:rsidRPr="00A14D98" w:rsidRDefault="00904524">
      <w:pPr>
        <w:pStyle w:val="afa"/>
        <w:spacing w:line="240" w:lineRule="auto"/>
        <w:rPr>
          <w:rFonts w:hAnsi="宋体"/>
        </w:rPr>
      </w:pPr>
      <w:r w:rsidRPr="00FB1813">
        <w:rPr>
          <w:rFonts w:hAnsi="宋体" w:hint="eastAsia"/>
          <w:b/>
        </w:rPr>
        <w:t>4.1.4</w:t>
      </w:r>
      <w:r w:rsidRPr="00A14D98">
        <w:rPr>
          <w:rFonts w:hAnsi="宋体" w:hint="eastAsia"/>
        </w:rPr>
        <w:t>食糖应符合GB 13104的规定</w:t>
      </w:r>
    </w:p>
    <w:p w14:paraId="54E24FCB" w14:textId="77777777" w:rsidR="00B724DD" w:rsidRPr="00A14D98" w:rsidRDefault="00A14D98">
      <w:pPr>
        <w:pStyle w:val="afa"/>
        <w:spacing w:line="240" w:lineRule="auto"/>
        <w:rPr>
          <w:rFonts w:hAnsi="宋体"/>
        </w:rPr>
      </w:pPr>
      <w:r w:rsidRPr="00FB1813">
        <w:rPr>
          <w:rFonts w:hAnsi="宋体" w:cs="黑体" w:hint="eastAsia"/>
          <w:b/>
        </w:rPr>
        <w:t>4.1.</w:t>
      </w:r>
      <w:r w:rsidR="00904524" w:rsidRPr="00FB1813">
        <w:rPr>
          <w:rFonts w:hAnsi="宋体" w:cs="黑体" w:hint="eastAsia"/>
          <w:b/>
        </w:rPr>
        <w:t>5</w:t>
      </w:r>
      <w:r w:rsidRPr="00A14D98">
        <w:rPr>
          <w:rFonts w:hAnsi="宋体" w:hint="eastAsia"/>
        </w:rPr>
        <w:t>香辛料应符合GB/T 15691</w:t>
      </w:r>
      <w:r w:rsidR="00904524" w:rsidRPr="00A14D98">
        <w:rPr>
          <w:rFonts w:hAnsi="宋体" w:hint="eastAsia"/>
        </w:rPr>
        <w:t>的</w:t>
      </w:r>
      <w:r w:rsidRPr="00A14D98">
        <w:rPr>
          <w:rFonts w:hAnsi="宋体" w:hint="eastAsia"/>
        </w:rPr>
        <w:t>规定。</w:t>
      </w:r>
    </w:p>
    <w:p w14:paraId="091BEFE6" w14:textId="77777777" w:rsidR="00B724DD" w:rsidRPr="00A14D98" w:rsidRDefault="00A14D98">
      <w:pPr>
        <w:pStyle w:val="afa"/>
        <w:spacing w:line="240" w:lineRule="auto"/>
        <w:rPr>
          <w:rFonts w:hAnsi="宋体"/>
        </w:rPr>
      </w:pPr>
      <w:r w:rsidRPr="00FB1813">
        <w:rPr>
          <w:rFonts w:hAnsi="宋体" w:cs="黑体" w:hint="eastAsia"/>
          <w:b/>
        </w:rPr>
        <w:t>4.1.</w:t>
      </w:r>
      <w:r w:rsidR="00904524" w:rsidRPr="00FB1813">
        <w:rPr>
          <w:rFonts w:hAnsi="宋体" w:cs="黑体" w:hint="eastAsia"/>
          <w:b/>
        </w:rPr>
        <w:t>6</w:t>
      </w:r>
      <w:r w:rsidRPr="00A14D98">
        <w:rPr>
          <w:rFonts w:hAnsi="宋体" w:hint="eastAsia"/>
        </w:rPr>
        <w:t xml:space="preserve">饮用水应符合GB 5749 </w:t>
      </w:r>
      <w:r w:rsidR="00904524" w:rsidRPr="00A14D98">
        <w:rPr>
          <w:rFonts w:hAnsi="宋体" w:hint="eastAsia"/>
        </w:rPr>
        <w:t>的</w:t>
      </w:r>
      <w:r w:rsidRPr="00A14D98">
        <w:rPr>
          <w:rFonts w:hAnsi="宋体" w:hint="eastAsia"/>
        </w:rPr>
        <w:t>规定。</w:t>
      </w:r>
      <w:r w:rsidRPr="00A14D98">
        <w:rPr>
          <w:rFonts w:hAnsi="宋体" w:hint="eastAsia"/>
        </w:rPr>
        <w:tab/>
      </w:r>
    </w:p>
    <w:p w14:paraId="0FCEF32B" w14:textId="77777777" w:rsidR="00B724DD" w:rsidRPr="00A14D98" w:rsidRDefault="00A14D98">
      <w:pPr>
        <w:pStyle w:val="afa"/>
        <w:spacing w:line="240" w:lineRule="auto"/>
        <w:rPr>
          <w:rFonts w:hAnsi="宋体" w:cs="宋体"/>
        </w:rPr>
      </w:pPr>
      <w:r w:rsidRPr="00FB1813">
        <w:rPr>
          <w:rFonts w:hAnsi="宋体" w:cs="黑体" w:hint="eastAsia"/>
          <w:b/>
          <w:kern w:val="2"/>
        </w:rPr>
        <w:t>4.1.</w:t>
      </w:r>
      <w:r w:rsidR="00904524" w:rsidRPr="00FB1813">
        <w:rPr>
          <w:rFonts w:hAnsi="宋体" w:cs="黑体" w:hint="eastAsia"/>
          <w:b/>
          <w:kern w:val="2"/>
        </w:rPr>
        <w:t>7</w:t>
      </w:r>
      <w:r w:rsidRPr="00A14D98">
        <w:rPr>
          <w:rFonts w:hAnsi="宋体" w:hint="eastAsia"/>
        </w:rPr>
        <w:t>其他原辅料应符合相关国家标准或行业标准的规定。</w:t>
      </w:r>
    </w:p>
    <w:p w14:paraId="11537D55" w14:textId="77777777" w:rsidR="00B724DD" w:rsidRDefault="00A14D98">
      <w:pPr>
        <w:rPr>
          <w:rFonts w:ascii="宋体" w:hAnsi="宋体" w:cs="宋体"/>
          <w:b/>
          <w:bCs/>
          <w:szCs w:val="21"/>
        </w:rPr>
      </w:pPr>
      <w:r>
        <w:rPr>
          <w:rFonts w:ascii="宋体" w:hAnsi="宋体" w:cs="宋体" w:hint="eastAsia"/>
          <w:b/>
          <w:bCs/>
          <w:szCs w:val="21"/>
        </w:rPr>
        <w:t>4.2感官要求</w:t>
      </w:r>
    </w:p>
    <w:p w14:paraId="4AFBEF02" w14:textId="77777777" w:rsidR="00B724DD" w:rsidRDefault="00A14D98">
      <w:pPr>
        <w:ind w:firstLineChars="200" w:firstLine="420"/>
        <w:rPr>
          <w:rFonts w:ascii="宋体" w:hAnsi="宋体" w:cs="宋体"/>
          <w:kern w:val="0"/>
          <w:szCs w:val="21"/>
        </w:rPr>
      </w:pPr>
      <w:r>
        <w:rPr>
          <w:rFonts w:ascii="宋体" w:hAnsi="宋体" w:cs="宋体" w:hint="eastAsia"/>
          <w:kern w:val="0"/>
          <w:szCs w:val="21"/>
        </w:rPr>
        <w:t>根据</w:t>
      </w:r>
      <w:r>
        <w:rPr>
          <w:rFonts w:ascii="宋体" w:hAnsi="宋体" w:cs="宋体" w:hint="eastAsia"/>
          <w:szCs w:val="21"/>
        </w:rPr>
        <w:t>GB/T 23586 酱卤肉制品5.2.1感官要求结合</w:t>
      </w:r>
      <w:r>
        <w:rPr>
          <w:rFonts w:ascii="宋体" w:hAnsi="宋体" w:cs="宋体" w:hint="eastAsia"/>
          <w:kern w:val="0"/>
          <w:szCs w:val="21"/>
        </w:rPr>
        <w:t>嘉兴酱（卤）鸭的基本特性为该产品提出了符合产品特点的基本要求。规定“色泽：</w:t>
      </w:r>
      <w:r>
        <w:rPr>
          <w:rFonts w:hAnsi="宋体" w:hint="eastAsia"/>
          <w:szCs w:val="21"/>
        </w:rPr>
        <w:t>具有酱卤鸭应有</w:t>
      </w:r>
      <w:r w:rsidR="00FE7D21">
        <w:rPr>
          <w:rFonts w:hAnsi="宋体" w:hint="eastAsia"/>
          <w:szCs w:val="21"/>
        </w:rPr>
        <w:t>的</w:t>
      </w:r>
      <w:r>
        <w:rPr>
          <w:rFonts w:hAnsi="宋体" w:hint="eastAsia"/>
          <w:szCs w:val="21"/>
        </w:rPr>
        <w:t>色泽</w:t>
      </w:r>
      <w:r>
        <w:rPr>
          <w:rFonts w:ascii="宋体" w:hAnsi="宋体" w:cs="宋体" w:hint="eastAsia"/>
          <w:kern w:val="0"/>
          <w:szCs w:val="21"/>
        </w:rPr>
        <w:t>；气味</w:t>
      </w:r>
      <w:r w:rsidR="00FE7D21">
        <w:rPr>
          <w:rFonts w:ascii="宋体" w:hAnsi="宋体" w:cs="宋体" w:hint="eastAsia"/>
          <w:kern w:val="0"/>
          <w:szCs w:val="21"/>
        </w:rPr>
        <w:t>、</w:t>
      </w:r>
      <w:r>
        <w:rPr>
          <w:rFonts w:ascii="宋体" w:hAnsi="宋体" w:cs="宋体" w:hint="eastAsia"/>
          <w:kern w:val="0"/>
          <w:szCs w:val="21"/>
        </w:rPr>
        <w:t>滋味：</w:t>
      </w:r>
      <w:r>
        <w:rPr>
          <w:rFonts w:hAnsi="宋体" w:hint="eastAsia"/>
          <w:szCs w:val="21"/>
        </w:rPr>
        <w:t>咸淡适中，具有酱卤鸭特有的风味</w:t>
      </w:r>
      <w:r>
        <w:rPr>
          <w:rFonts w:hAnsi="宋体" w:hint="eastAsia"/>
          <w:szCs w:val="21"/>
        </w:rPr>
        <w:t>,</w:t>
      </w:r>
      <w:r>
        <w:rPr>
          <w:rFonts w:hAnsi="宋体" w:hint="eastAsia"/>
          <w:szCs w:val="21"/>
        </w:rPr>
        <w:t>无异味、无酸败味</w:t>
      </w:r>
      <w:r>
        <w:rPr>
          <w:rFonts w:ascii="宋体" w:hAnsi="宋体" w:cs="宋体" w:hint="eastAsia"/>
          <w:kern w:val="0"/>
          <w:szCs w:val="21"/>
        </w:rPr>
        <w:t>；组织状态：组织紧密、肉纤维清晰；杂质：无正常视力可见的杂质。”另外对鸭皮完整程度和去毛程度设置分级要求，规定有完整的鸭皮和无毛为优级，</w:t>
      </w:r>
      <w:r>
        <w:rPr>
          <w:rFonts w:hint="eastAsia"/>
          <w:color w:val="000000"/>
        </w:rPr>
        <w:t>有较为完整的鸭皮，鸭皮少量脱落，有少量杂毛为合格</w:t>
      </w:r>
      <w:r>
        <w:rPr>
          <w:rFonts w:ascii="宋体" w:hAnsi="宋体" w:cs="宋体" w:hint="eastAsia"/>
          <w:kern w:val="0"/>
          <w:szCs w:val="21"/>
        </w:rPr>
        <w:t>。</w:t>
      </w:r>
      <w:r w:rsidR="00FE7D21">
        <w:rPr>
          <w:rFonts w:ascii="宋体" w:hAnsi="宋体" w:cs="宋体" w:hint="eastAsia"/>
          <w:kern w:val="0"/>
          <w:szCs w:val="21"/>
        </w:rPr>
        <w:t>于2020年9月24日专家研讨会提出</w:t>
      </w:r>
      <w:r w:rsidR="00FE7D21">
        <w:rPr>
          <w:rFonts w:ascii="宋体" w:hAnsi="宋体" w:hint="eastAsia"/>
          <w:szCs w:val="21"/>
        </w:rPr>
        <w:t>将“无毛”修改为“无硬杆毛，无绒毛”，“允许有少量杂毛”修改为“无硬杆毛，允许有绒毛”，提出感官要求鸭皮完整程度仅适用于带皮部位。</w:t>
      </w:r>
    </w:p>
    <w:p w14:paraId="3E0D045B" w14:textId="77777777" w:rsidR="00B724DD" w:rsidRDefault="00A14D98">
      <w:pPr>
        <w:rPr>
          <w:rFonts w:ascii="宋体" w:hAnsi="宋体" w:cs="宋体"/>
          <w:b/>
          <w:bCs/>
          <w:szCs w:val="21"/>
        </w:rPr>
      </w:pPr>
      <w:r>
        <w:rPr>
          <w:rFonts w:ascii="宋体" w:hAnsi="宋体" w:cs="宋体" w:hint="eastAsia"/>
          <w:b/>
          <w:bCs/>
          <w:szCs w:val="21"/>
        </w:rPr>
        <w:t>4.3理化指标</w:t>
      </w:r>
    </w:p>
    <w:p w14:paraId="146CEEBA" w14:textId="77777777" w:rsidR="00B724DD" w:rsidRDefault="00A14D98">
      <w:pPr>
        <w:ind w:firstLineChars="200" w:firstLine="420"/>
        <w:rPr>
          <w:rFonts w:ascii="宋体" w:hAnsi="宋体" w:cs="宋体"/>
          <w:kern w:val="0"/>
          <w:szCs w:val="21"/>
        </w:rPr>
      </w:pPr>
      <w:r>
        <w:rPr>
          <w:rFonts w:ascii="宋体" w:hAnsi="宋体" w:cs="宋体" w:hint="eastAsia"/>
          <w:kern w:val="0"/>
          <w:szCs w:val="21"/>
        </w:rPr>
        <w:t>根据GB/T 23586 酱卤肉制品5.2.2理化指标以及其他相关标准确定。综合考虑嘉兴酱（卤）鸭实际提出了符合产品特点的理化指标。</w:t>
      </w:r>
    </w:p>
    <w:p w14:paraId="320F1CFA" w14:textId="77777777" w:rsidR="00B724DD" w:rsidRDefault="007B4964">
      <w:pPr>
        <w:rPr>
          <w:rFonts w:ascii="宋体" w:hAnsi="宋体" w:cs="宋体"/>
          <w:kern w:val="0"/>
          <w:szCs w:val="21"/>
        </w:rPr>
      </w:pPr>
      <w:r>
        <w:rPr>
          <w:rFonts w:ascii="宋体" w:hAnsi="宋体" w:cs="宋体" w:hint="eastAsia"/>
          <w:b/>
          <w:bCs/>
          <w:kern w:val="0"/>
          <w:szCs w:val="21"/>
        </w:rPr>
        <w:t>1</w:t>
      </w:r>
      <w:r w:rsidR="00A14D98">
        <w:rPr>
          <w:rFonts w:ascii="宋体" w:hAnsi="宋体" w:cs="宋体" w:hint="eastAsia"/>
          <w:b/>
          <w:bCs/>
          <w:kern w:val="0"/>
          <w:szCs w:val="21"/>
        </w:rPr>
        <w:t>.固形物</w:t>
      </w:r>
      <w:r w:rsidR="00F1126D">
        <w:rPr>
          <w:rFonts w:ascii="宋体" w:hAnsi="宋体" w:cs="宋体" w:hint="eastAsia"/>
          <w:b/>
          <w:bCs/>
          <w:kern w:val="0"/>
          <w:szCs w:val="21"/>
        </w:rPr>
        <w:t>含量</w:t>
      </w:r>
    </w:p>
    <w:p w14:paraId="08D780A2" w14:textId="77777777" w:rsidR="00B724DD" w:rsidRDefault="00A14D98">
      <w:pPr>
        <w:ind w:firstLineChars="200" w:firstLine="420"/>
        <w:rPr>
          <w:rFonts w:ascii="宋体" w:hAnsi="宋体" w:cs="宋体"/>
          <w:kern w:val="0"/>
          <w:szCs w:val="21"/>
        </w:rPr>
      </w:pPr>
      <w:r>
        <w:rPr>
          <w:rFonts w:ascii="宋体" w:hAnsi="宋体" w:cs="宋体" w:hint="eastAsia"/>
          <w:kern w:val="0"/>
          <w:szCs w:val="21"/>
        </w:rPr>
        <w:t>根据GB/T 20558 地理标志产品 符离集烧鸡中5.6理化指标“固形物含量88%</w:t>
      </w:r>
      <w:r>
        <w:rPr>
          <w:rFonts w:ascii="宋体" w:hAnsi="宋体" w:cs="宋体"/>
          <w:kern w:val="0"/>
          <w:szCs w:val="21"/>
        </w:rPr>
        <w:t>”</w:t>
      </w:r>
      <w:r>
        <w:rPr>
          <w:rFonts w:ascii="宋体" w:hAnsi="宋体" w:cs="宋体" w:hint="eastAsia"/>
          <w:kern w:val="0"/>
          <w:szCs w:val="21"/>
        </w:rPr>
        <w:t>，结合嘉兴酱（卤）鸭实际产品特点，本文件规定固形物含量</w:t>
      </w:r>
      <w:r>
        <w:rPr>
          <w:rFonts w:hAnsi="宋体" w:hint="eastAsia"/>
          <w:szCs w:val="21"/>
        </w:rPr>
        <w:t>≥</w:t>
      </w:r>
      <w:r>
        <w:rPr>
          <w:rFonts w:ascii="宋体" w:hAnsi="宋体" w:cs="宋体" w:hint="eastAsia"/>
          <w:kern w:val="0"/>
          <w:szCs w:val="21"/>
        </w:rPr>
        <w:t>85g/100g。注：固形物含量检测仅限于商业无菌工艺生产的产品。</w:t>
      </w:r>
    </w:p>
    <w:p w14:paraId="4E6E8A36" w14:textId="77777777" w:rsidR="00B724DD" w:rsidRDefault="007B4964">
      <w:pPr>
        <w:rPr>
          <w:rFonts w:ascii="宋体" w:hAnsi="宋体" w:cs="宋体"/>
          <w:kern w:val="0"/>
          <w:szCs w:val="21"/>
        </w:rPr>
      </w:pPr>
      <w:r>
        <w:rPr>
          <w:rFonts w:ascii="宋体" w:hAnsi="宋体" w:cs="宋体" w:hint="eastAsia"/>
          <w:b/>
          <w:bCs/>
          <w:kern w:val="0"/>
          <w:szCs w:val="21"/>
        </w:rPr>
        <w:t>2</w:t>
      </w:r>
      <w:r w:rsidR="00A14D98">
        <w:rPr>
          <w:rFonts w:ascii="宋体" w:hAnsi="宋体" w:cs="宋体" w:hint="eastAsia"/>
          <w:b/>
          <w:bCs/>
          <w:kern w:val="0"/>
          <w:szCs w:val="21"/>
        </w:rPr>
        <w:t>.水分</w:t>
      </w:r>
    </w:p>
    <w:p w14:paraId="01B91EC6" w14:textId="77777777" w:rsidR="00B724DD" w:rsidRDefault="00A14D98">
      <w:pPr>
        <w:ind w:firstLineChars="200" w:firstLine="420"/>
        <w:rPr>
          <w:rFonts w:ascii="宋体" w:hAnsi="宋体" w:cs="宋体"/>
          <w:kern w:val="0"/>
          <w:szCs w:val="21"/>
        </w:rPr>
      </w:pPr>
      <w:r>
        <w:rPr>
          <w:rFonts w:ascii="宋体" w:hAnsi="宋体" w:cs="宋体" w:hint="eastAsia"/>
          <w:kern w:val="0"/>
          <w:szCs w:val="21"/>
        </w:rPr>
        <w:t>根据 GB/T 23586 酱卤肉制品5.2.2理化指标的要求，结合</w:t>
      </w:r>
      <w:r>
        <w:rPr>
          <w:rFonts w:ascii="宋体" w:hAnsi="宋体" w:cs="宋体" w:hint="eastAsia"/>
          <w:szCs w:val="21"/>
        </w:rPr>
        <w:t>嘉兴中科检测技术服务有限公司</w:t>
      </w:r>
      <w:r>
        <w:rPr>
          <w:rFonts w:ascii="宋体" w:hAnsi="宋体" w:cs="宋体" w:hint="eastAsia"/>
          <w:kern w:val="0"/>
          <w:szCs w:val="21"/>
        </w:rPr>
        <w:t>提供的数据见表1，本文件规定水分≤70(g/100g)。</w:t>
      </w:r>
    </w:p>
    <w:p w14:paraId="35DE4DA6" w14:textId="77777777" w:rsidR="00B724DD" w:rsidRDefault="00A14D98">
      <w:pPr>
        <w:spacing w:beforeLines="50" w:before="156" w:afterLines="50" w:after="156"/>
        <w:ind w:firstLineChars="200" w:firstLine="420"/>
        <w:jc w:val="center"/>
        <w:rPr>
          <w:rFonts w:ascii="宋体" w:hAnsi="宋体" w:cs="宋体"/>
          <w:sz w:val="24"/>
          <w:szCs w:val="24"/>
        </w:rPr>
      </w:pPr>
      <w:r>
        <w:rPr>
          <w:rFonts w:ascii="黑体" w:eastAsia="黑体" w:hAnsi="黑体" w:cs="黑体" w:hint="eastAsia"/>
          <w:szCs w:val="21"/>
        </w:rPr>
        <w:t>表1 水分检测结果</w:t>
      </w:r>
    </w:p>
    <w:tbl>
      <w:tblPr>
        <w:tblW w:w="89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2"/>
        <w:gridCol w:w="5555"/>
      </w:tblGrid>
      <w:tr w:rsidR="00B724DD" w14:paraId="0CB2C53C" w14:textId="77777777">
        <w:trPr>
          <w:trHeight w:val="312"/>
          <w:jc w:val="center"/>
        </w:trPr>
        <w:tc>
          <w:tcPr>
            <w:tcW w:w="3402" w:type="dxa"/>
            <w:tcBorders>
              <w:tl2br w:val="nil"/>
              <w:tr2bl w:val="nil"/>
            </w:tcBorders>
            <w:vAlign w:val="center"/>
          </w:tcPr>
          <w:p w14:paraId="2C55AA3B"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样品</w:t>
            </w:r>
          </w:p>
        </w:tc>
        <w:tc>
          <w:tcPr>
            <w:tcW w:w="5555" w:type="dxa"/>
            <w:tcBorders>
              <w:tl2br w:val="nil"/>
              <w:tr2bl w:val="nil"/>
            </w:tcBorders>
            <w:vAlign w:val="center"/>
          </w:tcPr>
          <w:p w14:paraId="6D706A81"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水分（g/100g)</w:t>
            </w:r>
          </w:p>
        </w:tc>
      </w:tr>
      <w:tr w:rsidR="00B724DD" w14:paraId="3A079091" w14:textId="77777777">
        <w:trPr>
          <w:trHeight w:val="292"/>
          <w:jc w:val="center"/>
        </w:trPr>
        <w:tc>
          <w:tcPr>
            <w:tcW w:w="3402" w:type="dxa"/>
            <w:vMerge w:val="restart"/>
            <w:tcBorders>
              <w:tl2br w:val="nil"/>
              <w:tr2bl w:val="nil"/>
            </w:tcBorders>
            <w:vAlign w:val="center"/>
          </w:tcPr>
          <w:p w14:paraId="414557B4" w14:textId="77777777" w:rsidR="00B724DD" w:rsidRDefault="00A14D98">
            <w:pPr>
              <w:pStyle w:val="af0"/>
              <w:spacing w:beforeLines="0" w:afterLines="0" w:line="240" w:lineRule="auto"/>
              <w:ind w:firstLineChars="0" w:firstLine="0"/>
              <w:jc w:val="center"/>
              <w:rPr>
                <w:rFonts w:hAnsi="宋体"/>
                <w:szCs w:val="21"/>
              </w:rPr>
            </w:pPr>
            <w:r>
              <w:rPr>
                <w:rFonts w:hAnsi="宋体"/>
                <w:szCs w:val="21"/>
              </w:rPr>
              <w:t>同一品牌同一个类别</w:t>
            </w:r>
          </w:p>
        </w:tc>
        <w:tc>
          <w:tcPr>
            <w:tcW w:w="5555" w:type="dxa"/>
            <w:tcBorders>
              <w:tl2br w:val="nil"/>
              <w:tr2bl w:val="nil"/>
            </w:tcBorders>
          </w:tcPr>
          <w:p w14:paraId="1C42641E"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52.3</w:t>
            </w:r>
          </w:p>
        </w:tc>
      </w:tr>
      <w:tr w:rsidR="00B724DD" w14:paraId="5AF8770D" w14:textId="77777777">
        <w:trPr>
          <w:trHeight w:val="340"/>
          <w:jc w:val="center"/>
        </w:trPr>
        <w:tc>
          <w:tcPr>
            <w:tcW w:w="3402" w:type="dxa"/>
            <w:vMerge/>
            <w:tcBorders>
              <w:tl2br w:val="nil"/>
              <w:tr2bl w:val="nil"/>
            </w:tcBorders>
            <w:vAlign w:val="center"/>
          </w:tcPr>
          <w:p w14:paraId="4F41D0F5"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2AFA2F61"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51.2</w:t>
            </w:r>
          </w:p>
        </w:tc>
      </w:tr>
      <w:tr w:rsidR="00B724DD" w14:paraId="26A33CA1" w14:textId="77777777">
        <w:trPr>
          <w:trHeight w:val="340"/>
          <w:jc w:val="center"/>
        </w:trPr>
        <w:tc>
          <w:tcPr>
            <w:tcW w:w="3402" w:type="dxa"/>
            <w:vMerge/>
            <w:tcBorders>
              <w:tl2br w:val="nil"/>
              <w:tr2bl w:val="nil"/>
            </w:tcBorders>
            <w:vAlign w:val="center"/>
          </w:tcPr>
          <w:p w14:paraId="08FC0D43"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48956728"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51.4</w:t>
            </w:r>
          </w:p>
        </w:tc>
      </w:tr>
      <w:tr w:rsidR="00B724DD" w14:paraId="76789234" w14:textId="77777777">
        <w:trPr>
          <w:trHeight w:val="340"/>
          <w:jc w:val="center"/>
        </w:trPr>
        <w:tc>
          <w:tcPr>
            <w:tcW w:w="3402" w:type="dxa"/>
            <w:vMerge/>
            <w:tcBorders>
              <w:tl2br w:val="nil"/>
              <w:tr2bl w:val="nil"/>
            </w:tcBorders>
            <w:vAlign w:val="center"/>
          </w:tcPr>
          <w:p w14:paraId="5F59B0D2"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0EE15B4F"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43.4</w:t>
            </w:r>
          </w:p>
        </w:tc>
      </w:tr>
      <w:tr w:rsidR="00B724DD" w14:paraId="07941E7F" w14:textId="77777777">
        <w:trPr>
          <w:trHeight w:val="90"/>
          <w:jc w:val="center"/>
        </w:trPr>
        <w:tc>
          <w:tcPr>
            <w:tcW w:w="3402" w:type="dxa"/>
            <w:vMerge/>
            <w:tcBorders>
              <w:tl2br w:val="nil"/>
              <w:tr2bl w:val="nil"/>
            </w:tcBorders>
            <w:vAlign w:val="center"/>
          </w:tcPr>
          <w:p w14:paraId="0A8DD10D"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7D999272"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66.6</w:t>
            </w:r>
          </w:p>
        </w:tc>
      </w:tr>
      <w:tr w:rsidR="00B724DD" w14:paraId="7A8696A4" w14:textId="77777777">
        <w:trPr>
          <w:trHeight w:val="90"/>
          <w:jc w:val="center"/>
        </w:trPr>
        <w:tc>
          <w:tcPr>
            <w:tcW w:w="3402" w:type="dxa"/>
            <w:vMerge/>
            <w:tcBorders>
              <w:tl2br w:val="nil"/>
              <w:tr2bl w:val="nil"/>
            </w:tcBorders>
            <w:vAlign w:val="center"/>
          </w:tcPr>
          <w:p w14:paraId="5862A402"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5B3AD191"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61.4</w:t>
            </w:r>
          </w:p>
        </w:tc>
      </w:tr>
      <w:tr w:rsidR="00B724DD" w14:paraId="61D93C5B" w14:textId="77777777">
        <w:trPr>
          <w:trHeight w:val="90"/>
          <w:jc w:val="center"/>
        </w:trPr>
        <w:tc>
          <w:tcPr>
            <w:tcW w:w="3402" w:type="dxa"/>
            <w:vMerge/>
            <w:tcBorders>
              <w:tl2br w:val="nil"/>
              <w:tr2bl w:val="nil"/>
            </w:tcBorders>
            <w:vAlign w:val="center"/>
          </w:tcPr>
          <w:p w14:paraId="184E1228"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061B56AF"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44.1</w:t>
            </w:r>
          </w:p>
        </w:tc>
      </w:tr>
      <w:tr w:rsidR="00B724DD" w14:paraId="7AA099B1" w14:textId="77777777">
        <w:trPr>
          <w:trHeight w:val="90"/>
          <w:jc w:val="center"/>
        </w:trPr>
        <w:tc>
          <w:tcPr>
            <w:tcW w:w="3402" w:type="dxa"/>
            <w:vMerge/>
            <w:tcBorders>
              <w:tl2br w:val="nil"/>
              <w:tr2bl w:val="nil"/>
            </w:tcBorders>
            <w:vAlign w:val="center"/>
          </w:tcPr>
          <w:p w14:paraId="65ED6585"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5F5C7FD3"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58.6</w:t>
            </w:r>
          </w:p>
        </w:tc>
      </w:tr>
      <w:tr w:rsidR="00B724DD" w14:paraId="7682F002" w14:textId="77777777">
        <w:trPr>
          <w:trHeight w:val="90"/>
          <w:jc w:val="center"/>
        </w:trPr>
        <w:tc>
          <w:tcPr>
            <w:tcW w:w="3402" w:type="dxa"/>
            <w:vMerge/>
            <w:tcBorders>
              <w:tl2br w:val="nil"/>
              <w:tr2bl w:val="nil"/>
            </w:tcBorders>
            <w:vAlign w:val="center"/>
          </w:tcPr>
          <w:p w14:paraId="7E35058C"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5322BB94"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49.1</w:t>
            </w:r>
          </w:p>
        </w:tc>
      </w:tr>
      <w:tr w:rsidR="00B724DD" w14:paraId="5AF05286" w14:textId="77777777">
        <w:trPr>
          <w:trHeight w:val="90"/>
          <w:jc w:val="center"/>
        </w:trPr>
        <w:tc>
          <w:tcPr>
            <w:tcW w:w="3402" w:type="dxa"/>
            <w:vMerge/>
            <w:tcBorders>
              <w:tl2br w:val="nil"/>
              <w:tr2bl w:val="nil"/>
            </w:tcBorders>
            <w:vAlign w:val="center"/>
          </w:tcPr>
          <w:p w14:paraId="183E755D"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2F293559"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57.5</w:t>
            </w:r>
          </w:p>
        </w:tc>
      </w:tr>
      <w:tr w:rsidR="00B724DD" w14:paraId="07A1AE88" w14:textId="77777777">
        <w:trPr>
          <w:trHeight w:val="90"/>
          <w:jc w:val="center"/>
        </w:trPr>
        <w:tc>
          <w:tcPr>
            <w:tcW w:w="3402" w:type="dxa"/>
            <w:vMerge/>
            <w:tcBorders>
              <w:tl2br w:val="nil"/>
              <w:tr2bl w:val="nil"/>
            </w:tcBorders>
            <w:vAlign w:val="center"/>
          </w:tcPr>
          <w:p w14:paraId="509ACB8D"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5D7FB723"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59.2</w:t>
            </w:r>
          </w:p>
        </w:tc>
      </w:tr>
      <w:tr w:rsidR="00B724DD" w14:paraId="20F6D65F" w14:textId="77777777">
        <w:trPr>
          <w:trHeight w:val="90"/>
          <w:jc w:val="center"/>
        </w:trPr>
        <w:tc>
          <w:tcPr>
            <w:tcW w:w="3402" w:type="dxa"/>
            <w:vMerge/>
            <w:tcBorders>
              <w:tl2br w:val="nil"/>
              <w:tr2bl w:val="nil"/>
            </w:tcBorders>
            <w:vAlign w:val="center"/>
          </w:tcPr>
          <w:p w14:paraId="60B151B3"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0D982602"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44.7</w:t>
            </w:r>
          </w:p>
        </w:tc>
      </w:tr>
      <w:tr w:rsidR="00B724DD" w14:paraId="187208B8" w14:textId="77777777">
        <w:trPr>
          <w:trHeight w:val="90"/>
          <w:jc w:val="center"/>
        </w:trPr>
        <w:tc>
          <w:tcPr>
            <w:tcW w:w="3402" w:type="dxa"/>
            <w:vMerge/>
            <w:tcBorders>
              <w:tl2br w:val="nil"/>
              <w:tr2bl w:val="nil"/>
            </w:tcBorders>
            <w:vAlign w:val="center"/>
          </w:tcPr>
          <w:p w14:paraId="388AC477"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3E9FEDC9"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56.5</w:t>
            </w:r>
          </w:p>
        </w:tc>
      </w:tr>
      <w:tr w:rsidR="00B724DD" w14:paraId="64513C28" w14:textId="77777777">
        <w:trPr>
          <w:trHeight w:val="90"/>
          <w:jc w:val="center"/>
        </w:trPr>
        <w:tc>
          <w:tcPr>
            <w:tcW w:w="3402" w:type="dxa"/>
            <w:vMerge/>
            <w:tcBorders>
              <w:tl2br w:val="nil"/>
              <w:tr2bl w:val="nil"/>
            </w:tcBorders>
            <w:vAlign w:val="center"/>
          </w:tcPr>
          <w:p w14:paraId="69C5465F"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502987F2"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43.1</w:t>
            </w:r>
          </w:p>
        </w:tc>
      </w:tr>
      <w:tr w:rsidR="00B724DD" w14:paraId="2CE1F3E3" w14:textId="77777777">
        <w:trPr>
          <w:trHeight w:val="90"/>
          <w:jc w:val="center"/>
        </w:trPr>
        <w:tc>
          <w:tcPr>
            <w:tcW w:w="3402" w:type="dxa"/>
            <w:vMerge/>
            <w:tcBorders>
              <w:tl2br w:val="nil"/>
              <w:tr2bl w:val="nil"/>
            </w:tcBorders>
            <w:vAlign w:val="center"/>
          </w:tcPr>
          <w:p w14:paraId="1B7DC44B"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42E02B17"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59.0</w:t>
            </w:r>
          </w:p>
        </w:tc>
      </w:tr>
      <w:tr w:rsidR="00B724DD" w14:paraId="67203B2C" w14:textId="77777777">
        <w:trPr>
          <w:trHeight w:val="90"/>
          <w:jc w:val="center"/>
        </w:trPr>
        <w:tc>
          <w:tcPr>
            <w:tcW w:w="3402" w:type="dxa"/>
            <w:vMerge/>
            <w:tcBorders>
              <w:tl2br w:val="nil"/>
              <w:tr2bl w:val="nil"/>
            </w:tcBorders>
            <w:vAlign w:val="center"/>
          </w:tcPr>
          <w:p w14:paraId="73561FD5"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4A101C73"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57.5</w:t>
            </w:r>
          </w:p>
        </w:tc>
      </w:tr>
      <w:tr w:rsidR="00B724DD" w14:paraId="6EA9023F" w14:textId="77777777">
        <w:trPr>
          <w:trHeight w:val="90"/>
          <w:jc w:val="center"/>
        </w:trPr>
        <w:tc>
          <w:tcPr>
            <w:tcW w:w="3402" w:type="dxa"/>
            <w:vMerge/>
            <w:tcBorders>
              <w:tl2br w:val="nil"/>
              <w:tr2bl w:val="nil"/>
            </w:tcBorders>
            <w:vAlign w:val="center"/>
          </w:tcPr>
          <w:p w14:paraId="5A8AE731"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1DD42555"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59.0</w:t>
            </w:r>
          </w:p>
        </w:tc>
      </w:tr>
      <w:tr w:rsidR="00B724DD" w14:paraId="196A2344" w14:textId="77777777">
        <w:trPr>
          <w:trHeight w:val="90"/>
          <w:jc w:val="center"/>
        </w:trPr>
        <w:tc>
          <w:tcPr>
            <w:tcW w:w="3402" w:type="dxa"/>
            <w:vMerge/>
            <w:tcBorders>
              <w:tl2br w:val="nil"/>
              <w:tr2bl w:val="nil"/>
            </w:tcBorders>
            <w:vAlign w:val="center"/>
          </w:tcPr>
          <w:p w14:paraId="64C818F4"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6B724266"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60.4</w:t>
            </w:r>
          </w:p>
        </w:tc>
      </w:tr>
    </w:tbl>
    <w:p w14:paraId="17D7A3E0" w14:textId="77777777" w:rsidR="00B724DD" w:rsidRDefault="007B4964">
      <w:pPr>
        <w:rPr>
          <w:rFonts w:ascii="宋体" w:hAnsi="宋体" w:cs="宋体"/>
          <w:b/>
          <w:bCs/>
          <w:kern w:val="0"/>
          <w:szCs w:val="21"/>
        </w:rPr>
      </w:pPr>
      <w:r>
        <w:rPr>
          <w:rFonts w:ascii="宋体" w:hAnsi="宋体" w:cs="宋体" w:hint="eastAsia"/>
          <w:b/>
          <w:bCs/>
          <w:kern w:val="0"/>
          <w:szCs w:val="21"/>
        </w:rPr>
        <w:lastRenderedPageBreak/>
        <w:t>3</w:t>
      </w:r>
      <w:r w:rsidR="00A14D98">
        <w:rPr>
          <w:rFonts w:ascii="宋体" w:hAnsi="宋体" w:cs="宋体" w:hint="eastAsia"/>
          <w:b/>
          <w:bCs/>
          <w:kern w:val="0"/>
          <w:szCs w:val="21"/>
        </w:rPr>
        <w:t>.蛋白质</w:t>
      </w:r>
    </w:p>
    <w:p w14:paraId="46B67662" w14:textId="77777777" w:rsidR="00B724DD" w:rsidRDefault="00A14D98">
      <w:pPr>
        <w:ind w:firstLineChars="200" w:firstLine="420"/>
        <w:rPr>
          <w:rFonts w:ascii="宋体" w:hAnsi="宋体" w:cs="宋体"/>
          <w:kern w:val="0"/>
          <w:szCs w:val="21"/>
        </w:rPr>
      </w:pPr>
      <w:r>
        <w:rPr>
          <w:rFonts w:ascii="宋体" w:hAnsi="宋体" w:cs="宋体" w:hint="eastAsia"/>
          <w:kern w:val="0"/>
          <w:szCs w:val="21"/>
        </w:rPr>
        <w:t>根据GB/T 23586 酱卤肉制品5.2.2理化指标对蛋白质的要求结合</w:t>
      </w:r>
      <w:r>
        <w:rPr>
          <w:rFonts w:ascii="宋体" w:hAnsi="宋体" w:cs="宋体" w:hint="eastAsia"/>
          <w:szCs w:val="21"/>
        </w:rPr>
        <w:t>嘉兴中科检测技术服务有限公司</w:t>
      </w:r>
      <w:r>
        <w:rPr>
          <w:rFonts w:ascii="宋体" w:hAnsi="宋体" w:cs="宋体" w:hint="eastAsia"/>
          <w:kern w:val="0"/>
          <w:szCs w:val="21"/>
        </w:rPr>
        <w:t>提供的数据见表2，本文件规定蛋白质≥15g/100g。</w:t>
      </w:r>
      <w:r w:rsidR="00A813E9">
        <w:rPr>
          <w:rFonts w:ascii="宋体" w:hAnsi="宋体" w:cs="宋体" w:hint="eastAsia"/>
          <w:kern w:val="0"/>
          <w:szCs w:val="21"/>
        </w:rPr>
        <w:t>于2020年9月25日专家研讨会提出蛋白质应分类要求，鸭肉和内脏、杂类蛋白质指标不能同等参考，根据GB/T 23586 酱卤肉制品5.2.2理化指标蛋白质的规定，修改后确定</w:t>
      </w:r>
      <w:r w:rsidR="009046E5">
        <w:rPr>
          <w:rFonts w:ascii="宋体" w:hAnsi="宋体" w:cs="宋体" w:hint="eastAsia"/>
          <w:kern w:val="0"/>
          <w:szCs w:val="21"/>
        </w:rPr>
        <w:t>鸭肉蛋白质</w:t>
      </w:r>
      <w:r w:rsidR="00FB570C">
        <w:rPr>
          <w:rFonts w:ascii="宋体" w:hAnsi="宋体" w:cs="宋体" w:hint="eastAsia"/>
          <w:kern w:val="0"/>
          <w:szCs w:val="21"/>
        </w:rPr>
        <w:t>合格为</w:t>
      </w:r>
      <w:r w:rsidR="009046E5">
        <w:rPr>
          <w:rFonts w:ascii="宋体" w:hAnsi="宋体" w:cs="宋体" w:hint="eastAsia"/>
          <w:kern w:val="0"/>
          <w:szCs w:val="21"/>
        </w:rPr>
        <w:t>≥15g/100g，内脏、杂类</w:t>
      </w:r>
      <w:r w:rsidR="00FB570C">
        <w:rPr>
          <w:rFonts w:ascii="宋体" w:hAnsi="宋体" w:cs="宋体" w:hint="eastAsia"/>
          <w:kern w:val="0"/>
          <w:szCs w:val="21"/>
        </w:rPr>
        <w:t>蛋白质合格为</w:t>
      </w:r>
      <w:r w:rsidR="009046E5">
        <w:rPr>
          <w:rFonts w:ascii="宋体" w:hAnsi="宋体" w:cs="宋体" w:hint="eastAsia"/>
          <w:kern w:val="0"/>
          <w:szCs w:val="21"/>
        </w:rPr>
        <w:t>≥8g/100g。</w:t>
      </w:r>
    </w:p>
    <w:p w14:paraId="60E8554E" w14:textId="77777777" w:rsidR="00B724DD" w:rsidRDefault="00A14D98">
      <w:pPr>
        <w:spacing w:beforeLines="50" w:before="156" w:afterLines="50" w:after="156"/>
        <w:ind w:firstLineChars="200" w:firstLine="420"/>
        <w:jc w:val="center"/>
        <w:rPr>
          <w:rFonts w:ascii="黑体" w:eastAsia="黑体" w:hAnsi="黑体" w:cs="黑体"/>
          <w:szCs w:val="21"/>
        </w:rPr>
      </w:pPr>
      <w:r>
        <w:rPr>
          <w:rFonts w:ascii="黑体" w:eastAsia="黑体" w:hAnsi="黑体" w:cs="黑体" w:hint="eastAsia"/>
          <w:szCs w:val="21"/>
        </w:rPr>
        <w:t>表2 蛋白质检测结果</w:t>
      </w:r>
    </w:p>
    <w:tbl>
      <w:tblPr>
        <w:tblW w:w="89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2"/>
        <w:gridCol w:w="5555"/>
      </w:tblGrid>
      <w:tr w:rsidR="00B724DD" w14:paraId="3B86B7BD" w14:textId="77777777">
        <w:trPr>
          <w:trHeight w:val="312"/>
          <w:jc w:val="center"/>
        </w:trPr>
        <w:tc>
          <w:tcPr>
            <w:tcW w:w="3402" w:type="dxa"/>
            <w:tcBorders>
              <w:tl2br w:val="nil"/>
              <w:tr2bl w:val="nil"/>
            </w:tcBorders>
            <w:vAlign w:val="center"/>
          </w:tcPr>
          <w:p w14:paraId="4C1D8B05"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样品</w:t>
            </w:r>
          </w:p>
        </w:tc>
        <w:tc>
          <w:tcPr>
            <w:tcW w:w="5555" w:type="dxa"/>
            <w:tcBorders>
              <w:tl2br w:val="nil"/>
              <w:tr2bl w:val="nil"/>
            </w:tcBorders>
            <w:vAlign w:val="center"/>
          </w:tcPr>
          <w:p w14:paraId="246B180F"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蛋白质（g/100g)</w:t>
            </w:r>
          </w:p>
        </w:tc>
      </w:tr>
      <w:tr w:rsidR="00B724DD" w14:paraId="66A84CE6" w14:textId="77777777">
        <w:trPr>
          <w:trHeight w:val="292"/>
          <w:jc w:val="center"/>
        </w:trPr>
        <w:tc>
          <w:tcPr>
            <w:tcW w:w="3402" w:type="dxa"/>
            <w:vMerge w:val="restart"/>
            <w:tcBorders>
              <w:tl2br w:val="nil"/>
              <w:tr2bl w:val="nil"/>
            </w:tcBorders>
            <w:vAlign w:val="center"/>
          </w:tcPr>
          <w:p w14:paraId="3A43A1A8" w14:textId="77777777" w:rsidR="00B724DD" w:rsidRDefault="00A14D98">
            <w:pPr>
              <w:pStyle w:val="af0"/>
              <w:spacing w:beforeLines="0" w:afterLines="0" w:line="240" w:lineRule="auto"/>
              <w:ind w:firstLineChars="0" w:firstLine="0"/>
              <w:jc w:val="center"/>
              <w:rPr>
                <w:rFonts w:hAnsi="宋体"/>
                <w:szCs w:val="21"/>
              </w:rPr>
            </w:pPr>
            <w:r>
              <w:rPr>
                <w:rFonts w:hAnsi="宋体"/>
                <w:szCs w:val="21"/>
              </w:rPr>
              <w:t>同一品牌同一个类别</w:t>
            </w:r>
          </w:p>
        </w:tc>
        <w:tc>
          <w:tcPr>
            <w:tcW w:w="5555" w:type="dxa"/>
            <w:tcBorders>
              <w:tl2br w:val="nil"/>
              <w:tr2bl w:val="nil"/>
            </w:tcBorders>
          </w:tcPr>
          <w:p w14:paraId="4F9D7542"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18.7</w:t>
            </w:r>
          </w:p>
        </w:tc>
      </w:tr>
      <w:tr w:rsidR="00B724DD" w14:paraId="46D7A3CD" w14:textId="77777777">
        <w:trPr>
          <w:trHeight w:val="340"/>
          <w:jc w:val="center"/>
        </w:trPr>
        <w:tc>
          <w:tcPr>
            <w:tcW w:w="3402" w:type="dxa"/>
            <w:vMerge/>
            <w:tcBorders>
              <w:tl2br w:val="nil"/>
              <w:tr2bl w:val="nil"/>
            </w:tcBorders>
            <w:vAlign w:val="center"/>
          </w:tcPr>
          <w:p w14:paraId="619B1148"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14F2EF6B"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19.2</w:t>
            </w:r>
          </w:p>
        </w:tc>
      </w:tr>
      <w:tr w:rsidR="00B724DD" w14:paraId="771D17B1" w14:textId="77777777">
        <w:trPr>
          <w:trHeight w:val="340"/>
          <w:jc w:val="center"/>
        </w:trPr>
        <w:tc>
          <w:tcPr>
            <w:tcW w:w="3402" w:type="dxa"/>
            <w:vMerge/>
            <w:tcBorders>
              <w:tl2br w:val="nil"/>
              <w:tr2bl w:val="nil"/>
            </w:tcBorders>
            <w:vAlign w:val="center"/>
          </w:tcPr>
          <w:p w14:paraId="59B3D7B2"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6366BAE7"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18.2</w:t>
            </w:r>
          </w:p>
        </w:tc>
      </w:tr>
      <w:tr w:rsidR="00B724DD" w14:paraId="61B6421A" w14:textId="77777777">
        <w:trPr>
          <w:trHeight w:val="340"/>
          <w:jc w:val="center"/>
        </w:trPr>
        <w:tc>
          <w:tcPr>
            <w:tcW w:w="3402" w:type="dxa"/>
            <w:vMerge/>
            <w:tcBorders>
              <w:tl2br w:val="nil"/>
              <w:tr2bl w:val="nil"/>
            </w:tcBorders>
            <w:vAlign w:val="center"/>
          </w:tcPr>
          <w:p w14:paraId="3222D118"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7CBC5FDB"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21.7</w:t>
            </w:r>
          </w:p>
        </w:tc>
      </w:tr>
      <w:tr w:rsidR="00B724DD" w14:paraId="59010CB3" w14:textId="77777777">
        <w:trPr>
          <w:trHeight w:val="90"/>
          <w:jc w:val="center"/>
        </w:trPr>
        <w:tc>
          <w:tcPr>
            <w:tcW w:w="3402" w:type="dxa"/>
            <w:vMerge/>
            <w:tcBorders>
              <w:tl2br w:val="nil"/>
              <w:tr2bl w:val="nil"/>
            </w:tcBorders>
            <w:vAlign w:val="center"/>
          </w:tcPr>
          <w:p w14:paraId="2812CEDE"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7496D1F1"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19.6</w:t>
            </w:r>
          </w:p>
        </w:tc>
      </w:tr>
      <w:tr w:rsidR="00B724DD" w14:paraId="10B2C889" w14:textId="77777777">
        <w:trPr>
          <w:trHeight w:val="90"/>
          <w:jc w:val="center"/>
        </w:trPr>
        <w:tc>
          <w:tcPr>
            <w:tcW w:w="3402" w:type="dxa"/>
            <w:vMerge/>
            <w:tcBorders>
              <w:tl2br w:val="nil"/>
              <w:tr2bl w:val="nil"/>
            </w:tcBorders>
            <w:vAlign w:val="center"/>
          </w:tcPr>
          <w:p w14:paraId="18511C80"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7ABF1C6F"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24.0</w:t>
            </w:r>
          </w:p>
        </w:tc>
      </w:tr>
      <w:tr w:rsidR="00B724DD" w14:paraId="4EB715E8" w14:textId="77777777">
        <w:trPr>
          <w:trHeight w:val="90"/>
          <w:jc w:val="center"/>
        </w:trPr>
        <w:tc>
          <w:tcPr>
            <w:tcW w:w="3402" w:type="dxa"/>
            <w:vMerge/>
            <w:tcBorders>
              <w:tl2br w:val="nil"/>
              <w:tr2bl w:val="nil"/>
            </w:tcBorders>
            <w:vAlign w:val="center"/>
          </w:tcPr>
          <w:p w14:paraId="35C3ED23"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386D287D"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22.7</w:t>
            </w:r>
          </w:p>
        </w:tc>
      </w:tr>
      <w:tr w:rsidR="00B724DD" w14:paraId="472419FB" w14:textId="77777777">
        <w:trPr>
          <w:trHeight w:val="90"/>
          <w:jc w:val="center"/>
        </w:trPr>
        <w:tc>
          <w:tcPr>
            <w:tcW w:w="3402" w:type="dxa"/>
            <w:vMerge/>
            <w:tcBorders>
              <w:tl2br w:val="nil"/>
              <w:tr2bl w:val="nil"/>
            </w:tcBorders>
            <w:vAlign w:val="center"/>
          </w:tcPr>
          <w:p w14:paraId="60D03E98"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2FFE3AD7"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20.5</w:t>
            </w:r>
          </w:p>
        </w:tc>
      </w:tr>
      <w:tr w:rsidR="00B724DD" w14:paraId="37C7545C" w14:textId="77777777">
        <w:trPr>
          <w:trHeight w:val="90"/>
          <w:jc w:val="center"/>
        </w:trPr>
        <w:tc>
          <w:tcPr>
            <w:tcW w:w="3402" w:type="dxa"/>
            <w:vMerge/>
            <w:tcBorders>
              <w:tl2br w:val="nil"/>
              <w:tr2bl w:val="nil"/>
            </w:tcBorders>
            <w:vAlign w:val="center"/>
          </w:tcPr>
          <w:p w14:paraId="4F057DC9"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20B76C6D"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18.6</w:t>
            </w:r>
          </w:p>
        </w:tc>
      </w:tr>
      <w:tr w:rsidR="00B724DD" w14:paraId="0E81566A" w14:textId="77777777">
        <w:trPr>
          <w:trHeight w:val="90"/>
          <w:jc w:val="center"/>
        </w:trPr>
        <w:tc>
          <w:tcPr>
            <w:tcW w:w="3402" w:type="dxa"/>
            <w:vMerge/>
            <w:tcBorders>
              <w:tl2br w:val="nil"/>
              <w:tr2bl w:val="nil"/>
            </w:tcBorders>
            <w:vAlign w:val="center"/>
          </w:tcPr>
          <w:p w14:paraId="74FC2130"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0792317E"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20.2</w:t>
            </w:r>
          </w:p>
        </w:tc>
      </w:tr>
      <w:tr w:rsidR="00B724DD" w14:paraId="251CA6D1" w14:textId="77777777">
        <w:trPr>
          <w:trHeight w:val="90"/>
          <w:jc w:val="center"/>
        </w:trPr>
        <w:tc>
          <w:tcPr>
            <w:tcW w:w="3402" w:type="dxa"/>
            <w:vMerge/>
            <w:tcBorders>
              <w:tl2br w:val="nil"/>
              <w:tr2bl w:val="nil"/>
            </w:tcBorders>
            <w:vAlign w:val="center"/>
          </w:tcPr>
          <w:p w14:paraId="12DCD75C"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3D3E9666"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24.0</w:t>
            </w:r>
          </w:p>
        </w:tc>
      </w:tr>
      <w:tr w:rsidR="00B724DD" w14:paraId="4ABB0817" w14:textId="77777777">
        <w:trPr>
          <w:trHeight w:val="90"/>
          <w:jc w:val="center"/>
        </w:trPr>
        <w:tc>
          <w:tcPr>
            <w:tcW w:w="3402" w:type="dxa"/>
            <w:vMerge/>
            <w:tcBorders>
              <w:tl2br w:val="nil"/>
              <w:tr2bl w:val="nil"/>
            </w:tcBorders>
            <w:vAlign w:val="center"/>
          </w:tcPr>
          <w:p w14:paraId="573858A5"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27AD9F0A"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18.1</w:t>
            </w:r>
          </w:p>
        </w:tc>
      </w:tr>
      <w:tr w:rsidR="00B724DD" w14:paraId="1CB91AD0" w14:textId="77777777">
        <w:trPr>
          <w:trHeight w:val="90"/>
          <w:jc w:val="center"/>
        </w:trPr>
        <w:tc>
          <w:tcPr>
            <w:tcW w:w="3402" w:type="dxa"/>
            <w:vMerge/>
            <w:tcBorders>
              <w:tl2br w:val="nil"/>
              <w:tr2bl w:val="nil"/>
            </w:tcBorders>
            <w:vAlign w:val="center"/>
          </w:tcPr>
          <w:p w14:paraId="043242CF" w14:textId="77777777" w:rsidR="00B724DD" w:rsidRDefault="00B724DD">
            <w:pPr>
              <w:pStyle w:val="af0"/>
              <w:spacing w:beforeLines="0" w:afterLines="0" w:line="240" w:lineRule="auto"/>
              <w:ind w:firstLineChars="0" w:firstLine="0"/>
              <w:jc w:val="center"/>
              <w:rPr>
                <w:rFonts w:hAnsi="宋体"/>
                <w:szCs w:val="21"/>
              </w:rPr>
            </w:pPr>
          </w:p>
        </w:tc>
        <w:tc>
          <w:tcPr>
            <w:tcW w:w="5555" w:type="dxa"/>
            <w:tcBorders>
              <w:tl2br w:val="nil"/>
              <w:tr2bl w:val="nil"/>
            </w:tcBorders>
          </w:tcPr>
          <w:p w14:paraId="1739BA9F" w14:textId="77777777" w:rsidR="00B724DD" w:rsidRDefault="00A14D98">
            <w:pPr>
              <w:pStyle w:val="af0"/>
              <w:spacing w:beforeLines="0" w:afterLines="0" w:line="240" w:lineRule="auto"/>
              <w:ind w:firstLineChars="0" w:firstLine="0"/>
              <w:jc w:val="center"/>
              <w:rPr>
                <w:rFonts w:hAnsi="宋体"/>
                <w:szCs w:val="21"/>
              </w:rPr>
            </w:pPr>
            <w:r>
              <w:rPr>
                <w:rFonts w:hAnsi="宋体" w:hint="eastAsia"/>
                <w:szCs w:val="21"/>
              </w:rPr>
              <w:t>18.1</w:t>
            </w:r>
          </w:p>
        </w:tc>
      </w:tr>
    </w:tbl>
    <w:p w14:paraId="0446681F" w14:textId="77777777" w:rsidR="00B724DD" w:rsidRDefault="007B4964">
      <w:pPr>
        <w:rPr>
          <w:rFonts w:ascii="宋体" w:hAnsi="宋体" w:cs="宋体"/>
          <w:b/>
          <w:bCs/>
          <w:kern w:val="0"/>
          <w:szCs w:val="21"/>
        </w:rPr>
      </w:pPr>
      <w:r>
        <w:rPr>
          <w:rFonts w:ascii="宋体" w:hAnsi="宋体" w:cs="宋体" w:hint="eastAsia"/>
          <w:b/>
          <w:bCs/>
          <w:kern w:val="0"/>
          <w:szCs w:val="21"/>
        </w:rPr>
        <w:t>4</w:t>
      </w:r>
      <w:r w:rsidR="00A14D98">
        <w:rPr>
          <w:rFonts w:ascii="宋体" w:hAnsi="宋体" w:cs="宋体" w:hint="eastAsia"/>
          <w:b/>
          <w:bCs/>
          <w:kern w:val="0"/>
          <w:szCs w:val="21"/>
        </w:rPr>
        <w:t>.氯化物（以NaCl计）</w:t>
      </w:r>
    </w:p>
    <w:p w14:paraId="1C15167A" w14:textId="77777777" w:rsidR="00B724DD" w:rsidRDefault="00A14D98">
      <w:pPr>
        <w:ind w:firstLineChars="200" w:firstLine="420"/>
        <w:rPr>
          <w:rFonts w:ascii="宋体" w:hAnsi="宋体" w:cs="宋体"/>
          <w:kern w:val="0"/>
          <w:szCs w:val="21"/>
        </w:rPr>
      </w:pPr>
      <w:r>
        <w:rPr>
          <w:rFonts w:ascii="宋体" w:hAnsi="宋体" w:cs="宋体" w:hint="eastAsia"/>
          <w:kern w:val="0"/>
          <w:szCs w:val="21"/>
        </w:rPr>
        <w:t>根据GB/T 23586 酱卤肉制品5.2.2理化指标氯化物的要求结合</w:t>
      </w:r>
      <w:r>
        <w:rPr>
          <w:rFonts w:ascii="宋体" w:hAnsi="宋体" w:cs="宋体" w:hint="eastAsia"/>
          <w:szCs w:val="21"/>
        </w:rPr>
        <w:t>嘉兴中科检测技术服务有限公司提供检测数据见表3，本文件规定氯化物</w:t>
      </w:r>
      <w:r>
        <w:rPr>
          <w:rFonts w:ascii="宋体" w:hAnsi="宋体" w:cs="宋体" w:hint="eastAsia"/>
          <w:kern w:val="0"/>
          <w:szCs w:val="21"/>
        </w:rPr>
        <w:t>（以NaCl计）≤4.0g/100g。</w:t>
      </w:r>
    </w:p>
    <w:p w14:paraId="700BF60C" w14:textId="77777777" w:rsidR="00B724DD" w:rsidRDefault="00A14D98">
      <w:pPr>
        <w:spacing w:beforeLines="50" w:before="156" w:afterLines="50" w:after="156"/>
        <w:ind w:firstLineChars="200" w:firstLine="420"/>
        <w:jc w:val="center"/>
        <w:rPr>
          <w:rFonts w:ascii="黑体" w:eastAsia="黑体" w:hAnsi="黑体" w:cs="黑体"/>
          <w:szCs w:val="21"/>
        </w:rPr>
      </w:pPr>
      <w:r>
        <w:rPr>
          <w:rFonts w:ascii="黑体" w:eastAsia="黑体" w:hAnsi="黑体" w:cs="黑体" w:hint="eastAsia"/>
          <w:szCs w:val="21"/>
        </w:rPr>
        <w:t>表3 氯化物检测结果</w:t>
      </w:r>
    </w:p>
    <w:tbl>
      <w:tblPr>
        <w:tblW w:w="89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2"/>
        <w:gridCol w:w="5555"/>
      </w:tblGrid>
      <w:tr w:rsidR="00B724DD" w14:paraId="2FCCD273" w14:textId="77777777">
        <w:trPr>
          <w:trHeight w:val="312"/>
          <w:jc w:val="center"/>
        </w:trPr>
        <w:tc>
          <w:tcPr>
            <w:tcW w:w="3402" w:type="dxa"/>
            <w:tcBorders>
              <w:tl2br w:val="nil"/>
              <w:tr2bl w:val="nil"/>
            </w:tcBorders>
            <w:vAlign w:val="center"/>
          </w:tcPr>
          <w:p w14:paraId="15EB1F40"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样品</w:t>
            </w:r>
          </w:p>
        </w:tc>
        <w:tc>
          <w:tcPr>
            <w:tcW w:w="5555" w:type="dxa"/>
            <w:tcBorders>
              <w:tl2br w:val="nil"/>
              <w:tr2bl w:val="nil"/>
            </w:tcBorders>
            <w:vAlign w:val="center"/>
          </w:tcPr>
          <w:p w14:paraId="781A9B82"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氯化物（g/100g)</w:t>
            </w:r>
          </w:p>
        </w:tc>
      </w:tr>
      <w:tr w:rsidR="00B724DD" w14:paraId="016F793B" w14:textId="77777777">
        <w:trPr>
          <w:trHeight w:val="292"/>
          <w:jc w:val="center"/>
        </w:trPr>
        <w:tc>
          <w:tcPr>
            <w:tcW w:w="3402" w:type="dxa"/>
            <w:vMerge w:val="restart"/>
            <w:tcBorders>
              <w:tl2br w:val="nil"/>
              <w:tr2bl w:val="nil"/>
            </w:tcBorders>
            <w:vAlign w:val="center"/>
          </w:tcPr>
          <w:p w14:paraId="5FB241F1" w14:textId="77777777" w:rsidR="00B724DD" w:rsidRDefault="00A14D98">
            <w:pPr>
              <w:pStyle w:val="af0"/>
              <w:spacing w:beforeLines="0" w:afterLines="0" w:line="340" w:lineRule="exact"/>
              <w:ind w:firstLineChars="0" w:firstLine="0"/>
              <w:jc w:val="center"/>
              <w:rPr>
                <w:rFonts w:hAnsi="宋体"/>
                <w:kern w:val="0"/>
                <w:szCs w:val="21"/>
              </w:rPr>
            </w:pPr>
            <w:r>
              <w:rPr>
                <w:rFonts w:hAnsi="宋体"/>
                <w:kern w:val="0"/>
                <w:szCs w:val="21"/>
              </w:rPr>
              <w:t>同一品牌同一个类别</w:t>
            </w:r>
          </w:p>
        </w:tc>
        <w:tc>
          <w:tcPr>
            <w:tcW w:w="5555" w:type="dxa"/>
            <w:tcBorders>
              <w:tl2br w:val="nil"/>
              <w:tr2bl w:val="nil"/>
            </w:tcBorders>
          </w:tcPr>
          <w:p w14:paraId="5498B548"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2.15</w:t>
            </w:r>
          </w:p>
        </w:tc>
      </w:tr>
      <w:tr w:rsidR="00B724DD" w14:paraId="10EB0ED5" w14:textId="77777777">
        <w:trPr>
          <w:trHeight w:val="340"/>
          <w:jc w:val="center"/>
        </w:trPr>
        <w:tc>
          <w:tcPr>
            <w:tcW w:w="3402" w:type="dxa"/>
            <w:vMerge/>
            <w:tcBorders>
              <w:tl2br w:val="nil"/>
              <w:tr2bl w:val="nil"/>
            </w:tcBorders>
            <w:vAlign w:val="center"/>
          </w:tcPr>
          <w:p w14:paraId="2C8A7964"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575FCA91"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2.72</w:t>
            </w:r>
          </w:p>
        </w:tc>
      </w:tr>
      <w:tr w:rsidR="00B724DD" w14:paraId="513FA108" w14:textId="77777777">
        <w:trPr>
          <w:trHeight w:val="340"/>
          <w:jc w:val="center"/>
        </w:trPr>
        <w:tc>
          <w:tcPr>
            <w:tcW w:w="3402" w:type="dxa"/>
            <w:vMerge/>
            <w:tcBorders>
              <w:tl2br w:val="nil"/>
              <w:tr2bl w:val="nil"/>
            </w:tcBorders>
            <w:vAlign w:val="center"/>
          </w:tcPr>
          <w:p w14:paraId="24A4BDA0"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5F0B5819"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2.54</w:t>
            </w:r>
          </w:p>
        </w:tc>
      </w:tr>
      <w:tr w:rsidR="00B724DD" w14:paraId="5D3ECBCE" w14:textId="77777777">
        <w:trPr>
          <w:trHeight w:val="340"/>
          <w:jc w:val="center"/>
        </w:trPr>
        <w:tc>
          <w:tcPr>
            <w:tcW w:w="3402" w:type="dxa"/>
            <w:vMerge/>
            <w:tcBorders>
              <w:tl2br w:val="nil"/>
              <w:tr2bl w:val="nil"/>
            </w:tcBorders>
            <w:vAlign w:val="center"/>
          </w:tcPr>
          <w:p w14:paraId="1111839B"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67F280A9"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1.11</w:t>
            </w:r>
          </w:p>
        </w:tc>
      </w:tr>
      <w:tr w:rsidR="00B724DD" w14:paraId="79D1507F" w14:textId="77777777">
        <w:trPr>
          <w:trHeight w:val="90"/>
          <w:jc w:val="center"/>
        </w:trPr>
        <w:tc>
          <w:tcPr>
            <w:tcW w:w="3402" w:type="dxa"/>
            <w:vMerge/>
            <w:tcBorders>
              <w:tl2br w:val="nil"/>
              <w:tr2bl w:val="nil"/>
            </w:tcBorders>
            <w:vAlign w:val="center"/>
          </w:tcPr>
          <w:p w14:paraId="4D1D73B4"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7DECA05F"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1.17</w:t>
            </w:r>
          </w:p>
        </w:tc>
      </w:tr>
      <w:tr w:rsidR="00B724DD" w14:paraId="2CF3D212" w14:textId="77777777">
        <w:trPr>
          <w:trHeight w:val="90"/>
          <w:jc w:val="center"/>
        </w:trPr>
        <w:tc>
          <w:tcPr>
            <w:tcW w:w="3402" w:type="dxa"/>
            <w:vMerge/>
            <w:tcBorders>
              <w:tl2br w:val="nil"/>
              <w:tr2bl w:val="nil"/>
            </w:tcBorders>
            <w:vAlign w:val="center"/>
          </w:tcPr>
          <w:p w14:paraId="6E0A1F3B"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155D0775"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1.31</w:t>
            </w:r>
          </w:p>
        </w:tc>
      </w:tr>
      <w:tr w:rsidR="00B724DD" w14:paraId="57639483" w14:textId="77777777">
        <w:trPr>
          <w:trHeight w:val="90"/>
          <w:jc w:val="center"/>
        </w:trPr>
        <w:tc>
          <w:tcPr>
            <w:tcW w:w="3402" w:type="dxa"/>
            <w:vMerge/>
            <w:tcBorders>
              <w:tl2br w:val="nil"/>
              <w:tr2bl w:val="nil"/>
            </w:tcBorders>
            <w:vAlign w:val="center"/>
          </w:tcPr>
          <w:p w14:paraId="20CEC9B8"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381D4EC4"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0.14</w:t>
            </w:r>
          </w:p>
        </w:tc>
      </w:tr>
      <w:tr w:rsidR="00B724DD" w14:paraId="2DB37D9E" w14:textId="77777777">
        <w:trPr>
          <w:trHeight w:val="90"/>
          <w:jc w:val="center"/>
        </w:trPr>
        <w:tc>
          <w:tcPr>
            <w:tcW w:w="3402" w:type="dxa"/>
            <w:vMerge/>
            <w:tcBorders>
              <w:tl2br w:val="nil"/>
              <w:tr2bl w:val="nil"/>
            </w:tcBorders>
            <w:vAlign w:val="center"/>
          </w:tcPr>
          <w:p w14:paraId="2245413B"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55E42D87"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1.24</w:t>
            </w:r>
          </w:p>
        </w:tc>
      </w:tr>
      <w:tr w:rsidR="00B724DD" w14:paraId="4666BB98" w14:textId="77777777">
        <w:trPr>
          <w:trHeight w:val="90"/>
          <w:jc w:val="center"/>
        </w:trPr>
        <w:tc>
          <w:tcPr>
            <w:tcW w:w="3402" w:type="dxa"/>
            <w:vMerge/>
            <w:tcBorders>
              <w:tl2br w:val="nil"/>
              <w:tr2bl w:val="nil"/>
            </w:tcBorders>
            <w:vAlign w:val="center"/>
          </w:tcPr>
          <w:p w14:paraId="59E6ED9D"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0B368A5D"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2.01</w:t>
            </w:r>
          </w:p>
        </w:tc>
      </w:tr>
      <w:tr w:rsidR="00B724DD" w14:paraId="111003C1" w14:textId="77777777">
        <w:trPr>
          <w:trHeight w:val="90"/>
          <w:jc w:val="center"/>
        </w:trPr>
        <w:tc>
          <w:tcPr>
            <w:tcW w:w="3402" w:type="dxa"/>
            <w:vMerge/>
            <w:tcBorders>
              <w:tl2br w:val="nil"/>
              <w:tr2bl w:val="nil"/>
            </w:tcBorders>
            <w:vAlign w:val="center"/>
          </w:tcPr>
          <w:p w14:paraId="6E379DB1"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66A98995"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1.87</w:t>
            </w:r>
          </w:p>
        </w:tc>
      </w:tr>
      <w:tr w:rsidR="00B724DD" w14:paraId="667CE7DD" w14:textId="77777777">
        <w:trPr>
          <w:trHeight w:val="90"/>
          <w:jc w:val="center"/>
        </w:trPr>
        <w:tc>
          <w:tcPr>
            <w:tcW w:w="3402" w:type="dxa"/>
            <w:vMerge/>
            <w:tcBorders>
              <w:tl2br w:val="nil"/>
              <w:tr2bl w:val="nil"/>
            </w:tcBorders>
            <w:vAlign w:val="center"/>
          </w:tcPr>
          <w:p w14:paraId="2E6CC8CC"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1E60111A"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3.28</w:t>
            </w:r>
          </w:p>
        </w:tc>
      </w:tr>
      <w:tr w:rsidR="00B724DD" w14:paraId="58CB6510" w14:textId="77777777">
        <w:trPr>
          <w:trHeight w:val="90"/>
          <w:jc w:val="center"/>
        </w:trPr>
        <w:tc>
          <w:tcPr>
            <w:tcW w:w="3402" w:type="dxa"/>
            <w:vMerge/>
            <w:tcBorders>
              <w:tl2br w:val="nil"/>
              <w:tr2bl w:val="nil"/>
            </w:tcBorders>
            <w:vAlign w:val="center"/>
          </w:tcPr>
          <w:p w14:paraId="60D7E5D2"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55988FA4"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2.46</w:t>
            </w:r>
          </w:p>
        </w:tc>
      </w:tr>
      <w:tr w:rsidR="00B724DD" w14:paraId="3E262243" w14:textId="77777777">
        <w:trPr>
          <w:trHeight w:val="90"/>
          <w:jc w:val="center"/>
        </w:trPr>
        <w:tc>
          <w:tcPr>
            <w:tcW w:w="3402" w:type="dxa"/>
            <w:vMerge/>
            <w:tcBorders>
              <w:tl2br w:val="nil"/>
              <w:tr2bl w:val="nil"/>
            </w:tcBorders>
            <w:vAlign w:val="center"/>
          </w:tcPr>
          <w:p w14:paraId="0DF0F287"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6F94E51B"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1.64</w:t>
            </w:r>
          </w:p>
        </w:tc>
      </w:tr>
      <w:tr w:rsidR="00B724DD" w14:paraId="1D30C00E" w14:textId="77777777">
        <w:trPr>
          <w:trHeight w:val="90"/>
          <w:jc w:val="center"/>
        </w:trPr>
        <w:tc>
          <w:tcPr>
            <w:tcW w:w="3402" w:type="dxa"/>
            <w:vMerge/>
            <w:tcBorders>
              <w:tl2br w:val="nil"/>
              <w:tr2bl w:val="nil"/>
            </w:tcBorders>
            <w:vAlign w:val="center"/>
          </w:tcPr>
          <w:p w14:paraId="57FD3C14"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28F6C001"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1.75</w:t>
            </w:r>
          </w:p>
        </w:tc>
      </w:tr>
      <w:tr w:rsidR="00B724DD" w14:paraId="528CFC49" w14:textId="77777777">
        <w:trPr>
          <w:trHeight w:val="90"/>
          <w:jc w:val="center"/>
        </w:trPr>
        <w:tc>
          <w:tcPr>
            <w:tcW w:w="3402" w:type="dxa"/>
            <w:vMerge/>
            <w:tcBorders>
              <w:tl2br w:val="nil"/>
              <w:tr2bl w:val="nil"/>
            </w:tcBorders>
            <w:vAlign w:val="center"/>
          </w:tcPr>
          <w:p w14:paraId="72449CD2"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4D4105EC"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0.49</w:t>
            </w:r>
          </w:p>
        </w:tc>
      </w:tr>
      <w:tr w:rsidR="00B724DD" w14:paraId="79E6DD37" w14:textId="77777777">
        <w:trPr>
          <w:trHeight w:val="90"/>
          <w:jc w:val="center"/>
        </w:trPr>
        <w:tc>
          <w:tcPr>
            <w:tcW w:w="3402" w:type="dxa"/>
            <w:vMerge/>
            <w:tcBorders>
              <w:tl2br w:val="nil"/>
              <w:tr2bl w:val="nil"/>
            </w:tcBorders>
            <w:vAlign w:val="center"/>
          </w:tcPr>
          <w:p w14:paraId="05B7564A"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6575F939"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1.14</w:t>
            </w:r>
          </w:p>
        </w:tc>
      </w:tr>
      <w:tr w:rsidR="00B724DD" w14:paraId="11A71525" w14:textId="77777777">
        <w:trPr>
          <w:trHeight w:val="90"/>
          <w:jc w:val="center"/>
        </w:trPr>
        <w:tc>
          <w:tcPr>
            <w:tcW w:w="3402" w:type="dxa"/>
            <w:vMerge/>
            <w:tcBorders>
              <w:tl2br w:val="nil"/>
              <w:tr2bl w:val="nil"/>
            </w:tcBorders>
            <w:vAlign w:val="center"/>
          </w:tcPr>
          <w:p w14:paraId="28C17B32"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219FFC84"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1.81</w:t>
            </w:r>
          </w:p>
        </w:tc>
      </w:tr>
      <w:tr w:rsidR="00B724DD" w14:paraId="4F75A5DB" w14:textId="77777777">
        <w:trPr>
          <w:trHeight w:val="90"/>
          <w:jc w:val="center"/>
        </w:trPr>
        <w:tc>
          <w:tcPr>
            <w:tcW w:w="3402" w:type="dxa"/>
            <w:vMerge/>
            <w:tcBorders>
              <w:tl2br w:val="nil"/>
              <w:tr2bl w:val="nil"/>
            </w:tcBorders>
            <w:vAlign w:val="center"/>
          </w:tcPr>
          <w:p w14:paraId="51E2E0F7"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07DD4A3C"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1.74</w:t>
            </w:r>
          </w:p>
        </w:tc>
      </w:tr>
      <w:tr w:rsidR="00B724DD" w14:paraId="1B277E55" w14:textId="77777777">
        <w:trPr>
          <w:trHeight w:val="90"/>
          <w:jc w:val="center"/>
        </w:trPr>
        <w:tc>
          <w:tcPr>
            <w:tcW w:w="3402" w:type="dxa"/>
            <w:vMerge/>
            <w:tcBorders>
              <w:tl2br w:val="nil"/>
              <w:tr2bl w:val="nil"/>
            </w:tcBorders>
            <w:vAlign w:val="center"/>
          </w:tcPr>
          <w:p w14:paraId="6F689607"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1A5071B9"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1.65</w:t>
            </w:r>
          </w:p>
        </w:tc>
      </w:tr>
      <w:tr w:rsidR="00B724DD" w14:paraId="00BBC098" w14:textId="77777777">
        <w:trPr>
          <w:trHeight w:val="90"/>
          <w:jc w:val="center"/>
        </w:trPr>
        <w:tc>
          <w:tcPr>
            <w:tcW w:w="3402" w:type="dxa"/>
            <w:vMerge/>
            <w:tcBorders>
              <w:tl2br w:val="nil"/>
              <w:tr2bl w:val="nil"/>
            </w:tcBorders>
            <w:vAlign w:val="center"/>
          </w:tcPr>
          <w:p w14:paraId="5526383A"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3647EF80"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1.76</w:t>
            </w:r>
          </w:p>
        </w:tc>
      </w:tr>
      <w:tr w:rsidR="00B724DD" w14:paraId="607DAF60" w14:textId="77777777">
        <w:trPr>
          <w:trHeight w:val="90"/>
          <w:jc w:val="center"/>
        </w:trPr>
        <w:tc>
          <w:tcPr>
            <w:tcW w:w="3402" w:type="dxa"/>
            <w:vMerge/>
            <w:tcBorders>
              <w:tl2br w:val="nil"/>
              <w:tr2bl w:val="nil"/>
            </w:tcBorders>
            <w:vAlign w:val="center"/>
          </w:tcPr>
          <w:p w14:paraId="3DD83872"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2AFA5438"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2.23</w:t>
            </w:r>
          </w:p>
        </w:tc>
      </w:tr>
      <w:tr w:rsidR="00B724DD" w14:paraId="7D411B9F" w14:textId="77777777">
        <w:trPr>
          <w:trHeight w:val="90"/>
          <w:jc w:val="center"/>
        </w:trPr>
        <w:tc>
          <w:tcPr>
            <w:tcW w:w="3402" w:type="dxa"/>
            <w:vMerge/>
            <w:tcBorders>
              <w:tl2br w:val="nil"/>
              <w:tr2bl w:val="nil"/>
            </w:tcBorders>
            <w:vAlign w:val="center"/>
          </w:tcPr>
          <w:p w14:paraId="50BDD735"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1DF5E439"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1.31</w:t>
            </w:r>
          </w:p>
        </w:tc>
      </w:tr>
      <w:tr w:rsidR="00B724DD" w14:paraId="6EF3C810" w14:textId="77777777">
        <w:trPr>
          <w:trHeight w:val="90"/>
          <w:jc w:val="center"/>
        </w:trPr>
        <w:tc>
          <w:tcPr>
            <w:tcW w:w="3402" w:type="dxa"/>
            <w:vMerge/>
            <w:tcBorders>
              <w:tl2br w:val="nil"/>
              <w:tr2bl w:val="nil"/>
            </w:tcBorders>
            <w:vAlign w:val="center"/>
          </w:tcPr>
          <w:p w14:paraId="45CD9673"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7B11A4FF"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1.81</w:t>
            </w:r>
          </w:p>
        </w:tc>
      </w:tr>
      <w:tr w:rsidR="00B724DD" w14:paraId="1D2545F4" w14:textId="77777777">
        <w:trPr>
          <w:trHeight w:val="90"/>
          <w:jc w:val="center"/>
        </w:trPr>
        <w:tc>
          <w:tcPr>
            <w:tcW w:w="3402" w:type="dxa"/>
            <w:vMerge/>
            <w:tcBorders>
              <w:tl2br w:val="nil"/>
              <w:tr2bl w:val="nil"/>
            </w:tcBorders>
            <w:vAlign w:val="center"/>
          </w:tcPr>
          <w:p w14:paraId="194F10B7"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0940FC8C"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1.19</w:t>
            </w:r>
          </w:p>
        </w:tc>
      </w:tr>
      <w:tr w:rsidR="00B724DD" w14:paraId="19911EB6" w14:textId="77777777">
        <w:trPr>
          <w:trHeight w:val="90"/>
          <w:jc w:val="center"/>
        </w:trPr>
        <w:tc>
          <w:tcPr>
            <w:tcW w:w="3402" w:type="dxa"/>
            <w:vMerge/>
            <w:tcBorders>
              <w:tl2br w:val="nil"/>
              <w:tr2bl w:val="nil"/>
            </w:tcBorders>
            <w:vAlign w:val="center"/>
          </w:tcPr>
          <w:p w14:paraId="39F952DF"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2CECF574"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0.47</w:t>
            </w:r>
          </w:p>
        </w:tc>
      </w:tr>
      <w:tr w:rsidR="00B724DD" w14:paraId="2019F2A9" w14:textId="77777777">
        <w:trPr>
          <w:trHeight w:val="90"/>
          <w:jc w:val="center"/>
        </w:trPr>
        <w:tc>
          <w:tcPr>
            <w:tcW w:w="3402" w:type="dxa"/>
            <w:vMerge/>
            <w:tcBorders>
              <w:tl2br w:val="nil"/>
              <w:tr2bl w:val="nil"/>
            </w:tcBorders>
            <w:vAlign w:val="center"/>
          </w:tcPr>
          <w:p w14:paraId="6F53EF1A"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0208A120"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2.74</w:t>
            </w:r>
          </w:p>
        </w:tc>
      </w:tr>
      <w:tr w:rsidR="00B724DD" w14:paraId="28F476DC" w14:textId="77777777">
        <w:trPr>
          <w:trHeight w:val="90"/>
          <w:jc w:val="center"/>
        </w:trPr>
        <w:tc>
          <w:tcPr>
            <w:tcW w:w="3402" w:type="dxa"/>
            <w:vMerge/>
            <w:tcBorders>
              <w:tl2br w:val="nil"/>
              <w:tr2bl w:val="nil"/>
            </w:tcBorders>
            <w:vAlign w:val="center"/>
          </w:tcPr>
          <w:p w14:paraId="1E7F136B"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0C18A812"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2.81</w:t>
            </w:r>
          </w:p>
        </w:tc>
      </w:tr>
      <w:tr w:rsidR="00B724DD" w14:paraId="7B5F799A" w14:textId="77777777">
        <w:trPr>
          <w:trHeight w:val="90"/>
          <w:jc w:val="center"/>
        </w:trPr>
        <w:tc>
          <w:tcPr>
            <w:tcW w:w="3402" w:type="dxa"/>
            <w:vMerge/>
            <w:tcBorders>
              <w:tl2br w:val="nil"/>
              <w:tr2bl w:val="nil"/>
            </w:tcBorders>
            <w:vAlign w:val="center"/>
          </w:tcPr>
          <w:p w14:paraId="458091DD"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7068B11C"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1.79</w:t>
            </w:r>
          </w:p>
        </w:tc>
      </w:tr>
      <w:tr w:rsidR="00B724DD" w14:paraId="35494C84" w14:textId="77777777">
        <w:trPr>
          <w:trHeight w:val="90"/>
          <w:jc w:val="center"/>
        </w:trPr>
        <w:tc>
          <w:tcPr>
            <w:tcW w:w="3402" w:type="dxa"/>
            <w:vMerge/>
            <w:tcBorders>
              <w:tl2br w:val="nil"/>
              <w:tr2bl w:val="nil"/>
            </w:tcBorders>
            <w:vAlign w:val="center"/>
          </w:tcPr>
          <w:p w14:paraId="18C901A8" w14:textId="77777777" w:rsidR="00B724DD" w:rsidRDefault="00B724DD">
            <w:pPr>
              <w:pStyle w:val="af0"/>
              <w:spacing w:beforeLines="0" w:afterLines="0" w:line="340" w:lineRule="exact"/>
              <w:ind w:firstLineChars="0" w:firstLine="0"/>
              <w:jc w:val="center"/>
              <w:rPr>
                <w:rFonts w:hAnsi="宋体"/>
                <w:kern w:val="0"/>
                <w:szCs w:val="21"/>
              </w:rPr>
            </w:pPr>
          </w:p>
        </w:tc>
        <w:tc>
          <w:tcPr>
            <w:tcW w:w="5555" w:type="dxa"/>
            <w:tcBorders>
              <w:tl2br w:val="nil"/>
              <w:tr2bl w:val="nil"/>
            </w:tcBorders>
          </w:tcPr>
          <w:p w14:paraId="7251557B" w14:textId="77777777" w:rsidR="00B724DD" w:rsidRDefault="00A14D98">
            <w:pPr>
              <w:pStyle w:val="af0"/>
              <w:spacing w:beforeLines="0" w:afterLines="0" w:line="340" w:lineRule="exact"/>
              <w:ind w:firstLineChars="0" w:firstLine="0"/>
              <w:jc w:val="center"/>
              <w:rPr>
                <w:rFonts w:hAnsi="宋体"/>
                <w:kern w:val="0"/>
                <w:szCs w:val="21"/>
              </w:rPr>
            </w:pPr>
            <w:r>
              <w:rPr>
                <w:rFonts w:hAnsi="宋体" w:hint="eastAsia"/>
                <w:kern w:val="0"/>
                <w:szCs w:val="21"/>
              </w:rPr>
              <w:t>2.60</w:t>
            </w:r>
          </w:p>
        </w:tc>
      </w:tr>
    </w:tbl>
    <w:p w14:paraId="58092F1B" w14:textId="77777777" w:rsidR="007B4964" w:rsidRDefault="007B4964" w:rsidP="007B4964">
      <w:pPr>
        <w:rPr>
          <w:rFonts w:ascii="宋体" w:hAnsi="宋体" w:cs="宋体"/>
          <w:kern w:val="0"/>
          <w:szCs w:val="21"/>
        </w:rPr>
      </w:pPr>
      <w:r>
        <w:rPr>
          <w:rFonts w:ascii="宋体" w:hAnsi="宋体" w:cs="宋体" w:hint="eastAsia"/>
          <w:b/>
          <w:bCs/>
          <w:kern w:val="0"/>
          <w:szCs w:val="21"/>
        </w:rPr>
        <w:t>5.酸价</w:t>
      </w:r>
    </w:p>
    <w:p w14:paraId="7360FFC3" w14:textId="77777777" w:rsidR="007B4964" w:rsidRDefault="007B4964" w:rsidP="007B4964">
      <w:pPr>
        <w:ind w:firstLineChars="200" w:firstLine="420"/>
        <w:rPr>
          <w:rFonts w:ascii="宋体" w:hAnsi="宋体" w:cs="宋体"/>
          <w:kern w:val="0"/>
          <w:szCs w:val="21"/>
        </w:rPr>
      </w:pPr>
      <w:r>
        <w:rPr>
          <w:rFonts w:ascii="宋体" w:hAnsi="宋体" w:cs="宋体" w:hint="eastAsia"/>
          <w:kern w:val="0"/>
          <w:szCs w:val="21"/>
        </w:rPr>
        <w:t>根据NY/T 628板鸭 3.3中规定一级品的酸价要求为＜1.6（mg/g）,二级品的酸价要求1.6-3.0（mg/g），本文件规定酸价</w:t>
      </w:r>
      <w:r>
        <w:rPr>
          <w:rFonts w:hAnsi="宋体" w:hint="eastAsia"/>
          <w:szCs w:val="21"/>
        </w:rPr>
        <w:t>（以脂肪计）</w:t>
      </w:r>
      <w:r>
        <w:rPr>
          <w:rFonts w:ascii="宋体" w:hAnsi="宋体" w:cs="宋体" w:hint="eastAsia"/>
          <w:szCs w:val="21"/>
        </w:rPr>
        <w:t>(KOH)</w:t>
      </w:r>
      <w:r>
        <w:rPr>
          <w:rFonts w:ascii="宋体" w:hAnsi="宋体" w:cs="宋体" w:hint="eastAsia"/>
          <w:kern w:val="0"/>
          <w:szCs w:val="21"/>
        </w:rPr>
        <w:t>≤1.6（mg/g）为优级，≤3（mg/g）为合格。</w:t>
      </w:r>
    </w:p>
    <w:p w14:paraId="6B40DDB0" w14:textId="77777777" w:rsidR="007B4964" w:rsidRDefault="007B4964" w:rsidP="007B4964">
      <w:pPr>
        <w:rPr>
          <w:rFonts w:ascii="宋体" w:hAnsi="宋体" w:cs="宋体"/>
          <w:kern w:val="0"/>
          <w:szCs w:val="21"/>
        </w:rPr>
      </w:pPr>
      <w:r>
        <w:rPr>
          <w:rFonts w:ascii="宋体" w:hAnsi="宋体" w:cs="宋体" w:hint="eastAsia"/>
          <w:b/>
          <w:bCs/>
          <w:kern w:val="0"/>
          <w:szCs w:val="21"/>
        </w:rPr>
        <w:t>6.过氧化值</w:t>
      </w:r>
    </w:p>
    <w:p w14:paraId="3285A0E6" w14:textId="77777777" w:rsidR="00B724DD" w:rsidRPr="007B4964" w:rsidRDefault="007B4964" w:rsidP="00CE0AE2">
      <w:pPr>
        <w:ind w:firstLineChars="200" w:firstLine="420"/>
        <w:rPr>
          <w:rFonts w:ascii="宋体" w:hAnsi="宋体" w:cs="宋体"/>
          <w:kern w:val="0"/>
          <w:szCs w:val="21"/>
        </w:rPr>
      </w:pPr>
      <w:r>
        <w:rPr>
          <w:rFonts w:ascii="宋体" w:hAnsi="宋体" w:cs="宋体" w:hint="eastAsia"/>
          <w:kern w:val="0"/>
          <w:szCs w:val="21"/>
        </w:rPr>
        <w:t>根据GB 10146《食品安全国家标准 食用动物油脂》中过氧化值≤0.2(g/100g)，本文件规定过氧化值≤0.2(g/100g)为合格。参照T/QZSJX001 衢州酱鸭中过氧化值要求为“≤1(g/kg)”本文件规定过氧化值≤0.1(g/100g)为优级。</w:t>
      </w:r>
    </w:p>
    <w:p w14:paraId="4B7A6A0D" w14:textId="77777777" w:rsidR="00B724DD" w:rsidRDefault="00A14D98">
      <w:pPr>
        <w:rPr>
          <w:rFonts w:ascii="宋体" w:hAnsi="宋体" w:cs="宋体"/>
          <w:b/>
          <w:bCs/>
          <w:szCs w:val="21"/>
        </w:rPr>
      </w:pPr>
      <w:r>
        <w:rPr>
          <w:rFonts w:ascii="宋体" w:hAnsi="宋体" w:cs="宋体" w:hint="eastAsia"/>
          <w:b/>
          <w:bCs/>
          <w:szCs w:val="21"/>
        </w:rPr>
        <w:t>4.4污染物限量</w:t>
      </w:r>
    </w:p>
    <w:p w14:paraId="32434E0A" w14:textId="77777777" w:rsidR="00B724DD" w:rsidRDefault="00A14D98">
      <w:pPr>
        <w:pStyle w:val="af0"/>
        <w:spacing w:beforeLines="0" w:afterLines="0" w:line="240" w:lineRule="auto"/>
        <w:rPr>
          <w:rFonts w:hAnsi="宋体" w:cs="宋体"/>
          <w:szCs w:val="21"/>
        </w:rPr>
      </w:pPr>
      <w:r>
        <w:rPr>
          <w:rFonts w:hAnsi="宋体" w:cs="宋体" w:hint="eastAsia"/>
          <w:szCs w:val="21"/>
        </w:rPr>
        <w:t>本文件规定：</w:t>
      </w:r>
      <w:r>
        <w:rPr>
          <w:rFonts w:hint="eastAsia"/>
        </w:rPr>
        <w:t>污染物限量应符合GB 2762的规定。</w:t>
      </w:r>
    </w:p>
    <w:p w14:paraId="5B159CE3" w14:textId="77777777" w:rsidR="00B724DD" w:rsidRDefault="00A14D98">
      <w:pPr>
        <w:rPr>
          <w:rFonts w:ascii="宋体" w:hAnsi="宋体" w:cs="宋体"/>
          <w:b/>
          <w:bCs/>
          <w:szCs w:val="21"/>
        </w:rPr>
      </w:pPr>
      <w:r>
        <w:rPr>
          <w:rFonts w:ascii="宋体" w:hAnsi="宋体" w:cs="宋体" w:hint="eastAsia"/>
          <w:b/>
          <w:bCs/>
          <w:szCs w:val="21"/>
        </w:rPr>
        <w:t>4.5微生物限量</w:t>
      </w:r>
    </w:p>
    <w:p w14:paraId="6730A6B3" w14:textId="77777777" w:rsidR="00B724DD" w:rsidRDefault="00A14D98">
      <w:pPr>
        <w:pStyle w:val="af0"/>
        <w:spacing w:beforeLines="0" w:afterLines="0" w:line="240" w:lineRule="auto"/>
        <w:rPr>
          <w:rFonts w:hAnsi="宋体" w:cs="宋体"/>
          <w:szCs w:val="21"/>
        </w:rPr>
      </w:pPr>
      <w:r>
        <w:rPr>
          <w:rFonts w:hAnsi="宋体" w:cs="宋体" w:hint="eastAsia"/>
          <w:szCs w:val="21"/>
        </w:rPr>
        <w:t>根据</w:t>
      </w:r>
      <w:r>
        <w:rPr>
          <w:rFonts w:hAnsi="宋体" w:cs="宋体" w:hint="eastAsia"/>
          <w:kern w:val="0"/>
          <w:szCs w:val="21"/>
        </w:rPr>
        <w:t>GB/T 23586 酱卤肉制品5.2.3中</w:t>
      </w:r>
      <w:r>
        <w:rPr>
          <w:rFonts w:hAnsi="宋体" w:cs="宋体" w:hint="eastAsia"/>
          <w:szCs w:val="21"/>
        </w:rPr>
        <w:t>对微生物限量的规定为</w:t>
      </w:r>
      <w:r>
        <w:rPr>
          <w:rFonts w:hint="eastAsia"/>
        </w:rPr>
        <w:t>应符合GB 2726的规定。罐头工艺生产的酱卤肉制品应符合罐头食品商业无菌的要求。</w:t>
      </w:r>
      <w:r>
        <w:rPr>
          <w:rFonts w:hAnsi="宋体" w:cs="宋体" w:hint="eastAsia"/>
          <w:szCs w:val="21"/>
        </w:rPr>
        <w:t>结合实际工艺，经工作组讨论后，一致修改为：</w:t>
      </w:r>
    </w:p>
    <w:p w14:paraId="507812FE" w14:textId="77777777" w:rsidR="00B724DD" w:rsidRDefault="00A14D98">
      <w:pPr>
        <w:pStyle w:val="af0"/>
        <w:spacing w:beforeLines="0" w:afterLines="0" w:line="240" w:lineRule="auto"/>
      </w:pPr>
      <w:r>
        <w:rPr>
          <w:rFonts w:hint="eastAsia"/>
        </w:rPr>
        <w:t>微生物限量应符合GB 2726的规定。商业无菌工艺生产的产品微生物限量应符合GB 7098 的规定。</w:t>
      </w:r>
    </w:p>
    <w:p w14:paraId="297D7EAE" w14:textId="77777777" w:rsidR="00B724DD" w:rsidRDefault="00A14D98">
      <w:pPr>
        <w:rPr>
          <w:rFonts w:ascii="宋体" w:hAnsi="宋体" w:cs="宋体"/>
          <w:b/>
          <w:bCs/>
          <w:szCs w:val="21"/>
        </w:rPr>
      </w:pPr>
      <w:r>
        <w:rPr>
          <w:rFonts w:ascii="宋体" w:hAnsi="宋体" w:cs="宋体" w:hint="eastAsia"/>
          <w:b/>
          <w:bCs/>
          <w:szCs w:val="21"/>
        </w:rPr>
        <w:t>4.6食品添加剂和食品营养强化剂</w:t>
      </w:r>
    </w:p>
    <w:p w14:paraId="4E719BF9" w14:textId="77777777" w:rsidR="00B724DD" w:rsidRDefault="00A14D98">
      <w:pPr>
        <w:ind w:firstLineChars="200" w:firstLine="420"/>
        <w:rPr>
          <w:rFonts w:ascii="宋体" w:hAnsi="宋体" w:cs="宋体"/>
          <w:szCs w:val="21"/>
        </w:rPr>
      </w:pPr>
      <w:r>
        <w:rPr>
          <w:rFonts w:ascii="宋体" w:hAnsi="宋体" w:cs="宋体" w:hint="eastAsia"/>
          <w:szCs w:val="21"/>
        </w:rPr>
        <w:t>根据GB 2726 熟肉制品3.5中规定，结合嘉兴酱（卤）鸭实际工艺，本文件规定：</w:t>
      </w:r>
    </w:p>
    <w:p w14:paraId="77797339" w14:textId="77777777" w:rsidR="00B724DD" w:rsidRDefault="00A14D98">
      <w:pPr>
        <w:rPr>
          <w:rFonts w:ascii="宋体" w:hAnsi="宋体" w:cs="宋体"/>
          <w:szCs w:val="21"/>
        </w:rPr>
      </w:pPr>
      <w:r>
        <w:rPr>
          <w:rFonts w:ascii="宋体" w:hAnsi="宋体" w:cs="宋体" w:hint="eastAsia"/>
          <w:szCs w:val="21"/>
        </w:rPr>
        <w:t>4.6.1食品添加剂的使用应符合GB 2760 的规定。</w:t>
      </w:r>
    </w:p>
    <w:p w14:paraId="094654C3" w14:textId="77777777" w:rsidR="00B724DD" w:rsidRDefault="00A14D98">
      <w:pPr>
        <w:pStyle w:val="afa"/>
        <w:spacing w:line="240" w:lineRule="auto"/>
        <w:rPr>
          <w:rFonts w:hAnsi="宋体" w:cs="宋体"/>
        </w:rPr>
      </w:pPr>
      <w:r>
        <w:rPr>
          <w:rFonts w:hAnsi="宋体" w:cs="宋体" w:hint="eastAsia"/>
        </w:rPr>
        <w:t>4.6.2</w:t>
      </w:r>
      <w:r>
        <w:rPr>
          <w:rFonts w:hAnsi="宋体" w:cs="宋体" w:hint="eastAsia"/>
          <w:kern w:val="2"/>
        </w:rPr>
        <w:t>食品营养强化剂的使用应符合GB 14880的规定。</w:t>
      </w:r>
    </w:p>
    <w:p w14:paraId="6A2E647A" w14:textId="77777777" w:rsidR="00B724DD" w:rsidRDefault="00A14D98">
      <w:pPr>
        <w:rPr>
          <w:rFonts w:ascii="宋体" w:hAnsi="宋体" w:cs="宋体"/>
          <w:b/>
          <w:bCs/>
          <w:szCs w:val="21"/>
        </w:rPr>
      </w:pPr>
      <w:r>
        <w:rPr>
          <w:rFonts w:ascii="宋体" w:hAnsi="宋体" w:cs="宋体" w:hint="eastAsia"/>
          <w:b/>
          <w:bCs/>
          <w:szCs w:val="21"/>
        </w:rPr>
        <w:t>4.7净含量</w:t>
      </w:r>
    </w:p>
    <w:p w14:paraId="10D17989" w14:textId="77777777" w:rsidR="00B724DD" w:rsidRDefault="00A14D98">
      <w:pPr>
        <w:ind w:firstLineChars="200" w:firstLine="420"/>
        <w:rPr>
          <w:rFonts w:ascii="宋体" w:hAnsi="宋体" w:cs="宋体"/>
          <w:szCs w:val="21"/>
        </w:rPr>
      </w:pPr>
      <w:r>
        <w:rPr>
          <w:rFonts w:ascii="宋体" w:hAnsi="宋体" w:cs="宋体" w:hint="eastAsia"/>
          <w:szCs w:val="21"/>
        </w:rPr>
        <w:t>本文件规定净含量应符合《定量包装商品计量监督管理办法》的规定。</w:t>
      </w:r>
    </w:p>
    <w:p w14:paraId="4F302EBF" w14:textId="77777777" w:rsidR="00B724DD" w:rsidRDefault="00A14D98">
      <w:pPr>
        <w:rPr>
          <w:rFonts w:ascii="宋体" w:hAnsi="宋体" w:cs="宋体"/>
          <w:b/>
          <w:bCs/>
          <w:szCs w:val="21"/>
        </w:rPr>
      </w:pPr>
      <w:r>
        <w:rPr>
          <w:rFonts w:ascii="宋体" w:hAnsi="宋体" w:cs="宋体" w:hint="eastAsia"/>
          <w:b/>
          <w:bCs/>
          <w:szCs w:val="21"/>
        </w:rPr>
        <w:t>5生产加工过程卫生要求</w:t>
      </w:r>
    </w:p>
    <w:p w14:paraId="067E3526" w14:textId="77777777" w:rsidR="00B724DD" w:rsidRDefault="00BD6C58">
      <w:pPr>
        <w:ind w:firstLineChars="200" w:firstLine="420"/>
        <w:rPr>
          <w:rFonts w:ascii="宋体" w:hAnsi="宋体" w:cs="宋体"/>
          <w:szCs w:val="21"/>
        </w:rPr>
      </w:pPr>
      <w:r>
        <w:rPr>
          <w:rFonts w:ascii="宋体" w:hAnsi="宋体" w:cs="宋体" w:hint="eastAsia"/>
          <w:szCs w:val="21"/>
        </w:rPr>
        <w:t>根据实际生产要求，</w:t>
      </w:r>
      <w:r w:rsidR="00A14D98">
        <w:rPr>
          <w:rFonts w:ascii="宋体" w:hAnsi="宋体" w:cs="宋体" w:hint="eastAsia"/>
          <w:szCs w:val="21"/>
        </w:rPr>
        <w:t>本文件提出生产加工过程卫生要求应符合GB 14881和 GB 19303的规定。</w:t>
      </w:r>
      <w:r w:rsidR="00A14D98">
        <w:rPr>
          <w:rFonts w:hint="eastAsia"/>
        </w:rPr>
        <w:t>商业无菌工艺生产的产品</w:t>
      </w:r>
      <w:r w:rsidR="00A14D98">
        <w:rPr>
          <w:rFonts w:ascii="宋体" w:hAnsi="宋体" w:cs="宋体" w:hint="eastAsia"/>
          <w:szCs w:val="21"/>
        </w:rPr>
        <w:t>还应符合GB 8950的规定。</w:t>
      </w:r>
    </w:p>
    <w:p w14:paraId="32C9AB87" w14:textId="77777777" w:rsidR="00B724DD" w:rsidRDefault="00A14D98">
      <w:pPr>
        <w:rPr>
          <w:rFonts w:ascii="宋体" w:hAnsi="宋体" w:cs="宋体"/>
          <w:b/>
          <w:bCs/>
          <w:szCs w:val="21"/>
        </w:rPr>
      </w:pPr>
      <w:r>
        <w:rPr>
          <w:rFonts w:ascii="宋体" w:hAnsi="宋体" w:cs="宋体" w:hint="eastAsia"/>
          <w:b/>
          <w:bCs/>
          <w:szCs w:val="21"/>
        </w:rPr>
        <w:t>6试验方法</w:t>
      </w:r>
    </w:p>
    <w:p w14:paraId="7DC620C6" w14:textId="77777777" w:rsidR="00B724DD" w:rsidRDefault="00A14D98">
      <w:pPr>
        <w:rPr>
          <w:rFonts w:ascii="宋体" w:hAnsi="宋体" w:cs="宋体"/>
          <w:b/>
          <w:bCs/>
          <w:szCs w:val="21"/>
        </w:rPr>
      </w:pPr>
      <w:r>
        <w:rPr>
          <w:rFonts w:ascii="宋体" w:hAnsi="宋体" w:cs="宋体" w:hint="eastAsia"/>
          <w:b/>
          <w:bCs/>
          <w:szCs w:val="21"/>
        </w:rPr>
        <w:t>6.1感官要求</w:t>
      </w:r>
    </w:p>
    <w:p w14:paraId="34E437C1" w14:textId="77777777" w:rsidR="008E4FFB" w:rsidRDefault="00A14D98" w:rsidP="008E4FFB">
      <w:pPr>
        <w:snapToGrid w:val="0"/>
        <w:ind w:firstLineChars="200" w:firstLine="420"/>
        <w:jc w:val="left"/>
        <w:rPr>
          <w:rFonts w:ascii="宋体" w:hAnsi="宋体"/>
          <w:szCs w:val="21"/>
        </w:rPr>
      </w:pPr>
      <w:r>
        <w:rPr>
          <w:rFonts w:hAnsi="宋体" w:cs="宋体" w:hint="eastAsia"/>
          <w:szCs w:val="21"/>
        </w:rPr>
        <w:t>根据国际惯例设</w:t>
      </w:r>
      <w:r w:rsidRPr="00A14D98">
        <w:rPr>
          <w:rFonts w:ascii="宋体" w:hAnsi="宋体" w:cs="宋体" w:hint="eastAsia"/>
          <w:szCs w:val="21"/>
        </w:rPr>
        <w:t>置4个项目，根据GB 2726 规定</w:t>
      </w:r>
      <w:r>
        <w:rPr>
          <w:rFonts w:hAnsi="宋体" w:cs="宋体" w:hint="eastAsia"/>
          <w:szCs w:val="21"/>
        </w:rPr>
        <w:t>的方法为“取适量试样置于清洁的白瓷盘中，在自然光下观察色泽；用刀剖开观察其组织形态、和杂质；闻其气味，用温水漱口后品其滋味”。</w:t>
      </w:r>
      <w:r>
        <w:rPr>
          <w:rFonts w:hAnsi="宋体" w:cs="宋体" w:hint="eastAsia"/>
          <w:szCs w:val="21"/>
        </w:rPr>
        <w:lastRenderedPageBreak/>
        <w:t>本文件结合实际和增加的感官要求指标规定试验方法为：“取适量试样置于清洁的白瓷盘中，在自然光下观察鸭皮完整程度、去毛程度和</w:t>
      </w:r>
      <w:r>
        <w:rPr>
          <w:rFonts w:hAnsi="宋体" w:cs="宋体" w:hint="eastAsia"/>
          <w:color w:val="000000"/>
          <w:szCs w:val="21"/>
        </w:rPr>
        <w:t>色泽</w:t>
      </w:r>
      <w:r>
        <w:rPr>
          <w:rFonts w:hAnsi="宋体" w:cs="宋体" w:hint="eastAsia"/>
          <w:szCs w:val="21"/>
        </w:rPr>
        <w:t>；用刀剖开观察其组织形态、和杂质；闻其气味，用温水漱口后品其滋味”。</w:t>
      </w:r>
      <w:r w:rsidR="008E4FFB" w:rsidRPr="00A14D98">
        <w:rPr>
          <w:rFonts w:ascii="宋体" w:hAnsi="宋体" w:cs="宋体" w:hint="eastAsia"/>
          <w:szCs w:val="21"/>
        </w:rPr>
        <w:t>于2020年9月25日</w:t>
      </w:r>
      <w:r w:rsidR="008E4FFB">
        <w:rPr>
          <w:rFonts w:hAnsi="宋体" w:cs="宋体" w:hint="eastAsia"/>
          <w:szCs w:val="21"/>
        </w:rPr>
        <w:t>专家研讨会</w:t>
      </w:r>
      <w:r w:rsidR="008E4FFB">
        <w:rPr>
          <w:rFonts w:ascii="宋体" w:hAnsi="宋体" w:hint="eastAsia"/>
          <w:szCs w:val="21"/>
        </w:rPr>
        <w:t>提出6.1感官要求提出对带皮部位观察鸭皮完整程度。修改部分最终确定为“</w:t>
      </w:r>
      <w:r w:rsidR="008E4FFB" w:rsidRPr="008E4FFB">
        <w:rPr>
          <w:rFonts w:ascii="宋体" w:hAnsi="宋体" w:hint="eastAsia"/>
          <w:szCs w:val="21"/>
        </w:rPr>
        <w:t>在自然光下观察带皮部位的鸭皮完整程度，观察去毛程度和色泽</w:t>
      </w:r>
      <w:r w:rsidR="008E4FFB">
        <w:rPr>
          <w:rFonts w:ascii="宋体" w:hAnsi="宋体" w:hint="eastAsia"/>
          <w:szCs w:val="21"/>
        </w:rPr>
        <w:t>”。</w:t>
      </w:r>
    </w:p>
    <w:p w14:paraId="323BA947" w14:textId="77777777" w:rsidR="00B724DD" w:rsidRPr="006E45C9" w:rsidRDefault="00A14D98" w:rsidP="006E45C9">
      <w:pPr>
        <w:pStyle w:val="af2"/>
        <w:spacing w:beforeLines="0" w:afterLines="0"/>
        <w:rPr>
          <w:rFonts w:ascii="宋体" w:eastAsia="宋体" w:hAnsi="宋体" w:cs="宋体"/>
          <w:b/>
          <w:bCs/>
          <w:kern w:val="2"/>
        </w:rPr>
      </w:pPr>
      <w:r>
        <w:rPr>
          <w:rFonts w:ascii="宋体" w:eastAsia="宋体" w:hAnsi="宋体" w:cs="宋体" w:hint="eastAsia"/>
          <w:b/>
          <w:bCs/>
          <w:kern w:val="2"/>
        </w:rPr>
        <w:t>6.2理化指标</w:t>
      </w:r>
    </w:p>
    <w:p w14:paraId="35D9CB2E" w14:textId="77777777" w:rsidR="00B724DD" w:rsidRDefault="00A14D98">
      <w:pPr>
        <w:rPr>
          <w:rFonts w:ascii="宋体" w:hAnsi="宋体" w:cs="宋体"/>
          <w:b/>
          <w:bCs/>
          <w:kern w:val="0"/>
          <w:szCs w:val="21"/>
        </w:rPr>
      </w:pPr>
      <w:r>
        <w:rPr>
          <w:rFonts w:ascii="宋体" w:hAnsi="宋体" w:cs="宋体" w:hint="eastAsia"/>
          <w:b/>
          <w:bCs/>
          <w:kern w:val="0"/>
          <w:szCs w:val="21"/>
        </w:rPr>
        <w:t>6.2.</w:t>
      </w:r>
      <w:r w:rsidR="006E45C9">
        <w:rPr>
          <w:rFonts w:ascii="宋体" w:hAnsi="宋体" w:cs="宋体" w:hint="eastAsia"/>
          <w:b/>
          <w:bCs/>
          <w:kern w:val="0"/>
          <w:szCs w:val="21"/>
        </w:rPr>
        <w:t>1</w:t>
      </w:r>
      <w:r>
        <w:rPr>
          <w:rFonts w:ascii="宋体" w:hAnsi="宋体" w:cs="宋体" w:hint="eastAsia"/>
          <w:b/>
          <w:bCs/>
          <w:kern w:val="0"/>
          <w:szCs w:val="21"/>
        </w:rPr>
        <w:t>固形物含量</w:t>
      </w:r>
    </w:p>
    <w:p w14:paraId="7F547B00" w14:textId="77777777" w:rsidR="00B724DD" w:rsidRPr="00A14D98" w:rsidRDefault="000778B0">
      <w:pPr>
        <w:ind w:firstLineChars="200" w:firstLine="420"/>
        <w:rPr>
          <w:rFonts w:ascii="宋体" w:hAnsi="宋体" w:cs="宋体"/>
          <w:kern w:val="0"/>
          <w:szCs w:val="21"/>
        </w:rPr>
      </w:pPr>
      <w:r w:rsidRPr="00A14D98">
        <w:rPr>
          <w:rFonts w:ascii="宋体" w:hAnsi="宋体" w:cs="宋体" w:hint="eastAsia"/>
          <w:kern w:val="0"/>
          <w:szCs w:val="21"/>
        </w:rPr>
        <w:t>根据实际生产要求，固形物含量仅适用于商业无菌工艺生产的产品，本文件规定固形物含量</w:t>
      </w:r>
      <w:r w:rsidR="00A14D98" w:rsidRPr="00A14D98">
        <w:rPr>
          <w:rFonts w:ascii="宋体" w:hAnsi="宋体" w:cs="宋体" w:hint="eastAsia"/>
          <w:kern w:val="0"/>
          <w:szCs w:val="21"/>
        </w:rPr>
        <w:t xml:space="preserve">按 </w:t>
      </w:r>
      <w:r w:rsidR="00A14D98" w:rsidRPr="00A14D98">
        <w:rPr>
          <w:rFonts w:ascii="宋体" w:hAnsi="宋体" w:cs="宋体"/>
          <w:kern w:val="0"/>
          <w:szCs w:val="21"/>
        </w:rPr>
        <w:t>GB/T 10786</w:t>
      </w:r>
      <w:r w:rsidR="00A14D98" w:rsidRPr="00A14D98">
        <w:rPr>
          <w:rFonts w:ascii="宋体" w:hAnsi="宋体" w:cs="宋体" w:hint="eastAsia"/>
          <w:kern w:val="0"/>
          <w:szCs w:val="21"/>
        </w:rPr>
        <w:t>规定的</w:t>
      </w:r>
      <w:r w:rsidR="00A14D98" w:rsidRPr="00A14D98">
        <w:rPr>
          <w:rFonts w:ascii="宋体" w:hAnsi="宋体" w:cs="宋体"/>
          <w:kern w:val="0"/>
          <w:szCs w:val="21"/>
        </w:rPr>
        <w:t>方法</w:t>
      </w:r>
      <w:r w:rsidR="00A14D98" w:rsidRPr="00A14D98">
        <w:rPr>
          <w:rFonts w:ascii="宋体" w:hAnsi="宋体" w:cs="宋体" w:hint="eastAsia"/>
          <w:kern w:val="0"/>
          <w:szCs w:val="21"/>
        </w:rPr>
        <w:t>测定。</w:t>
      </w:r>
    </w:p>
    <w:p w14:paraId="66FFA04A" w14:textId="77777777" w:rsidR="00B724DD" w:rsidRPr="00A14D98" w:rsidRDefault="00A14D98">
      <w:pPr>
        <w:rPr>
          <w:rFonts w:ascii="宋体" w:hAnsi="宋体" w:cs="宋体"/>
          <w:b/>
          <w:bCs/>
          <w:kern w:val="0"/>
          <w:szCs w:val="21"/>
        </w:rPr>
      </w:pPr>
      <w:r w:rsidRPr="00A14D98">
        <w:rPr>
          <w:rFonts w:ascii="宋体" w:hAnsi="宋体" w:cs="宋体" w:hint="eastAsia"/>
          <w:b/>
          <w:bCs/>
          <w:kern w:val="0"/>
          <w:szCs w:val="21"/>
        </w:rPr>
        <w:t>6.2.</w:t>
      </w:r>
      <w:r w:rsidR="006E45C9">
        <w:rPr>
          <w:rFonts w:ascii="宋体" w:hAnsi="宋体" w:cs="宋体" w:hint="eastAsia"/>
          <w:b/>
          <w:bCs/>
          <w:kern w:val="0"/>
          <w:szCs w:val="21"/>
        </w:rPr>
        <w:t>2</w:t>
      </w:r>
      <w:r w:rsidRPr="00A14D98">
        <w:rPr>
          <w:rFonts w:ascii="宋体" w:hAnsi="宋体" w:cs="宋体" w:hint="eastAsia"/>
          <w:b/>
          <w:bCs/>
          <w:kern w:val="0"/>
          <w:szCs w:val="21"/>
        </w:rPr>
        <w:t>水分</w:t>
      </w:r>
    </w:p>
    <w:p w14:paraId="77B5294C" w14:textId="77777777" w:rsidR="00B724DD" w:rsidRPr="00A14D98" w:rsidRDefault="00BD6C58">
      <w:pPr>
        <w:ind w:firstLineChars="200" w:firstLine="420"/>
        <w:rPr>
          <w:rFonts w:ascii="宋体" w:hAnsi="宋体" w:cs="宋体"/>
          <w:kern w:val="0"/>
          <w:szCs w:val="21"/>
        </w:rPr>
      </w:pPr>
      <w:r w:rsidRPr="00A14D98">
        <w:rPr>
          <w:rFonts w:ascii="宋体" w:hAnsi="宋体" w:cs="宋体" w:hint="eastAsia"/>
          <w:kern w:val="0"/>
          <w:szCs w:val="21"/>
        </w:rPr>
        <w:t>根据GB/T 23586 酱卤肉制品6.2水分规定，</w:t>
      </w:r>
      <w:r w:rsidR="00EF73DA">
        <w:rPr>
          <w:rFonts w:ascii="宋体" w:hAnsi="宋体" w:cs="宋体" w:hint="eastAsia"/>
          <w:kern w:val="0"/>
          <w:szCs w:val="21"/>
        </w:rPr>
        <w:t>于2020年9月25日专家研讨会提出</w:t>
      </w:r>
      <w:r w:rsidR="00EF73DA">
        <w:rPr>
          <w:rFonts w:hAnsi="宋体" w:cs="宋体" w:hint="eastAsia"/>
          <w:szCs w:val="21"/>
        </w:rPr>
        <w:t>水分取样只取固形物，</w:t>
      </w:r>
      <w:r w:rsidRPr="00A14D98">
        <w:rPr>
          <w:rFonts w:ascii="宋体" w:hAnsi="宋体" w:cs="宋体" w:hint="eastAsia"/>
          <w:kern w:val="0"/>
          <w:szCs w:val="21"/>
        </w:rPr>
        <w:t>本文件规定</w:t>
      </w:r>
      <w:r w:rsidR="00EF73DA">
        <w:rPr>
          <w:rFonts w:hAnsi="宋体" w:cs="宋体" w:hint="eastAsia"/>
          <w:szCs w:val="21"/>
        </w:rPr>
        <w:t>水分取样只取固形物，</w:t>
      </w:r>
      <w:r w:rsidR="00A14D98" w:rsidRPr="00A14D98">
        <w:rPr>
          <w:rFonts w:ascii="宋体" w:hAnsi="宋体" w:cs="宋体" w:hint="eastAsia"/>
          <w:kern w:val="0"/>
          <w:szCs w:val="21"/>
        </w:rPr>
        <w:t>按 GB 5009.3 规定的方法测定。</w:t>
      </w:r>
    </w:p>
    <w:p w14:paraId="7BFE3075" w14:textId="77777777" w:rsidR="00B724DD" w:rsidRPr="00A14D98" w:rsidRDefault="00A14D98">
      <w:pPr>
        <w:rPr>
          <w:rFonts w:ascii="宋体" w:hAnsi="宋体" w:cs="宋体"/>
          <w:b/>
          <w:bCs/>
          <w:kern w:val="0"/>
          <w:szCs w:val="21"/>
        </w:rPr>
      </w:pPr>
      <w:r w:rsidRPr="00A14D98">
        <w:rPr>
          <w:rFonts w:ascii="宋体" w:hAnsi="宋体" w:cs="宋体" w:hint="eastAsia"/>
          <w:b/>
          <w:bCs/>
          <w:kern w:val="0"/>
          <w:szCs w:val="21"/>
        </w:rPr>
        <w:t>6.2.</w:t>
      </w:r>
      <w:r w:rsidR="006E45C9">
        <w:rPr>
          <w:rFonts w:ascii="宋体" w:hAnsi="宋体" w:cs="宋体" w:hint="eastAsia"/>
          <w:b/>
          <w:bCs/>
          <w:kern w:val="0"/>
          <w:szCs w:val="21"/>
        </w:rPr>
        <w:t>3</w:t>
      </w:r>
      <w:r w:rsidRPr="00A14D98">
        <w:rPr>
          <w:rFonts w:ascii="宋体" w:hAnsi="宋体" w:cs="宋体" w:hint="eastAsia"/>
          <w:b/>
          <w:bCs/>
          <w:kern w:val="0"/>
          <w:szCs w:val="21"/>
        </w:rPr>
        <w:t>蛋白质</w:t>
      </w:r>
    </w:p>
    <w:p w14:paraId="6195EF6A" w14:textId="77777777" w:rsidR="00B724DD" w:rsidRPr="00A14D98" w:rsidRDefault="00BD6C58">
      <w:pPr>
        <w:ind w:firstLineChars="200" w:firstLine="420"/>
        <w:rPr>
          <w:rFonts w:ascii="宋体" w:hAnsi="宋体" w:cs="宋体"/>
          <w:kern w:val="0"/>
          <w:szCs w:val="21"/>
        </w:rPr>
      </w:pPr>
      <w:r w:rsidRPr="00A14D98">
        <w:rPr>
          <w:rFonts w:ascii="宋体" w:hAnsi="宋体" w:cs="宋体" w:hint="eastAsia"/>
          <w:kern w:val="0"/>
          <w:szCs w:val="21"/>
        </w:rPr>
        <w:t>根据GB/T 23586 酱卤肉制品6.3蛋白质规定，本文件规定蛋白质</w:t>
      </w:r>
      <w:r w:rsidR="00A14D98" w:rsidRPr="00A14D98">
        <w:rPr>
          <w:rFonts w:ascii="宋体" w:hAnsi="宋体" w:cs="宋体" w:hint="eastAsia"/>
          <w:kern w:val="0"/>
          <w:szCs w:val="21"/>
        </w:rPr>
        <w:t>按 GB 5009.5 规定的方法测定。</w:t>
      </w:r>
    </w:p>
    <w:p w14:paraId="500E9989" w14:textId="77777777" w:rsidR="00B724DD" w:rsidRPr="00A14D98" w:rsidRDefault="00A14D98">
      <w:pPr>
        <w:rPr>
          <w:rFonts w:ascii="宋体" w:hAnsi="宋体" w:cs="宋体"/>
          <w:b/>
          <w:bCs/>
          <w:kern w:val="0"/>
          <w:szCs w:val="21"/>
        </w:rPr>
      </w:pPr>
      <w:r w:rsidRPr="00A14D98">
        <w:rPr>
          <w:rFonts w:ascii="宋体" w:hAnsi="宋体" w:cs="宋体" w:hint="eastAsia"/>
          <w:b/>
          <w:bCs/>
          <w:kern w:val="0"/>
          <w:szCs w:val="21"/>
        </w:rPr>
        <w:t>6.2.</w:t>
      </w:r>
      <w:r w:rsidR="006E45C9">
        <w:rPr>
          <w:rFonts w:ascii="宋体" w:hAnsi="宋体" w:cs="宋体" w:hint="eastAsia"/>
          <w:b/>
          <w:bCs/>
          <w:kern w:val="0"/>
          <w:szCs w:val="21"/>
        </w:rPr>
        <w:t>4</w:t>
      </w:r>
      <w:r w:rsidRPr="00A14D98">
        <w:rPr>
          <w:rFonts w:ascii="宋体" w:hAnsi="宋体" w:cs="宋体" w:hint="eastAsia"/>
          <w:b/>
          <w:bCs/>
          <w:kern w:val="0"/>
          <w:szCs w:val="21"/>
        </w:rPr>
        <w:t>氯化物</w:t>
      </w:r>
    </w:p>
    <w:p w14:paraId="5B25096A" w14:textId="77777777" w:rsidR="00B724DD" w:rsidRDefault="00BD6C58">
      <w:pPr>
        <w:ind w:firstLineChars="200" w:firstLine="420"/>
        <w:rPr>
          <w:rFonts w:ascii="宋体" w:hAnsi="宋体" w:cs="宋体"/>
          <w:kern w:val="0"/>
          <w:szCs w:val="21"/>
        </w:rPr>
      </w:pPr>
      <w:r w:rsidRPr="00A14D98">
        <w:rPr>
          <w:rFonts w:ascii="宋体" w:hAnsi="宋体" w:cs="宋体" w:hint="eastAsia"/>
          <w:kern w:val="0"/>
          <w:szCs w:val="21"/>
        </w:rPr>
        <w:t>根据GB/T 23586 酱卤肉制品6.4氯化钠规定，本文件规定氯化物</w:t>
      </w:r>
      <w:r w:rsidR="00A14D98" w:rsidRPr="00A14D98">
        <w:rPr>
          <w:rFonts w:ascii="宋体" w:hAnsi="宋体" w:cs="宋体" w:hint="eastAsia"/>
          <w:kern w:val="0"/>
          <w:szCs w:val="21"/>
        </w:rPr>
        <w:t>按GB 5009.44 规定的方法测定。</w:t>
      </w:r>
    </w:p>
    <w:p w14:paraId="36E70FE2" w14:textId="77777777" w:rsidR="006E45C9" w:rsidRDefault="006E45C9" w:rsidP="006E45C9">
      <w:pPr>
        <w:rPr>
          <w:rFonts w:ascii="宋体" w:hAnsi="宋体" w:cs="宋体"/>
          <w:b/>
          <w:bCs/>
          <w:kern w:val="0"/>
          <w:szCs w:val="21"/>
        </w:rPr>
      </w:pPr>
      <w:r>
        <w:rPr>
          <w:rFonts w:ascii="宋体" w:hAnsi="宋体" w:cs="宋体" w:hint="eastAsia"/>
          <w:b/>
          <w:bCs/>
          <w:kern w:val="0"/>
          <w:szCs w:val="21"/>
        </w:rPr>
        <w:t>6.2.5酸价</w:t>
      </w:r>
    </w:p>
    <w:p w14:paraId="59592BEA" w14:textId="77777777" w:rsidR="006E45C9" w:rsidRPr="000C6780" w:rsidRDefault="006E45C9" w:rsidP="006E45C9">
      <w:pPr>
        <w:pStyle w:val="11"/>
        <w:ind w:firstLineChars="200" w:firstLine="420"/>
      </w:pPr>
      <w:r>
        <w:rPr>
          <w:rFonts w:ascii="宋体" w:hAnsi="宋体" w:hint="eastAsia"/>
        </w:rPr>
        <w:t>根据实际试验方法本文件规定酸价</w:t>
      </w:r>
      <w:r>
        <w:rPr>
          <w:rFonts w:ascii="宋体" w:hAnsi="宋体" w:cs="宋体" w:hint="eastAsia"/>
          <w:kern w:val="0"/>
        </w:rPr>
        <w:t>按 GB 5009.229 规定的方法测定。</w:t>
      </w:r>
    </w:p>
    <w:p w14:paraId="4CF68F8A" w14:textId="77777777" w:rsidR="006E45C9" w:rsidRDefault="006E45C9" w:rsidP="006E45C9">
      <w:pPr>
        <w:rPr>
          <w:rFonts w:ascii="宋体" w:hAnsi="宋体" w:cs="宋体"/>
          <w:b/>
          <w:bCs/>
          <w:kern w:val="0"/>
          <w:szCs w:val="21"/>
        </w:rPr>
      </w:pPr>
      <w:r>
        <w:rPr>
          <w:rFonts w:ascii="宋体" w:hAnsi="宋体" w:cs="宋体" w:hint="eastAsia"/>
          <w:b/>
          <w:bCs/>
          <w:kern w:val="0"/>
          <w:szCs w:val="21"/>
        </w:rPr>
        <w:t>6.2.6过氧化值</w:t>
      </w:r>
    </w:p>
    <w:p w14:paraId="29ED91AD" w14:textId="77777777" w:rsidR="006E45C9" w:rsidRPr="00A14D98" w:rsidRDefault="006E45C9" w:rsidP="006E45C9">
      <w:pPr>
        <w:ind w:firstLineChars="200" w:firstLine="420"/>
        <w:rPr>
          <w:rFonts w:ascii="宋体" w:hAnsi="宋体" w:cs="宋体"/>
          <w:kern w:val="0"/>
          <w:szCs w:val="21"/>
        </w:rPr>
      </w:pPr>
      <w:r>
        <w:rPr>
          <w:rFonts w:ascii="宋体" w:hAnsi="宋体" w:hint="eastAsia"/>
        </w:rPr>
        <w:t>根据实际试验方法本文件规定过氧化值</w:t>
      </w:r>
      <w:r>
        <w:rPr>
          <w:rFonts w:ascii="宋体" w:hAnsi="宋体" w:cs="宋体" w:hint="eastAsia"/>
          <w:kern w:val="0"/>
          <w:szCs w:val="21"/>
        </w:rPr>
        <w:t>按 GB 5009.227 规定的方法测定。</w:t>
      </w:r>
    </w:p>
    <w:p w14:paraId="19FA6CF2" w14:textId="77777777" w:rsidR="00B724DD" w:rsidRDefault="00A14D98">
      <w:pPr>
        <w:rPr>
          <w:rFonts w:ascii="宋体" w:hAnsi="宋体" w:cs="宋体"/>
          <w:b/>
          <w:bCs/>
          <w:kern w:val="0"/>
          <w:szCs w:val="21"/>
        </w:rPr>
      </w:pPr>
      <w:r>
        <w:rPr>
          <w:rFonts w:ascii="宋体" w:hAnsi="宋体" w:cs="宋体" w:hint="eastAsia"/>
          <w:b/>
          <w:bCs/>
          <w:kern w:val="0"/>
          <w:szCs w:val="21"/>
        </w:rPr>
        <w:t>6.3微生物限量</w:t>
      </w:r>
    </w:p>
    <w:p w14:paraId="37324440" w14:textId="77777777" w:rsidR="00B724DD" w:rsidRDefault="00A14D98">
      <w:pPr>
        <w:rPr>
          <w:rFonts w:ascii="宋体" w:hAnsi="宋体" w:cs="宋体"/>
          <w:b/>
          <w:bCs/>
          <w:kern w:val="0"/>
          <w:szCs w:val="21"/>
        </w:rPr>
      </w:pPr>
      <w:r>
        <w:rPr>
          <w:rFonts w:ascii="宋体" w:hAnsi="宋体" w:cs="宋体" w:hint="eastAsia"/>
          <w:b/>
          <w:bCs/>
          <w:kern w:val="0"/>
          <w:szCs w:val="21"/>
        </w:rPr>
        <w:t>6.3.1菌落总数</w:t>
      </w:r>
    </w:p>
    <w:p w14:paraId="1E7117E7" w14:textId="77777777" w:rsidR="00B724DD" w:rsidRDefault="00BC686A">
      <w:pPr>
        <w:ind w:firstLineChars="200" w:firstLine="420"/>
        <w:rPr>
          <w:rFonts w:ascii="宋体" w:hAnsi="宋体" w:cs="宋体"/>
          <w:kern w:val="0"/>
          <w:szCs w:val="21"/>
        </w:rPr>
      </w:pPr>
      <w:r>
        <w:rPr>
          <w:rFonts w:ascii="宋体" w:hAnsi="宋体" w:cs="宋体" w:hint="eastAsia"/>
          <w:kern w:val="0"/>
          <w:szCs w:val="21"/>
        </w:rPr>
        <w:t>根据</w:t>
      </w:r>
      <w:r w:rsidR="00FA0D4C">
        <w:rPr>
          <w:rFonts w:ascii="宋体" w:hAnsi="宋体" w:cs="宋体" w:hint="eastAsia"/>
          <w:kern w:val="0"/>
          <w:szCs w:val="21"/>
        </w:rPr>
        <w:t>GB 2762 食品安全国家标准 熟肉制品3.4.2菌落总数检验方法为GB 4789.2，本文件规定菌落总数</w:t>
      </w:r>
      <w:r w:rsidR="00A14D98">
        <w:rPr>
          <w:rFonts w:ascii="宋体" w:hAnsi="宋体" w:cs="宋体" w:hint="eastAsia"/>
          <w:kern w:val="0"/>
          <w:szCs w:val="21"/>
        </w:rPr>
        <w:t>按GB 4789.2 规定的方法测定。</w:t>
      </w:r>
    </w:p>
    <w:p w14:paraId="73AECBC9" w14:textId="77777777" w:rsidR="00B724DD" w:rsidRDefault="00A14D98">
      <w:pPr>
        <w:rPr>
          <w:rFonts w:ascii="宋体" w:hAnsi="宋体" w:cs="宋体"/>
          <w:b/>
          <w:bCs/>
          <w:kern w:val="0"/>
          <w:szCs w:val="21"/>
        </w:rPr>
      </w:pPr>
      <w:r>
        <w:rPr>
          <w:rFonts w:ascii="宋体" w:hAnsi="宋体" w:cs="宋体" w:hint="eastAsia"/>
          <w:b/>
          <w:bCs/>
          <w:kern w:val="0"/>
          <w:szCs w:val="21"/>
        </w:rPr>
        <w:t>6.3.2大肠菌群</w:t>
      </w:r>
    </w:p>
    <w:p w14:paraId="13CCDA2E" w14:textId="77777777" w:rsidR="00B724DD" w:rsidRDefault="00FA0D4C">
      <w:pPr>
        <w:ind w:firstLineChars="200" w:firstLine="420"/>
        <w:rPr>
          <w:rFonts w:ascii="宋体" w:hAnsi="宋体" w:cs="宋体"/>
          <w:kern w:val="0"/>
          <w:szCs w:val="21"/>
        </w:rPr>
      </w:pPr>
      <w:r>
        <w:rPr>
          <w:rFonts w:ascii="宋体" w:hAnsi="宋体" w:cs="宋体" w:hint="eastAsia"/>
          <w:kern w:val="0"/>
          <w:szCs w:val="21"/>
        </w:rPr>
        <w:t>根据GB 2762 食品安全国家标准 熟肉制品3.4.2大肠菌群检验方法为GB 4789.3,本文件规定大肠菌群</w:t>
      </w:r>
      <w:r w:rsidR="00A14D98">
        <w:rPr>
          <w:rFonts w:ascii="宋体" w:hAnsi="宋体" w:cs="宋体" w:hint="eastAsia"/>
          <w:kern w:val="0"/>
          <w:szCs w:val="21"/>
        </w:rPr>
        <w:t>按GB 4789.3 规定的平板计数法测定。</w:t>
      </w:r>
    </w:p>
    <w:p w14:paraId="34DAC970" w14:textId="77777777" w:rsidR="00B724DD" w:rsidRDefault="00A14D98">
      <w:pPr>
        <w:rPr>
          <w:rFonts w:ascii="宋体" w:hAnsi="宋体" w:cs="宋体"/>
          <w:b/>
          <w:bCs/>
          <w:kern w:val="0"/>
          <w:szCs w:val="21"/>
        </w:rPr>
      </w:pPr>
      <w:r>
        <w:rPr>
          <w:rFonts w:ascii="宋体" w:hAnsi="宋体" w:cs="宋体" w:hint="eastAsia"/>
          <w:b/>
          <w:bCs/>
          <w:kern w:val="0"/>
          <w:szCs w:val="21"/>
        </w:rPr>
        <w:t>6.3.3商业无菌</w:t>
      </w:r>
    </w:p>
    <w:p w14:paraId="486EA667" w14:textId="77777777" w:rsidR="00B724DD" w:rsidRDefault="00BC686A">
      <w:pPr>
        <w:ind w:firstLineChars="200" w:firstLine="420"/>
        <w:rPr>
          <w:rFonts w:ascii="宋体" w:hAnsi="宋体" w:cs="宋体"/>
          <w:kern w:val="0"/>
          <w:szCs w:val="21"/>
        </w:rPr>
      </w:pPr>
      <w:r>
        <w:rPr>
          <w:rFonts w:ascii="宋体" w:hAnsi="宋体" w:cs="宋体" w:hint="eastAsia"/>
          <w:kern w:val="0"/>
          <w:szCs w:val="21"/>
        </w:rPr>
        <w:t>根据实际生产要求本文件规定商业无菌</w:t>
      </w:r>
      <w:r w:rsidR="00A14D98">
        <w:rPr>
          <w:rFonts w:ascii="宋体" w:hAnsi="宋体" w:cs="宋体" w:hint="eastAsia"/>
          <w:kern w:val="0"/>
          <w:szCs w:val="21"/>
        </w:rPr>
        <w:t>按</w:t>
      </w:r>
      <w:r w:rsidR="00A14D98">
        <w:rPr>
          <w:rFonts w:ascii="宋体" w:hAnsi="宋体" w:cs="宋体"/>
          <w:kern w:val="0"/>
          <w:szCs w:val="21"/>
        </w:rPr>
        <w:t>GB 4789.26</w:t>
      </w:r>
      <w:r w:rsidR="00A14D98">
        <w:rPr>
          <w:rFonts w:ascii="宋体" w:hAnsi="宋体" w:cs="宋体" w:hint="eastAsia"/>
          <w:kern w:val="0"/>
          <w:szCs w:val="21"/>
        </w:rPr>
        <w:t xml:space="preserve"> 规定的方法测定。</w:t>
      </w:r>
    </w:p>
    <w:p w14:paraId="57F299A7" w14:textId="77777777" w:rsidR="00B724DD" w:rsidRDefault="00A14D98">
      <w:pPr>
        <w:tabs>
          <w:tab w:val="left" w:pos="466"/>
        </w:tabs>
        <w:rPr>
          <w:rFonts w:ascii="宋体" w:hAnsi="宋体" w:cs="宋体"/>
          <w:b/>
          <w:bCs/>
          <w:kern w:val="0"/>
          <w:szCs w:val="21"/>
        </w:rPr>
      </w:pPr>
      <w:r>
        <w:rPr>
          <w:rFonts w:ascii="宋体" w:hAnsi="宋体" w:cs="宋体" w:hint="eastAsia"/>
          <w:b/>
          <w:bCs/>
          <w:kern w:val="0"/>
          <w:szCs w:val="21"/>
        </w:rPr>
        <w:t>6.4净含量</w:t>
      </w:r>
    </w:p>
    <w:p w14:paraId="10FD8C83" w14:textId="77777777" w:rsidR="00B724DD" w:rsidRDefault="00C160AA">
      <w:pPr>
        <w:tabs>
          <w:tab w:val="left" w:pos="466"/>
        </w:tabs>
        <w:ind w:firstLineChars="200" w:firstLine="420"/>
        <w:rPr>
          <w:rFonts w:ascii="宋体" w:hAnsi="宋体" w:cs="宋体"/>
          <w:kern w:val="0"/>
          <w:szCs w:val="21"/>
        </w:rPr>
      </w:pPr>
      <w:r>
        <w:rPr>
          <w:rFonts w:ascii="宋体" w:hAnsi="宋体" w:cs="宋体" w:hint="eastAsia"/>
          <w:kern w:val="0"/>
          <w:szCs w:val="21"/>
        </w:rPr>
        <w:t>根据</w:t>
      </w:r>
      <w:r w:rsidRPr="00A14D98">
        <w:rPr>
          <w:rFonts w:ascii="宋体" w:hAnsi="宋体" w:cs="宋体" w:hint="eastAsia"/>
          <w:kern w:val="0"/>
          <w:szCs w:val="21"/>
        </w:rPr>
        <w:t>GB/T 23586 酱卤肉制品</w:t>
      </w:r>
      <w:r>
        <w:rPr>
          <w:rFonts w:ascii="宋体" w:hAnsi="宋体" w:cs="宋体" w:hint="eastAsia"/>
          <w:kern w:val="0"/>
          <w:szCs w:val="21"/>
        </w:rPr>
        <w:t>6.8净含量规定，本文件规定净含量</w:t>
      </w:r>
      <w:r w:rsidR="00A14D98">
        <w:rPr>
          <w:rFonts w:ascii="宋体" w:hAnsi="宋体" w:cs="宋体" w:hint="eastAsia"/>
          <w:kern w:val="0"/>
          <w:szCs w:val="21"/>
        </w:rPr>
        <w:t>按 JJF 1070 规定的方法测定。</w:t>
      </w:r>
    </w:p>
    <w:p w14:paraId="6A044631" w14:textId="77777777" w:rsidR="00B724DD" w:rsidRDefault="00A14D98">
      <w:pPr>
        <w:rPr>
          <w:rFonts w:ascii="宋体" w:hAnsi="宋体" w:cs="宋体"/>
          <w:b/>
          <w:bCs/>
          <w:szCs w:val="21"/>
        </w:rPr>
      </w:pPr>
      <w:r>
        <w:rPr>
          <w:rFonts w:ascii="宋体" w:hAnsi="宋体" w:cs="宋体" w:hint="eastAsia"/>
          <w:b/>
          <w:bCs/>
          <w:szCs w:val="21"/>
        </w:rPr>
        <w:t>7检验规则</w:t>
      </w:r>
    </w:p>
    <w:p w14:paraId="4105C661" w14:textId="77777777" w:rsidR="00B724DD" w:rsidRDefault="00A14D98">
      <w:pPr>
        <w:widowControl/>
        <w:shd w:val="clear" w:color="auto" w:fill="FFFFFF"/>
        <w:ind w:firstLineChars="200" w:firstLine="420"/>
        <w:jc w:val="left"/>
        <w:rPr>
          <w:rFonts w:ascii="宋体" w:hAnsi="宋体" w:cs="宋体"/>
          <w:szCs w:val="21"/>
        </w:rPr>
      </w:pPr>
      <w:r>
        <w:rPr>
          <w:rFonts w:ascii="宋体" w:hAnsi="宋体" w:cs="宋体" w:hint="eastAsia"/>
          <w:szCs w:val="21"/>
        </w:rPr>
        <w:t>根据GB/T 23586 酱卤肉制品检验规则的规定和实际生产过程的抽样和检验规则，</w:t>
      </w:r>
      <w:r w:rsidR="00693838">
        <w:rPr>
          <w:rFonts w:ascii="宋体" w:hAnsi="宋体" w:cs="宋体" w:hint="eastAsia"/>
          <w:szCs w:val="21"/>
        </w:rPr>
        <w:t>增加优级产品目和商业无菌产品出厂检验项，</w:t>
      </w:r>
      <w:r>
        <w:rPr>
          <w:rFonts w:ascii="宋体" w:hAnsi="宋体" w:cs="宋体" w:hint="eastAsia"/>
          <w:szCs w:val="21"/>
        </w:rPr>
        <w:t>本文件提出符合嘉兴酱（卤）鸭行业特点的基本要求。具体条款如下：</w:t>
      </w:r>
    </w:p>
    <w:p w14:paraId="15984564"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7.1组批</w:t>
      </w:r>
    </w:p>
    <w:p w14:paraId="0DAAD21E" w14:textId="77777777" w:rsidR="00B724DD" w:rsidRDefault="00A14D98">
      <w:pPr>
        <w:pStyle w:val="af0"/>
        <w:spacing w:beforeLines="0" w:afterLines="0" w:line="240" w:lineRule="auto"/>
        <w:rPr>
          <w:rFonts w:hAnsi="宋体" w:cs="宋体"/>
          <w:szCs w:val="21"/>
        </w:rPr>
      </w:pPr>
      <w:r>
        <w:rPr>
          <w:rFonts w:hAnsi="宋体" w:cs="宋体" w:hint="eastAsia"/>
          <w:szCs w:val="21"/>
        </w:rPr>
        <w:t>同一班次、同一品种、同一工艺的产品为一批。</w:t>
      </w:r>
    </w:p>
    <w:p w14:paraId="6D4B72A2"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7.2抽样</w:t>
      </w:r>
    </w:p>
    <w:p w14:paraId="0279915D" w14:textId="77777777" w:rsidR="00B724DD" w:rsidRDefault="00A14D98">
      <w:pPr>
        <w:pStyle w:val="af0"/>
        <w:spacing w:beforeLines="0" w:afterLines="0" w:line="240" w:lineRule="auto"/>
      </w:pPr>
      <w:r>
        <w:rPr>
          <w:rFonts w:hAnsi="宋体" w:cs="宋体" w:hint="eastAsia"/>
          <w:szCs w:val="21"/>
        </w:rPr>
        <w:t>抽样基数不少于20kg，每批次抽样样品量为4kg（不少于1</w:t>
      </w:r>
      <w:r w:rsidR="004E5685">
        <w:rPr>
          <w:rFonts w:hAnsi="宋体" w:cs="宋体" w:hint="eastAsia"/>
          <w:szCs w:val="21"/>
        </w:rPr>
        <w:t>0</w:t>
      </w:r>
      <w:r>
        <w:rPr>
          <w:rFonts w:hAnsi="宋体" w:cs="宋体" w:hint="eastAsia"/>
          <w:szCs w:val="21"/>
        </w:rPr>
        <w:t>个包装），分成2份，1份检验，1份备查。抽样数量满足检验和备样的要求。</w:t>
      </w:r>
    </w:p>
    <w:p w14:paraId="0CCA4E77"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7.3出厂检验</w:t>
      </w:r>
    </w:p>
    <w:p w14:paraId="4830EF1E"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7.3.1出厂检验项目</w:t>
      </w:r>
    </w:p>
    <w:p w14:paraId="1852321A" w14:textId="77777777" w:rsidR="00B724DD" w:rsidRDefault="00A14D98">
      <w:pPr>
        <w:pStyle w:val="afd"/>
      </w:pPr>
      <w:r w:rsidRPr="00153A46">
        <w:rPr>
          <w:rFonts w:hAnsi="宋体" w:cs="黑体" w:hint="eastAsia"/>
          <w:b/>
          <w:kern w:val="2"/>
        </w:rPr>
        <w:t>7.3.1.1</w:t>
      </w:r>
      <w:r>
        <w:rPr>
          <w:rFonts w:hAnsi="宋体" w:cs="宋体" w:hint="eastAsia"/>
          <w:color w:val="000000"/>
        </w:rPr>
        <w:t>出厂检验项目</w:t>
      </w:r>
      <w:r>
        <w:rPr>
          <w:rFonts w:hint="eastAsia"/>
        </w:rPr>
        <w:t>包括：感官</w:t>
      </w:r>
      <w:r w:rsidR="00A0506E">
        <w:rPr>
          <w:rFonts w:hint="eastAsia"/>
        </w:rPr>
        <w:t>要求</w:t>
      </w:r>
      <w:r>
        <w:rPr>
          <w:rFonts w:hint="eastAsia"/>
        </w:rPr>
        <w:t>、</w:t>
      </w:r>
      <w:r w:rsidR="00A0506E">
        <w:rPr>
          <w:rFonts w:hint="eastAsia"/>
        </w:rPr>
        <w:t>净含量、</w:t>
      </w:r>
      <w:r>
        <w:rPr>
          <w:rFonts w:hint="eastAsia"/>
        </w:rPr>
        <w:t>水分、大肠菌群、菌落总数。</w:t>
      </w:r>
    </w:p>
    <w:p w14:paraId="2458BC54" w14:textId="77777777" w:rsidR="00B724DD" w:rsidRDefault="00A14D98">
      <w:pPr>
        <w:pStyle w:val="afd"/>
      </w:pPr>
      <w:r w:rsidRPr="00153A46">
        <w:rPr>
          <w:rFonts w:hAnsi="宋体" w:cs="黑体" w:hint="eastAsia"/>
          <w:b/>
          <w:kern w:val="2"/>
        </w:rPr>
        <w:lastRenderedPageBreak/>
        <w:t>7.3.1.2</w:t>
      </w:r>
      <w:r>
        <w:rPr>
          <w:rFonts w:hint="eastAsia"/>
        </w:rPr>
        <w:t>商业无菌工艺生产的产品出厂检验项目包括：感官</w:t>
      </w:r>
      <w:r w:rsidR="00A0506E">
        <w:rPr>
          <w:rFonts w:hint="eastAsia"/>
        </w:rPr>
        <w:t>要求</w:t>
      </w:r>
      <w:r>
        <w:rPr>
          <w:rFonts w:hint="eastAsia"/>
        </w:rPr>
        <w:t>、</w:t>
      </w:r>
      <w:r w:rsidR="00A0506E">
        <w:rPr>
          <w:rFonts w:hint="eastAsia"/>
        </w:rPr>
        <w:t>净含量、</w:t>
      </w:r>
      <w:r>
        <w:rPr>
          <w:rFonts w:hint="eastAsia"/>
        </w:rPr>
        <w:t>水分、商业无菌。</w:t>
      </w:r>
    </w:p>
    <w:p w14:paraId="7B3DB4C9" w14:textId="77777777" w:rsidR="00B724DD" w:rsidRDefault="00A14D98">
      <w:pPr>
        <w:pStyle w:val="afd"/>
      </w:pPr>
      <w:r w:rsidRPr="00153A46">
        <w:rPr>
          <w:rFonts w:hAnsi="宋体" w:cs="黑体" w:hint="eastAsia"/>
          <w:b/>
          <w:kern w:val="2"/>
        </w:rPr>
        <w:t>7.3.1.3</w:t>
      </w:r>
      <w:r>
        <w:rPr>
          <w:rFonts w:hint="eastAsia"/>
        </w:rPr>
        <w:t>优级产品出厂检验项目还应包括酸价和过氧化值。</w:t>
      </w:r>
    </w:p>
    <w:p w14:paraId="094D6DCC"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7.3.2判定</w:t>
      </w:r>
    </w:p>
    <w:p w14:paraId="7A79D870" w14:textId="77777777" w:rsidR="00B724DD" w:rsidRDefault="00A14D98">
      <w:pPr>
        <w:pStyle w:val="afa"/>
        <w:numPr>
          <w:ilvl w:val="2"/>
          <w:numId w:val="0"/>
        </w:numPr>
        <w:spacing w:line="240" w:lineRule="auto"/>
        <w:ind w:firstLineChars="200" w:firstLine="420"/>
      </w:pPr>
      <w:r>
        <w:rPr>
          <w:rFonts w:hint="eastAsia"/>
        </w:rPr>
        <w:t>出厂检验项目全部符合本文件要求时，该批产品判定为合格或优级；检验结果不符合本文件要求时，对不合格项目进行加倍抽样复检</w:t>
      </w:r>
      <w:r>
        <w:rPr>
          <w:rFonts w:hint="eastAsia"/>
          <w:color w:val="000000"/>
        </w:rPr>
        <w:t>（微生物指标不合格时不得复检）,</w:t>
      </w:r>
      <w:r>
        <w:rPr>
          <w:rFonts w:hint="eastAsia"/>
        </w:rPr>
        <w:t>复检结果符合本文件要求时，该批产品判定为合格或优级；如复检结果仍有一项不合格，则该批产品判定为不合格。</w:t>
      </w:r>
    </w:p>
    <w:p w14:paraId="2F713CC5"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7.4型式检验</w:t>
      </w:r>
    </w:p>
    <w:p w14:paraId="2635239D" w14:textId="77777777" w:rsidR="00B724DD" w:rsidRDefault="00A14D98">
      <w:pPr>
        <w:pStyle w:val="afa"/>
        <w:spacing w:line="240" w:lineRule="auto"/>
      </w:pPr>
      <w:r>
        <w:rPr>
          <w:rFonts w:ascii="黑体" w:eastAsia="黑体" w:hAnsi="黑体" w:cs="黑体" w:hint="eastAsia"/>
          <w:kern w:val="2"/>
        </w:rPr>
        <w:t>7.4.1</w:t>
      </w:r>
      <w:r>
        <w:rPr>
          <w:rFonts w:hint="eastAsia"/>
        </w:rPr>
        <w:t>正常生产时应每6个月进行一次型式检验；此外有下列情况之一时，亦应进行型式检验：</w:t>
      </w:r>
    </w:p>
    <w:p w14:paraId="5FA413E7" w14:textId="77777777" w:rsidR="00B724DD" w:rsidRDefault="00A14D98">
      <w:pPr>
        <w:pStyle w:val="a"/>
        <w:ind w:left="0" w:firstLineChars="200" w:firstLine="420"/>
      </w:pPr>
      <w:r>
        <w:rPr>
          <w:rFonts w:hint="eastAsia"/>
        </w:rPr>
        <w:t>新产品试制鉴定时；</w:t>
      </w:r>
    </w:p>
    <w:p w14:paraId="349C64E7" w14:textId="77777777" w:rsidR="00B724DD" w:rsidRDefault="00A14D98">
      <w:pPr>
        <w:pStyle w:val="a"/>
        <w:ind w:left="0" w:firstLineChars="200" w:firstLine="420"/>
      </w:pPr>
      <w:r>
        <w:rPr>
          <w:rFonts w:hint="eastAsia"/>
        </w:rPr>
        <w:t>原料、生产工艺有较大改变，可能影响产品质量时；</w:t>
      </w:r>
    </w:p>
    <w:p w14:paraId="6ED7BF8B" w14:textId="77777777" w:rsidR="00B724DD" w:rsidRDefault="00A14D98">
      <w:pPr>
        <w:pStyle w:val="a"/>
        <w:ind w:left="0" w:firstLineChars="200" w:firstLine="420"/>
      </w:pPr>
      <w:r>
        <w:rPr>
          <w:rFonts w:hint="eastAsia"/>
        </w:rPr>
        <w:t>产品停产半年以上，恢复生产时；</w:t>
      </w:r>
    </w:p>
    <w:p w14:paraId="65DC183A" w14:textId="77777777" w:rsidR="00B724DD" w:rsidRDefault="00A14D98">
      <w:pPr>
        <w:pStyle w:val="a"/>
        <w:ind w:left="0" w:firstLineChars="200" w:firstLine="420"/>
      </w:pPr>
      <w:r>
        <w:rPr>
          <w:rFonts w:hint="eastAsia"/>
        </w:rPr>
        <w:t>出厂检验结果与上一次型式检验结果有较大差异时；</w:t>
      </w:r>
    </w:p>
    <w:p w14:paraId="479A5617" w14:textId="77777777" w:rsidR="00B724DD" w:rsidRDefault="00A14D98">
      <w:pPr>
        <w:pStyle w:val="a"/>
        <w:ind w:left="0" w:firstLineChars="200" w:firstLine="420"/>
      </w:pPr>
      <w:r>
        <w:rPr>
          <w:rFonts w:hint="eastAsia"/>
        </w:rPr>
        <w:t>国家质量监督机构提出要求时。</w:t>
      </w:r>
    </w:p>
    <w:p w14:paraId="06E59536"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7.4.2型式检验项目</w:t>
      </w:r>
    </w:p>
    <w:p w14:paraId="3099FED4" w14:textId="77777777" w:rsidR="00B724DD" w:rsidRDefault="00A14D98">
      <w:pPr>
        <w:pStyle w:val="afa"/>
        <w:numPr>
          <w:ilvl w:val="2"/>
          <w:numId w:val="0"/>
        </w:numPr>
        <w:spacing w:line="240" w:lineRule="auto"/>
        <w:ind w:firstLineChars="200" w:firstLine="420"/>
      </w:pPr>
      <w:r>
        <w:rPr>
          <w:rFonts w:hint="eastAsia"/>
        </w:rPr>
        <w:t>型式检验项目包括本文件4.2-4.7所规定的项目。</w:t>
      </w:r>
    </w:p>
    <w:p w14:paraId="1ED1C610" w14:textId="77777777" w:rsidR="00B724DD" w:rsidRDefault="00A14D98">
      <w:pPr>
        <w:pStyle w:val="af2"/>
        <w:spacing w:beforeLines="0" w:afterLines="0"/>
        <w:rPr>
          <w:rFonts w:ascii="宋体" w:eastAsia="宋体" w:hAnsi="宋体" w:cs="宋体"/>
          <w:b/>
          <w:bCs/>
        </w:rPr>
      </w:pPr>
      <w:r>
        <w:rPr>
          <w:rFonts w:ascii="宋体" w:eastAsia="宋体" w:hAnsi="宋体" w:cs="宋体" w:hint="eastAsia"/>
          <w:b/>
          <w:bCs/>
        </w:rPr>
        <w:t>7.4.3判定</w:t>
      </w:r>
    </w:p>
    <w:p w14:paraId="70A80C61" w14:textId="77777777" w:rsidR="00B724DD" w:rsidRDefault="00A14D98">
      <w:pPr>
        <w:pStyle w:val="afa"/>
        <w:numPr>
          <w:ilvl w:val="2"/>
          <w:numId w:val="0"/>
        </w:numPr>
        <w:spacing w:line="240" w:lineRule="auto"/>
        <w:ind w:firstLineChars="200" w:firstLine="420"/>
        <w:rPr>
          <w:rFonts w:hAnsi="宋体" w:cs="宋体"/>
        </w:rPr>
      </w:pPr>
      <w:r>
        <w:rPr>
          <w:rFonts w:hint="eastAsia"/>
        </w:rPr>
        <w:t>型式检验项目全部符合本文件要求时，该批产品判定为合格或优级；检验结果不符合本标准要求时，对不合格项目进行加倍抽样复检</w:t>
      </w:r>
      <w:r>
        <w:rPr>
          <w:rFonts w:hint="eastAsia"/>
          <w:color w:val="000000"/>
        </w:rPr>
        <w:t>（微生物指标不合格时不得复检）,复检</w:t>
      </w:r>
      <w:r>
        <w:rPr>
          <w:rFonts w:hint="eastAsia"/>
        </w:rPr>
        <w:t>结果符合本文件要求时，该批产品判定为合格或优级；如复检结果仍有一项不合格，则判定该批产品为不合格。</w:t>
      </w:r>
    </w:p>
    <w:p w14:paraId="79EFEAC2" w14:textId="77777777" w:rsidR="00B724DD" w:rsidRDefault="00A14D98">
      <w:pPr>
        <w:pStyle w:val="af"/>
        <w:spacing w:beforeLines="0" w:afterLines="0" w:line="240" w:lineRule="auto"/>
        <w:rPr>
          <w:rFonts w:ascii="宋体" w:eastAsia="宋体" w:hAnsi="宋体" w:cs="宋体"/>
          <w:b/>
          <w:bCs/>
          <w:szCs w:val="21"/>
        </w:rPr>
      </w:pPr>
      <w:r>
        <w:rPr>
          <w:rFonts w:ascii="宋体" w:eastAsia="宋体" w:hAnsi="宋体" w:cs="宋体" w:hint="eastAsia"/>
          <w:b/>
          <w:bCs/>
          <w:szCs w:val="21"/>
        </w:rPr>
        <w:t>8包装、标签和标志</w:t>
      </w:r>
    </w:p>
    <w:p w14:paraId="040E08B2" w14:textId="77777777" w:rsidR="00B724DD" w:rsidRDefault="00A14D98">
      <w:pPr>
        <w:rPr>
          <w:rFonts w:ascii="宋体" w:hAnsi="宋体" w:cs="宋体"/>
          <w:b/>
          <w:bCs/>
          <w:szCs w:val="21"/>
        </w:rPr>
      </w:pPr>
      <w:r>
        <w:rPr>
          <w:rFonts w:ascii="宋体" w:hAnsi="宋体" w:cs="宋体" w:hint="eastAsia"/>
          <w:b/>
          <w:bCs/>
          <w:szCs w:val="21"/>
        </w:rPr>
        <w:t>8.1包装</w:t>
      </w:r>
    </w:p>
    <w:p w14:paraId="29703DA7" w14:textId="77777777" w:rsidR="00B724DD" w:rsidRDefault="00A14D98">
      <w:pPr>
        <w:pStyle w:val="af0"/>
        <w:spacing w:beforeLines="0" w:afterLines="0" w:line="240" w:lineRule="auto"/>
        <w:rPr>
          <w:rFonts w:hAnsi="宋体" w:cs="宋体"/>
          <w:szCs w:val="21"/>
        </w:rPr>
      </w:pPr>
      <w:r>
        <w:rPr>
          <w:rFonts w:hAnsi="宋体" w:cs="宋体" w:hint="eastAsia"/>
          <w:szCs w:val="21"/>
        </w:rPr>
        <w:t>根据实际工艺提出符合产品的包装要求，经工作组讨论后本文件规定：</w:t>
      </w:r>
    </w:p>
    <w:p w14:paraId="51F9F0DB" w14:textId="77777777" w:rsidR="00B724DD" w:rsidRDefault="00A14D98">
      <w:pPr>
        <w:pStyle w:val="af0"/>
        <w:spacing w:beforeLines="0" w:afterLines="0" w:line="240" w:lineRule="auto"/>
        <w:rPr>
          <w:rFonts w:hAnsi="宋体" w:cs="宋体"/>
          <w:szCs w:val="21"/>
        </w:rPr>
      </w:pPr>
      <w:r>
        <w:rPr>
          <w:rFonts w:hint="eastAsia"/>
          <w:color w:val="000000"/>
        </w:rPr>
        <w:t>使用包装材料应符合 GB/T 10004 或 GB 4806.7 的规定。其他包装材料和容器必须符合相应国家标准和有关规定。</w:t>
      </w:r>
    </w:p>
    <w:p w14:paraId="7C99DC71" w14:textId="77777777" w:rsidR="00B724DD" w:rsidRDefault="00A14D98">
      <w:pPr>
        <w:rPr>
          <w:rFonts w:ascii="宋体" w:hAnsi="宋体" w:cs="宋体"/>
          <w:b/>
          <w:bCs/>
          <w:szCs w:val="21"/>
        </w:rPr>
      </w:pPr>
      <w:r>
        <w:rPr>
          <w:rFonts w:ascii="宋体" w:hAnsi="宋体" w:cs="宋体" w:hint="eastAsia"/>
          <w:b/>
          <w:bCs/>
          <w:szCs w:val="21"/>
        </w:rPr>
        <w:t>8.2标签和标志</w:t>
      </w:r>
    </w:p>
    <w:p w14:paraId="35AAE7EB" w14:textId="77777777" w:rsidR="00B724DD" w:rsidRDefault="00A14D98">
      <w:pPr>
        <w:ind w:firstLineChars="200" w:firstLine="420"/>
        <w:rPr>
          <w:rFonts w:ascii="宋体" w:hAnsi="宋体" w:cs="宋体"/>
          <w:szCs w:val="21"/>
        </w:rPr>
      </w:pPr>
      <w:r>
        <w:rPr>
          <w:rFonts w:ascii="宋体" w:hAnsi="宋体" w:cs="宋体" w:hint="eastAsia"/>
          <w:szCs w:val="21"/>
        </w:rPr>
        <w:t>根据GB/T 23586 酱卤肉制品8.1和8.2中规定，同时增加优级产品标签的不同，经工作组讨论后一致修改为：</w:t>
      </w:r>
    </w:p>
    <w:p w14:paraId="788FE86D" w14:textId="77777777" w:rsidR="00B724DD" w:rsidRDefault="00A14D98">
      <w:r w:rsidRPr="00153A46">
        <w:rPr>
          <w:rFonts w:ascii="宋体" w:hAnsi="宋体" w:cs="黑体" w:hint="eastAsia"/>
          <w:b/>
          <w:szCs w:val="21"/>
        </w:rPr>
        <w:t>8.2.1</w:t>
      </w:r>
      <w:r>
        <w:rPr>
          <w:rFonts w:hint="eastAsia"/>
        </w:rPr>
        <w:t>标签应符合</w:t>
      </w:r>
      <w:r>
        <w:rPr>
          <w:rFonts w:ascii="宋体" w:hAnsi="宋体" w:cs="宋体" w:hint="eastAsia"/>
          <w:szCs w:val="21"/>
        </w:rPr>
        <w:t>GB 7718和GB 28050的规</w:t>
      </w:r>
      <w:r>
        <w:rPr>
          <w:rFonts w:hint="eastAsia"/>
        </w:rPr>
        <w:t>定。</w:t>
      </w:r>
      <w:r w:rsidR="00674DA4">
        <w:rPr>
          <w:rFonts w:hint="eastAsia"/>
        </w:rPr>
        <w:t>同时还</w:t>
      </w:r>
      <w:r>
        <w:rPr>
          <w:rFonts w:hint="eastAsia"/>
        </w:rPr>
        <w:t>应注明产品等级。</w:t>
      </w:r>
    </w:p>
    <w:p w14:paraId="43D4976E" w14:textId="77777777" w:rsidR="00B724DD" w:rsidRDefault="00A14D98">
      <w:pPr>
        <w:rPr>
          <w:rFonts w:ascii="宋体" w:hAnsi="宋体" w:cs="宋体"/>
          <w:szCs w:val="21"/>
        </w:rPr>
      </w:pPr>
      <w:r w:rsidRPr="00153A46">
        <w:rPr>
          <w:rFonts w:ascii="宋体" w:hAnsi="宋体" w:cs="黑体" w:hint="eastAsia"/>
          <w:b/>
          <w:szCs w:val="21"/>
        </w:rPr>
        <w:t>8.2.2</w:t>
      </w:r>
      <w:r>
        <w:rPr>
          <w:rFonts w:hint="eastAsia"/>
        </w:rPr>
        <w:t>包装运输标志应符合</w:t>
      </w:r>
      <w:r>
        <w:rPr>
          <w:rFonts w:ascii="宋体" w:hAnsi="宋体" w:cs="宋体" w:hint="eastAsia"/>
          <w:szCs w:val="21"/>
        </w:rPr>
        <w:t>GB/T 191</w:t>
      </w:r>
      <w:r>
        <w:rPr>
          <w:rFonts w:hint="eastAsia"/>
        </w:rPr>
        <w:t>的规定。</w:t>
      </w:r>
    </w:p>
    <w:p w14:paraId="4DC23E49" w14:textId="77777777" w:rsidR="00B724DD" w:rsidRDefault="00A14D98">
      <w:pPr>
        <w:rPr>
          <w:rFonts w:ascii="宋体" w:hAnsi="宋体" w:cs="宋体"/>
          <w:b/>
          <w:bCs/>
          <w:szCs w:val="21"/>
        </w:rPr>
      </w:pPr>
      <w:r>
        <w:rPr>
          <w:rFonts w:ascii="宋体" w:hAnsi="宋体" w:cs="宋体" w:hint="eastAsia"/>
          <w:b/>
          <w:bCs/>
          <w:szCs w:val="21"/>
        </w:rPr>
        <w:t>9</w:t>
      </w:r>
      <w:r>
        <w:rPr>
          <w:rFonts w:ascii="宋体" w:hAnsi="宋体" w:cs="宋体" w:hint="eastAsia"/>
          <w:b/>
          <w:bCs/>
          <w:szCs w:val="21"/>
          <w:lang w:val="zh-TW" w:eastAsia="zh-TW"/>
        </w:rPr>
        <w:t>运输</w:t>
      </w:r>
      <w:r>
        <w:rPr>
          <w:rFonts w:ascii="宋体" w:hAnsi="宋体" w:cs="宋体" w:hint="eastAsia"/>
          <w:b/>
          <w:bCs/>
          <w:szCs w:val="21"/>
          <w:lang w:val="zh-TW"/>
        </w:rPr>
        <w:t>和</w:t>
      </w:r>
      <w:r>
        <w:rPr>
          <w:rFonts w:ascii="宋体" w:hAnsi="宋体" w:cs="宋体" w:hint="eastAsia"/>
          <w:b/>
          <w:bCs/>
          <w:szCs w:val="21"/>
          <w:lang w:val="zh-TW" w:eastAsia="zh-TW"/>
        </w:rPr>
        <w:t>贮存</w:t>
      </w:r>
    </w:p>
    <w:p w14:paraId="2FDC62DE" w14:textId="77777777" w:rsidR="00B724DD" w:rsidRDefault="00A14D98">
      <w:pPr>
        <w:ind w:firstLineChars="200" w:firstLine="420"/>
        <w:rPr>
          <w:rFonts w:ascii="宋体" w:hAnsi="宋体" w:cs="宋体"/>
          <w:szCs w:val="21"/>
        </w:rPr>
      </w:pPr>
      <w:r>
        <w:rPr>
          <w:rFonts w:ascii="宋体" w:hAnsi="宋体" w:cs="宋体" w:hint="eastAsia"/>
          <w:szCs w:val="21"/>
        </w:rPr>
        <w:t>根据GB/T 23586 酱卤肉制品8.1和8.2中运输和贮存要求本文件提出运输和贮存的基本要求。</w:t>
      </w:r>
    </w:p>
    <w:p w14:paraId="34C9AB27" w14:textId="77777777" w:rsidR="00B724DD" w:rsidRDefault="00A14D98">
      <w:pPr>
        <w:rPr>
          <w:rFonts w:ascii="宋体" w:hAnsi="宋体" w:cs="宋体"/>
          <w:b/>
          <w:bCs/>
          <w:szCs w:val="21"/>
        </w:rPr>
      </w:pPr>
      <w:r>
        <w:rPr>
          <w:rFonts w:ascii="宋体" w:hAnsi="宋体" w:cs="宋体" w:hint="eastAsia"/>
          <w:b/>
          <w:bCs/>
          <w:szCs w:val="21"/>
        </w:rPr>
        <w:t>10销售</w:t>
      </w:r>
    </w:p>
    <w:p w14:paraId="37B7BC1A" w14:textId="77777777" w:rsidR="00B724DD" w:rsidRDefault="00A14D98">
      <w:pPr>
        <w:ind w:firstLineChars="200" w:firstLine="420"/>
        <w:rPr>
          <w:rFonts w:ascii="宋体" w:hAnsi="宋体" w:cs="宋体"/>
          <w:szCs w:val="21"/>
        </w:rPr>
      </w:pPr>
      <w:r>
        <w:rPr>
          <w:rFonts w:ascii="宋体" w:hAnsi="宋体" w:cs="宋体" w:hint="eastAsia"/>
          <w:szCs w:val="21"/>
        </w:rPr>
        <w:t>根据GB 31621食品安全国家标准 食品经营过程卫生规范中</w:t>
      </w:r>
      <w:r w:rsidR="001B5A16">
        <w:rPr>
          <w:rFonts w:ascii="宋体" w:hAnsi="宋体" w:cs="宋体" w:hint="eastAsia"/>
          <w:szCs w:val="21"/>
        </w:rPr>
        <w:t>6.1、6.2和6.4的</w:t>
      </w:r>
      <w:r>
        <w:rPr>
          <w:rFonts w:ascii="宋体" w:hAnsi="宋体" w:cs="宋体" w:hint="eastAsia"/>
          <w:szCs w:val="21"/>
        </w:rPr>
        <w:t>规定，本文件</w:t>
      </w:r>
      <w:r w:rsidR="001B5A16">
        <w:rPr>
          <w:rFonts w:ascii="宋体" w:hAnsi="宋体" w:cs="宋体" w:hint="eastAsia"/>
          <w:szCs w:val="21"/>
        </w:rPr>
        <w:t>根据实修改符合</w:t>
      </w:r>
      <w:r>
        <w:rPr>
          <w:rFonts w:ascii="宋体" w:hAnsi="宋体" w:cs="宋体" w:hint="eastAsia"/>
          <w:szCs w:val="21"/>
        </w:rPr>
        <w:t>产品特点的销售要求。</w:t>
      </w:r>
    </w:p>
    <w:p w14:paraId="1EB80F7C" w14:textId="77777777" w:rsidR="001B5A16" w:rsidRPr="001B5A16" w:rsidRDefault="001B5A16" w:rsidP="001B5A16">
      <w:pPr>
        <w:widowControl/>
        <w:jc w:val="left"/>
        <w:outlineLvl w:val="2"/>
        <w:rPr>
          <w:rFonts w:ascii="宋体" w:hAnsi="黑体" w:cs="黑体"/>
          <w:kern w:val="0"/>
          <w:szCs w:val="21"/>
        </w:rPr>
      </w:pPr>
      <w:r w:rsidRPr="001B5A16">
        <w:rPr>
          <w:rFonts w:ascii="宋体" w:hAnsi="宋体" w:hint="eastAsia"/>
          <w:b/>
          <w:kern w:val="0"/>
          <w:szCs w:val="21"/>
        </w:rPr>
        <w:t>10.1</w:t>
      </w:r>
      <w:r w:rsidRPr="001B5A16">
        <w:rPr>
          <w:rFonts w:ascii="宋体" w:hAnsi="宋体" w:hint="eastAsia"/>
          <w:kern w:val="0"/>
          <w:szCs w:val="21"/>
        </w:rPr>
        <w:t>应具有与</w:t>
      </w:r>
      <w:r w:rsidR="008B25E3">
        <w:rPr>
          <w:rFonts w:ascii="宋体" w:hAnsi="宋体" w:hint="eastAsia"/>
          <w:kern w:val="0"/>
          <w:szCs w:val="21"/>
        </w:rPr>
        <w:t>嘉兴酱（卤）鸭</w:t>
      </w:r>
      <w:r w:rsidRPr="001B5A16">
        <w:rPr>
          <w:rFonts w:ascii="宋体" w:hAnsi="宋体" w:hint="eastAsia"/>
          <w:kern w:val="0"/>
          <w:szCs w:val="21"/>
        </w:rPr>
        <w:t>相适应的销售场所。销售场所应布局合理，防止交叉污染。</w:t>
      </w:r>
    </w:p>
    <w:p w14:paraId="1636B9F4" w14:textId="77777777" w:rsidR="001B5A16" w:rsidRPr="001B5A16" w:rsidRDefault="001B5A16" w:rsidP="001B5A16">
      <w:pPr>
        <w:widowControl/>
        <w:jc w:val="left"/>
        <w:outlineLvl w:val="2"/>
        <w:rPr>
          <w:rFonts w:ascii="宋体" w:hAnsi="黑体" w:cs="黑体"/>
          <w:kern w:val="0"/>
          <w:szCs w:val="21"/>
        </w:rPr>
      </w:pPr>
      <w:r w:rsidRPr="001B5A16">
        <w:rPr>
          <w:rFonts w:ascii="宋体" w:hAnsi="宋体" w:cs="黑体" w:hint="eastAsia"/>
          <w:b/>
          <w:kern w:val="0"/>
          <w:szCs w:val="21"/>
        </w:rPr>
        <w:t>10.2</w:t>
      </w:r>
      <w:r w:rsidRPr="001B5A16">
        <w:rPr>
          <w:rFonts w:ascii="宋体" w:hAnsi="宋体" w:cs="黑体" w:hint="eastAsia"/>
          <w:kern w:val="0"/>
          <w:szCs w:val="21"/>
        </w:rPr>
        <w:t>应具有与</w:t>
      </w:r>
      <w:r w:rsidR="008B25E3">
        <w:rPr>
          <w:rFonts w:ascii="宋体" w:hAnsi="宋体" w:hint="eastAsia"/>
          <w:kern w:val="0"/>
          <w:szCs w:val="21"/>
        </w:rPr>
        <w:t>嘉兴酱（卤）鸭</w:t>
      </w:r>
      <w:r w:rsidRPr="001B5A16">
        <w:rPr>
          <w:rFonts w:ascii="宋体" w:hAnsi="宋体" w:cs="黑体" w:hint="eastAsia"/>
          <w:kern w:val="0"/>
          <w:szCs w:val="21"/>
        </w:rPr>
        <w:t>相适应的销售设施和设备。与表面接触的设备、工具和容器，应使用安全、无毒、无异味、防吸收、耐腐蚀且可承受反复清洗和消毒的材料制作，易于清洁和保养。</w:t>
      </w:r>
    </w:p>
    <w:p w14:paraId="4C887811" w14:textId="77777777" w:rsidR="001B5A16" w:rsidRPr="001B5A16" w:rsidRDefault="001B5A16" w:rsidP="001B5A16">
      <w:pPr>
        <w:widowControl/>
        <w:jc w:val="left"/>
        <w:outlineLvl w:val="2"/>
        <w:rPr>
          <w:rFonts w:ascii="宋体" w:hAnsi="黑体" w:cs="黑体"/>
          <w:kern w:val="0"/>
          <w:szCs w:val="21"/>
        </w:rPr>
      </w:pPr>
      <w:r w:rsidRPr="001B5A16">
        <w:rPr>
          <w:rFonts w:ascii="宋体" w:hAnsi="宋体" w:cs="黑体" w:hint="eastAsia"/>
          <w:b/>
          <w:kern w:val="0"/>
          <w:szCs w:val="21"/>
        </w:rPr>
        <w:t>10.3</w:t>
      </w:r>
      <w:r w:rsidRPr="001B5A16">
        <w:rPr>
          <w:rFonts w:ascii="宋体" w:hAnsi="宋体" w:cs="黑体" w:hint="eastAsia"/>
          <w:kern w:val="0"/>
          <w:szCs w:val="21"/>
        </w:rPr>
        <w:t>销售有温度控制要求的</w:t>
      </w:r>
      <w:r w:rsidR="008B25E3">
        <w:rPr>
          <w:rFonts w:ascii="宋体" w:hAnsi="宋体" w:hint="eastAsia"/>
          <w:kern w:val="0"/>
          <w:szCs w:val="21"/>
        </w:rPr>
        <w:t>嘉兴酱（卤）鸭</w:t>
      </w:r>
      <w:r w:rsidRPr="001B5A16">
        <w:rPr>
          <w:rFonts w:ascii="宋体" w:hAnsi="宋体" w:cs="黑体" w:hint="eastAsia"/>
          <w:kern w:val="0"/>
          <w:szCs w:val="21"/>
        </w:rPr>
        <w:t>，应配备相应的冷藏设备，并保持正常运转。</w:t>
      </w:r>
    </w:p>
    <w:p w14:paraId="2A730762" w14:textId="77777777" w:rsidR="00B724DD" w:rsidRDefault="00A14D98">
      <w:pPr>
        <w:rPr>
          <w:rFonts w:ascii="宋体" w:hAnsi="宋体" w:cs="宋体"/>
          <w:b/>
          <w:bCs/>
          <w:szCs w:val="21"/>
        </w:rPr>
      </w:pPr>
      <w:r>
        <w:rPr>
          <w:rFonts w:ascii="宋体" w:hAnsi="宋体" w:cs="宋体" w:hint="eastAsia"/>
          <w:b/>
          <w:bCs/>
          <w:szCs w:val="21"/>
        </w:rPr>
        <w:t>11召回</w:t>
      </w:r>
    </w:p>
    <w:p w14:paraId="19EF00F6" w14:textId="77777777" w:rsidR="00B724DD" w:rsidRDefault="00A14D98">
      <w:pPr>
        <w:pStyle w:val="ac"/>
        <w:spacing w:before="0" w:beforeAutospacing="0" w:after="0" w:afterAutospacing="0"/>
        <w:ind w:firstLineChars="200" w:firstLine="420"/>
        <w:rPr>
          <w:kern w:val="2"/>
          <w:sz w:val="21"/>
          <w:szCs w:val="21"/>
        </w:rPr>
      </w:pPr>
      <w:r>
        <w:rPr>
          <w:rFonts w:hint="eastAsia"/>
          <w:kern w:val="2"/>
          <w:sz w:val="21"/>
          <w:szCs w:val="21"/>
        </w:rPr>
        <w:t>根据《中华人民共和国食品安全法》(2018修正)第六十三条相关内容规定：食品生产者发现其生产的食品不符合食品安全标准或者有证据证明可能危害人体健康的，应当立即停止生产，召回已经上市销售的食品，通知相关生产经营者和消费者，并记录召回和通知情况。</w:t>
      </w:r>
    </w:p>
    <w:p w14:paraId="0104A65A" w14:textId="77777777" w:rsidR="00B724DD" w:rsidRDefault="00A14D98">
      <w:pPr>
        <w:pStyle w:val="ac"/>
        <w:spacing w:before="0" w:beforeAutospacing="0" w:after="0" w:afterAutospacing="0"/>
        <w:ind w:firstLineChars="200" w:firstLine="420"/>
        <w:rPr>
          <w:kern w:val="2"/>
          <w:sz w:val="21"/>
          <w:szCs w:val="21"/>
        </w:rPr>
      </w:pPr>
      <w:r>
        <w:rPr>
          <w:rFonts w:hint="eastAsia"/>
          <w:kern w:val="2"/>
          <w:sz w:val="21"/>
          <w:szCs w:val="21"/>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14:paraId="2A6E7B07" w14:textId="77777777" w:rsidR="00B724DD" w:rsidRDefault="00A14D98">
      <w:pPr>
        <w:pStyle w:val="afb"/>
        <w:ind w:firstLineChars="200" w:firstLine="420"/>
        <w:rPr>
          <w:rFonts w:hAnsi="宋体" w:cs="宋体"/>
        </w:rPr>
      </w:pPr>
      <w:r>
        <w:rPr>
          <w:rFonts w:hAnsi="宋体" w:cs="宋体" w:hint="eastAsia"/>
        </w:rPr>
        <w:lastRenderedPageBreak/>
        <w:t>本文件根据实际情况修改后提出召回的基本要求：</w:t>
      </w:r>
    </w:p>
    <w:p w14:paraId="6B727516" w14:textId="77777777" w:rsidR="00B724DD" w:rsidRDefault="00A14D98">
      <w:pPr>
        <w:pStyle w:val="afb"/>
      </w:pPr>
      <w:r>
        <w:rPr>
          <w:rFonts w:hAnsi="宋体" w:cs="宋体" w:hint="eastAsia"/>
          <w:b/>
          <w:bCs/>
        </w:rPr>
        <w:t>11.1</w:t>
      </w:r>
      <w:r>
        <w:t>发现其生产的</w:t>
      </w:r>
      <w:r w:rsidR="008B25E3">
        <w:rPr>
          <w:rFonts w:hAnsi="宋体" w:hint="eastAsia"/>
        </w:rPr>
        <w:t>嘉兴酱（卤）鸭</w:t>
      </w:r>
      <w:r>
        <w:t>不符合食品安全标准或者有证据证明可能危害人体健康的，应立即停止生产</w:t>
      </w:r>
      <w:r>
        <w:rPr>
          <w:rFonts w:hint="eastAsia"/>
        </w:rPr>
        <w:t>，</w:t>
      </w:r>
      <w:r>
        <w:t>召回已经上市销售的食品，通知相关生产经营者和消费者，并记录召回和通知情况。</w:t>
      </w:r>
    </w:p>
    <w:p w14:paraId="2102C584" w14:textId="77777777" w:rsidR="00B724DD" w:rsidRDefault="00A14D98">
      <w:pPr>
        <w:pStyle w:val="afb"/>
        <w:rPr>
          <w:rFonts w:ascii="仿宋" w:eastAsia="仿宋" w:hAnsi="仿宋"/>
          <w:sz w:val="28"/>
          <w:szCs w:val="28"/>
        </w:rPr>
      </w:pPr>
      <w:r>
        <w:rPr>
          <w:rFonts w:hint="eastAsia"/>
          <w:b/>
          <w:bCs/>
        </w:rPr>
        <w:t>11.2</w:t>
      </w:r>
      <w:r>
        <w:rPr>
          <w:rFonts w:hint="eastAsia"/>
        </w:rPr>
        <w:t>应将</w:t>
      </w:r>
      <w:r w:rsidR="008B25E3">
        <w:rPr>
          <w:rFonts w:hAnsi="宋体" w:hint="eastAsia"/>
        </w:rPr>
        <w:t>嘉兴酱（卤）鸭</w:t>
      </w:r>
      <w:r>
        <w:rPr>
          <w:rFonts w:hint="eastAsia"/>
        </w:rPr>
        <w:t>召回和处理情况向所在地县级市场监督管理部门报告；需要对召回的</w:t>
      </w:r>
      <w:r w:rsidR="008B25E3">
        <w:rPr>
          <w:rFonts w:hAnsi="宋体" w:hint="eastAsia"/>
        </w:rPr>
        <w:t>嘉兴酱（卤）鸭</w:t>
      </w:r>
      <w:r>
        <w:rPr>
          <w:rFonts w:hint="eastAsia"/>
        </w:rPr>
        <w:t>进行无害化处理、销毁的，应提前报告时间、地点。县级市场监督管理部门认为必要的，企业应配合其实施现场监督。</w:t>
      </w:r>
    </w:p>
    <w:p w14:paraId="02602635" w14:textId="77777777" w:rsidR="00B724DD" w:rsidRDefault="00B724DD">
      <w:pPr>
        <w:pStyle w:val="afb"/>
        <w:ind w:firstLineChars="200" w:firstLine="420"/>
        <w:rPr>
          <w:color w:val="000000"/>
        </w:rPr>
      </w:pPr>
    </w:p>
    <w:p w14:paraId="3DA67D25" w14:textId="77777777" w:rsidR="00B724DD" w:rsidRDefault="00B724DD">
      <w:pPr>
        <w:pStyle w:val="afb"/>
        <w:ind w:firstLineChars="200" w:firstLine="420"/>
        <w:rPr>
          <w:rFonts w:hAnsi="宋体" w:cs="宋体"/>
          <w:lang w:val="zh-TW" w:eastAsia="zh-TW" w:bidi="zh-TW"/>
        </w:rPr>
      </w:pPr>
    </w:p>
    <w:p w14:paraId="371BCFA2" w14:textId="77777777" w:rsidR="00B724DD" w:rsidRDefault="00B724DD">
      <w:pPr>
        <w:ind w:firstLineChars="2800" w:firstLine="5880"/>
        <w:rPr>
          <w:rFonts w:ascii="宋体" w:hAnsi="宋体" w:cs="宋体"/>
          <w:szCs w:val="21"/>
        </w:rPr>
      </w:pPr>
    </w:p>
    <w:p w14:paraId="40F94681" w14:textId="77777777" w:rsidR="00B724DD" w:rsidRDefault="00B724DD">
      <w:pPr>
        <w:ind w:firstLineChars="2800" w:firstLine="5880"/>
        <w:rPr>
          <w:rFonts w:ascii="宋体" w:hAnsi="宋体" w:cs="宋体"/>
          <w:szCs w:val="21"/>
        </w:rPr>
      </w:pPr>
    </w:p>
    <w:p w14:paraId="361295BC" w14:textId="77777777" w:rsidR="00B724DD" w:rsidRDefault="00B724DD">
      <w:pPr>
        <w:ind w:firstLineChars="2800" w:firstLine="5880"/>
        <w:rPr>
          <w:rFonts w:ascii="宋体" w:hAnsi="宋体" w:cs="宋体"/>
          <w:szCs w:val="21"/>
        </w:rPr>
      </w:pPr>
    </w:p>
    <w:p w14:paraId="02072318" w14:textId="77777777" w:rsidR="00B724DD" w:rsidRDefault="00B724DD">
      <w:pPr>
        <w:ind w:firstLineChars="2800" w:firstLine="5880"/>
        <w:rPr>
          <w:rFonts w:ascii="宋体" w:hAnsi="宋体" w:cs="宋体"/>
          <w:szCs w:val="21"/>
        </w:rPr>
      </w:pPr>
    </w:p>
    <w:p w14:paraId="66DA025E" w14:textId="77777777" w:rsidR="00B724DD" w:rsidRDefault="00B724DD">
      <w:pPr>
        <w:ind w:firstLineChars="2800" w:firstLine="5880"/>
        <w:rPr>
          <w:rFonts w:ascii="宋体" w:hAnsi="宋体" w:cs="宋体"/>
          <w:szCs w:val="21"/>
        </w:rPr>
      </w:pPr>
    </w:p>
    <w:p w14:paraId="5499C843" w14:textId="77777777" w:rsidR="00B724DD" w:rsidRDefault="00B724DD">
      <w:pPr>
        <w:ind w:firstLineChars="2800" w:firstLine="5880"/>
        <w:rPr>
          <w:rFonts w:ascii="宋体" w:hAnsi="宋体" w:cs="宋体"/>
          <w:szCs w:val="21"/>
        </w:rPr>
      </w:pPr>
    </w:p>
    <w:p w14:paraId="2AA48357" w14:textId="77777777" w:rsidR="00B724DD" w:rsidRDefault="00B724DD">
      <w:pPr>
        <w:ind w:firstLineChars="2800" w:firstLine="5880"/>
        <w:rPr>
          <w:rFonts w:ascii="宋体" w:hAnsi="宋体" w:cs="宋体"/>
          <w:szCs w:val="21"/>
        </w:rPr>
      </w:pPr>
    </w:p>
    <w:p w14:paraId="044F61A6" w14:textId="77777777" w:rsidR="00B724DD" w:rsidRDefault="00B724DD">
      <w:pPr>
        <w:ind w:firstLineChars="2800" w:firstLine="5880"/>
        <w:rPr>
          <w:rFonts w:ascii="宋体" w:hAnsi="宋体" w:cs="宋体"/>
          <w:szCs w:val="21"/>
        </w:rPr>
      </w:pPr>
    </w:p>
    <w:sectPr w:rsidR="00B724DD">
      <w:footerReference w:type="default" r:id="rId9"/>
      <w:pgSz w:w="11906" w:h="16838"/>
      <w:pgMar w:top="1247" w:right="1418" w:bottom="1247" w:left="158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37476" w14:textId="77777777" w:rsidR="00535AB7" w:rsidRDefault="00535AB7">
      <w:r>
        <w:separator/>
      </w:r>
    </w:p>
  </w:endnote>
  <w:endnote w:type="continuationSeparator" w:id="0">
    <w:p w14:paraId="30E3165A" w14:textId="77777777" w:rsidR="00535AB7" w:rsidRDefault="0053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044B" w14:textId="77777777" w:rsidR="00B724DD" w:rsidRDefault="00A14D98">
    <w:pPr>
      <w:pStyle w:val="a8"/>
      <w:jc w:val="center"/>
    </w:pPr>
    <w:r>
      <w:fldChar w:fldCharType="begin"/>
    </w:r>
    <w:r>
      <w:instrText>PAGE   \* MERGEFORMAT</w:instrText>
    </w:r>
    <w:r>
      <w:fldChar w:fldCharType="separate"/>
    </w:r>
    <w:r w:rsidR="00E16739" w:rsidRPr="00E16739">
      <w:rPr>
        <w:noProof/>
        <w:lang w:val="zh-CN"/>
      </w:rPr>
      <w:t>8</w:t>
    </w:r>
    <w:r>
      <w:fldChar w:fldCharType="end"/>
    </w:r>
  </w:p>
  <w:p w14:paraId="2E5476B5" w14:textId="77777777" w:rsidR="00B724DD" w:rsidRDefault="00B724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71E8" w14:textId="77777777" w:rsidR="00535AB7" w:rsidRDefault="00535AB7">
      <w:r>
        <w:separator/>
      </w:r>
    </w:p>
  </w:footnote>
  <w:footnote w:type="continuationSeparator" w:id="0">
    <w:p w14:paraId="7E0D52AE" w14:textId="77777777" w:rsidR="00535AB7" w:rsidRDefault="0053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0D3558"/>
    <w:multiLevelType w:val="singleLevel"/>
    <w:tmpl w:val="F20D3558"/>
    <w:lvl w:ilvl="0">
      <w:start w:val="2"/>
      <w:numFmt w:val="decimal"/>
      <w:suff w:val="nothing"/>
      <w:lvlText w:val="%1、"/>
      <w:lvlJc w:val="left"/>
    </w:lvl>
  </w:abstractNum>
  <w:abstractNum w:abstractNumId="1"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5C271872"/>
    <w:multiLevelType w:val="multilevel"/>
    <w:tmpl w:val="F2B4AAFE"/>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color w:val="00000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5298"/>
    <w:rsid w:val="00017599"/>
    <w:rsid w:val="00020497"/>
    <w:rsid w:val="00022DBA"/>
    <w:rsid w:val="00023044"/>
    <w:rsid w:val="000309D8"/>
    <w:rsid w:val="00030DE9"/>
    <w:rsid w:val="00030F22"/>
    <w:rsid w:val="0003389F"/>
    <w:rsid w:val="00036509"/>
    <w:rsid w:val="00040F29"/>
    <w:rsid w:val="000417B2"/>
    <w:rsid w:val="000423FF"/>
    <w:rsid w:val="00042593"/>
    <w:rsid w:val="0004287D"/>
    <w:rsid w:val="0004386C"/>
    <w:rsid w:val="00044B77"/>
    <w:rsid w:val="00052CFE"/>
    <w:rsid w:val="000538FB"/>
    <w:rsid w:val="0005393B"/>
    <w:rsid w:val="00054516"/>
    <w:rsid w:val="000553BB"/>
    <w:rsid w:val="0005601D"/>
    <w:rsid w:val="0005769C"/>
    <w:rsid w:val="00057E1B"/>
    <w:rsid w:val="00061212"/>
    <w:rsid w:val="00066342"/>
    <w:rsid w:val="000707F6"/>
    <w:rsid w:val="000714A8"/>
    <w:rsid w:val="0007269F"/>
    <w:rsid w:val="00074B87"/>
    <w:rsid w:val="000778B0"/>
    <w:rsid w:val="00080ED7"/>
    <w:rsid w:val="000817B8"/>
    <w:rsid w:val="0008478F"/>
    <w:rsid w:val="000847A9"/>
    <w:rsid w:val="00085A6B"/>
    <w:rsid w:val="000861F6"/>
    <w:rsid w:val="00087B08"/>
    <w:rsid w:val="00091A58"/>
    <w:rsid w:val="00091C78"/>
    <w:rsid w:val="00093E7B"/>
    <w:rsid w:val="00095AC0"/>
    <w:rsid w:val="00096257"/>
    <w:rsid w:val="00096EB4"/>
    <w:rsid w:val="00096F40"/>
    <w:rsid w:val="00097C9D"/>
    <w:rsid w:val="000A1135"/>
    <w:rsid w:val="000A294C"/>
    <w:rsid w:val="000A3943"/>
    <w:rsid w:val="000A42B5"/>
    <w:rsid w:val="000A6981"/>
    <w:rsid w:val="000A73AD"/>
    <w:rsid w:val="000A7D3C"/>
    <w:rsid w:val="000B0A5A"/>
    <w:rsid w:val="000B1A3A"/>
    <w:rsid w:val="000B1C26"/>
    <w:rsid w:val="000B2EFD"/>
    <w:rsid w:val="000B37D7"/>
    <w:rsid w:val="000B4D37"/>
    <w:rsid w:val="000B5F05"/>
    <w:rsid w:val="000B648F"/>
    <w:rsid w:val="000B7F70"/>
    <w:rsid w:val="000C1724"/>
    <w:rsid w:val="000C2DE0"/>
    <w:rsid w:val="000C3E65"/>
    <w:rsid w:val="000C4075"/>
    <w:rsid w:val="000C41D1"/>
    <w:rsid w:val="000C4F63"/>
    <w:rsid w:val="000C6780"/>
    <w:rsid w:val="000C68C0"/>
    <w:rsid w:val="000C74C5"/>
    <w:rsid w:val="000D233B"/>
    <w:rsid w:val="000D2D75"/>
    <w:rsid w:val="000D4F53"/>
    <w:rsid w:val="000D66A9"/>
    <w:rsid w:val="000D6F63"/>
    <w:rsid w:val="000D7A11"/>
    <w:rsid w:val="000D7CDE"/>
    <w:rsid w:val="000E037A"/>
    <w:rsid w:val="000E1D1F"/>
    <w:rsid w:val="000E2FE4"/>
    <w:rsid w:val="000E34AE"/>
    <w:rsid w:val="000E3F0C"/>
    <w:rsid w:val="000E50D4"/>
    <w:rsid w:val="000E68F9"/>
    <w:rsid w:val="000F0CC3"/>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1185"/>
    <w:rsid w:val="00112C3B"/>
    <w:rsid w:val="00113120"/>
    <w:rsid w:val="00116F99"/>
    <w:rsid w:val="0011714A"/>
    <w:rsid w:val="00120833"/>
    <w:rsid w:val="001213F6"/>
    <w:rsid w:val="00122A5D"/>
    <w:rsid w:val="00123A36"/>
    <w:rsid w:val="00127BF9"/>
    <w:rsid w:val="001314A5"/>
    <w:rsid w:val="00131695"/>
    <w:rsid w:val="0013295D"/>
    <w:rsid w:val="00133963"/>
    <w:rsid w:val="00136DFD"/>
    <w:rsid w:val="001377DB"/>
    <w:rsid w:val="00144A82"/>
    <w:rsid w:val="00145F4C"/>
    <w:rsid w:val="0015032E"/>
    <w:rsid w:val="00153082"/>
    <w:rsid w:val="00153115"/>
    <w:rsid w:val="00153A46"/>
    <w:rsid w:val="0015483C"/>
    <w:rsid w:val="00154E4A"/>
    <w:rsid w:val="001552C0"/>
    <w:rsid w:val="0016203B"/>
    <w:rsid w:val="00163090"/>
    <w:rsid w:val="001633A7"/>
    <w:rsid w:val="00167475"/>
    <w:rsid w:val="00170B42"/>
    <w:rsid w:val="00170B8C"/>
    <w:rsid w:val="00170BD7"/>
    <w:rsid w:val="0017398A"/>
    <w:rsid w:val="00174A79"/>
    <w:rsid w:val="00177A20"/>
    <w:rsid w:val="00177EBE"/>
    <w:rsid w:val="00182BE4"/>
    <w:rsid w:val="00182F8D"/>
    <w:rsid w:val="00183840"/>
    <w:rsid w:val="00183985"/>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67D1"/>
    <w:rsid w:val="001A694C"/>
    <w:rsid w:val="001A7425"/>
    <w:rsid w:val="001B004B"/>
    <w:rsid w:val="001B14E7"/>
    <w:rsid w:val="001B2D9B"/>
    <w:rsid w:val="001B348D"/>
    <w:rsid w:val="001B396A"/>
    <w:rsid w:val="001B5A16"/>
    <w:rsid w:val="001B6DB2"/>
    <w:rsid w:val="001C0D9F"/>
    <w:rsid w:val="001C2D47"/>
    <w:rsid w:val="001C42BD"/>
    <w:rsid w:val="001C4EAE"/>
    <w:rsid w:val="001C4FE5"/>
    <w:rsid w:val="001C5415"/>
    <w:rsid w:val="001C56BB"/>
    <w:rsid w:val="001C6F19"/>
    <w:rsid w:val="001D4689"/>
    <w:rsid w:val="001D5ABC"/>
    <w:rsid w:val="001E1F52"/>
    <w:rsid w:val="001E3DA8"/>
    <w:rsid w:val="001E417C"/>
    <w:rsid w:val="001E7563"/>
    <w:rsid w:val="001F096F"/>
    <w:rsid w:val="001F587D"/>
    <w:rsid w:val="002000EF"/>
    <w:rsid w:val="00202B2A"/>
    <w:rsid w:val="00203D35"/>
    <w:rsid w:val="002069DA"/>
    <w:rsid w:val="00206AD1"/>
    <w:rsid w:val="00211311"/>
    <w:rsid w:val="002119B5"/>
    <w:rsid w:val="00213AD3"/>
    <w:rsid w:val="002142AA"/>
    <w:rsid w:val="002143A9"/>
    <w:rsid w:val="00215D61"/>
    <w:rsid w:val="002179A7"/>
    <w:rsid w:val="00220237"/>
    <w:rsid w:val="00220FFF"/>
    <w:rsid w:val="00221EBE"/>
    <w:rsid w:val="002242CF"/>
    <w:rsid w:val="00227168"/>
    <w:rsid w:val="00230A62"/>
    <w:rsid w:val="00230ABA"/>
    <w:rsid w:val="00232B82"/>
    <w:rsid w:val="00234640"/>
    <w:rsid w:val="0023683A"/>
    <w:rsid w:val="00237588"/>
    <w:rsid w:val="00237C2B"/>
    <w:rsid w:val="00237D60"/>
    <w:rsid w:val="00240CAE"/>
    <w:rsid w:val="00241C18"/>
    <w:rsid w:val="0024381D"/>
    <w:rsid w:val="00246074"/>
    <w:rsid w:val="00246398"/>
    <w:rsid w:val="00250231"/>
    <w:rsid w:val="002507A8"/>
    <w:rsid w:val="00250DB1"/>
    <w:rsid w:val="0025165F"/>
    <w:rsid w:val="00253953"/>
    <w:rsid w:val="00255CA3"/>
    <w:rsid w:val="002571B7"/>
    <w:rsid w:val="002573FD"/>
    <w:rsid w:val="00257449"/>
    <w:rsid w:val="002600E6"/>
    <w:rsid w:val="00260C2C"/>
    <w:rsid w:val="002614FD"/>
    <w:rsid w:val="00263E89"/>
    <w:rsid w:val="00264D6F"/>
    <w:rsid w:val="00266304"/>
    <w:rsid w:val="00266621"/>
    <w:rsid w:val="00266635"/>
    <w:rsid w:val="00270B27"/>
    <w:rsid w:val="00272CE9"/>
    <w:rsid w:val="00272E0B"/>
    <w:rsid w:val="00273303"/>
    <w:rsid w:val="002749F5"/>
    <w:rsid w:val="00274DE5"/>
    <w:rsid w:val="00275F44"/>
    <w:rsid w:val="0027646D"/>
    <w:rsid w:val="002765B7"/>
    <w:rsid w:val="00276B28"/>
    <w:rsid w:val="00277DA9"/>
    <w:rsid w:val="00281D7D"/>
    <w:rsid w:val="00282B0A"/>
    <w:rsid w:val="002839DF"/>
    <w:rsid w:val="00284E6C"/>
    <w:rsid w:val="00285DC4"/>
    <w:rsid w:val="002871B4"/>
    <w:rsid w:val="002875CA"/>
    <w:rsid w:val="0029037F"/>
    <w:rsid w:val="002920E0"/>
    <w:rsid w:val="002932BE"/>
    <w:rsid w:val="00293668"/>
    <w:rsid w:val="00295EF1"/>
    <w:rsid w:val="002970A8"/>
    <w:rsid w:val="002A03B1"/>
    <w:rsid w:val="002A0572"/>
    <w:rsid w:val="002A0DFF"/>
    <w:rsid w:val="002A10F5"/>
    <w:rsid w:val="002A1989"/>
    <w:rsid w:val="002A19DE"/>
    <w:rsid w:val="002A21E5"/>
    <w:rsid w:val="002A5C42"/>
    <w:rsid w:val="002A6B14"/>
    <w:rsid w:val="002B06D5"/>
    <w:rsid w:val="002B0723"/>
    <w:rsid w:val="002B14A9"/>
    <w:rsid w:val="002B3A96"/>
    <w:rsid w:val="002B3C90"/>
    <w:rsid w:val="002B4AD9"/>
    <w:rsid w:val="002B4D39"/>
    <w:rsid w:val="002B70E1"/>
    <w:rsid w:val="002B733D"/>
    <w:rsid w:val="002C0BAA"/>
    <w:rsid w:val="002C19C1"/>
    <w:rsid w:val="002C2232"/>
    <w:rsid w:val="002C3B5E"/>
    <w:rsid w:val="002C5DAF"/>
    <w:rsid w:val="002C6312"/>
    <w:rsid w:val="002D1943"/>
    <w:rsid w:val="002D1C51"/>
    <w:rsid w:val="002D1F8C"/>
    <w:rsid w:val="002D6D01"/>
    <w:rsid w:val="002D6D3D"/>
    <w:rsid w:val="002E1253"/>
    <w:rsid w:val="002E266A"/>
    <w:rsid w:val="002E38BF"/>
    <w:rsid w:val="002E4BAD"/>
    <w:rsid w:val="002E6A47"/>
    <w:rsid w:val="002E7E64"/>
    <w:rsid w:val="002F054A"/>
    <w:rsid w:val="002F10AA"/>
    <w:rsid w:val="002F1533"/>
    <w:rsid w:val="002F1832"/>
    <w:rsid w:val="002F3234"/>
    <w:rsid w:val="002F4477"/>
    <w:rsid w:val="002F67D1"/>
    <w:rsid w:val="002F7B4E"/>
    <w:rsid w:val="00301BA4"/>
    <w:rsid w:val="003029D0"/>
    <w:rsid w:val="00303D1E"/>
    <w:rsid w:val="00304AE4"/>
    <w:rsid w:val="003062F7"/>
    <w:rsid w:val="00306382"/>
    <w:rsid w:val="00306F2D"/>
    <w:rsid w:val="0031142B"/>
    <w:rsid w:val="00312720"/>
    <w:rsid w:val="00312969"/>
    <w:rsid w:val="00316EDA"/>
    <w:rsid w:val="00316F38"/>
    <w:rsid w:val="0031706C"/>
    <w:rsid w:val="00321025"/>
    <w:rsid w:val="003215FD"/>
    <w:rsid w:val="003248A7"/>
    <w:rsid w:val="00324BF7"/>
    <w:rsid w:val="00325920"/>
    <w:rsid w:val="003261C8"/>
    <w:rsid w:val="003279B8"/>
    <w:rsid w:val="00332188"/>
    <w:rsid w:val="00332E79"/>
    <w:rsid w:val="00333B7C"/>
    <w:rsid w:val="00336ED9"/>
    <w:rsid w:val="00340AEA"/>
    <w:rsid w:val="00341060"/>
    <w:rsid w:val="00341CBC"/>
    <w:rsid w:val="0034244E"/>
    <w:rsid w:val="003445BA"/>
    <w:rsid w:val="00344FF4"/>
    <w:rsid w:val="0034507B"/>
    <w:rsid w:val="00345FB6"/>
    <w:rsid w:val="00350105"/>
    <w:rsid w:val="00353DE7"/>
    <w:rsid w:val="003544AD"/>
    <w:rsid w:val="0035487E"/>
    <w:rsid w:val="00354BD9"/>
    <w:rsid w:val="003565D2"/>
    <w:rsid w:val="00360056"/>
    <w:rsid w:val="00361F38"/>
    <w:rsid w:val="003645FB"/>
    <w:rsid w:val="00365309"/>
    <w:rsid w:val="003668EA"/>
    <w:rsid w:val="00370E72"/>
    <w:rsid w:val="0037189E"/>
    <w:rsid w:val="003725DC"/>
    <w:rsid w:val="00373ADB"/>
    <w:rsid w:val="00374714"/>
    <w:rsid w:val="00375546"/>
    <w:rsid w:val="003762B3"/>
    <w:rsid w:val="00376B87"/>
    <w:rsid w:val="00376EF7"/>
    <w:rsid w:val="00380BD9"/>
    <w:rsid w:val="00381845"/>
    <w:rsid w:val="00381B0F"/>
    <w:rsid w:val="00382D16"/>
    <w:rsid w:val="00382F0F"/>
    <w:rsid w:val="00384B8C"/>
    <w:rsid w:val="0038570E"/>
    <w:rsid w:val="00391D3B"/>
    <w:rsid w:val="00392103"/>
    <w:rsid w:val="00394476"/>
    <w:rsid w:val="0039459D"/>
    <w:rsid w:val="003945B2"/>
    <w:rsid w:val="0039476C"/>
    <w:rsid w:val="00394C4C"/>
    <w:rsid w:val="0039648B"/>
    <w:rsid w:val="003979B0"/>
    <w:rsid w:val="00397EA1"/>
    <w:rsid w:val="003A2C1B"/>
    <w:rsid w:val="003A2CF5"/>
    <w:rsid w:val="003A341B"/>
    <w:rsid w:val="003A43E0"/>
    <w:rsid w:val="003A46D6"/>
    <w:rsid w:val="003A7174"/>
    <w:rsid w:val="003B1641"/>
    <w:rsid w:val="003B1A9F"/>
    <w:rsid w:val="003B61D2"/>
    <w:rsid w:val="003B68C1"/>
    <w:rsid w:val="003B7B1F"/>
    <w:rsid w:val="003C1412"/>
    <w:rsid w:val="003C1EF5"/>
    <w:rsid w:val="003C38DC"/>
    <w:rsid w:val="003C3C9A"/>
    <w:rsid w:val="003C4ED0"/>
    <w:rsid w:val="003C5123"/>
    <w:rsid w:val="003D1055"/>
    <w:rsid w:val="003D20F1"/>
    <w:rsid w:val="003D243F"/>
    <w:rsid w:val="003D3250"/>
    <w:rsid w:val="003D449D"/>
    <w:rsid w:val="003D49F8"/>
    <w:rsid w:val="003D55B2"/>
    <w:rsid w:val="003E02F5"/>
    <w:rsid w:val="003E0FB5"/>
    <w:rsid w:val="003E2F07"/>
    <w:rsid w:val="003E31CB"/>
    <w:rsid w:val="003E4DFA"/>
    <w:rsid w:val="003E5876"/>
    <w:rsid w:val="003E66C5"/>
    <w:rsid w:val="003F0594"/>
    <w:rsid w:val="003F0890"/>
    <w:rsid w:val="003F1686"/>
    <w:rsid w:val="003F1E37"/>
    <w:rsid w:val="003F690E"/>
    <w:rsid w:val="003F72A3"/>
    <w:rsid w:val="00402355"/>
    <w:rsid w:val="004029B4"/>
    <w:rsid w:val="00403BD2"/>
    <w:rsid w:val="00403CA8"/>
    <w:rsid w:val="00404D95"/>
    <w:rsid w:val="00405763"/>
    <w:rsid w:val="0040584C"/>
    <w:rsid w:val="0040587C"/>
    <w:rsid w:val="00406D1D"/>
    <w:rsid w:val="004079FE"/>
    <w:rsid w:val="00416D76"/>
    <w:rsid w:val="00420A46"/>
    <w:rsid w:val="0042269F"/>
    <w:rsid w:val="00423F44"/>
    <w:rsid w:val="004240EF"/>
    <w:rsid w:val="004257D4"/>
    <w:rsid w:val="0043089F"/>
    <w:rsid w:val="00431277"/>
    <w:rsid w:val="00431457"/>
    <w:rsid w:val="00431DE3"/>
    <w:rsid w:val="00434B86"/>
    <w:rsid w:val="004364C3"/>
    <w:rsid w:val="00436754"/>
    <w:rsid w:val="00440F23"/>
    <w:rsid w:val="0044150D"/>
    <w:rsid w:val="004425AD"/>
    <w:rsid w:val="004477CE"/>
    <w:rsid w:val="004502B1"/>
    <w:rsid w:val="00450873"/>
    <w:rsid w:val="00451811"/>
    <w:rsid w:val="00451D71"/>
    <w:rsid w:val="00451F6C"/>
    <w:rsid w:val="004520EB"/>
    <w:rsid w:val="00452220"/>
    <w:rsid w:val="00452AC4"/>
    <w:rsid w:val="00452EF9"/>
    <w:rsid w:val="00454481"/>
    <w:rsid w:val="00455A9B"/>
    <w:rsid w:val="0046179E"/>
    <w:rsid w:val="00466AC6"/>
    <w:rsid w:val="00466FEB"/>
    <w:rsid w:val="0046787E"/>
    <w:rsid w:val="00472E2C"/>
    <w:rsid w:val="004733BE"/>
    <w:rsid w:val="0047396C"/>
    <w:rsid w:val="00473C35"/>
    <w:rsid w:val="00474E8C"/>
    <w:rsid w:val="004755FC"/>
    <w:rsid w:val="00477197"/>
    <w:rsid w:val="00477869"/>
    <w:rsid w:val="00477D55"/>
    <w:rsid w:val="00481203"/>
    <w:rsid w:val="00481488"/>
    <w:rsid w:val="0048663E"/>
    <w:rsid w:val="0049054A"/>
    <w:rsid w:val="004925A6"/>
    <w:rsid w:val="0049313B"/>
    <w:rsid w:val="00494110"/>
    <w:rsid w:val="00494DA6"/>
    <w:rsid w:val="004A0BA7"/>
    <w:rsid w:val="004A13DE"/>
    <w:rsid w:val="004A1953"/>
    <w:rsid w:val="004A4E94"/>
    <w:rsid w:val="004A728C"/>
    <w:rsid w:val="004B15E9"/>
    <w:rsid w:val="004B1B1A"/>
    <w:rsid w:val="004B27A6"/>
    <w:rsid w:val="004B3B3E"/>
    <w:rsid w:val="004B44BA"/>
    <w:rsid w:val="004B6139"/>
    <w:rsid w:val="004C3CC2"/>
    <w:rsid w:val="004C3D62"/>
    <w:rsid w:val="004C6B23"/>
    <w:rsid w:val="004C6D2E"/>
    <w:rsid w:val="004D0859"/>
    <w:rsid w:val="004D0F3D"/>
    <w:rsid w:val="004D3BB2"/>
    <w:rsid w:val="004D5E89"/>
    <w:rsid w:val="004E03C3"/>
    <w:rsid w:val="004E0C9A"/>
    <w:rsid w:val="004E386C"/>
    <w:rsid w:val="004E4C42"/>
    <w:rsid w:val="004E5685"/>
    <w:rsid w:val="004E59AD"/>
    <w:rsid w:val="004E7090"/>
    <w:rsid w:val="004F1C39"/>
    <w:rsid w:val="004F2569"/>
    <w:rsid w:val="004F2701"/>
    <w:rsid w:val="004F4815"/>
    <w:rsid w:val="004F7CA8"/>
    <w:rsid w:val="00500012"/>
    <w:rsid w:val="0050004D"/>
    <w:rsid w:val="00501593"/>
    <w:rsid w:val="00503405"/>
    <w:rsid w:val="0050787E"/>
    <w:rsid w:val="00507EE3"/>
    <w:rsid w:val="00510637"/>
    <w:rsid w:val="00510F6C"/>
    <w:rsid w:val="00511DC3"/>
    <w:rsid w:val="0051526A"/>
    <w:rsid w:val="00517054"/>
    <w:rsid w:val="00521A3E"/>
    <w:rsid w:val="005250C5"/>
    <w:rsid w:val="00527238"/>
    <w:rsid w:val="0052749E"/>
    <w:rsid w:val="00527F3F"/>
    <w:rsid w:val="00530FD8"/>
    <w:rsid w:val="005313EF"/>
    <w:rsid w:val="005346D2"/>
    <w:rsid w:val="00535AB7"/>
    <w:rsid w:val="005366F3"/>
    <w:rsid w:val="005373F8"/>
    <w:rsid w:val="0054258F"/>
    <w:rsid w:val="00543163"/>
    <w:rsid w:val="00543715"/>
    <w:rsid w:val="00544CE7"/>
    <w:rsid w:val="0054764D"/>
    <w:rsid w:val="00550CCC"/>
    <w:rsid w:val="00550D26"/>
    <w:rsid w:val="00553EB4"/>
    <w:rsid w:val="00555032"/>
    <w:rsid w:val="00555506"/>
    <w:rsid w:val="00561F1A"/>
    <w:rsid w:val="00562D8D"/>
    <w:rsid w:val="00563930"/>
    <w:rsid w:val="00563BF2"/>
    <w:rsid w:val="0056728A"/>
    <w:rsid w:val="00571D38"/>
    <w:rsid w:val="00574E05"/>
    <w:rsid w:val="00577D77"/>
    <w:rsid w:val="00577F15"/>
    <w:rsid w:val="00581DA9"/>
    <w:rsid w:val="005829A8"/>
    <w:rsid w:val="00583753"/>
    <w:rsid w:val="00583A6C"/>
    <w:rsid w:val="00585896"/>
    <w:rsid w:val="00585940"/>
    <w:rsid w:val="00586822"/>
    <w:rsid w:val="005876B2"/>
    <w:rsid w:val="00590380"/>
    <w:rsid w:val="00590BB8"/>
    <w:rsid w:val="005925B0"/>
    <w:rsid w:val="00592FEB"/>
    <w:rsid w:val="00595002"/>
    <w:rsid w:val="00595A06"/>
    <w:rsid w:val="00595C85"/>
    <w:rsid w:val="0059623D"/>
    <w:rsid w:val="00596FC9"/>
    <w:rsid w:val="005A1767"/>
    <w:rsid w:val="005A38E5"/>
    <w:rsid w:val="005A4AC1"/>
    <w:rsid w:val="005A62B5"/>
    <w:rsid w:val="005A6306"/>
    <w:rsid w:val="005B0109"/>
    <w:rsid w:val="005B0389"/>
    <w:rsid w:val="005B04A4"/>
    <w:rsid w:val="005B4C4B"/>
    <w:rsid w:val="005B7239"/>
    <w:rsid w:val="005C1428"/>
    <w:rsid w:val="005C18B9"/>
    <w:rsid w:val="005C2236"/>
    <w:rsid w:val="005C3C39"/>
    <w:rsid w:val="005C551C"/>
    <w:rsid w:val="005C7F18"/>
    <w:rsid w:val="005D2615"/>
    <w:rsid w:val="005D4520"/>
    <w:rsid w:val="005D4C6A"/>
    <w:rsid w:val="005D7D54"/>
    <w:rsid w:val="005E1187"/>
    <w:rsid w:val="005E2932"/>
    <w:rsid w:val="005E3F63"/>
    <w:rsid w:val="005E410D"/>
    <w:rsid w:val="005E4503"/>
    <w:rsid w:val="005E4936"/>
    <w:rsid w:val="005E6EB4"/>
    <w:rsid w:val="005F112B"/>
    <w:rsid w:val="005F6008"/>
    <w:rsid w:val="00603F80"/>
    <w:rsid w:val="00603F8F"/>
    <w:rsid w:val="00604321"/>
    <w:rsid w:val="0060452C"/>
    <w:rsid w:val="00605B93"/>
    <w:rsid w:val="006064F6"/>
    <w:rsid w:val="0060739C"/>
    <w:rsid w:val="00607F69"/>
    <w:rsid w:val="00611F40"/>
    <w:rsid w:val="00613926"/>
    <w:rsid w:val="006149A3"/>
    <w:rsid w:val="006155CF"/>
    <w:rsid w:val="0061591D"/>
    <w:rsid w:val="00620253"/>
    <w:rsid w:val="006210B4"/>
    <w:rsid w:val="0062183F"/>
    <w:rsid w:val="00624D82"/>
    <w:rsid w:val="00625697"/>
    <w:rsid w:val="00625BCC"/>
    <w:rsid w:val="00627E7D"/>
    <w:rsid w:val="00630FC6"/>
    <w:rsid w:val="00632A00"/>
    <w:rsid w:val="00632EC5"/>
    <w:rsid w:val="0063490E"/>
    <w:rsid w:val="00637D98"/>
    <w:rsid w:val="0064120B"/>
    <w:rsid w:val="0064417E"/>
    <w:rsid w:val="00646E0F"/>
    <w:rsid w:val="00652CAA"/>
    <w:rsid w:val="00653D85"/>
    <w:rsid w:val="00656E69"/>
    <w:rsid w:val="006606DC"/>
    <w:rsid w:val="00660ADA"/>
    <w:rsid w:val="00662599"/>
    <w:rsid w:val="006675F4"/>
    <w:rsid w:val="006717E7"/>
    <w:rsid w:val="006746E8"/>
    <w:rsid w:val="00674DA4"/>
    <w:rsid w:val="006766E4"/>
    <w:rsid w:val="00677389"/>
    <w:rsid w:val="00680721"/>
    <w:rsid w:val="00681204"/>
    <w:rsid w:val="0068343C"/>
    <w:rsid w:val="006837E5"/>
    <w:rsid w:val="0068643F"/>
    <w:rsid w:val="00686557"/>
    <w:rsid w:val="00690B74"/>
    <w:rsid w:val="00692B05"/>
    <w:rsid w:val="00693838"/>
    <w:rsid w:val="006948C6"/>
    <w:rsid w:val="006955AD"/>
    <w:rsid w:val="006A2935"/>
    <w:rsid w:val="006A3243"/>
    <w:rsid w:val="006A4656"/>
    <w:rsid w:val="006A5464"/>
    <w:rsid w:val="006A6AD1"/>
    <w:rsid w:val="006A6F70"/>
    <w:rsid w:val="006B1AD5"/>
    <w:rsid w:val="006B344E"/>
    <w:rsid w:val="006B3DA3"/>
    <w:rsid w:val="006B628F"/>
    <w:rsid w:val="006B6E5F"/>
    <w:rsid w:val="006C252F"/>
    <w:rsid w:val="006C54B6"/>
    <w:rsid w:val="006C5712"/>
    <w:rsid w:val="006C6722"/>
    <w:rsid w:val="006D00BF"/>
    <w:rsid w:val="006D0564"/>
    <w:rsid w:val="006D1573"/>
    <w:rsid w:val="006D3153"/>
    <w:rsid w:val="006D3660"/>
    <w:rsid w:val="006D3969"/>
    <w:rsid w:val="006D5767"/>
    <w:rsid w:val="006D6858"/>
    <w:rsid w:val="006D6F30"/>
    <w:rsid w:val="006D7072"/>
    <w:rsid w:val="006E0040"/>
    <w:rsid w:val="006E1534"/>
    <w:rsid w:val="006E2159"/>
    <w:rsid w:val="006E45C9"/>
    <w:rsid w:val="006E5A02"/>
    <w:rsid w:val="006E5DA0"/>
    <w:rsid w:val="006E6578"/>
    <w:rsid w:val="006E6980"/>
    <w:rsid w:val="006F0026"/>
    <w:rsid w:val="007004BE"/>
    <w:rsid w:val="00706634"/>
    <w:rsid w:val="0070702D"/>
    <w:rsid w:val="00710E78"/>
    <w:rsid w:val="00711285"/>
    <w:rsid w:val="007129AB"/>
    <w:rsid w:val="00716F42"/>
    <w:rsid w:val="0071729C"/>
    <w:rsid w:val="007172DD"/>
    <w:rsid w:val="00720A1F"/>
    <w:rsid w:val="00720EEE"/>
    <w:rsid w:val="00720FAD"/>
    <w:rsid w:val="0072110D"/>
    <w:rsid w:val="00722BC7"/>
    <w:rsid w:val="00722E3F"/>
    <w:rsid w:val="00723DB6"/>
    <w:rsid w:val="00724CF2"/>
    <w:rsid w:val="00726BA4"/>
    <w:rsid w:val="00730842"/>
    <w:rsid w:val="007330C0"/>
    <w:rsid w:val="00734612"/>
    <w:rsid w:val="00735652"/>
    <w:rsid w:val="00735A9D"/>
    <w:rsid w:val="00735DD3"/>
    <w:rsid w:val="00736162"/>
    <w:rsid w:val="00736259"/>
    <w:rsid w:val="00736980"/>
    <w:rsid w:val="00736D42"/>
    <w:rsid w:val="007379E3"/>
    <w:rsid w:val="007400A1"/>
    <w:rsid w:val="00742B17"/>
    <w:rsid w:val="00747611"/>
    <w:rsid w:val="00747B6D"/>
    <w:rsid w:val="00747D78"/>
    <w:rsid w:val="00752269"/>
    <w:rsid w:val="00752D5F"/>
    <w:rsid w:val="00754082"/>
    <w:rsid w:val="00754141"/>
    <w:rsid w:val="00754A8B"/>
    <w:rsid w:val="0075796F"/>
    <w:rsid w:val="007611CD"/>
    <w:rsid w:val="00763E0F"/>
    <w:rsid w:val="00764184"/>
    <w:rsid w:val="00766AF0"/>
    <w:rsid w:val="00773263"/>
    <w:rsid w:val="00774881"/>
    <w:rsid w:val="0077497B"/>
    <w:rsid w:val="0077794C"/>
    <w:rsid w:val="00781C6D"/>
    <w:rsid w:val="0078334B"/>
    <w:rsid w:val="00783F9C"/>
    <w:rsid w:val="00784A00"/>
    <w:rsid w:val="007864ED"/>
    <w:rsid w:val="0078654C"/>
    <w:rsid w:val="00787D29"/>
    <w:rsid w:val="00791A27"/>
    <w:rsid w:val="00792E24"/>
    <w:rsid w:val="00793463"/>
    <w:rsid w:val="00795B91"/>
    <w:rsid w:val="007A06C2"/>
    <w:rsid w:val="007A15F2"/>
    <w:rsid w:val="007A28EC"/>
    <w:rsid w:val="007A3934"/>
    <w:rsid w:val="007A3AB8"/>
    <w:rsid w:val="007A6CC0"/>
    <w:rsid w:val="007A70C7"/>
    <w:rsid w:val="007B2918"/>
    <w:rsid w:val="007B4964"/>
    <w:rsid w:val="007B5F84"/>
    <w:rsid w:val="007B6AB4"/>
    <w:rsid w:val="007B7E35"/>
    <w:rsid w:val="007C25C3"/>
    <w:rsid w:val="007C25F3"/>
    <w:rsid w:val="007C4287"/>
    <w:rsid w:val="007C448D"/>
    <w:rsid w:val="007C5166"/>
    <w:rsid w:val="007C6A35"/>
    <w:rsid w:val="007C6E69"/>
    <w:rsid w:val="007C73F2"/>
    <w:rsid w:val="007C79B0"/>
    <w:rsid w:val="007D0893"/>
    <w:rsid w:val="007D2164"/>
    <w:rsid w:val="007D31F7"/>
    <w:rsid w:val="007D380C"/>
    <w:rsid w:val="007D55BF"/>
    <w:rsid w:val="007D7EFB"/>
    <w:rsid w:val="007E2919"/>
    <w:rsid w:val="007E2A9F"/>
    <w:rsid w:val="007E2D2C"/>
    <w:rsid w:val="007E34AB"/>
    <w:rsid w:val="007E399B"/>
    <w:rsid w:val="007F029B"/>
    <w:rsid w:val="007F034A"/>
    <w:rsid w:val="007F0680"/>
    <w:rsid w:val="007F1621"/>
    <w:rsid w:val="007F184B"/>
    <w:rsid w:val="007F1C90"/>
    <w:rsid w:val="007F3254"/>
    <w:rsid w:val="007F67F3"/>
    <w:rsid w:val="007F7F58"/>
    <w:rsid w:val="0080059E"/>
    <w:rsid w:val="00800630"/>
    <w:rsid w:val="0080217A"/>
    <w:rsid w:val="008024FB"/>
    <w:rsid w:val="0080303E"/>
    <w:rsid w:val="00804C61"/>
    <w:rsid w:val="0080515D"/>
    <w:rsid w:val="00806604"/>
    <w:rsid w:val="0080674A"/>
    <w:rsid w:val="008118E3"/>
    <w:rsid w:val="00811A58"/>
    <w:rsid w:val="00814E13"/>
    <w:rsid w:val="00815815"/>
    <w:rsid w:val="0081740B"/>
    <w:rsid w:val="00820BDA"/>
    <w:rsid w:val="00821B4A"/>
    <w:rsid w:val="00822F86"/>
    <w:rsid w:val="00823B6F"/>
    <w:rsid w:val="00824F05"/>
    <w:rsid w:val="008260A9"/>
    <w:rsid w:val="00827880"/>
    <w:rsid w:val="00827EF2"/>
    <w:rsid w:val="00833905"/>
    <w:rsid w:val="00836248"/>
    <w:rsid w:val="00837157"/>
    <w:rsid w:val="0083745B"/>
    <w:rsid w:val="00840EB0"/>
    <w:rsid w:val="00844447"/>
    <w:rsid w:val="00844B03"/>
    <w:rsid w:val="00845C7A"/>
    <w:rsid w:val="0084750A"/>
    <w:rsid w:val="008477DF"/>
    <w:rsid w:val="0085144C"/>
    <w:rsid w:val="00852C0D"/>
    <w:rsid w:val="008540B8"/>
    <w:rsid w:val="008554B3"/>
    <w:rsid w:val="00862828"/>
    <w:rsid w:val="0086319A"/>
    <w:rsid w:val="008637A6"/>
    <w:rsid w:val="00865394"/>
    <w:rsid w:val="00865AE0"/>
    <w:rsid w:val="008664AC"/>
    <w:rsid w:val="00866B3E"/>
    <w:rsid w:val="00867073"/>
    <w:rsid w:val="008700FF"/>
    <w:rsid w:val="0087199E"/>
    <w:rsid w:val="00871DD0"/>
    <w:rsid w:val="00874BC0"/>
    <w:rsid w:val="008750D2"/>
    <w:rsid w:val="00875588"/>
    <w:rsid w:val="008807B6"/>
    <w:rsid w:val="00882B9C"/>
    <w:rsid w:val="00882E20"/>
    <w:rsid w:val="00887B96"/>
    <w:rsid w:val="00890A47"/>
    <w:rsid w:val="00891BEF"/>
    <w:rsid w:val="00893445"/>
    <w:rsid w:val="00893CC9"/>
    <w:rsid w:val="008940AA"/>
    <w:rsid w:val="00894B56"/>
    <w:rsid w:val="008955ED"/>
    <w:rsid w:val="00895D00"/>
    <w:rsid w:val="00896B7A"/>
    <w:rsid w:val="008A1CA1"/>
    <w:rsid w:val="008A502C"/>
    <w:rsid w:val="008A7BAE"/>
    <w:rsid w:val="008B0C8C"/>
    <w:rsid w:val="008B0D20"/>
    <w:rsid w:val="008B1A11"/>
    <w:rsid w:val="008B25E3"/>
    <w:rsid w:val="008B3173"/>
    <w:rsid w:val="008B5D44"/>
    <w:rsid w:val="008C0B72"/>
    <w:rsid w:val="008C1792"/>
    <w:rsid w:val="008C4879"/>
    <w:rsid w:val="008D2518"/>
    <w:rsid w:val="008D37AA"/>
    <w:rsid w:val="008D4E3F"/>
    <w:rsid w:val="008D6A3F"/>
    <w:rsid w:val="008D74AF"/>
    <w:rsid w:val="008D7D2F"/>
    <w:rsid w:val="008E0CB8"/>
    <w:rsid w:val="008E0DA1"/>
    <w:rsid w:val="008E1F1D"/>
    <w:rsid w:val="008E3948"/>
    <w:rsid w:val="008E4FFB"/>
    <w:rsid w:val="008E6121"/>
    <w:rsid w:val="008E69E7"/>
    <w:rsid w:val="008F16D8"/>
    <w:rsid w:val="008F1A4B"/>
    <w:rsid w:val="008F2AEB"/>
    <w:rsid w:val="008F2EAF"/>
    <w:rsid w:val="008F3A7F"/>
    <w:rsid w:val="008F3BA8"/>
    <w:rsid w:val="008F3C9E"/>
    <w:rsid w:val="00902768"/>
    <w:rsid w:val="009035DF"/>
    <w:rsid w:val="00904524"/>
    <w:rsid w:val="009046E5"/>
    <w:rsid w:val="00905307"/>
    <w:rsid w:val="009105FA"/>
    <w:rsid w:val="009109ED"/>
    <w:rsid w:val="00911F37"/>
    <w:rsid w:val="009128E7"/>
    <w:rsid w:val="00913095"/>
    <w:rsid w:val="0091712F"/>
    <w:rsid w:val="0091735B"/>
    <w:rsid w:val="00922000"/>
    <w:rsid w:val="0092241F"/>
    <w:rsid w:val="009243A5"/>
    <w:rsid w:val="0092554E"/>
    <w:rsid w:val="00926028"/>
    <w:rsid w:val="00926952"/>
    <w:rsid w:val="00926CD0"/>
    <w:rsid w:val="009311EA"/>
    <w:rsid w:val="00931935"/>
    <w:rsid w:val="00933283"/>
    <w:rsid w:val="00933434"/>
    <w:rsid w:val="00936187"/>
    <w:rsid w:val="00942254"/>
    <w:rsid w:val="00944756"/>
    <w:rsid w:val="00951C62"/>
    <w:rsid w:val="009537E6"/>
    <w:rsid w:val="00954AA9"/>
    <w:rsid w:val="00954BF6"/>
    <w:rsid w:val="00955EED"/>
    <w:rsid w:val="0095644B"/>
    <w:rsid w:val="009572A2"/>
    <w:rsid w:val="00957CA9"/>
    <w:rsid w:val="0096032D"/>
    <w:rsid w:val="009619A4"/>
    <w:rsid w:val="00961BC2"/>
    <w:rsid w:val="00964952"/>
    <w:rsid w:val="00964B97"/>
    <w:rsid w:val="00967A1F"/>
    <w:rsid w:val="00970AC1"/>
    <w:rsid w:val="00972816"/>
    <w:rsid w:val="00972B9A"/>
    <w:rsid w:val="009761ED"/>
    <w:rsid w:val="0098220D"/>
    <w:rsid w:val="00984432"/>
    <w:rsid w:val="00987E29"/>
    <w:rsid w:val="00987ED0"/>
    <w:rsid w:val="0099092A"/>
    <w:rsid w:val="00993B1A"/>
    <w:rsid w:val="00994705"/>
    <w:rsid w:val="0099553C"/>
    <w:rsid w:val="0099661A"/>
    <w:rsid w:val="00996D85"/>
    <w:rsid w:val="0099717D"/>
    <w:rsid w:val="009A0C42"/>
    <w:rsid w:val="009A0C56"/>
    <w:rsid w:val="009A23F4"/>
    <w:rsid w:val="009A366C"/>
    <w:rsid w:val="009A6665"/>
    <w:rsid w:val="009A6B10"/>
    <w:rsid w:val="009B07FE"/>
    <w:rsid w:val="009B132B"/>
    <w:rsid w:val="009B1683"/>
    <w:rsid w:val="009B2253"/>
    <w:rsid w:val="009B32C3"/>
    <w:rsid w:val="009B4760"/>
    <w:rsid w:val="009B5CAE"/>
    <w:rsid w:val="009C00AD"/>
    <w:rsid w:val="009C07AD"/>
    <w:rsid w:val="009C2067"/>
    <w:rsid w:val="009C3FD7"/>
    <w:rsid w:val="009C4339"/>
    <w:rsid w:val="009C668C"/>
    <w:rsid w:val="009C6692"/>
    <w:rsid w:val="009D01A6"/>
    <w:rsid w:val="009D0842"/>
    <w:rsid w:val="009D5997"/>
    <w:rsid w:val="009E05C7"/>
    <w:rsid w:val="009E1BED"/>
    <w:rsid w:val="009E20D0"/>
    <w:rsid w:val="009E365F"/>
    <w:rsid w:val="009E4577"/>
    <w:rsid w:val="009E4BC1"/>
    <w:rsid w:val="009E4F85"/>
    <w:rsid w:val="009F050D"/>
    <w:rsid w:val="009F2F00"/>
    <w:rsid w:val="009F53D5"/>
    <w:rsid w:val="009F5E2F"/>
    <w:rsid w:val="009F5F30"/>
    <w:rsid w:val="009F7FA1"/>
    <w:rsid w:val="00A0021D"/>
    <w:rsid w:val="00A02177"/>
    <w:rsid w:val="00A03258"/>
    <w:rsid w:val="00A03F34"/>
    <w:rsid w:val="00A04406"/>
    <w:rsid w:val="00A046F9"/>
    <w:rsid w:val="00A0506E"/>
    <w:rsid w:val="00A101BA"/>
    <w:rsid w:val="00A10DA2"/>
    <w:rsid w:val="00A140AF"/>
    <w:rsid w:val="00A14D98"/>
    <w:rsid w:val="00A15910"/>
    <w:rsid w:val="00A1635A"/>
    <w:rsid w:val="00A212BB"/>
    <w:rsid w:val="00A22B2C"/>
    <w:rsid w:val="00A22BE5"/>
    <w:rsid w:val="00A23C33"/>
    <w:rsid w:val="00A24FBA"/>
    <w:rsid w:val="00A256AE"/>
    <w:rsid w:val="00A310E7"/>
    <w:rsid w:val="00A3158C"/>
    <w:rsid w:val="00A318A6"/>
    <w:rsid w:val="00A32BDD"/>
    <w:rsid w:val="00A337A4"/>
    <w:rsid w:val="00A33E48"/>
    <w:rsid w:val="00A351DA"/>
    <w:rsid w:val="00A361F2"/>
    <w:rsid w:val="00A37E00"/>
    <w:rsid w:val="00A4127D"/>
    <w:rsid w:val="00A41684"/>
    <w:rsid w:val="00A422C8"/>
    <w:rsid w:val="00A43575"/>
    <w:rsid w:val="00A436E4"/>
    <w:rsid w:val="00A448BD"/>
    <w:rsid w:val="00A44C2F"/>
    <w:rsid w:val="00A4533F"/>
    <w:rsid w:val="00A4646C"/>
    <w:rsid w:val="00A474D7"/>
    <w:rsid w:val="00A51C28"/>
    <w:rsid w:val="00A52420"/>
    <w:rsid w:val="00A52424"/>
    <w:rsid w:val="00A5344F"/>
    <w:rsid w:val="00A548A6"/>
    <w:rsid w:val="00A57232"/>
    <w:rsid w:val="00A61493"/>
    <w:rsid w:val="00A62631"/>
    <w:rsid w:val="00A63785"/>
    <w:rsid w:val="00A66639"/>
    <w:rsid w:val="00A705D4"/>
    <w:rsid w:val="00A70C28"/>
    <w:rsid w:val="00A70EB1"/>
    <w:rsid w:val="00A71590"/>
    <w:rsid w:val="00A7290C"/>
    <w:rsid w:val="00A73FE8"/>
    <w:rsid w:val="00A743B4"/>
    <w:rsid w:val="00A74457"/>
    <w:rsid w:val="00A74C3B"/>
    <w:rsid w:val="00A7765B"/>
    <w:rsid w:val="00A77E7D"/>
    <w:rsid w:val="00A77F1E"/>
    <w:rsid w:val="00A810D7"/>
    <w:rsid w:val="00A813E9"/>
    <w:rsid w:val="00A81929"/>
    <w:rsid w:val="00A8239E"/>
    <w:rsid w:val="00A853DB"/>
    <w:rsid w:val="00A864A1"/>
    <w:rsid w:val="00A865C5"/>
    <w:rsid w:val="00A866C4"/>
    <w:rsid w:val="00A87E1E"/>
    <w:rsid w:val="00A9555E"/>
    <w:rsid w:val="00AA1009"/>
    <w:rsid w:val="00AA40C4"/>
    <w:rsid w:val="00AA45AC"/>
    <w:rsid w:val="00AB006C"/>
    <w:rsid w:val="00AB247C"/>
    <w:rsid w:val="00AB4577"/>
    <w:rsid w:val="00AB627D"/>
    <w:rsid w:val="00AB69F3"/>
    <w:rsid w:val="00AC14B4"/>
    <w:rsid w:val="00AC14F2"/>
    <w:rsid w:val="00AC618B"/>
    <w:rsid w:val="00AD169C"/>
    <w:rsid w:val="00AD2D2A"/>
    <w:rsid w:val="00AD3AEA"/>
    <w:rsid w:val="00AD43FD"/>
    <w:rsid w:val="00AD4828"/>
    <w:rsid w:val="00AE32AD"/>
    <w:rsid w:val="00AE3D7D"/>
    <w:rsid w:val="00AE4666"/>
    <w:rsid w:val="00AE54B6"/>
    <w:rsid w:val="00AE617C"/>
    <w:rsid w:val="00AE7B3E"/>
    <w:rsid w:val="00AF0C88"/>
    <w:rsid w:val="00AF1FB9"/>
    <w:rsid w:val="00AF22A6"/>
    <w:rsid w:val="00AF3039"/>
    <w:rsid w:val="00AF7884"/>
    <w:rsid w:val="00B01B60"/>
    <w:rsid w:val="00B01D54"/>
    <w:rsid w:val="00B042A0"/>
    <w:rsid w:val="00B051DC"/>
    <w:rsid w:val="00B05F06"/>
    <w:rsid w:val="00B07075"/>
    <w:rsid w:val="00B11D95"/>
    <w:rsid w:val="00B12489"/>
    <w:rsid w:val="00B12FA8"/>
    <w:rsid w:val="00B13838"/>
    <w:rsid w:val="00B151D4"/>
    <w:rsid w:val="00B17217"/>
    <w:rsid w:val="00B179A2"/>
    <w:rsid w:val="00B17B64"/>
    <w:rsid w:val="00B20B15"/>
    <w:rsid w:val="00B2222C"/>
    <w:rsid w:val="00B22666"/>
    <w:rsid w:val="00B228A8"/>
    <w:rsid w:val="00B22F23"/>
    <w:rsid w:val="00B25848"/>
    <w:rsid w:val="00B25CCA"/>
    <w:rsid w:val="00B26880"/>
    <w:rsid w:val="00B3216B"/>
    <w:rsid w:val="00B34B75"/>
    <w:rsid w:val="00B37286"/>
    <w:rsid w:val="00B373ED"/>
    <w:rsid w:val="00B37D2A"/>
    <w:rsid w:val="00B40795"/>
    <w:rsid w:val="00B41DBC"/>
    <w:rsid w:val="00B429C7"/>
    <w:rsid w:val="00B44956"/>
    <w:rsid w:val="00B4592F"/>
    <w:rsid w:val="00B45B13"/>
    <w:rsid w:val="00B4604D"/>
    <w:rsid w:val="00B470A0"/>
    <w:rsid w:val="00B534EF"/>
    <w:rsid w:val="00B56794"/>
    <w:rsid w:val="00B5686C"/>
    <w:rsid w:val="00B577DE"/>
    <w:rsid w:val="00B6055E"/>
    <w:rsid w:val="00B659C4"/>
    <w:rsid w:val="00B6663D"/>
    <w:rsid w:val="00B713B4"/>
    <w:rsid w:val="00B71D64"/>
    <w:rsid w:val="00B71F06"/>
    <w:rsid w:val="00B724DD"/>
    <w:rsid w:val="00B73749"/>
    <w:rsid w:val="00B75464"/>
    <w:rsid w:val="00B75AFA"/>
    <w:rsid w:val="00B80B9C"/>
    <w:rsid w:val="00B80C7A"/>
    <w:rsid w:val="00B8209D"/>
    <w:rsid w:val="00B82E4F"/>
    <w:rsid w:val="00B84F51"/>
    <w:rsid w:val="00B855F4"/>
    <w:rsid w:val="00B85DA9"/>
    <w:rsid w:val="00B90548"/>
    <w:rsid w:val="00B92D60"/>
    <w:rsid w:val="00B9739A"/>
    <w:rsid w:val="00BA026C"/>
    <w:rsid w:val="00BA04D0"/>
    <w:rsid w:val="00BA0E19"/>
    <w:rsid w:val="00BA42AF"/>
    <w:rsid w:val="00BA4DBA"/>
    <w:rsid w:val="00BA527A"/>
    <w:rsid w:val="00BB1AE1"/>
    <w:rsid w:val="00BB2597"/>
    <w:rsid w:val="00BB2F66"/>
    <w:rsid w:val="00BB3636"/>
    <w:rsid w:val="00BB3F3B"/>
    <w:rsid w:val="00BB4D77"/>
    <w:rsid w:val="00BB4FAC"/>
    <w:rsid w:val="00BB5DDB"/>
    <w:rsid w:val="00BB7EC5"/>
    <w:rsid w:val="00BC1B37"/>
    <w:rsid w:val="00BC60DD"/>
    <w:rsid w:val="00BC61D5"/>
    <w:rsid w:val="00BC686A"/>
    <w:rsid w:val="00BC7923"/>
    <w:rsid w:val="00BD0EC5"/>
    <w:rsid w:val="00BD136F"/>
    <w:rsid w:val="00BD26D9"/>
    <w:rsid w:val="00BD3921"/>
    <w:rsid w:val="00BD405B"/>
    <w:rsid w:val="00BD4166"/>
    <w:rsid w:val="00BD423A"/>
    <w:rsid w:val="00BD6C58"/>
    <w:rsid w:val="00BE213C"/>
    <w:rsid w:val="00BE2275"/>
    <w:rsid w:val="00BE3B90"/>
    <w:rsid w:val="00BE4AF0"/>
    <w:rsid w:val="00BE51D4"/>
    <w:rsid w:val="00BE71BD"/>
    <w:rsid w:val="00BF1938"/>
    <w:rsid w:val="00BF37F7"/>
    <w:rsid w:val="00BF3C56"/>
    <w:rsid w:val="00BF5429"/>
    <w:rsid w:val="00C00A47"/>
    <w:rsid w:val="00C0292A"/>
    <w:rsid w:val="00C02E55"/>
    <w:rsid w:val="00C0377C"/>
    <w:rsid w:val="00C04059"/>
    <w:rsid w:val="00C04885"/>
    <w:rsid w:val="00C049D5"/>
    <w:rsid w:val="00C057DF"/>
    <w:rsid w:val="00C05828"/>
    <w:rsid w:val="00C066AB"/>
    <w:rsid w:val="00C11C39"/>
    <w:rsid w:val="00C152E7"/>
    <w:rsid w:val="00C153D9"/>
    <w:rsid w:val="00C1551F"/>
    <w:rsid w:val="00C160AA"/>
    <w:rsid w:val="00C1740F"/>
    <w:rsid w:val="00C21692"/>
    <w:rsid w:val="00C21AD7"/>
    <w:rsid w:val="00C22A74"/>
    <w:rsid w:val="00C230B1"/>
    <w:rsid w:val="00C26052"/>
    <w:rsid w:val="00C269A2"/>
    <w:rsid w:val="00C26F3C"/>
    <w:rsid w:val="00C27351"/>
    <w:rsid w:val="00C278E1"/>
    <w:rsid w:val="00C308F1"/>
    <w:rsid w:val="00C3115A"/>
    <w:rsid w:val="00C3709C"/>
    <w:rsid w:val="00C411B5"/>
    <w:rsid w:val="00C4303E"/>
    <w:rsid w:val="00C446F1"/>
    <w:rsid w:val="00C47874"/>
    <w:rsid w:val="00C50C42"/>
    <w:rsid w:val="00C529F6"/>
    <w:rsid w:val="00C5493E"/>
    <w:rsid w:val="00C556C6"/>
    <w:rsid w:val="00C55926"/>
    <w:rsid w:val="00C56786"/>
    <w:rsid w:val="00C57171"/>
    <w:rsid w:val="00C616A5"/>
    <w:rsid w:val="00C62A30"/>
    <w:rsid w:val="00C64036"/>
    <w:rsid w:val="00C666CE"/>
    <w:rsid w:val="00C67764"/>
    <w:rsid w:val="00C728B9"/>
    <w:rsid w:val="00C72D6B"/>
    <w:rsid w:val="00C72E0C"/>
    <w:rsid w:val="00C73A10"/>
    <w:rsid w:val="00C74FB0"/>
    <w:rsid w:val="00C765E2"/>
    <w:rsid w:val="00C7773A"/>
    <w:rsid w:val="00C81C80"/>
    <w:rsid w:val="00C832F9"/>
    <w:rsid w:val="00C83AD7"/>
    <w:rsid w:val="00C8405A"/>
    <w:rsid w:val="00C85E51"/>
    <w:rsid w:val="00C86BE3"/>
    <w:rsid w:val="00C92E45"/>
    <w:rsid w:val="00C9458B"/>
    <w:rsid w:val="00C961B7"/>
    <w:rsid w:val="00C963FD"/>
    <w:rsid w:val="00C97E7B"/>
    <w:rsid w:val="00CA3572"/>
    <w:rsid w:val="00CA3890"/>
    <w:rsid w:val="00CB23FB"/>
    <w:rsid w:val="00CB275A"/>
    <w:rsid w:val="00CB3A8D"/>
    <w:rsid w:val="00CB5738"/>
    <w:rsid w:val="00CB752C"/>
    <w:rsid w:val="00CB7586"/>
    <w:rsid w:val="00CC005A"/>
    <w:rsid w:val="00CC009B"/>
    <w:rsid w:val="00CC01D5"/>
    <w:rsid w:val="00CC10DF"/>
    <w:rsid w:val="00CC12A6"/>
    <w:rsid w:val="00CC50C1"/>
    <w:rsid w:val="00CC5BB6"/>
    <w:rsid w:val="00CD0512"/>
    <w:rsid w:val="00CD0BED"/>
    <w:rsid w:val="00CD36B5"/>
    <w:rsid w:val="00CD45AD"/>
    <w:rsid w:val="00CD5B7E"/>
    <w:rsid w:val="00CD5BCC"/>
    <w:rsid w:val="00CD6B8E"/>
    <w:rsid w:val="00CD70EA"/>
    <w:rsid w:val="00CD71C8"/>
    <w:rsid w:val="00CE0768"/>
    <w:rsid w:val="00CE0AE2"/>
    <w:rsid w:val="00CE24BF"/>
    <w:rsid w:val="00CE3666"/>
    <w:rsid w:val="00CE406D"/>
    <w:rsid w:val="00CF0AB1"/>
    <w:rsid w:val="00CF0CAE"/>
    <w:rsid w:val="00CF0D8C"/>
    <w:rsid w:val="00CF1C82"/>
    <w:rsid w:val="00CF5DF3"/>
    <w:rsid w:val="00CF6314"/>
    <w:rsid w:val="00CF6E79"/>
    <w:rsid w:val="00CF7C29"/>
    <w:rsid w:val="00D00597"/>
    <w:rsid w:val="00D00B16"/>
    <w:rsid w:val="00D0164D"/>
    <w:rsid w:val="00D01CF9"/>
    <w:rsid w:val="00D02077"/>
    <w:rsid w:val="00D028F3"/>
    <w:rsid w:val="00D02B3A"/>
    <w:rsid w:val="00D032F6"/>
    <w:rsid w:val="00D041DF"/>
    <w:rsid w:val="00D0564A"/>
    <w:rsid w:val="00D0591E"/>
    <w:rsid w:val="00D06A6B"/>
    <w:rsid w:val="00D07372"/>
    <w:rsid w:val="00D078E6"/>
    <w:rsid w:val="00D10EC2"/>
    <w:rsid w:val="00D1355B"/>
    <w:rsid w:val="00D1390D"/>
    <w:rsid w:val="00D143BF"/>
    <w:rsid w:val="00D16857"/>
    <w:rsid w:val="00D17CC4"/>
    <w:rsid w:val="00D21964"/>
    <w:rsid w:val="00D22A09"/>
    <w:rsid w:val="00D22A7F"/>
    <w:rsid w:val="00D2307D"/>
    <w:rsid w:val="00D24667"/>
    <w:rsid w:val="00D274EC"/>
    <w:rsid w:val="00D27C1A"/>
    <w:rsid w:val="00D306D6"/>
    <w:rsid w:val="00D3195F"/>
    <w:rsid w:val="00D326D1"/>
    <w:rsid w:val="00D330AF"/>
    <w:rsid w:val="00D36DC4"/>
    <w:rsid w:val="00D37317"/>
    <w:rsid w:val="00D3763F"/>
    <w:rsid w:val="00D40F18"/>
    <w:rsid w:val="00D41257"/>
    <w:rsid w:val="00D41D90"/>
    <w:rsid w:val="00D4481D"/>
    <w:rsid w:val="00D4615C"/>
    <w:rsid w:val="00D46AD9"/>
    <w:rsid w:val="00D46B4E"/>
    <w:rsid w:val="00D47ABD"/>
    <w:rsid w:val="00D514AF"/>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67B45"/>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77D"/>
    <w:rsid w:val="00D86792"/>
    <w:rsid w:val="00D90332"/>
    <w:rsid w:val="00D92D2F"/>
    <w:rsid w:val="00D94212"/>
    <w:rsid w:val="00D950F1"/>
    <w:rsid w:val="00D95971"/>
    <w:rsid w:val="00D95EDE"/>
    <w:rsid w:val="00DA2A13"/>
    <w:rsid w:val="00DA36E0"/>
    <w:rsid w:val="00DA3984"/>
    <w:rsid w:val="00DA489F"/>
    <w:rsid w:val="00DA6974"/>
    <w:rsid w:val="00DA7068"/>
    <w:rsid w:val="00DB011D"/>
    <w:rsid w:val="00DB02BE"/>
    <w:rsid w:val="00DB0667"/>
    <w:rsid w:val="00DB428F"/>
    <w:rsid w:val="00DB6C92"/>
    <w:rsid w:val="00DC11BF"/>
    <w:rsid w:val="00DC3D10"/>
    <w:rsid w:val="00DC45ED"/>
    <w:rsid w:val="00DC584C"/>
    <w:rsid w:val="00DC5A05"/>
    <w:rsid w:val="00DC60D5"/>
    <w:rsid w:val="00DC7AF1"/>
    <w:rsid w:val="00DD0571"/>
    <w:rsid w:val="00DD3A5D"/>
    <w:rsid w:val="00DD444A"/>
    <w:rsid w:val="00DD4F58"/>
    <w:rsid w:val="00DD67DE"/>
    <w:rsid w:val="00DE006E"/>
    <w:rsid w:val="00DE3C23"/>
    <w:rsid w:val="00DE4C80"/>
    <w:rsid w:val="00DE6400"/>
    <w:rsid w:val="00DE6E97"/>
    <w:rsid w:val="00DF1C13"/>
    <w:rsid w:val="00DF4EC8"/>
    <w:rsid w:val="00DF5458"/>
    <w:rsid w:val="00DF61F3"/>
    <w:rsid w:val="00DF64D5"/>
    <w:rsid w:val="00DF72B1"/>
    <w:rsid w:val="00E009E8"/>
    <w:rsid w:val="00E01331"/>
    <w:rsid w:val="00E01BB2"/>
    <w:rsid w:val="00E02073"/>
    <w:rsid w:val="00E02FDA"/>
    <w:rsid w:val="00E04259"/>
    <w:rsid w:val="00E10916"/>
    <w:rsid w:val="00E11CE7"/>
    <w:rsid w:val="00E121C2"/>
    <w:rsid w:val="00E13686"/>
    <w:rsid w:val="00E1460D"/>
    <w:rsid w:val="00E14FB9"/>
    <w:rsid w:val="00E14FDB"/>
    <w:rsid w:val="00E16739"/>
    <w:rsid w:val="00E17614"/>
    <w:rsid w:val="00E20A28"/>
    <w:rsid w:val="00E217A2"/>
    <w:rsid w:val="00E21D7E"/>
    <w:rsid w:val="00E23C56"/>
    <w:rsid w:val="00E2405A"/>
    <w:rsid w:val="00E25CD7"/>
    <w:rsid w:val="00E27304"/>
    <w:rsid w:val="00E30BC1"/>
    <w:rsid w:val="00E3121A"/>
    <w:rsid w:val="00E32000"/>
    <w:rsid w:val="00E37361"/>
    <w:rsid w:val="00E407BC"/>
    <w:rsid w:val="00E44CCC"/>
    <w:rsid w:val="00E466CF"/>
    <w:rsid w:val="00E5084C"/>
    <w:rsid w:val="00E51021"/>
    <w:rsid w:val="00E5303A"/>
    <w:rsid w:val="00E55DF3"/>
    <w:rsid w:val="00E61C50"/>
    <w:rsid w:val="00E62EF1"/>
    <w:rsid w:val="00E6311B"/>
    <w:rsid w:val="00E64CD7"/>
    <w:rsid w:val="00E663D9"/>
    <w:rsid w:val="00E665C7"/>
    <w:rsid w:val="00E66627"/>
    <w:rsid w:val="00E70320"/>
    <w:rsid w:val="00E7065C"/>
    <w:rsid w:val="00E71E03"/>
    <w:rsid w:val="00E7428F"/>
    <w:rsid w:val="00E805CE"/>
    <w:rsid w:val="00E8227A"/>
    <w:rsid w:val="00E82D1C"/>
    <w:rsid w:val="00E8328D"/>
    <w:rsid w:val="00E848AC"/>
    <w:rsid w:val="00E85EA2"/>
    <w:rsid w:val="00E87749"/>
    <w:rsid w:val="00E877F8"/>
    <w:rsid w:val="00E8781A"/>
    <w:rsid w:val="00E93BE3"/>
    <w:rsid w:val="00E946C0"/>
    <w:rsid w:val="00E94B74"/>
    <w:rsid w:val="00E952A7"/>
    <w:rsid w:val="00E952C2"/>
    <w:rsid w:val="00E958CE"/>
    <w:rsid w:val="00E96603"/>
    <w:rsid w:val="00E97665"/>
    <w:rsid w:val="00E9793E"/>
    <w:rsid w:val="00E97AA1"/>
    <w:rsid w:val="00EA0CD3"/>
    <w:rsid w:val="00EA1CF6"/>
    <w:rsid w:val="00EA29F5"/>
    <w:rsid w:val="00EA2ED5"/>
    <w:rsid w:val="00EA2FD7"/>
    <w:rsid w:val="00EA36E2"/>
    <w:rsid w:val="00EA4BC1"/>
    <w:rsid w:val="00EA62C2"/>
    <w:rsid w:val="00EA6AA1"/>
    <w:rsid w:val="00EB15EF"/>
    <w:rsid w:val="00EB2366"/>
    <w:rsid w:val="00EB4B79"/>
    <w:rsid w:val="00EB51CD"/>
    <w:rsid w:val="00EB5ABF"/>
    <w:rsid w:val="00EC08E1"/>
    <w:rsid w:val="00EC25FA"/>
    <w:rsid w:val="00EC2D75"/>
    <w:rsid w:val="00EC37B9"/>
    <w:rsid w:val="00EC4585"/>
    <w:rsid w:val="00EC67C4"/>
    <w:rsid w:val="00EC70C4"/>
    <w:rsid w:val="00ED088D"/>
    <w:rsid w:val="00ED4898"/>
    <w:rsid w:val="00ED579E"/>
    <w:rsid w:val="00ED5EDE"/>
    <w:rsid w:val="00EE0EE9"/>
    <w:rsid w:val="00EE1667"/>
    <w:rsid w:val="00EE2959"/>
    <w:rsid w:val="00EE5B70"/>
    <w:rsid w:val="00EE632C"/>
    <w:rsid w:val="00EE76A8"/>
    <w:rsid w:val="00EE7B8D"/>
    <w:rsid w:val="00EE7EEF"/>
    <w:rsid w:val="00EF167F"/>
    <w:rsid w:val="00EF197D"/>
    <w:rsid w:val="00EF25AB"/>
    <w:rsid w:val="00EF507D"/>
    <w:rsid w:val="00EF6B68"/>
    <w:rsid w:val="00EF73DA"/>
    <w:rsid w:val="00F014E0"/>
    <w:rsid w:val="00F02CBD"/>
    <w:rsid w:val="00F03E8D"/>
    <w:rsid w:val="00F046EA"/>
    <w:rsid w:val="00F06609"/>
    <w:rsid w:val="00F1126D"/>
    <w:rsid w:val="00F115C1"/>
    <w:rsid w:val="00F126D4"/>
    <w:rsid w:val="00F141EA"/>
    <w:rsid w:val="00F16B5B"/>
    <w:rsid w:val="00F17530"/>
    <w:rsid w:val="00F1788B"/>
    <w:rsid w:val="00F208D2"/>
    <w:rsid w:val="00F2144D"/>
    <w:rsid w:val="00F2292B"/>
    <w:rsid w:val="00F24136"/>
    <w:rsid w:val="00F24980"/>
    <w:rsid w:val="00F24AEE"/>
    <w:rsid w:val="00F24B9A"/>
    <w:rsid w:val="00F24CBA"/>
    <w:rsid w:val="00F24D1A"/>
    <w:rsid w:val="00F250AA"/>
    <w:rsid w:val="00F25250"/>
    <w:rsid w:val="00F25613"/>
    <w:rsid w:val="00F260EB"/>
    <w:rsid w:val="00F272C3"/>
    <w:rsid w:val="00F300DA"/>
    <w:rsid w:val="00F31E0C"/>
    <w:rsid w:val="00F32F82"/>
    <w:rsid w:val="00F33483"/>
    <w:rsid w:val="00F338EE"/>
    <w:rsid w:val="00F353A2"/>
    <w:rsid w:val="00F4034E"/>
    <w:rsid w:val="00F406BC"/>
    <w:rsid w:val="00F40BC4"/>
    <w:rsid w:val="00F40FDB"/>
    <w:rsid w:val="00F41483"/>
    <w:rsid w:val="00F437C0"/>
    <w:rsid w:val="00F45DEC"/>
    <w:rsid w:val="00F4674E"/>
    <w:rsid w:val="00F46CEA"/>
    <w:rsid w:val="00F472BE"/>
    <w:rsid w:val="00F51187"/>
    <w:rsid w:val="00F51442"/>
    <w:rsid w:val="00F603A1"/>
    <w:rsid w:val="00F615E6"/>
    <w:rsid w:val="00F62EDE"/>
    <w:rsid w:val="00F63908"/>
    <w:rsid w:val="00F6402E"/>
    <w:rsid w:val="00F64D01"/>
    <w:rsid w:val="00F665FE"/>
    <w:rsid w:val="00F716E3"/>
    <w:rsid w:val="00F725CC"/>
    <w:rsid w:val="00F73AA5"/>
    <w:rsid w:val="00F75F33"/>
    <w:rsid w:val="00F77F84"/>
    <w:rsid w:val="00F80842"/>
    <w:rsid w:val="00F84195"/>
    <w:rsid w:val="00F849C8"/>
    <w:rsid w:val="00F84A55"/>
    <w:rsid w:val="00F84C33"/>
    <w:rsid w:val="00F900BE"/>
    <w:rsid w:val="00F940EA"/>
    <w:rsid w:val="00F946FA"/>
    <w:rsid w:val="00F94730"/>
    <w:rsid w:val="00F95F80"/>
    <w:rsid w:val="00FA0B0A"/>
    <w:rsid w:val="00FA0D4C"/>
    <w:rsid w:val="00FA1E53"/>
    <w:rsid w:val="00FA2D50"/>
    <w:rsid w:val="00FA3197"/>
    <w:rsid w:val="00FA3852"/>
    <w:rsid w:val="00FA5635"/>
    <w:rsid w:val="00FA5E28"/>
    <w:rsid w:val="00FB03A6"/>
    <w:rsid w:val="00FB1813"/>
    <w:rsid w:val="00FB19DC"/>
    <w:rsid w:val="00FB208B"/>
    <w:rsid w:val="00FB2142"/>
    <w:rsid w:val="00FB2349"/>
    <w:rsid w:val="00FB34A7"/>
    <w:rsid w:val="00FB570C"/>
    <w:rsid w:val="00FB5734"/>
    <w:rsid w:val="00FB5826"/>
    <w:rsid w:val="00FB5ACE"/>
    <w:rsid w:val="00FB6402"/>
    <w:rsid w:val="00FB7764"/>
    <w:rsid w:val="00FC0198"/>
    <w:rsid w:val="00FC2311"/>
    <w:rsid w:val="00FC240E"/>
    <w:rsid w:val="00FC6B40"/>
    <w:rsid w:val="00FD625F"/>
    <w:rsid w:val="00FD6346"/>
    <w:rsid w:val="00FD6962"/>
    <w:rsid w:val="00FD7663"/>
    <w:rsid w:val="00FE03AB"/>
    <w:rsid w:val="00FE03B9"/>
    <w:rsid w:val="00FE071D"/>
    <w:rsid w:val="00FE12F7"/>
    <w:rsid w:val="00FE47C7"/>
    <w:rsid w:val="00FE65B7"/>
    <w:rsid w:val="00FE7D21"/>
    <w:rsid w:val="00FF0926"/>
    <w:rsid w:val="00FF0FE4"/>
    <w:rsid w:val="00FF17B7"/>
    <w:rsid w:val="00FF365B"/>
    <w:rsid w:val="00FF3FC4"/>
    <w:rsid w:val="00FF79EA"/>
    <w:rsid w:val="00FF7EDA"/>
    <w:rsid w:val="02023237"/>
    <w:rsid w:val="024F08E2"/>
    <w:rsid w:val="02772484"/>
    <w:rsid w:val="02C173F1"/>
    <w:rsid w:val="02C530CE"/>
    <w:rsid w:val="03740C0B"/>
    <w:rsid w:val="0502495C"/>
    <w:rsid w:val="05126C1E"/>
    <w:rsid w:val="05ED6512"/>
    <w:rsid w:val="05F040C9"/>
    <w:rsid w:val="05FB5401"/>
    <w:rsid w:val="06B24608"/>
    <w:rsid w:val="07056611"/>
    <w:rsid w:val="07A34563"/>
    <w:rsid w:val="07F1111A"/>
    <w:rsid w:val="080B79BD"/>
    <w:rsid w:val="083E4A1A"/>
    <w:rsid w:val="087E000B"/>
    <w:rsid w:val="08CE30E9"/>
    <w:rsid w:val="09470BF0"/>
    <w:rsid w:val="09BC4531"/>
    <w:rsid w:val="0A562A3C"/>
    <w:rsid w:val="0A777B4A"/>
    <w:rsid w:val="0BA0379A"/>
    <w:rsid w:val="0C5B282C"/>
    <w:rsid w:val="0D9D68E8"/>
    <w:rsid w:val="0DE95D7F"/>
    <w:rsid w:val="0EB264D7"/>
    <w:rsid w:val="0EBC6F9E"/>
    <w:rsid w:val="0ED51ABD"/>
    <w:rsid w:val="0EFC0E4F"/>
    <w:rsid w:val="0EFE54A8"/>
    <w:rsid w:val="0F756171"/>
    <w:rsid w:val="0FA07D06"/>
    <w:rsid w:val="0FDF73FE"/>
    <w:rsid w:val="100F4F0C"/>
    <w:rsid w:val="10681EBA"/>
    <w:rsid w:val="109263D7"/>
    <w:rsid w:val="11335CF5"/>
    <w:rsid w:val="11622AFE"/>
    <w:rsid w:val="118F0A7A"/>
    <w:rsid w:val="126B7CD9"/>
    <w:rsid w:val="14071034"/>
    <w:rsid w:val="145F53D4"/>
    <w:rsid w:val="15213AC4"/>
    <w:rsid w:val="15297942"/>
    <w:rsid w:val="16001712"/>
    <w:rsid w:val="165718D0"/>
    <w:rsid w:val="16AA6756"/>
    <w:rsid w:val="172E43A1"/>
    <w:rsid w:val="174D4EA7"/>
    <w:rsid w:val="175A2E39"/>
    <w:rsid w:val="17DD3993"/>
    <w:rsid w:val="18A11991"/>
    <w:rsid w:val="19E32127"/>
    <w:rsid w:val="19FF0C13"/>
    <w:rsid w:val="1A5C2A4E"/>
    <w:rsid w:val="1B253ED2"/>
    <w:rsid w:val="1BC05DF2"/>
    <w:rsid w:val="1BC24094"/>
    <w:rsid w:val="1C2820C5"/>
    <w:rsid w:val="1C3B35B8"/>
    <w:rsid w:val="1C456119"/>
    <w:rsid w:val="1C5D2364"/>
    <w:rsid w:val="1CA42C86"/>
    <w:rsid w:val="1CBC7D2B"/>
    <w:rsid w:val="1CDC3113"/>
    <w:rsid w:val="1D346FEC"/>
    <w:rsid w:val="1D4B396E"/>
    <w:rsid w:val="1DA60959"/>
    <w:rsid w:val="1F336A0C"/>
    <w:rsid w:val="202B7483"/>
    <w:rsid w:val="20A86C65"/>
    <w:rsid w:val="21865F2E"/>
    <w:rsid w:val="21934165"/>
    <w:rsid w:val="21E46072"/>
    <w:rsid w:val="221B241D"/>
    <w:rsid w:val="22323912"/>
    <w:rsid w:val="22340A05"/>
    <w:rsid w:val="228A6B3D"/>
    <w:rsid w:val="22B21E06"/>
    <w:rsid w:val="22CB6CA9"/>
    <w:rsid w:val="23592BDD"/>
    <w:rsid w:val="23696F9D"/>
    <w:rsid w:val="23F66F7D"/>
    <w:rsid w:val="24117211"/>
    <w:rsid w:val="24764583"/>
    <w:rsid w:val="24CC5FD0"/>
    <w:rsid w:val="256368AC"/>
    <w:rsid w:val="25FD21F0"/>
    <w:rsid w:val="272946C3"/>
    <w:rsid w:val="273A3C01"/>
    <w:rsid w:val="27621FA8"/>
    <w:rsid w:val="27E8177C"/>
    <w:rsid w:val="2874016E"/>
    <w:rsid w:val="2876172E"/>
    <w:rsid w:val="288A3366"/>
    <w:rsid w:val="28C90BCE"/>
    <w:rsid w:val="2934220A"/>
    <w:rsid w:val="295E6166"/>
    <w:rsid w:val="2A7F5635"/>
    <w:rsid w:val="2B7D4672"/>
    <w:rsid w:val="2C61348B"/>
    <w:rsid w:val="2C7B2207"/>
    <w:rsid w:val="2E3859E0"/>
    <w:rsid w:val="2EEF770D"/>
    <w:rsid w:val="30425C4D"/>
    <w:rsid w:val="305C7C2A"/>
    <w:rsid w:val="30677F85"/>
    <w:rsid w:val="30C65115"/>
    <w:rsid w:val="30D93C45"/>
    <w:rsid w:val="30FA589B"/>
    <w:rsid w:val="316D2F02"/>
    <w:rsid w:val="31AE1938"/>
    <w:rsid w:val="31D05FCA"/>
    <w:rsid w:val="32BC7499"/>
    <w:rsid w:val="32D500ED"/>
    <w:rsid w:val="330320AA"/>
    <w:rsid w:val="330F5F53"/>
    <w:rsid w:val="336E1183"/>
    <w:rsid w:val="33B824AD"/>
    <w:rsid w:val="34186D0E"/>
    <w:rsid w:val="343B3403"/>
    <w:rsid w:val="344B42BB"/>
    <w:rsid w:val="345F41C8"/>
    <w:rsid w:val="35301564"/>
    <w:rsid w:val="35362C48"/>
    <w:rsid w:val="354645AD"/>
    <w:rsid w:val="35B94DEA"/>
    <w:rsid w:val="35E45CB2"/>
    <w:rsid w:val="35F15D0E"/>
    <w:rsid w:val="36385515"/>
    <w:rsid w:val="364536F9"/>
    <w:rsid w:val="36A55345"/>
    <w:rsid w:val="37E84E21"/>
    <w:rsid w:val="384533B6"/>
    <w:rsid w:val="38863059"/>
    <w:rsid w:val="38914881"/>
    <w:rsid w:val="38A749E9"/>
    <w:rsid w:val="38E55A2A"/>
    <w:rsid w:val="38E77936"/>
    <w:rsid w:val="38F07875"/>
    <w:rsid w:val="393A5EE5"/>
    <w:rsid w:val="39D946B3"/>
    <w:rsid w:val="39DB76F0"/>
    <w:rsid w:val="39E60176"/>
    <w:rsid w:val="3A821127"/>
    <w:rsid w:val="3B676C9B"/>
    <w:rsid w:val="3BF954D4"/>
    <w:rsid w:val="3C894AEC"/>
    <w:rsid w:val="3C9854AF"/>
    <w:rsid w:val="3DA55E3F"/>
    <w:rsid w:val="3DFE77BD"/>
    <w:rsid w:val="3F1D7803"/>
    <w:rsid w:val="3FC37BCA"/>
    <w:rsid w:val="3FF638FD"/>
    <w:rsid w:val="401B37DA"/>
    <w:rsid w:val="40D75777"/>
    <w:rsid w:val="417B2C11"/>
    <w:rsid w:val="41B51F6C"/>
    <w:rsid w:val="42F40D67"/>
    <w:rsid w:val="43091E15"/>
    <w:rsid w:val="432A6765"/>
    <w:rsid w:val="43F155CB"/>
    <w:rsid w:val="43F82DC2"/>
    <w:rsid w:val="4461204D"/>
    <w:rsid w:val="448239F1"/>
    <w:rsid w:val="448B55A2"/>
    <w:rsid w:val="44C15396"/>
    <w:rsid w:val="44F32B6B"/>
    <w:rsid w:val="45041F73"/>
    <w:rsid w:val="45270380"/>
    <w:rsid w:val="4541057D"/>
    <w:rsid w:val="457E1A0F"/>
    <w:rsid w:val="45F73AFE"/>
    <w:rsid w:val="46621798"/>
    <w:rsid w:val="46950248"/>
    <w:rsid w:val="469F4AEF"/>
    <w:rsid w:val="4735492D"/>
    <w:rsid w:val="48645FF7"/>
    <w:rsid w:val="4A5A571D"/>
    <w:rsid w:val="4A7A52B0"/>
    <w:rsid w:val="4ABD2577"/>
    <w:rsid w:val="4AF722AA"/>
    <w:rsid w:val="4B5A566B"/>
    <w:rsid w:val="4B5D5D0F"/>
    <w:rsid w:val="4B994705"/>
    <w:rsid w:val="4BDC3C83"/>
    <w:rsid w:val="4C3D3CDC"/>
    <w:rsid w:val="4C7A7477"/>
    <w:rsid w:val="4D5022E1"/>
    <w:rsid w:val="4DFE3ACB"/>
    <w:rsid w:val="4E93562F"/>
    <w:rsid w:val="4F6F4324"/>
    <w:rsid w:val="4FBD5F79"/>
    <w:rsid w:val="4FD22002"/>
    <w:rsid w:val="50CB1E47"/>
    <w:rsid w:val="51013D2B"/>
    <w:rsid w:val="51F5705E"/>
    <w:rsid w:val="5284087D"/>
    <w:rsid w:val="52C459A7"/>
    <w:rsid w:val="53B54D4C"/>
    <w:rsid w:val="54103A43"/>
    <w:rsid w:val="54483604"/>
    <w:rsid w:val="54DB4319"/>
    <w:rsid w:val="5517517A"/>
    <w:rsid w:val="558B302E"/>
    <w:rsid w:val="559902D0"/>
    <w:rsid w:val="55A07BAD"/>
    <w:rsid w:val="55AA50D8"/>
    <w:rsid w:val="55E56E02"/>
    <w:rsid w:val="56E41CF1"/>
    <w:rsid w:val="57D77114"/>
    <w:rsid w:val="581619E2"/>
    <w:rsid w:val="58241EF3"/>
    <w:rsid w:val="58373FC8"/>
    <w:rsid w:val="58780207"/>
    <w:rsid w:val="5A2216D2"/>
    <w:rsid w:val="5A363EF8"/>
    <w:rsid w:val="5A782984"/>
    <w:rsid w:val="5B8911F2"/>
    <w:rsid w:val="5B950720"/>
    <w:rsid w:val="5C3744A4"/>
    <w:rsid w:val="5C747D5D"/>
    <w:rsid w:val="5D3E0A4C"/>
    <w:rsid w:val="5DAC51EA"/>
    <w:rsid w:val="604E319F"/>
    <w:rsid w:val="607436E8"/>
    <w:rsid w:val="61652CE2"/>
    <w:rsid w:val="616F37EB"/>
    <w:rsid w:val="61ED29E4"/>
    <w:rsid w:val="62D50574"/>
    <w:rsid w:val="63F04844"/>
    <w:rsid w:val="640B3813"/>
    <w:rsid w:val="642439B4"/>
    <w:rsid w:val="64496241"/>
    <w:rsid w:val="645374FC"/>
    <w:rsid w:val="64AC6A93"/>
    <w:rsid w:val="64C72824"/>
    <w:rsid w:val="651B4F3A"/>
    <w:rsid w:val="671615B1"/>
    <w:rsid w:val="67384754"/>
    <w:rsid w:val="6808013C"/>
    <w:rsid w:val="683A16D5"/>
    <w:rsid w:val="685F168B"/>
    <w:rsid w:val="68CB7D97"/>
    <w:rsid w:val="690D6301"/>
    <w:rsid w:val="69485010"/>
    <w:rsid w:val="69F700D8"/>
    <w:rsid w:val="6A741A71"/>
    <w:rsid w:val="6B315915"/>
    <w:rsid w:val="6B3D06DD"/>
    <w:rsid w:val="6B5F19C5"/>
    <w:rsid w:val="6BD32D89"/>
    <w:rsid w:val="6C642D54"/>
    <w:rsid w:val="6C8E7FCA"/>
    <w:rsid w:val="6D246C6C"/>
    <w:rsid w:val="6D90744B"/>
    <w:rsid w:val="6DA938EC"/>
    <w:rsid w:val="6DDE4877"/>
    <w:rsid w:val="6E225443"/>
    <w:rsid w:val="6E29051C"/>
    <w:rsid w:val="6E3D14AE"/>
    <w:rsid w:val="6E3F4637"/>
    <w:rsid w:val="6FFC0D84"/>
    <w:rsid w:val="702E4BC3"/>
    <w:rsid w:val="70752EBE"/>
    <w:rsid w:val="715B1783"/>
    <w:rsid w:val="72130280"/>
    <w:rsid w:val="723E2C5C"/>
    <w:rsid w:val="72A12B30"/>
    <w:rsid w:val="774267A1"/>
    <w:rsid w:val="775D150D"/>
    <w:rsid w:val="77857984"/>
    <w:rsid w:val="7803163E"/>
    <w:rsid w:val="789449E3"/>
    <w:rsid w:val="795923AC"/>
    <w:rsid w:val="7A37255B"/>
    <w:rsid w:val="7A9C4DB8"/>
    <w:rsid w:val="7ABF5EDC"/>
    <w:rsid w:val="7AD42480"/>
    <w:rsid w:val="7B026CC6"/>
    <w:rsid w:val="7B0B7DD8"/>
    <w:rsid w:val="7BDB5E52"/>
    <w:rsid w:val="7BEF7565"/>
    <w:rsid w:val="7C364B59"/>
    <w:rsid w:val="7C5C4840"/>
    <w:rsid w:val="7CA60C52"/>
    <w:rsid w:val="7CB5754C"/>
    <w:rsid w:val="7D8833E3"/>
    <w:rsid w:val="7DF36667"/>
    <w:rsid w:val="7E3925BB"/>
    <w:rsid w:val="7EC13620"/>
    <w:rsid w:val="7F7E5B6F"/>
    <w:rsid w:val="7F98771E"/>
    <w:rsid w:val="7FC41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DC129"/>
  <w15:docId w15:val="{95707B87-0682-49EB-8420-ABE845A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qFormat/>
    <w:pPr>
      <w:ind w:leftChars="2500" w:left="100"/>
    </w:pPr>
  </w:style>
  <w:style w:type="paragraph" w:styleId="a6">
    <w:name w:val="Balloon Text"/>
    <w:basedOn w:val="a0"/>
    <w:link w:val="a7"/>
    <w:uiPriority w:val="99"/>
    <w:unhideWhenUsed/>
    <w:qFormat/>
    <w:rPr>
      <w:sz w:val="18"/>
      <w:szCs w:val="18"/>
    </w:rPr>
  </w:style>
  <w:style w:type="paragraph" w:styleId="a8">
    <w:name w:val="footer"/>
    <w:basedOn w:val="a0"/>
    <w:link w:val="a9"/>
    <w:uiPriority w:val="99"/>
    <w:unhideWhenUsed/>
    <w:qFormat/>
    <w:pPr>
      <w:tabs>
        <w:tab w:val="center" w:pos="4153"/>
        <w:tab w:val="right" w:pos="8306"/>
      </w:tabs>
      <w:snapToGrid w:val="0"/>
      <w:jc w:val="left"/>
    </w:pPr>
    <w:rPr>
      <w:kern w:val="0"/>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2">
    <w:name w:val="toc 2"/>
    <w:next w:val="a0"/>
    <w:uiPriority w:val="39"/>
    <w:unhideWhenUsed/>
    <w:qFormat/>
    <w:pPr>
      <w:ind w:leftChars="200" w:left="420"/>
    </w:p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c">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rPr>
      <w:rFonts w:ascii="Times New Roman" w:eastAsia="宋体" w:hAnsi="Times New Roman"/>
      <w:sz w:val="18"/>
    </w:rPr>
  </w:style>
  <w:style w:type="paragraph" w:customStyle="1" w:styleId="1">
    <w:name w:val="列出段落1"/>
    <w:basedOn w:val="a0"/>
    <w:uiPriority w:val="34"/>
    <w:qFormat/>
    <w:pPr>
      <w:ind w:firstLineChars="200" w:firstLine="420"/>
    </w:pPr>
  </w:style>
  <w:style w:type="paragraph" w:customStyle="1" w:styleId="af">
    <w:name w:val="章标题"/>
    <w:next w:val="af0"/>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0">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f1">
    <w:name w:val="二级条标题"/>
    <w:basedOn w:val="af2"/>
    <w:next w:val="af0"/>
    <w:qFormat/>
    <w:pPr>
      <w:spacing w:line="360" w:lineRule="auto"/>
      <w:outlineLvl w:val="3"/>
    </w:pPr>
  </w:style>
  <w:style w:type="paragraph" w:customStyle="1" w:styleId="af2">
    <w:name w:val="一级条标题"/>
    <w:next w:val="af0"/>
    <w:link w:val="Char1"/>
    <w:qFormat/>
    <w:pPr>
      <w:spacing w:beforeLines="50" w:afterLines="50"/>
      <w:outlineLvl w:val="2"/>
    </w:pPr>
    <w:rPr>
      <w:rFonts w:ascii="黑体" w:eastAsia="黑体"/>
      <w:sz w:val="21"/>
      <w:szCs w:val="21"/>
    </w:rPr>
  </w:style>
  <w:style w:type="paragraph" w:customStyle="1" w:styleId="af3">
    <w:name w:val="三级条标题"/>
    <w:basedOn w:val="af1"/>
    <w:next w:val="af0"/>
    <w:qFormat/>
    <w:pPr>
      <w:spacing w:line="240" w:lineRule="auto"/>
      <w:outlineLvl w:val="4"/>
    </w:pPr>
  </w:style>
  <w:style w:type="paragraph" w:customStyle="1" w:styleId="af4">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5">
    <w:name w:val="四级条标题"/>
    <w:basedOn w:val="af3"/>
    <w:next w:val="af0"/>
    <w:qFormat/>
    <w:pPr>
      <w:spacing w:beforeLines="0" w:afterLines="0"/>
      <w:jc w:val="both"/>
      <w:outlineLvl w:val="5"/>
    </w:pPr>
    <w:rPr>
      <w:szCs w:val="20"/>
    </w:rPr>
  </w:style>
  <w:style w:type="paragraph" w:customStyle="1" w:styleId="af6">
    <w:name w:val="五级条标题"/>
    <w:basedOn w:val="af5"/>
    <w:next w:val="af0"/>
    <w:qFormat/>
    <w:pPr>
      <w:outlineLvl w:val="6"/>
    </w:pPr>
  </w:style>
  <w:style w:type="paragraph" w:customStyle="1" w:styleId="af7">
    <w:name w:val="段(正文）"/>
    <w:qFormat/>
    <w:pPr>
      <w:autoSpaceDE w:val="0"/>
      <w:autoSpaceDN w:val="0"/>
      <w:ind w:firstLine="420"/>
      <w:jc w:val="both"/>
    </w:pPr>
    <w:rPr>
      <w:rFonts w:ascii="宋体"/>
      <w:sz w:val="21"/>
    </w:rPr>
  </w:style>
  <w:style w:type="paragraph" w:customStyle="1" w:styleId="af8">
    <w:name w:val="正文表标题"/>
    <w:next w:val="af0"/>
    <w:qFormat/>
    <w:pPr>
      <w:tabs>
        <w:tab w:val="left" w:pos="360"/>
      </w:tabs>
      <w:spacing w:beforeLines="50" w:afterLines="50"/>
      <w:ind w:left="720" w:hanging="720"/>
      <w:jc w:val="center"/>
    </w:pPr>
    <w:rPr>
      <w:rFonts w:ascii="黑体" w:eastAsia="黑体"/>
      <w:sz w:val="21"/>
    </w:rPr>
  </w:style>
  <w:style w:type="paragraph" w:customStyle="1" w:styleId="af9">
    <w:name w:val="标准书脚_奇数页"/>
    <w:qFormat/>
    <w:pPr>
      <w:spacing w:before="120"/>
      <w:ind w:right="198"/>
      <w:jc w:val="right"/>
    </w:pPr>
    <w:rPr>
      <w:rFonts w:ascii="宋体"/>
      <w:sz w:val="18"/>
      <w:szCs w:val="18"/>
    </w:rPr>
  </w:style>
  <w:style w:type="paragraph" w:customStyle="1" w:styleId="2">
    <w:name w:val="封面标准号2"/>
    <w:qFormat/>
    <w:pPr>
      <w:spacing w:before="357" w:line="280" w:lineRule="exact"/>
      <w:jc w:val="right"/>
    </w:pPr>
    <w:rPr>
      <w:rFonts w:ascii="黑体" w:eastAsia="黑体"/>
      <w:sz w:val="28"/>
      <w:szCs w:val="28"/>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HTML0">
    <w:name w:val="HTML 预设格式 字符"/>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
    <w:qFormat/>
    <w:rPr>
      <w:rFonts w:ascii="黑体" w:eastAsia="黑体"/>
      <w:kern w:val="2"/>
      <w:sz w:val="21"/>
      <w:szCs w:val="22"/>
      <w:lang w:val="en-US" w:eastAsia="zh-CN" w:bidi="ar-SA"/>
    </w:rPr>
  </w:style>
  <w:style w:type="character" w:customStyle="1" w:styleId="Char0">
    <w:name w:val="段 Char"/>
    <w:link w:val="af0"/>
    <w:qFormat/>
    <w:rPr>
      <w:rFonts w:ascii="宋体"/>
      <w:kern w:val="2"/>
      <w:sz w:val="21"/>
      <w:szCs w:val="22"/>
      <w:lang w:val="en-US" w:eastAsia="zh-CN" w:bidi="ar-SA"/>
    </w:rPr>
  </w:style>
  <w:style w:type="character" w:customStyle="1" w:styleId="a7">
    <w:name w:val="批注框文本 字符"/>
    <w:link w:val="a6"/>
    <w:uiPriority w:val="99"/>
    <w:semiHidden/>
    <w:qFormat/>
    <w:rPr>
      <w:kern w:val="2"/>
      <w:sz w:val="18"/>
      <w:szCs w:val="18"/>
    </w:rPr>
  </w:style>
  <w:style w:type="character" w:customStyle="1" w:styleId="Char1">
    <w:name w:val="一级条标题 Char"/>
    <w:link w:val="af2"/>
    <w:qFormat/>
    <w:rPr>
      <w:rFonts w:ascii="黑体" w:eastAsia="黑体" w:hAnsi="Times New Roman"/>
      <w:sz w:val="21"/>
      <w:szCs w:val="21"/>
      <w:lang w:bidi="ar-SA"/>
    </w:rPr>
  </w:style>
  <w:style w:type="character" w:customStyle="1" w:styleId="a5">
    <w:name w:val="日期 字符"/>
    <w:link w:val="a4"/>
    <w:uiPriority w:val="99"/>
    <w:semiHidden/>
    <w:qFormat/>
    <w:rPr>
      <w:rFonts w:ascii="Calibri" w:hAnsi="Calibri"/>
      <w:kern w:val="2"/>
      <w:sz w:val="21"/>
      <w:szCs w:val="22"/>
    </w:rPr>
  </w:style>
  <w:style w:type="paragraph" w:customStyle="1" w:styleId="afa">
    <w:name w:val="二级无"/>
    <w:basedOn w:val="af1"/>
    <w:qFormat/>
    <w:pPr>
      <w:spacing w:beforeLines="0" w:afterLines="0"/>
    </w:pPr>
    <w:rPr>
      <w:rFonts w:ascii="宋体" w:eastAsia="宋体"/>
    </w:rPr>
  </w:style>
  <w:style w:type="paragraph" w:customStyle="1" w:styleId="10">
    <w:name w:val="列表段落1"/>
    <w:basedOn w:val="a0"/>
    <w:uiPriority w:val="99"/>
    <w:unhideWhenUsed/>
    <w:qFormat/>
    <w:pPr>
      <w:ind w:firstLineChars="200" w:firstLine="420"/>
    </w:pPr>
  </w:style>
  <w:style w:type="paragraph" w:customStyle="1" w:styleId="afb">
    <w:name w:val="一级无"/>
    <w:basedOn w:val="af2"/>
    <w:qFormat/>
    <w:pPr>
      <w:spacing w:beforeLines="0" w:afterLines="0"/>
    </w:pPr>
    <w:rPr>
      <w:rFonts w:ascii="宋体" w:eastAsia="宋体"/>
    </w:rPr>
  </w:style>
  <w:style w:type="paragraph" w:customStyle="1" w:styleId="afc">
    <w:name w:val="编制一级条标题"/>
    <w:basedOn w:val="a0"/>
    <w:qFormat/>
    <w:rPr>
      <w:rFonts w:ascii="宋体" w:hAnsi="宋体"/>
      <w:b/>
    </w:rPr>
  </w:style>
  <w:style w:type="paragraph" w:customStyle="1" w:styleId="afd">
    <w:name w:val="三级无"/>
    <w:basedOn w:val="af3"/>
    <w:qFormat/>
    <w:pPr>
      <w:spacing w:beforeLines="0" w:afterLines="0"/>
    </w:pPr>
    <w:rPr>
      <w:rFonts w:ascii="宋体" w:eastAsia="宋体"/>
    </w:rPr>
  </w:style>
  <w:style w:type="paragraph" w:customStyle="1" w:styleId="a">
    <w:name w:val="字母编号列项（一级）"/>
    <w:qFormat/>
    <w:pPr>
      <w:numPr>
        <w:numId w:val="1"/>
      </w:numPr>
      <w:jc w:val="both"/>
    </w:pPr>
    <w:rPr>
      <w:rFonts w:ascii="宋体"/>
      <w:sz w:val="21"/>
    </w:rPr>
  </w:style>
  <w:style w:type="paragraph" w:customStyle="1" w:styleId="11">
    <w:name w:val="正文1"/>
    <w:rsid w:val="000C6780"/>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8322">
      <w:bodyDiv w:val="1"/>
      <w:marLeft w:val="0"/>
      <w:marRight w:val="0"/>
      <w:marTop w:val="0"/>
      <w:marBottom w:val="0"/>
      <w:divBdr>
        <w:top w:val="none" w:sz="0" w:space="0" w:color="auto"/>
        <w:left w:val="none" w:sz="0" w:space="0" w:color="auto"/>
        <w:bottom w:val="none" w:sz="0" w:space="0" w:color="auto"/>
        <w:right w:val="none" w:sz="0" w:space="0" w:color="auto"/>
      </w:divBdr>
    </w:div>
    <w:div w:id="834229157">
      <w:bodyDiv w:val="1"/>
      <w:marLeft w:val="0"/>
      <w:marRight w:val="0"/>
      <w:marTop w:val="0"/>
      <w:marBottom w:val="0"/>
      <w:divBdr>
        <w:top w:val="none" w:sz="0" w:space="0" w:color="auto"/>
        <w:left w:val="none" w:sz="0" w:space="0" w:color="auto"/>
        <w:bottom w:val="none" w:sz="0" w:space="0" w:color="auto"/>
        <w:right w:val="none" w:sz="0" w:space="0" w:color="auto"/>
      </w:divBdr>
    </w:div>
    <w:div w:id="895162835">
      <w:bodyDiv w:val="1"/>
      <w:marLeft w:val="0"/>
      <w:marRight w:val="0"/>
      <w:marTop w:val="0"/>
      <w:marBottom w:val="0"/>
      <w:divBdr>
        <w:top w:val="none" w:sz="0" w:space="0" w:color="auto"/>
        <w:left w:val="none" w:sz="0" w:space="0" w:color="auto"/>
        <w:bottom w:val="none" w:sz="0" w:space="0" w:color="auto"/>
        <w:right w:val="none" w:sz="0" w:space="0" w:color="auto"/>
      </w:divBdr>
    </w:div>
    <w:div w:id="181779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1154</Words>
  <Characters>6582</Characters>
  <Application>Microsoft Office Word</Application>
  <DocSecurity>0</DocSecurity>
  <Lines>54</Lines>
  <Paragraphs>15</Paragraphs>
  <ScaleCrop>false</ScaleCrop>
  <Company>Hewlett-Packard Company</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hhh</cp:lastModifiedBy>
  <cp:revision>63</cp:revision>
  <cp:lastPrinted>2020-09-25T06:58:00Z</cp:lastPrinted>
  <dcterms:created xsi:type="dcterms:W3CDTF">2019-02-13T00:42:00Z</dcterms:created>
  <dcterms:modified xsi:type="dcterms:W3CDTF">2020-09-28T08:45:00Z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