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rPr>
          <w:rFonts w:hAnsi="黑体" w:cs="黑体"/>
        </w:rPr>
      </w:pPr>
      <w:r>
        <w:rPr>
          <w:rFonts w:hint="eastAsia" w:hAnsi="黑体" w:cs="黑体"/>
        </w:rPr>
        <w:t>ICS 67.080</w:t>
      </w:r>
    </w:p>
    <w:p>
      <w:pPr>
        <w:pStyle w:val="119"/>
      </w:pPr>
      <w:r>
        <w:rPr>
          <w:rFonts w:hint="eastAsia"/>
        </w:rPr>
        <w:t>C</w:t>
      </w:r>
      <w:r>
        <w:t>CS</w:t>
      </w:r>
      <w:r>
        <w:rPr>
          <w:rFonts w:hint="eastAsia"/>
        </w:rPr>
        <w:t xml:space="preserve"> X 24</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19"/>
            </w:pPr>
          </w:p>
          <w:p>
            <w:pPr>
              <w:pStyle w:val="119"/>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v:fill on="t" focussize="0,0"/>
                      <v:stroke on="f"/>
                      <v:imagedata o:title=""/>
                      <o:lock v:ext="edit" aspectratio="f"/>
                      <v:textbox>
                        <w:txbxContent>
                          <w:p>
                            <w:pPr>
                              <w:jc w:val="center"/>
                            </w:pPr>
                          </w:p>
                        </w:txbxContent>
                      </v:textbox>
                    </v:rect>
                  </w:pict>
                </mc:Fallback>
              </mc:AlternateContent>
            </w:r>
          </w:p>
        </w:tc>
      </w:tr>
    </w:tbl>
    <w:p>
      <w:pPr>
        <w:pStyle w:val="63"/>
        <w:framePr w:w="0" w:hRule="auto"/>
      </w:pPr>
      <w:r>
        <w:rPr>
          <w:rFonts w:hint="eastAsia" w:ascii="黑体" w:hAnsi="黑体" w:eastAsia="黑体" w:cs="黑体"/>
        </w:rPr>
        <w:t>团体标准</w:t>
      </w:r>
    </w:p>
    <w:p>
      <w:pPr>
        <w:pStyle w:val="43"/>
        <w:rPr>
          <w:rFonts w:hAnsi="黑体"/>
        </w:rPr>
      </w:pPr>
      <w:r>
        <w:rPr>
          <w:rFonts w:hint="eastAsia" w:hAnsi="黑体" w:cs="黑体"/>
        </w:rPr>
        <w:t>T/ZFS XXXX—2020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pPr>
            <w:bookmarkStart w:id="0" w:name="DT"/>
            <w: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v:fill on="t" focussize="0,0"/>
                      <v:stroke on="f"/>
                      <v:imagedata o:title=""/>
                      <o:lock v:ext="edit" aspectratio="f"/>
                      <v:textbox>
                        <w:txbxContent>
                          <w:p>
                            <w:pPr>
                              <w:jc w:val="center"/>
                            </w:pPr>
                          </w:p>
                        </w:txbxContent>
                      </v:textbox>
                    </v:rect>
                  </w:pict>
                </mc:Fallback>
              </mc:AlternateContent>
            </w:r>
            <w:bookmarkEnd w:id="0"/>
          </w:p>
        </w:tc>
      </w:tr>
    </w:tbl>
    <w:p>
      <w:pPr>
        <w:pStyle w:val="43"/>
        <w:rPr>
          <w:rFonts w:hAnsi="黑体"/>
        </w:rPr>
      </w:pPr>
    </w:p>
    <w:p>
      <w:pPr>
        <w:pStyle w:val="43"/>
        <w:rPr>
          <w:rFonts w:hAnsi="黑体"/>
        </w:rPr>
      </w:pPr>
    </w:p>
    <w:p>
      <w:pPr>
        <w:pStyle w:val="74"/>
      </w:pPr>
      <w:r>
        <w:rPr>
          <w:rFonts w:hint="eastAsia" w:hAnsi="黑体" w:cs="黑体"/>
          <w:szCs w:val="52"/>
        </w:rPr>
        <w:t>芒果干</w:t>
      </w:r>
    </w:p>
    <w:p>
      <w:pPr>
        <w:pStyle w:val="75"/>
      </w:pPr>
      <w:r>
        <w:rPr>
          <w:rFonts w:hint="eastAsia"/>
        </w:rPr>
        <w:t>D</w:t>
      </w:r>
      <w:r>
        <w:t xml:space="preserve">ried mango </w:t>
      </w:r>
    </w:p>
    <w:p>
      <w:pPr>
        <w:pStyle w:val="76"/>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v:fill on="t" focussize="0,0"/>
                      <v:stroke on="f"/>
                      <v:imagedata o:title=""/>
                      <o:lock v:ext="edit" aspectratio="f"/>
                      <v:textbox>
                        <w:txbxContent>
                          <w:p>
                            <w:pPr>
                              <w:jc w:val="center"/>
                            </w:pPr>
                          </w:p>
                        </w:txbxContent>
                      </v:textbox>
                    </v:rect>
                  </w:pict>
                </mc:Fallback>
              </mc:AlternateContent>
            </w:r>
            <w:r>
              <w:rPr>
                <w:rFonts w:hint="eastAsia"/>
              </w:rPr>
              <w:t>（</w:t>
            </w:r>
            <w:r>
              <w:rPr>
                <w:rFonts w:hint="eastAsia"/>
                <w:lang w:val="en-US"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pPr>
          </w:p>
        </w:tc>
      </w:tr>
    </w:tbl>
    <w:p>
      <w:pPr>
        <w:pStyle w:val="126"/>
        <w:framePr w:hAnchor="page" w:x="1666" w:y="14131"/>
      </w:pPr>
      <w:bookmarkStart w:id="1"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w:t>
      </w:r>
      <w:r>
        <w:rPr>
          <w:rFonts w:ascii="黑体"/>
        </w:rPr>
        <w:t>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5.35pt;margin-top:736.5pt;height:0pt;width:481.9pt;mso-position-vertical-relative:page;z-index:251655168;mso-width-relative:page;mso-height-relative:page;" filled="f" stroked="t" coordsize="21600,21600"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v:fill on="f" focussize="0,0"/>
                <v:stroke color="#000000" joinstyle="round"/>
                <v:imagedata o:title=""/>
                <o:lock v:ext="edit" aspectratio="f"/>
                <w10:anchorlock/>
              </v:line>
            </w:pict>
          </mc:Fallback>
        </mc:AlternateContent>
      </w:r>
    </w:p>
    <w:p>
      <w:pPr>
        <w:pStyle w:val="127"/>
        <w:framePr w:hAnchor="page" w:x="6736" w:y="14131"/>
      </w:pPr>
      <w:bookmarkStart w:id="3"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w:t>
      </w:r>
      <w:r>
        <w:rPr>
          <w:rFonts w:ascii="黑体"/>
        </w:rPr>
        <w:t>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107"/>
      </w:pPr>
      <w:r>
        <w:rPr>
          <w:rFonts w:hint="eastAsia"/>
        </w:rPr>
        <w:t>浙江省食品学会</w:t>
      </w:r>
      <w:r>
        <w:rPr>
          <w:rFonts w:hAnsi="黑体"/>
        </w:rPr>
        <w:t>   </w:t>
      </w:r>
      <w:r>
        <w:rPr>
          <w:rStyle w:val="69"/>
          <w:rFonts w:hint="eastAsia"/>
        </w:rPr>
        <w:t>发布</w:t>
      </w:r>
    </w:p>
    <w:p>
      <w:pPr>
        <w:pStyle w:val="2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v:fill on="f" focussize="0,0"/>
                <v:stroke color="#000000" joinstyle="round"/>
                <v:imagedata o:title=""/>
                <o:lock v:ext="edit" aspectratio="f"/>
              </v:line>
            </w:pict>
          </mc:Fallback>
        </mc:AlternateContent>
      </w:r>
    </w:p>
    <w:p>
      <w:pPr>
        <w:pStyle w:val="46"/>
        <w:rPr>
          <w:color w:val="000000" w:themeColor="text1"/>
          <w14:textFill>
            <w14:solidFill>
              <w14:schemeClr w14:val="tx1"/>
            </w14:solidFill>
          </w14:textFill>
        </w:rPr>
      </w:pPr>
      <w:bookmarkStart w:id="6" w:name="_Toc34064616"/>
      <w:r>
        <w:rPr>
          <w:rFonts w:hint="eastAsia"/>
          <w:color w:val="000000" w:themeColor="text1"/>
          <w14:textFill>
            <w14:solidFill>
              <w14:schemeClr w14:val="tx1"/>
            </w14:solidFill>
          </w14:textFill>
        </w:rPr>
        <w:t>目</w:t>
      </w:r>
      <w:bookmarkStart w:id="7" w:name="BKML"/>
      <w:r>
        <w:rPr>
          <w:rFonts w:hAnsi="黑体"/>
          <w:color w:val="000000" w:themeColor="text1"/>
          <w14:textFill>
            <w14:solidFill>
              <w14:schemeClr w14:val="tx1"/>
            </w14:solidFill>
          </w14:textFill>
        </w:rPr>
        <w:t>  </w:t>
      </w:r>
      <w:r>
        <w:rPr>
          <w:rFonts w:hint="eastAsia"/>
          <w:color w:val="000000" w:themeColor="text1"/>
          <w14:textFill>
            <w14:solidFill>
              <w14:schemeClr w14:val="tx1"/>
            </w14:solidFill>
          </w14:textFill>
        </w:rPr>
        <w:t>次</w:t>
      </w:r>
      <w:bookmarkEnd w:id="7"/>
    </w:p>
    <w:p>
      <w:pPr>
        <w:pStyle w:val="16"/>
        <w:spacing w:before="78" w:after="78"/>
        <w:jc w:val="both"/>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"_Toc34064674" </w:instrText>
      </w:r>
      <w:r>
        <w:fldChar w:fldCharType="separate"/>
      </w:r>
      <w:r>
        <w:rPr>
          <w:rStyle w:val="35"/>
          <w:rFonts w:hint="eastAsia"/>
        </w:rPr>
        <w:t>前言</w:t>
      </w:r>
      <w:r>
        <w:tab/>
      </w:r>
      <w:r>
        <w:fldChar w:fldCharType="begin" w:fldLock="1"/>
      </w:r>
      <w:r>
        <w:instrText xml:space="preserve"> PAGEREF _Toc34064674 \h </w:instrText>
      </w:r>
      <w:r>
        <w:fldChar w:fldCharType="separate"/>
      </w:r>
      <w:r>
        <w:t>II</w:t>
      </w:r>
      <w:r>
        <w:fldChar w:fldCharType="end"/>
      </w:r>
      <w:r>
        <w:fldChar w:fldCharType="end"/>
      </w:r>
    </w:p>
    <w:p>
      <w:pPr>
        <w:pStyle w:val="16"/>
        <w:spacing w:before="78" w:after="78"/>
        <w:jc w:val="both"/>
        <w:rPr>
          <w:rFonts w:ascii="Calibri" w:hAnsi="Calibri"/>
          <w:szCs w:val="22"/>
        </w:rPr>
      </w:pPr>
      <w:r>
        <w:fldChar w:fldCharType="begin"/>
      </w:r>
      <w:r>
        <w:instrText xml:space="preserve"> HYPERLINK \l "_Toc34064675" </w:instrText>
      </w:r>
      <w:r>
        <w:fldChar w:fldCharType="separate"/>
      </w:r>
      <w:r>
        <w:rPr>
          <w:rStyle w:val="35"/>
        </w:rPr>
        <w:t>1</w:t>
      </w:r>
      <w:r>
        <w:rPr>
          <w:rStyle w:val="35"/>
          <w:rFonts w:hint="eastAsia"/>
        </w:rPr>
        <w:t>　范围</w:t>
      </w:r>
      <w:r>
        <w:tab/>
      </w:r>
      <w:r>
        <w:fldChar w:fldCharType="begin" w:fldLock="1"/>
      </w:r>
      <w:r>
        <w:instrText xml:space="preserve"> PAGEREF _Toc34064675 \h </w:instrText>
      </w:r>
      <w:r>
        <w:fldChar w:fldCharType="separate"/>
      </w:r>
      <w:r>
        <w:t>1</w:t>
      </w:r>
      <w:r>
        <w:fldChar w:fldCharType="end"/>
      </w:r>
      <w:r>
        <w:fldChar w:fldCharType="end"/>
      </w:r>
    </w:p>
    <w:p>
      <w:pPr>
        <w:pStyle w:val="16"/>
        <w:spacing w:before="78" w:after="78"/>
        <w:jc w:val="both"/>
      </w:pPr>
      <w:r>
        <w:fldChar w:fldCharType="begin"/>
      </w:r>
      <w:r>
        <w:instrText xml:space="preserve"> HYPERLINK \l "_Toc34064676" </w:instrText>
      </w:r>
      <w:r>
        <w:fldChar w:fldCharType="separate"/>
      </w:r>
      <w:r>
        <w:rPr>
          <w:rStyle w:val="35"/>
        </w:rPr>
        <w:t>2</w:t>
      </w:r>
      <w:r>
        <w:rPr>
          <w:rStyle w:val="35"/>
          <w:rFonts w:hint="eastAsia"/>
        </w:rPr>
        <w:t>　规范性引用文件</w:t>
      </w:r>
      <w:r>
        <w:tab/>
      </w:r>
      <w:r>
        <w:fldChar w:fldCharType="begin" w:fldLock="1"/>
      </w:r>
      <w:r>
        <w:instrText xml:space="preserve"> PAGEREF _Toc34064676 \h </w:instrText>
      </w:r>
      <w:r>
        <w:fldChar w:fldCharType="separate"/>
      </w:r>
      <w:r>
        <w:t>1</w:t>
      </w:r>
      <w:r>
        <w:fldChar w:fldCharType="end"/>
      </w:r>
      <w:r>
        <w:fldChar w:fldCharType="end"/>
      </w:r>
    </w:p>
    <w:p>
      <w:pPr>
        <w:pStyle w:val="16"/>
        <w:spacing w:before="78" w:after="78"/>
        <w:jc w:val="both"/>
      </w:pPr>
      <w:r>
        <w:fldChar w:fldCharType="begin"/>
      </w:r>
      <w:r>
        <w:instrText xml:space="preserve"> HYPERLINK \l "_Toc34064676" </w:instrText>
      </w:r>
      <w:r>
        <w:fldChar w:fldCharType="separate"/>
      </w:r>
      <w:r>
        <w:rPr>
          <w:rStyle w:val="35"/>
          <w:rFonts w:hint="eastAsia"/>
          <w:lang w:val="en-US" w:eastAsia="zh-CN"/>
        </w:rPr>
        <w:t>3</w:t>
      </w:r>
      <w:r>
        <w:rPr>
          <w:rStyle w:val="35"/>
          <w:rFonts w:hint="eastAsia"/>
        </w:rPr>
        <w:t>　</w:t>
      </w:r>
      <w:r>
        <w:rPr>
          <w:rStyle w:val="35"/>
          <w:rFonts w:hint="eastAsia"/>
          <w:lang w:val="en-US" w:eastAsia="zh-CN"/>
        </w:rPr>
        <w:t>术语和定义</w:t>
      </w:r>
      <w:r>
        <w:tab/>
      </w:r>
      <w:r>
        <w:rPr>
          <w:rFonts w:hint="eastAsia"/>
          <w:lang w:val="en-US" w:eastAsia="zh-CN"/>
        </w:rPr>
        <w:t>1</w:t>
      </w:r>
      <w:r>
        <w:fldChar w:fldCharType="end"/>
      </w:r>
    </w:p>
    <w:p>
      <w:pPr>
        <w:pStyle w:val="16"/>
        <w:spacing w:before="78" w:after="78"/>
        <w:jc w:val="both"/>
        <w:rPr>
          <w:rFonts w:ascii="Calibri" w:hAnsi="Calibri"/>
          <w:szCs w:val="22"/>
        </w:rPr>
      </w:pPr>
      <w:r>
        <w:fldChar w:fldCharType="begin"/>
      </w:r>
      <w:r>
        <w:instrText xml:space="preserve"> HYPERLINK \l "_Toc34064704" </w:instrText>
      </w:r>
      <w:r>
        <w:fldChar w:fldCharType="separate"/>
      </w:r>
      <w:r>
        <w:rPr>
          <w:rStyle w:val="35"/>
          <w:rFonts w:hint="eastAsia"/>
          <w:lang w:val="en-US" w:eastAsia="zh-CN"/>
        </w:rPr>
        <w:t>4</w:t>
      </w:r>
      <w:r>
        <w:rPr>
          <w:rStyle w:val="35"/>
          <w:rFonts w:hint="eastAsia"/>
        </w:rPr>
        <w:t>　</w:t>
      </w:r>
      <w:r>
        <w:rPr>
          <w:rFonts w:hint="eastAsia"/>
        </w:rPr>
        <w:t>技术要求</w:t>
      </w:r>
      <w:r>
        <w:tab/>
      </w:r>
      <w:r>
        <w:rPr>
          <w:rFonts w:hint="eastAsia"/>
          <w:lang w:val="en-US" w:eastAsia="zh-CN"/>
        </w:rPr>
        <w:t>2</w:t>
      </w:r>
      <w:r>
        <w:fldChar w:fldCharType="end"/>
      </w:r>
    </w:p>
    <w:p>
      <w:pPr>
        <w:pStyle w:val="16"/>
        <w:spacing w:before="78" w:after="78"/>
        <w:jc w:val="both"/>
        <w:rPr>
          <w:rFonts w:ascii="Calibri" w:hAnsi="Calibri"/>
          <w:szCs w:val="22"/>
        </w:rPr>
      </w:pPr>
      <w:r>
        <w:fldChar w:fldCharType="begin"/>
      </w:r>
      <w:r>
        <w:instrText xml:space="preserve"> HYPERLINK \l "_Toc34064708" </w:instrText>
      </w:r>
      <w:r>
        <w:fldChar w:fldCharType="separate"/>
      </w:r>
      <w:r>
        <w:rPr>
          <w:rStyle w:val="35"/>
          <w:rFonts w:hint="eastAsia"/>
          <w:lang w:val="en-US" w:eastAsia="zh-CN"/>
        </w:rPr>
        <w:t>5</w:t>
      </w:r>
      <w:r>
        <w:rPr>
          <w:rStyle w:val="35"/>
          <w:rFonts w:hint="eastAsia"/>
        </w:rPr>
        <w:t>　</w:t>
      </w:r>
      <w:r>
        <w:rPr>
          <w:rFonts w:hint="eastAsia"/>
        </w:rPr>
        <w:t>生产加工过程卫生要求</w:t>
      </w:r>
      <w:r>
        <w:tab/>
      </w:r>
      <w:r>
        <w:rPr>
          <w:rFonts w:hint="eastAsia"/>
          <w:lang w:val="en-US" w:eastAsia="zh-CN"/>
        </w:rPr>
        <w:t>3</w:t>
      </w:r>
      <w:r>
        <w:rPr>
          <w:rFonts w:hint="eastAsia"/>
        </w:rPr>
        <w:fldChar w:fldCharType="end"/>
      </w:r>
    </w:p>
    <w:p>
      <w:pPr>
        <w:pStyle w:val="16"/>
        <w:spacing w:before="78" w:after="78"/>
        <w:jc w:val="both"/>
      </w:pPr>
      <w:r>
        <w:fldChar w:fldCharType="begin"/>
      </w:r>
      <w:r>
        <w:instrText xml:space="preserve"> HYPERLINK \l "_Toc34064712" </w:instrText>
      </w:r>
      <w:r>
        <w:fldChar w:fldCharType="separate"/>
      </w:r>
      <w:r>
        <w:rPr>
          <w:rStyle w:val="35"/>
          <w:rFonts w:hint="eastAsia"/>
          <w:lang w:val="en-US" w:eastAsia="zh-CN"/>
        </w:rPr>
        <w:t>6</w:t>
      </w:r>
      <w:r>
        <w:rPr>
          <w:rStyle w:val="35"/>
          <w:rFonts w:hint="eastAsia"/>
        </w:rPr>
        <w:t>　</w:t>
      </w:r>
      <w:r>
        <w:rPr>
          <w:rFonts w:hint="eastAsia"/>
          <w:lang w:val="en-US" w:eastAsia="zh-CN"/>
        </w:rPr>
        <w:t>试验</w:t>
      </w:r>
      <w:r>
        <w:rPr>
          <w:rFonts w:hint="eastAsia"/>
        </w:rPr>
        <w:t>方法</w:t>
      </w:r>
      <w:r>
        <w:tab/>
      </w:r>
      <w:r>
        <w:rPr>
          <w:rFonts w:hint="eastAsia"/>
          <w:lang w:val="en-US" w:eastAsia="zh-CN"/>
        </w:rPr>
        <w:t>3</w:t>
      </w:r>
      <w:r>
        <w:rPr>
          <w:rFonts w:hint="eastAsia"/>
        </w:rPr>
        <w:fldChar w:fldCharType="end"/>
      </w:r>
    </w:p>
    <w:p>
      <w:pPr>
        <w:pStyle w:val="16"/>
        <w:spacing w:before="78" w:after="78"/>
        <w:jc w:val="both"/>
      </w:pPr>
      <w:r>
        <w:fldChar w:fldCharType="end"/>
      </w:r>
      <w:r>
        <w:fldChar w:fldCharType="begin"/>
      </w:r>
      <w:r>
        <w:instrText xml:space="preserve"> HYPERLINK \l "_Toc34064712" </w:instrText>
      </w:r>
      <w:r>
        <w:fldChar w:fldCharType="separate"/>
      </w:r>
      <w:r>
        <w:rPr>
          <w:rFonts w:hint="eastAsia"/>
          <w:lang w:val="en-US" w:eastAsia="zh-CN"/>
        </w:rPr>
        <w:t>7</w:t>
      </w:r>
      <w:r>
        <w:rPr>
          <w:rStyle w:val="35"/>
          <w:rFonts w:hint="eastAsia"/>
          <w:color w:val="000000" w:themeColor="text1"/>
          <w:u w:val="none"/>
          <w14:textFill>
            <w14:solidFill>
              <w14:schemeClr w14:val="tx1"/>
            </w14:solidFill>
          </w14:textFill>
        </w:rPr>
        <w:t>　</w:t>
      </w:r>
      <w:r>
        <w:rPr>
          <w:rFonts w:hint="eastAsia"/>
        </w:rPr>
        <w:t>检验规则</w:t>
      </w:r>
      <w:r>
        <w:tab/>
      </w:r>
      <w:r>
        <w:rPr>
          <w:rFonts w:hint="eastAsia"/>
          <w:lang w:val="en-US" w:eastAsia="zh-CN"/>
        </w:rPr>
        <w:t>4</w:t>
      </w:r>
      <w:r>
        <w:rPr>
          <w:rFonts w:hint="eastAsia"/>
        </w:rPr>
        <w:fldChar w:fldCharType="end"/>
      </w:r>
    </w:p>
    <w:p>
      <w:pPr>
        <w:pStyle w:val="16"/>
        <w:spacing w:before="78" w:after="78"/>
        <w:jc w:val="both"/>
      </w:pPr>
      <w:r>
        <w:fldChar w:fldCharType="begin"/>
      </w:r>
      <w:r>
        <w:instrText xml:space="preserve"> HYPERLINK \l "_Toc34064712" </w:instrText>
      </w:r>
      <w:r>
        <w:fldChar w:fldCharType="separate"/>
      </w:r>
      <w:r>
        <w:rPr>
          <w:rFonts w:hint="eastAsia"/>
          <w:lang w:val="en-US" w:eastAsia="zh-CN"/>
        </w:rPr>
        <w:t>8</w:t>
      </w:r>
      <w:r>
        <w:rPr>
          <w:rStyle w:val="34"/>
          <w:rFonts w:hint="eastAsia"/>
          <w:color w:val="000000" w:themeColor="text1"/>
          <w:u w:val="none"/>
          <w14:textFill>
            <w14:solidFill>
              <w14:schemeClr w14:val="tx1"/>
            </w14:solidFill>
          </w14:textFill>
        </w:rPr>
        <w:t>　</w:t>
      </w:r>
      <w:r>
        <w:rPr>
          <w:rStyle w:val="35"/>
          <w:rFonts w:hint="eastAsia"/>
          <w:color w:val="000000" w:themeColor="text1"/>
          <w:u w:val="none"/>
          <w14:textFill>
            <w14:solidFill>
              <w14:schemeClr w14:val="tx1"/>
            </w14:solidFill>
          </w14:textFill>
        </w:rPr>
        <w:t>标签、标志和包装</w:t>
      </w:r>
      <w:r>
        <w:tab/>
      </w:r>
      <w:r>
        <w:rPr>
          <w:rFonts w:hint="eastAsia"/>
        </w:rPr>
        <w:t>5</w:t>
      </w:r>
      <w:r>
        <w:rPr>
          <w:rFonts w:hint="eastAsia"/>
        </w:rPr>
        <w:fldChar w:fldCharType="end"/>
      </w:r>
    </w:p>
    <w:p>
      <w:pPr>
        <w:pStyle w:val="16"/>
        <w:spacing w:before="78" w:after="78"/>
        <w:jc w:val="both"/>
      </w:pPr>
      <w:r>
        <w:fldChar w:fldCharType="begin"/>
      </w:r>
      <w:r>
        <w:instrText xml:space="preserve"> HYPERLINK \l "_Toc34064712" </w:instrText>
      </w:r>
      <w:r>
        <w:fldChar w:fldCharType="separate"/>
      </w:r>
      <w:r>
        <w:rPr>
          <w:rFonts w:hint="eastAsia"/>
          <w:lang w:val="en-US" w:eastAsia="zh-CN"/>
        </w:rPr>
        <w:t>9</w:t>
      </w:r>
      <w:r>
        <w:rPr>
          <w:rStyle w:val="35"/>
          <w:rFonts w:hint="eastAsia"/>
          <w:color w:val="000000" w:themeColor="text1"/>
          <w:u w:val="none"/>
          <w14:textFill>
            <w14:solidFill>
              <w14:schemeClr w14:val="tx1"/>
            </w14:solidFill>
          </w14:textFill>
        </w:rPr>
        <w:t>　运输和</w:t>
      </w:r>
      <w:r>
        <w:rPr>
          <w:rStyle w:val="35"/>
          <w:rFonts w:hint="eastAsia"/>
          <w:color w:val="000000" w:themeColor="text1"/>
          <w:u w:val="none"/>
          <w:lang w:eastAsia="zh-CN"/>
          <w14:textFill>
            <w14:solidFill>
              <w14:schemeClr w14:val="tx1"/>
            </w14:solidFill>
          </w14:textFill>
        </w:rPr>
        <w:t>贮存</w:t>
      </w:r>
      <w:r>
        <w:tab/>
      </w:r>
      <w:r>
        <w:rPr>
          <w:rFonts w:hint="eastAsia"/>
        </w:rPr>
        <w:t>5</w:t>
      </w:r>
      <w:r>
        <w:rPr>
          <w:rFonts w:hint="eastAsia"/>
        </w:rPr>
        <w:fldChar w:fldCharType="end"/>
      </w:r>
    </w:p>
    <w:p>
      <w:pPr>
        <w:pStyle w:val="16"/>
        <w:spacing w:before="78" w:after="78"/>
        <w:jc w:val="both"/>
      </w:pPr>
      <w:r>
        <w:fldChar w:fldCharType="begin"/>
      </w:r>
      <w:r>
        <w:instrText xml:space="preserve"> HYPERLINK \l "_Toc34064712" </w:instrText>
      </w:r>
      <w:r>
        <w:fldChar w:fldCharType="separate"/>
      </w:r>
      <w:r>
        <w:rPr>
          <w:rFonts w:hint="eastAsia"/>
          <w:lang w:val="en-US" w:eastAsia="zh-CN"/>
        </w:rPr>
        <w:t>10</w:t>
      </w:r>
      <w:r>
        <w:rPr>
          <w:rStyle w:val="35"/>
          <w:rFonts w:hint="eastAsia"/>
          <w:color w:val="000000" w:themeColor="text1"/>
          <w:u w:val="none"/>
          <w14:textFill>
            <w14:solidFill>
              <w14:schemeClr w14:val="tx1"/>
            </w14:solidFill>
          </w14:textFill>
        </w:rPr>
        <w:t>　销售</w:t>
      </w:r>
      <w:r>
        <w:tab/>
      </w:r>
      <w:r>
        <w:rPr>
          <w:rFonts w:hint="eastAsia"/>
          <w:lang w:val="en-US" w:eastAsia="zh-CN"/>
        </w:rPr>
        <w:t>5</w:t>
      </w:r>
      <w:r>
        <w:rPr>
          <w:rFonts w:hint="eastAsia"/>
        </w:rPr>
        <w:fldChar w:fldCharType="end"/>
      </w:r>
    </w:p>
    <w:p>
      <w:pPr>
        <w:pStyle w:val="16"/>
        <w:spacing w:before="78" w:after="78"/>
        <w:jc w:val="both"/>
      </w:pPr>
      <w:r>
        <w:rPr>
          <w:rFonts w:hint="eastAsia"/>
        </w:rPr>
        <w:t>1</w:t>
      </w:r>
      <w:r>
        <w:fldChar w:fldCharType="begin"/>
      </w:r>
      <w:r>
        <w:instrText xml:space="preserve"> HYPERLINK \l "_Toc34064712" </w:instrText>
      </w:r>
      <w:r>
        <w:fldChar w:fldCharType="separate"/>
      </w:r>
      <w:r>
        <w:rPr>
          <w:rFonts w:hint="eastAsia"/>
          <w:lang w:val="en-US" w:eastAsia="zh-CN"/>
        </w:rPr>
        <w:t>1</w:t>
      </w:r>
      <w:r>
        <w:rPr>
          <w:rStyle w:val="35"/>
          <w:rFonts w:hint="eastAsia"/>
          <w:color w:val="000000" w:themeColor="text1"/>
          <w:u w:val="none"/>
          <w14:textFill>
            <w14:solidFill>
              <w14:schemeClr w14:val="tx1"/>
            </w14:solidFill>
          </w14:textFill>
        </w:rPr>
        <w:t>　召回</w:t>
      </w:r>
      <w:r>
        <w:tab/>
      </w:r>
      <w:r>
        <w:rPr>
          <w:rFonts w:hint="eastAsia"/>
        </w:rPr>
        <w:t>6</w:t>
      </w:r>
      <w:r>
        <w:rPr>
          <w:rFonts w:hint="eastAsia"/>
        </w:rPr>
        <w:fldChar w:fldCharType="end"/>
      </w:r>
    </w:p>
    <w:p/>
    <w:p>
      <w:pPr>
        <w:pStyle w:val="108"/>
      </w:pPr>
      <w:bookmarkStart w:id="8" w:name="_Toc34064674"/>
      <w:r>
        <w:rPr>
          <w:rFonts w:hint="eastAsia"/>
        </w:rPr>
        <w:t>前</w:t>
      </w:r>
      <w:bookmarkStart w:id="9" w:name="BKQY"/>
      <w:r>
        <w:rPr>
          <w:rFonts w:hAnsi="黑体"/>
        </w:rPr>
        <w:t>  </w:t>
      </w:r>
      <w:r>
        <w:rPr>
          <w:rFonts w:hint="eastAsia"/>
        </w:rPr>
        <w:t>言</w:t>
      </w:r>
      <w:bookmarkEnd w:id="6"/>
      <w:bookmarkEnd w:id="8"/>
      <w:bookmarkEnd w:id="9"/>
    </w:p>
    <w:p>
      <w:pPr>
        <w:pStyle w:val="134"/>
        <w:spacing w:line="313" w:lineRule="exact"/>
        <w:ind w:firstLine="420"/>
        <w:rPr>
          <w:rFonts w:hint="eastAsia" w:ascii="宋体" w:hAnsi="宋体" w:eastAsia="宋体" w:cs="Arial"/>
          <w:color w:val="000000"/>
          <w:sz w:val="21"/>
          <w:szCs w:val="21"/>
          <w:lang w:val="en-US" w:eastAsia="zh-CN" w:bidi="en-US"/>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按照</w:t>
      </w:r>
      <w:r>
        <w:rPr>
          <w:rFonts w:ascii="宋体" w:hAnsi="宋体" w:eastAsia="宋体" w:cs="Arial"/>
          <w:color w:val="000000"/>
          <w:sz w:val="21"/>
          <w:szCs w:val="21"/>
          <w:lang w:val="en-US" w:eastAsia="zh-CN" w:bidi="en-US"/>
        </w:rPr>
        <w:t>GB/T 1.1—20</w:t>
      </w:r>
      <w:r>
        <w:rPr>
          <w:rFonts w:hint="eastAsia" w:ascii="宋体" w:hAnsi="宋体" w:eastAsia="宋体" w:cs="Arial"/>
          <w:color w:val="000000"/>
          <w:sz w:val="21"/>
          <w:szCs w:val="21"/>
          <w:lang w:val="en-US" w:eastAsia="zh-CN" w:bidi="en-US"/>
        </w:rPr>
        <w:t>20《标准化工作导则</w:t>
      </w:r>
      <w:r>
        <w:rPr>
          <w:rFonts w:ascii="宋体" w:hAnsi="宋体" w:eastAsia="宋体" w:cs="Arial"/>
          <w:color w:val="000000"/>
          <w:sz w:val="21"/>
          <w:szCs w:val="21"/>
          <w:lang w:val="en-US" w:eastAsia="zh-CN" w:bidi="en-US"/>
        </w:rPr>
        <w:t xml:space="preserve"> </w:t>
      </w:r>
      <w:r>
        <w:rPr>
          <w:rFonts w:hint="eastAsia" w:ascii="宋体" w:hAnsi="宋体" w:eastAsia="宋体" w:cs="Arial"/>
          <w:color w:val="000000"/>
          <w:sz w:val="21"/>
          <w:szCs w:val="21"/>
          <w:lang w:val="en-US" w:eastAsia="zh-CN" w:bidi="en-US"/>
        </w:rPr>
        <w:t>第1部分：标准化文件的结构和起草规则》的规定起草。</w:t>
      </w:r>
    </w:p>
    <w:p>
      <w:pPr>
        <w:pStyle w:val="134"/>
        <w:spacing w:line="313" w:lineRule="exact"/>
        <w:ind w:firstLine="420"/>
        <w:rPr>
          <w:rFonts w:hint="eastAsia" w:ascii="宋体" w:hAnsi="宋体" w:eastAsia="宋体" w:cs="Arial"/>
          <w:color w:val="000000"/>
          <w:sz w:val="21"/>
          <w:szCs w:val="21"/>
          <w:lang w:val="en-US" w:eastAsia="zh-CN" w:bidi="en-US"/>
        </w:rPr>
      </w:pPr>
      <w:r>
        <w:rPr>
          <w:rFonts w:hint="eastAsia" w:ascii="宋体" w:hAnsi="宋体" w:eastAsia="宋体" w:cs="Arial"/>
          <w:color w:val="000000"/>
          <w:sz w:val="21"/>
          <w:szCs w:val="21"/>
          <w:lang w:val="en-US" w:eastAsia="zh-CN" w:bidi="en-US"/>
        </w:rPr>
        <w:t>请注意本文件的某些内容可能涉及专利。本文件的发布机构不承担识别专利的责任。</w:t>
      </w:r>
    </w:p>
    <w:p>
      <w:pPr>
        <w:pStyle w:val="134"/>
        <w:spacing w:line="313" w:lineRule="exact"/>
        <w:ind w:firstLine="420"/>
        <w:rPr>
          <w:rFonts w:ascii="宋体" w:hAnsi="宋体" w:eastAsia="宋体"/>
          <w:sz w:val="21"/>
          <w:szCs w:val="21"/>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由</w:t>
      </w:r>
      <w:r>
        <w:rPr>
          <w:rFonts w:hint="eastAsia" w:ascii="宋体" w:hAnsi="宋体" w:eastAsia="宋体"/>
          <w:color w:val="000000"/>
          <w:sz w:val="21"/>
          <w:szCs w:val="21"/>
          <w:lang w:eastAsia="zh-CN"/>
        </w:rPr>
        <w:t>浙江省食品学会</w:t>
      </w:r>
      <w:r>
        <w:rPr>
          <w:rFonts w:ascii="宋体" w:hAnsi="宋体" w:eastAsia="宋体"/>
          <w:color w:val="000000"/>
          <w:sz w:val="21"/>
          <w:szCs w:val="21"/>
        </w:rPr>
        <w:t>提出</w:t>
      </w:r>
      <w:r>
        <w:rPr>
          <w:rFonts w:hint="eastAsia" w:ascii="宋体" w:hAnsi="宋体" w:eastAsia="宋体"/>
          <w:color w:val="000000"/>
          <w:sz w:val="21"/>
          <w:szCs w:val="21"/>
          <w:lang w:val="en-US" w:eastAsia="zh-CN"/>
        </w:rPr>
        <w:t>并归口</w:t>
      </w:r>
      <w:r>
        <w:rPr>
          <w:rFonts w:ascii="宋体" w:hAnsi="宋体" w:eastAsia="宋体"/>
          <w:color w:val="000000"/>
          <w:sz w:val="21"/>
          <w:szCs w:val="21"/>
        </w:rPr>
        <w:t>。</w:t>
      </w:r>
    </w:p>
    <w:p>
      <w:pPr>
        <w:pStyle w:val="134"/>
        <w:spacing w:line="313" w:lineRule="exact"/>
        <w:ind w:firstLine="420"/>
        <w:rPr>
          <w:rFonts w:ascii="宋体" w:hAnsi="宋体" w:eastAsia="宋体"/>
          <w:sz w:val="21"/>
          <w:szCs w:val="21"/>
        </w:rPr>
      </w:pPr>
      <w:r>
        <w:rPr>
          <w:rFonts w:ascii="宋体" w:hAnsi="宋体" w:eastAsia="宋体"/>
          <w:color w:val="000000"/>
          <w:sz w:val="21"/>
          <w:szCs w:val="21"/>
        </w:rPr>
        <w:t>本</w:t>
      </w:r>
      <w:r>
        <w:rPr>
          <w:rFonts w:hint="eastAsia" w:ascii="宋体" w:hAnsi="宋体" w:eastAsia="宋体"/>
          <w:color w:val="000000"/>
          <w:sz w:val="21"/>
          <w:szCs w:val="21"/>
        </w:rPr>
        <w:t>文件</w:t>
      </w:r>
      <w:r>
        <w:rPr>
          <w:rFonts w:ascii="宋体" w:hAnsi="宋体" w:eastAsia="宋体"/>
          <w:color w:val="000000"/>
          <w:sz w:val="21"/>
          <w:szCs w:val="21"/>
        </w:rPr>
        <w:t>起草单位:</w:t>
      </w:r>
      <w:r>
        <w:rPr>
          <w:rFonts w:hint="eastAsia" w:ascii="宋体" w:hAnsi="宋体" w:eastAsia="宋体"/>
          <w:color w:val="000000"/>
          <w:sz w:val="21"/>
          <w:szCs w:val="21"/>
          <w:lang w:val="en-US" w:eastAsia="zh-CN"/>
        </w:rPr>
        <w:t>XXXXX</w:t>
      </w:r>
      <w:r>
        <w:rPr>
          <w:rFonts w:ascii="宋体" w:hAnsi="宋体" w:eastAsia="宋体"/>
          <w:color w:val="000000"/>
          <w:sz w:val="21"/>
          <w:szCs w:val="21"/>
        </w:rPr>
        <w:t>、</w:t>
      </w:r>
      <w:r>
        <w:rPr>
          <w:rFonts w:hint="eastAsia" w:ascii="宋体" w:hAnsi="宋体" w:eastAsia="宋体"/>
          <w:color w:val="000000"/>
          <w:sz w:val="21"/>
          <w:szCs w:val="21"/>
          <w:lang w:val="en-US" w:eastAsia="zh-CN"/>
        </w:rPr>
        <w:t>XXXXX</w:t>
      </w:r>
      <w:r>
        <w:rPr>
          <w:rFonts w:ascii="宋体" w:hAnsi="宋体" w:eastAsia="宋体"/>
          <w:color w:val="000000"/>
          <w:sz w:val="21"/>
          <w:szCs w:val="21"/>
        </w:rPr>
        <w:t>、</w:t>
      </w:r>
      <w:r>
        <w:rPr>
          <w:rFonts w:hint="eastAsia" w:ascii="宋体" w:hAnsi="宋体" w:eastAsia="宋体"/>
          <w:color w:val="000000"/>
          <w:sz w:val="21"/>
          <w:szCs w:val="21"/>
          <w:lang w:val="en-US" w:eastAsia="zh-CN"/>
        </w:rPr>
        <w:t>XXXXX、XXXXX</w:t>
      </w:r>
      <w:r>
        <w:rPr>
          <w:rFonts w:ascii="宋体" w:hAnsi="宋体" w:eastAsia="宋体"/>
          <w:color w:val="000000"/>
          <w:sz w:val="21"/>
          <w:szCs w:val="21"/>
        </w:rPr>
        <w:t>。</w:t>
      </w:r>
    </w:p>
    <w:p>
      <w:pPr>
        <w:pStyle w:val="20"/>
        <w:rPr>
          <w:rFonts w:hAnsi="宋体"/>
          <w:color w:val="000000"/>
          <w:szCs w:val="21"/>
          <w:lang w:eastAsia="zh-TW"/>
        </w:rPr>
      </w:pPr>
      <w:r>
        <w:rPr>
          <w:rFonts w:hAnsi="宋体"/>
          <w:color w:val="000000"/>
          <w:szCs w:val="21"/>
          <w:lang w:eastAsia="zh-TW"/>
        </w:rPr>
        <w:t>本</w:t>
      </w:r>
      <w:r>
        <w:rPr>
          <w:rFonts w:hint="eastAsia" w:hAnsi="宋体"/>
          <w:color w:val="000000"/>
          <w:szCs w:val="21"/>
          <w:lang w:eastAsia="zh-TW"/>
        </w:rPr>
        <w:t>文件</w:t>
      </w:r>
      <w:r>
        <w:rPr>
          <w:rFonts w:hAnsi="宋体"/>
          <w:color w:val="000000"/>
          <w:szCs w:val="21"/>
          <w:lang w:eastAsia="zh-TW"/>
        </w:rPr>
        <w:t>主要起草人:</w:t>
      </w:r>
      <w:r>
        <w:rPr>
          <w:rFonts w:hint="eastAsia" w:hAnsi="宋体"/>
          <w:color w:val="000000"/>
          <w:szCs w:val="21"/>
          <w:lang w:eastAsia="zh-TW"/>
        </w:rPr>
        <w:t>XXX</w:t>
      </w:r>
      <w:r>
        <w:rPr>
          <w:rFonts w:hAnsi="宋体"/>
          <w:color w:val="000000"/>
          <w:szCs w:val="21"/>
          <w:lang w:eastAsia="zh-TW"/>
        </w:rPr>
        <w:t>、</w:t>
      </w:r>
      <w:r>
        <w:rPr>
          <w:rFonts w:hint="eastAsia" w:hAnsi="宋体"/>
          <w:color w:val="000000"/>
          <w:szCs w:val="21"/>
          <w:lang w:eastAsia="zh-TW"/>
        </w:rPr>
        <w:t>XXX</w:t>
      </w:r>
      <w:r>
        <w:rPr>
          <w:rFonts w:hAnsi="宋体"/>
          <w:color w:val="000000"/>
          <w:szCs w:val="21"/>
          <w:lang w:eastAsia="zh-TW"/>
        </w:rPr>
        <w:t>、</w:t>
      </w:r>
      <w:r>
        <w:rPr>
          <w:rFonts w:hint="eastAsia" w:hAnsi="宋体"/>
          <w:color w:val="000000"/>
          <w:szCs w:val="21"/>
          <w:lang w:eastAsia="zh-TW"/>
        </w:rPr>
        <w:t>XXX</w:t>
      </w:r>
      <w:r>
        <w:rPr>
          <w:rFonts w:hAnsi="宋体"/>
          <w:color w:val="000000"/>
          <w:szCs w:val="21"/>
          <w:lang w:eastAsia="zh-TW"/>
        </w:rPr>
        <w:t>、</w:t>
      </w:r>
      <w:r>
        <w:rPr>
          <w:rFonts w:hint="eastAsia" w:hAnsi="宋体"/>
          <w:color w:val="000000"/>
          <w:szCs w:val="21"/>
          <w:lang w:eastAsia="zh-TW"/>
        </w:rPr>
        <w:t>XXX</w:t>
      </w:r>
      <w:r>
        <w:rPr>
          <w:rFonts w:hAnsi="宋体"/>
          <w:color w:val="000000"/>
          <w:szCs w:val="21"/>
          <w:lang w:eastAsia="zh-TW"/>
        </w:rPr>
        <w:t>、</w:t>
      </w:r>
      <w:r>
        <w:rPr>
          <w:rFonts w:hint="eastAsia" w:hAnsi="宋体"/>
          <w:color w:val="000000"/>
          <w:szCs w:val="21"/>
          <w:lang w:eastAsia="zh-TW"/>
        </w:rPr>
        <w:t>XXX</w:t>
      </w:r>
      <w:r>
        <w:rPr>
          <w:rFonts w:hAnsi="宋体"/>
          <w:color w:val="000000"/>
          <w:szCs w:val="21"/>
          <w:lang w:eastAsia="zh-TW"/>
        </w:rPr>
        <w:t>、</w:t>
      </w:r>
      <w:r>
        <w:rPr>
          <w:rFonts w:hint="eastAsia" w:hAnsi="宋体"/>
          <w:color w:val="000000"/>
          <w:szCs w:val="21"/>
          <w:lang w:eastAsia="zh-TW"/>
        </w:rPr>
        <w:t>XXX</w:t>
      </w:r>
      <w:r>
        <w:rPr>
          <w:rFonts w:hAnsi="宋体"/>
          <w:color w:val="000000"/>
          <w:szCs w:val="21"/>
          <w:lang w:eastAsia="zh-TW"/>
        </w:rPr>
        <w:t>。</w:t>
      </w:r>
    </w:p>
    <w:p>
      <w:pPr>
        <w:pStyle w:val="20"/>
        <w:rPr>
          <w:rFonts w:hAnsi="宋体"/>
          <w:color w:val="000000"/>
          <w:szCs w:val="21"/>
          <w:lang w:eastAsia="zh-TW"/>
        </w:rPr>
      </w:pPr>
    </w:p>
    <w:p>
      <w:pPr>
        <w:pStyle w:val="20"/>
        <w:rPr>
          <w:color w:val="auto"/>
          <w:lang w:eastAsia="zh-TW"/>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1"/>
        <w:numPr>
          <w:ilvl w:val="0"/>
          <w:numId w:val="0"/>
        </w:numPr>
        <w:spacing w:before="312" w:after="312"/>
        <w:jc w:val="center"/>
        <w:rPr>
          <w:color w:val="auto"/>
          <w:sz w:val="32"/>
        </w:rPr>
      </w:pPr>
      <w:bookmarkStart w:id="10" w:name="_Toc34064675"/>
      <w:bookmarkStart w:id="11" w:name="_Toc34064617"/>
      <w:r>
        <w:rPr>
          <w:rFonts w:hint="eastAsia"/>
          <w:color w:val="auto"/>
          <w:sz w:val="32"/>
        </w:rPr>
        <w:t>芒果干</w:t>
      </w:r>
    </w:p>
    <w:p>
      <w:pPr>
        <w:pStyle w:val="41"/>
        <w:spacing w:before="312" w:after="312"/>
        <w:rPr>
          <w:color w:val="auto"/>
          <w:szCs w:val="22"/>
        </w:rPr>
      </w:pPr>
      <w:r>
        <w:rPr>
          <w:rFonts w:hint="eastAsia"/>
          <w:color w:val="auto"/>
          <w:szCs w:val="22"/>
        </w:rPr>
        <w:t>范围</w:t>
      </w:r>
      <w:bookmarkEnd w:id="10"/>
      <w:bookmarkEnd w:id="11"/>
    </w:p>
    <w:p>
      <w:pPr>
        <w:pStyle w:val="20"/>
        <w:bidi w:val="0"/>
        <w:rPr>
          <w:color w:val="auto"/>
        </w:rPr>
      </w:pPr>
      <w:r>
        <w:rPr>
          <w:color w:val="auto"/>
        </w:rPr>
        <w:t>本</w:t>
      </w:r>
      <w:r>
        <w:rPr>
          <w:rFonts w:hint="eastAsia"/>
          <w:color w:val="auto"/>
        </w:rPr>
        <w:t>文件</w:t>
      </w:r>
      <w:r>
        <w:rPr>
          <w:color w:val="auto"/>
        </w:rPr>
        <w:t>规定了</w:t>
      </w:r>
      <w:r>
        <w:rPr>
          <w:rFonts w:hint="eastAsia"/>
          <w:color w:val="auto"/>
        </w:rPr>
        <w:t>芒果干</w:t>
      </w:r>
      <w:r>
        <w:rPr>
          <w:color w:val="auto"/>
        </w:rPr>
        <w:t>的</w:t>
      </w:r>
      <w:r>
        <w:rPr>
          <w:rFonts w:hint="eastAsia"/>
          <w:color w:val="auto"/>
          <w:lang w:val="en-US" w:eastAsia="zh-CN"/>
        </w:rPr>
        <w:t>术语和定义、</w:t>
      </w:r>
      <w:r>
        <w:rPr>
          <w:rFonts w:hint="eastAsia"/>
          <w:color w:val="auto"/>
        </w:rPr>
        <w:t>技术要求、生产加工过程卫生要求、</w:t>
      </w:r>
      <w:r>
        <w:rPr>
          <w:rFonts w:hint="eastAsia"/>
          <w:color w:val="auto"/>
          <w:lang w:val="en-US" w:eastAsia="zh-CN"/>
        </w:rPr>
        <w:t>试验</w:t>
      </w:r>
      <w:r>
        <w:rPr>
          <w:rFonts w:hint="eastAsia"/>
          <w:color w:val="auto"/>
        </w:rPr>
        <w:t>方法、检验规则、标签、标志</w:t>
      </w:r>
      <w:r>
        <w:rPr>
          <w:rFonts w:hint="eastAsia"/>
          <w:color w:val="auto"/>
          <w:lang w:val="en-US" w:eastAsia="zh-CN"/>
        </w:rPr>
        <w:t>和</w:t>
      </w:r>
      <w:r>
        <w:rPr>
          <w:rFonts w:hint="eastAsia"/>
          <w:color w:val="auto"/>
        </w:rPr>
        <w:t>包装、运输</w:t>
      </w:r>
      <w:r>
        <w:rPr>
          <w:rFonts w:hint="eastAsia"/>
          <w:color w:val="auto"/>
          <w:lang w:val="en-US" w:eastAsia="zh-CN"/>
        </w:rPr>
        <w:t>和</w:t>
      </w:r>
      <w:r>
        <w:rPr>
          <w:rFonts w:hint="eastAsia"/>
          <w:color w:val="auto"/>
        </w:rPr>
        <w:t>贮存</w:t>
      </w:r>
      <w:r>
        <w:rPr>
          <w:rFonts w:hint="eastAsia"/>
          <w:color w:val="auto"/>
          <w:lang w:eastAsia="zh-CN"/>
        </w:rPr>
        <w:t>、</w:t>
      </w:r>
      <w:r>
        <w:rPr>
          <w:rFonts w:hint="eastAsia"/>
          <w:color w:val="auto"/>
        </w:rPr>
        <w:t>销售、召回</w:t>
      </w:r>
      <w:r>
        <w:rPr>
          <w:color w:val="auto"/>
        </w:rPr>
        <w:t>方面的要求。</w:t>
      </w:r>
    </w:p>
    <w:p>
      <w:pPr>
        <w:pStyle w:val="20"/>
        <w:bidi w:val="0"/>
        <w:rPr>
          <w:color w:val="auto"/>
        </w:rPr>
      </w:pPr>
      <w:r>
        <w:rPr>
          <w:color w:val="auto"/>
        </w:rPr>
        <w:t>本</w:t>
      </w:r>
      <w:r>
        <w:rPr>
          <w:rFonts w:hint="eastAsia"/>
          <w:color w:val="auto"/>
        </w:rPr>
        <w:t>文件</w:t>
      </w:r>
      <w:r>
        <w:rPr>
          <w:color w:val="auto"/>
        </w:rPr>
        <w:t>适用于</w:t>
      </w:r>
      <w:r>
        <w:rPr>
          <w:rFonts w:hint="eastAsia"/>
          <w:color w:val="auto"/>
        </w:rPr>
        <w:t>芒果干的生产、检验和销售。</w:t>
      </w:r>
    </w:p>
    <w:p>
      <w:pPr>
        <w:pStyle w:val="41"/>
        <w:spacing w:before="312" w:after="312"/>
        <w:rPr>
          <w:color w:val="auto"/>
          <w:szCs w:val="22"/>
        </w:rPr>
      </w:pPr>
      <w:bookmarkStart w:id="12" w:name="_Toc34064618"/>
      <w:bookmarkStart w:id="13" w:name="_Toc34064676"/>
      <w:r>
        <w:rPr>
          <w:rFonts w:hint="eastAsia"/>
          <w:color w:val="auto"/>
          <w:szCs w:val="22"/>
        </w:rPr>
        <w:t>规范性引用文件</w:t>
      </w:r>
      <w:bookmarkEnd w:id="12"/>
      <w:bookmarkEnd w:id="13"/>
    </w:p>
    <w:p>
      <w:pPr>
        <w:pStyle w:val="20"/>
        <w:bidi w:val="0"/>
        <w:rPr>
          <w:color w:val="auto"/>
        </w:rPr>
      </w:pPr>
      <w:r>
        <w:rPr>
          <w:rFonts w:hint="eastAsia"/>
          <w:color w:val="auto"/>
        </w:rPr>
        <w:t>下列文件中的内容通过文中的规范性引用而构成本文件必不可少的条款。其中，注日期的引用文件，仅该日期对应的版本适用于本文件</w:t>
      </w:r>
      <w:r>
        <w:rPr>
          <w:rFonts w:hint="eastAsia"/>
          <w:color w:val="auto"/>
          <w:lang w:eastAsia="zh-CN"/>
        </w:rPr>
        <w:t>；</w:t>
      </w:r>
      <w:r>
        <w:rPr>
          <w:rFonts w:hint="eastAsia"/>
          <w:color w:val="auto"/>
        </w:rPr>
        <w:t>不注日期的引用文件，其最新版本（包括所有的修改单）适用于本文件。</w:t>
      </w:r>
    </w:p>
    <w:p>
      <w:pPr>
        <w:pStyle w:val="20"/>
        <w:bidi w:val="0"/>
        <w:rPr>
          <w:color w:val="auto"/>
        </w:rPr>
      </w:pPr>
      <w:r>
        <w:rPr>
          <w:rFonts w:hint="eastAsia"/>
          <w:color w:val="auto"/>
        </w:rPr>
        <w:t xml:space="preserve">GB/T 191 包装储运图示标志 </w:t>
      </w:r>
    </w:p>
    <w:p>
      <w:pPr>
        <w:pStyle w:val="20"/>
        <w:bidi w:val="0"/>
        <w:rPr>
          <w:color w:val="auto"/>
        </w:rPr>
      </w:pPr>
      <w:r>
        <w:rPr>
          <w:rFonts w:hint="eastAsia"/>
          <w:color w:val="auto"/>
        </w:rPr>
        <w:t xml:space="preserve">GB/T 317 白砂糖 </w:t>
      </w:r>
    </w:p>
    <w:p>
      <w:pPr>
        <w:pStyle w:val="20"/>
        <w:bidi w:val="0"/>
        <w:rPr>
          <w:color w:val="auto"/>
        </w:rPr>
      </w:pPr>
      <w:r>
        <w:rPr>
          <w:rFonts w:hint="eastAsia"/>
          <w:color w:val="auto"/>
        </w:rPr>
        <w:t>GB 2760 食品安全国家标准 食品添加剂使用标准</w:t>
      </w:r>
    </w:p>
    <w:p>
      <w:pPr>
        <w:pStyle w:val="20"/>
        <w:bidi w:val="0"/>
        <w:rPr>
          <w:color w:val="auto"/>
        </w:rPr>
      </w:pPr>
      <w:r>
        <w:rPr>
          <w:rFonts w:hint="eastAsia"/>
          <w:color w:val="auto"/>
        </w:rPr>
        <w:t xml:space="preserve">GB 2762 食品安全国家标准 食品中污染物限量 </w:t>
      </w:r>
    </w:p>
    <w:p>
      <w:pPr>
        <w:pStyle w:val="20"/>
        <w:bidi w:val="0"/>
        <w:rPr>
          <w:color w:val="auto"/>
        </w:rPr>
      </w:pPr>
      <w:r>
        <w:rPr>
          <w:rFonts w:hint="eastAsia"/>
          <w:color w:val="auto"/>
        </w:rPr>
        <w:t>GB 2763 食品安全国家标准 食品中农药最大残留限量</w:t>
      </w:r>
    </w:p>
    <w:p>
      <w:pPr>
        <w:pStyle w:val="20"/>
        <w:bidi w:val="0"/>
        <w:rPr>
          <w:color w:val="auto"/>
        </w:rPr>
      </w:pPr>
      <w:r>
        <w:rPr>
          <w:rFonts w:hint="eastAsia"/>
          <w:color w:val="auto"/>
        </w:rPr>
        <w:t>GB 4789.2 食品安全国家标准 食品微生物学检验 菌落总数测定</w:t>
      </w:r>
    </w:p>
    <w:p>
      <w:pPr>
        <w:pStyle w:val="20"/>
        <w:bidi w:val="0"/>
        <w:rPr>
          <w:strike w:val="0"/>
          <w:dstrike w:val="0"/>
          <w:color w:val="auto"/>
        </w:rPr>
      </w:pPr>
      <w:r>
        <w:rPr>
          <w:rFonts w:hint="eastAsia"/>
          <w:strike w:val="0"/>
          <w:dstrike w:val="0"/>
          <w:color w:val="auto"/>
        </w:rPr>
        <w:t>GB 4789.3 食品安全国家标准 食品微生物学检验 大肠菌群计数</w:t>
      </w:r>
    </w:p>
    <w:p>
      <w:pPr>
        <w:pStyle w:val="20"/>
        <w:rPr>
          <w:rFonts w:hint="eastAsia"/>
          <w:strike w:val="0"/>
          <w:dstrike w:val="0"/>
          <w:color w:val="auto"/>
        </w:rPr>
      </w:pPr>
      <w:r>
        <w:rPr>
          <w:rFonts w:hint="eastAsia"/>
          <w:strike w:val="0"/>
          <w:dstrike w:val="0"/>
          <w:color w:val="auto"/>
        </w:rPr>
        <w:t>GB 4806.7 食品安全国家标准 食品接触用塑料材料及制品</w:t>
      </w:r>
    </w:p>
    <w:p>
      <w:pPr>
        <w:pStyle w:val="20"/>
        <w:bidi w:val="0"/>
        <w:rPr>
          <w:color w:val="auto"/>
        </w:rPr>
      </w:pPr>
      <w:r>
        <w:rPr>
          <w:rFonts w:hint="eastAsia"/>
          <w:color w:val="auto"/>
        </w:rPr>
        <w:t>GB 5009.3 食品安全国家标准 食品中水分的测定</w:t>
      </w:r>
    </w:p>
    <w:p>
      <w:pPr>
        <w:pStyle w:val="20"/>
        <w:bidi w:val="0"/>
        <w:rPr>
          <w:color w:val="auto"/>
        </w:rPr>
      </w:pPr>
      <w:r>
        <w:rPr>
          <w:rFonts w:hint="eastAsia"/>
          <w:color w:val="auto"/>
        </w:rPr>
        <w:t xml:space="preserve">GB 5749 生活饮用水卫生标准 </w:t>
      </w:r>
    </w:p>
    <w:p>
      <w:pPr>
        <w:pStyle w:val="20"/>
        <w:bidi w:val="0"/>
        <w:rPr>
          <w:rFonts w:hint="eastAsia"/>
          <w:color w:val="auto"/>
        </w:rPr>
      </w:pPr>
      <w:r>
        <w:rPr>
          <w:rFonts w:hint="eastAsia"/>
          <w:color w:val="auto"/>
        </w:rPr>
        <w:t xml:space="preserve">GB 7718 食品安全国家标准 预包装食品标签通则 </w:t>
      </w:r>
    </w:p>
    <w:p>
      <w:pPr>
        <w:pStyle w:val="20"/>
        <w:bidi w:val="0"/>
        <w:rPr>
          <w:rFonts w:hint="eastAsia"/>
          <w:color w:val="auto"/>
        </w:rPr>
      </w:pPr>
      <w:r>
        <w:rPr>
          <w:rFonts w:hint="eastAsia"/>
          <w:color w:val="auto"/>
        </w:rPr>
        <w:t xml:space="preserve">GB 8956 食品安全国家标准 蜜饯生产卫生规范 </w:t>
      </w:r>
    </w:p>
    <w:p>
      <w:pPr>
        <w:pStyle w:val="20"/>
        <w:rPr>
          <w:rFonts w:hint="eastAsia"/>
          <w:color w:val="auto"/>
        </w:rPr>
      </w:pPr>
      <w:r>
        <w:rPr>
          <w:rFonts w:hint="eastAsia"/>
          <w:color w:val="auto"/>
        </w:rPr>
        <w:t>GB/T 10004 包装用塑料复合膜、袋 干法复合、挤出复合</w:t>
      </w:r>
    </w:p>
    <w:p>
      <w:pPr>
        <w:pStyle w:val="20"/>
        <w:rPr>
          <w:rFonts w:hint="eastAsia"/>
          <w:color w:val="auto"/>
        </w:rPr>
      </w:pPr>
      <w:r>
        <w:rPr>
          <w:rFonts w:hint="eastAsia"/>
          <w:color w:val="auto"/>
        </w:rPr>
        <w:t xml:space="preserve">GB/T 10782 蜜饯通则 </w:t>
      </w:r>
    </w:p>
    <w:p>
      <w:pPr>
        <w:pStyle w:val="20"/>
        <w:bidi w:val="0"/>
        <w:rPr>
          <w:rFonts w:hint="eastAsia"/>
          <w:color w:val="auto"/>
        </w:rPr>
      </w:pPr>
      <w:r>
        <w:rPr>
          <w:rFonts w:hint="eastAsia"/>
          <w:color w:val="auto"/>
        </w:rPr>
        <w:t>GB/T 12456 食品中总酸的测定</w:t>
      </w:r>
    </w:p>
    <w:p>
      <w:pPr>
        <w:pStyle w:val="20"/>
        <w:bidi w:val="0"/>
        <w:rPr>
          <w:color w:val="auto"/>
        </w:rPr>
      </w:pPr>
      <w:r>
        <w:rPr>
          <w:rFonts w:hint="eastAsia"/>
          <w:color w:val="auto"/>
        </w:rPr>
        <w:t>GB 14880</w:t>
      </w:r>
      <w:r>
        <w:rPr>
          <w:rFonts w:hint="eastAsia"/>
          <w:color w:val="auto"/>
          <w:lang w:val="en-US" w:eastAsia="zh-CN"/>
        </w:rPr>
        <w:t xml:space="preserve"> </w:t>
      </w:r>
      <w:r>
        <w:rPr>
          <w:rFonts w:hint="eastAsia"/>
          <w:color w:val="auto"/>
        </w:rPr>
        <w:t xml:space="preserve">食品安全国家标准 食品营养强化剂使用标准  </w:t>
      </w:r>
    </w:p>
    <w:p>
      <w:pPr>
        <w:pStyle w:val="20"/>
        <w:bidi w:val="0"/>
        <w:rPr>
          <w:rFonts w:hint="eastAsia"/>
          <w:color w:val="auto"/>
        </w:rPr>
      </w:pPr>
      <w:r>
        <w:rPr>
          <w:rFonts w:hint="eastAsia"/>
          <w:color w:val="auto"/>
        </w:rPr>
        <w:t xml:space="preserve">GB 14884 食品安全国家标准 蜜饯 </w:t>
      </w:r>
    </w:p>
    <w:p>
      <w:pPr>
        <w:pStyle w:val="20"/>
        <w:bidi w:val="0"/>
        <w:rPr>
          <w:rFonts w:hint="eastAsia"/>
          <w:color w:val="auto"/>
        </w:rPr>
      </w:pPr>
      <w:r>
        <w:rPr>
          <w:rFonts w:hint="eastAsia"/>
          <w:color w:val="auto"/>
        </w:rPr>
        <w:t>GB 28050 食品安全国家标准 预包装食品营养标签通则</w:t>
      </w:r>
    </w:p>
    <w:p>
      <w:pPr>
        <w:pStyle w:val="20"/>
        <w:bidi w:val="0"/>
        <w:rPr>
          <w:rFonts w:hint="eastAsia"/>
          <w:color w:val="auto"/>
        </w:rPr>
      </w:pPr>
      <w:r>
        <w:rPr>
          <w:rFonts w:hint="eastAsia"/>
          <w:color w:val="auto"/>
        </w:rPr>
        <w:t>JJF 1070 定量包装商品净含量计量检验规则</w:t>
      </w:r>
    </w:p>
    <w:p>
      <w:pPr>
        <w:pStyle w:val="20"/>
        <w:bidi w:val="0"/>
        <w:rPr>
          <w:color w:val="auto"/>
        </w:rPr>
      </w:pPr>
      <w:r>
        <w:rPr>
          <w:rFonts w:hint="eastAsia"/>
          <w:color w:val="auto"/>
        </w:rPr>
        <w:t>国家质量监督检验检疫总局令[2005]第75号</w:t>
      </w:r>
      <w:r>
        <w:rPr>
          <w:rFonts w:hint="eastAsia"/>
          <w:color w:val="auto"/>
          <w:lang w:val="en-US" w:eastAsia="zh-CN"/>
        </w:rPr>
        <w:t xml:space="preserve"> </w:t>
      </w:r>
      <w:r>
        <w:rPr>
          <w:rFonts w:hint="eastAsia"/>
          <w:color w:val="auto"/>
        </w:rPr>
        <w:t>定量包装商品计量监督管理办法</w:t>
      </w:r>
      <w:r>
        <w:rPr>
          <w:rFonts w:hint="eastAsia"/>
          <w:color w:val="auto"/>
          <w:lang w:val="en-US" w:eastAsia="zh-CN"/>
        </w:rPr>
        <w:t xml:space="preserve"> </w:t>
      </w:r>
    </w:p>
    <w:p>
      <w:pPr>
        <w:pStyle w:val="41"/>
        <w:bidi w:val="0"/>
        <w:rPr>
          <w:rFonts w:hint="default"/>
          <w:color w:val="auto"/>
          <w:lang w:val="en-US" w:eastAsia="zh-CN"/>
        </w:rPr>
      </w:pPr>
      <w:r>
        <w:rPr>
          <w:rFonts w:hint="eastAsia"/>
          <w:color w:val="auto"/>
          <w:lang w:val="en-US" w:eastAsia="zh-CN"/>
        </w:rPr>
        <w:t>术语和定义</w:t>
      </w:r>
    </w:p>
    <w:p>
      <w:pPr>
        <w:pStyle w:val="20"/>
        <w:bidi w:val="0"/>
        <w:rPr>
          <w:rFonts w:hint="default"/>
          <w:color w:val="auto"/>
          <w:lang w:val="en-US" w:eastAsia="zh-CN"/>
        </w:rPr>
      </w:pPr>
      <w:bookmarkStart w:id="14" w:name="_Toc34064678"/>
      <w:bookmarkStart w:id="15" w:name="_Toc34064620"/>
      <w:r>
        <w:rPr>
          <w:rFonts w:hint="eastAsia"/>
          <w:color w:val="auto"/>
        </w:rPr>
        <w:t>下列术语和定义适用于本文件。</w:t>
      </w:r>
      <w:bookmarkEnd w:id="14"/>
      <w:bookmarkEnd w:id="15"/>
    </w:p>
    <w:p>
      <w:pPr>
        <w:pStyle w:val="38"/>
        <w:bidi w:val="0"/>
        <w:rPr>
          <w:rFonts w:hint="default"/>
          <w:color w:val="auto"/>
          <w:lang w:val="en-US" w:eastAsia="zh-CN"/>
        </w:rPr>
      </w:pPr>
    </w:p>
    <w:p>
      <w:pPr>
        <w:pStyle w:val="38"/>
        <w:numPr>
          <w:ilvl w:val="1"/>
          <w:numId w:val="0"/>
        </w:numPr>
        <w:spacing w:before="156" w:after="156"/>
        <w:ind w:firstLine="420" w:firstLineChars="200"/>
        <w:rPr>
          <w:rFonts w:hint="eastAsia"/>
          <w:color w:val="auto"/>
          <w:lang w:val="en-US" w:eastAsia="zh-CN"/>
        </w:rPr>
      </w:pPr>
      <w:r>
        <w:rPr>
          <w:rFonts w:hint="eastAsia"/>
          <w:color w:val="auto"/>
          <w:lang w:val="en-US" w:eastAsia="zh-CN"/>
        </w:rPr>
        <w:t>芒果干  dried mango</w:t>
      </w:r>
    </w:p>
    <w:p>
      <w:pPr>
        <w:pStyle w:val="138"/>
        <w:keepNext w:val="0"/>
        <w:keepLines w:val="0"/>
        <w:pageBreakBefore w:val="0"/>
        <w:widowControl w:val="0"/>
        <w:kinsoku/>
        <w:wordWrap/>
        <w:overflowPunct/>
        <w:topLinePunct w:val="0"/>
        <w:autoSpaceDE/>
        <w:autoSpaceDN/>
        <w:bidi w:val="0"/>
        <w:adjustRightInd/>
        <w:snapToGrid/>
        <w:ind w:firstLine="480"/>
        <w:jc w:val="left"/>
        <w:textAlignment w:val="auto"/>
        <w:rPr>
          <w:rFonts w:hint="default"/>
          <w:color w:val="auto"/>
          <w:lang w:val="en-US" w:eastAsia="zh-CN"/>
        </w:rPr>
      </w:pPr>
      <w:r>
        <w:rPr>
          <w:rFonts w:hint="eastAsia" w:ascii="宋体" w:hAnsi="Times New Roman" w:eastAsia="宋体" w:cs="Times New Roman"/>
          <w:color w:val="auto"/>
          <w:sz w:val="21"/>
          <w:szCs w:val="22"/>
          <w:lang w:val="en-US" w:eastAsia="zh-CN" w:bidi="ar-SA"/>
        </w:rPr>
        <w:t>以鲜芒果为原料，以白砂糖</w:t>
      </w:r>
      <w:r>
        <w:rPr>
          <w:rFonts w:hint="eastAsia" w:ascii="宋体" w:cs="Times New Roman"/>
          <w:color w:val="auto"/>
          <w:sz w:val="21"/>
          <w:szCs w:val="22"/>
          <w:lang w:val="en-US" w:eastAsia="zh-CN" w:bidi="ar-SA"/>
        </w:rPr>
        <w:t>、饮用水等</w:t>
      </w:r>
      <w:r>
        <w:rPr>
          <w:rFonts w:hint="eastAsia" w:ascii="宋体" w:hAnsi="Times New Roman" w:eastAsia="宋体" w:cs="Times New Roman"/>
          <w:color w:val="auto"/>
          <w:sz w:val="21"/>
          <w:szCs w:val="22"/>
          <w:lang w:val="en-US" w:eastAsia="zh-CN" w:bidi="ar-SA"/>
        </w:rPr>
        <w:t>作为辅料，经去皮、切片、浸渍、护色、干燥、包装等工艺而制成可直接食用的</w:t>
      </w:r>
      <w:r>
        <w:rPr>
          <w:rFonts w:hint="eastAsia" w:ascii="宋体" w:cs="Times New Roman"/>
          <w:color w:val="auto"/>
          <w:sz w:val="21"/>
          <w:szCs w:val="22"/>
          <w:lang w:val="en-US" w:eastAsia="zh-CN" w:bidi="ar-SA"/>
        </w:rPr>
        <w:t>蜜饯</w:t>
      </w:r>
      <w:r>
        <w:rPr>
          <w:rFonts w:hint="eastAsia" w:ascii="宋体" w:hAnsi="Times New Roman" w:eastAsia="宋体" w:cs="Times New Roman"/>
          <w:color w:val="auto"/>
          <w:sz w:val="21"/>
          <w:szCs w:val="22"/>
          <w:lang w:val="en-US" w:eastAsia="zh-CN" w:bidi="ar-SA"/>
        </w:rPr>
        <w:t>。</w:t>
      </w:r>
    </w:p>
    <w:p>
      <w:pPr>
        <w:pStyle w:val="38"/>
        <w:bidi w:val="0"/>
        <w:rPr>
          <w:rFonts w:hint="default"/>
          <w:color w:val="auto"/>
          <w:lang w:val="en-US" w:eastAsia="zh-CN"/>
        </w:rPr>
      </w:pPr>
    </w:p>
    <w:p>
      <w:pPr>
        <w:pStyle w:val="38"/>
        <w:numPr>
          <w:ilvl w:val="1"/>
          <w:numId w:val="0"/>
        </w:numPr>
        <w:spacing w:before="156" w:after="156"/>
        <w:ind w:firstLine="420" w:firstLineChars="200"/>
        <w:rPr>
          <w:rFonts w:hint="eastAsia"/>
          <w:color w:val="auto"/>
          <w:lang w:val="en-US" w:eastAsia="zh-CN"/>
        </w:rPr>
      </w:pPr>
      <w:r>
        <w:rPr>
          <w:rFonts w:hint="eastAsia"/>
          <w:color w:val="auto"/>
          <w:lang w:val="en-US" w:eastAsia="zh-CN"/>
        </w:rPr>
        <w:t>虫害芒果干  pest-infested dried mango</w:t>
      </w:r>
    </w:p>
    <w:p>
      <w:pPr>
        <w:pStyle w:val="20"/>
        <w:bidi w:val="0"/>
        <w:rPr>
          <w:rFonts w:hint="eastAsia"/>
          <w:color w:val="auto"/>
        </w:rPr>
      </w:pPr>
      <w:r>
        <w:rPr>
          <w:rFonts w:hint="eastAsia"/>
          <w:color w:val="auto"/>
        </w:rPr>
        <w:t>因</w:t>
      </w:r>
      <w:r>
        <w:rPr>
          <w:rFonts w:hint="eastAsia"/>
          <w:color w:val="auto"/>
          <w:lang w:val="en-US" w:eastAsia="zh-CN"/>
        </w:rPr>
        <w:t>原料受到</w:t>
      </w:r>
      <w:r>
        <w:rPr>
          <w:rFonts w:hint="eastAsia"/>
          <w:color w:val="auto"/>
        </w:rPr>
        <w:t>虫类或</w:t>
      </w:r>
      <w:r>
        <w:rPr>
          <w:rFonts w:hint="eastAsia"/>
          <w:color w:val="auto"/>
          <w:lang w:val="en-US" w:eastAsia="zh-CN"/>
        </w:rPr>
        <w:t>螨</w:t>
      </w:r>
      <w:r>
        <w:rPr>
          <w:rFonts w:hint="eastAsia"/>
          <w:color w:val="auto"/>
        </w:rPr>
        <w:t>类侵染而损害的</w:t>
      </w:r>
      <w:r>
        <w:rPr>
          <w:rFonts w:hint="eastAsia"/>
          <w:color w:val="auto"/>
          <w:lang w:eastAsia="zh-CN"/>
        </w:rPr>
        <w:t>芒果</w:t>
      </w:r>
      <w:r>
        <w:rPr>
          <w:rFonts w:hint="eastAsia"/>
          <w:color w:val="auto"/>
        </w:rPr>
        <w:t>干。</w:t>
      </w:r>
    </w:p>
    <w:p>
      <w:pPr>
        <w:pStyle w:val="38"/>
        <w:bidi w:val="0"/>
        <w:rPr>
          <w:rFonts w:hint="eastAsia"/>
          <w:color w:val="auto"/>
          <w:lang w:val="en-US" w:eastAsia="zh-CN"/>
        </w:rPr>
      </w:pPr>
    </w:p>
    <w:p>
      <w:pPr>
        <w:pStyle w:val="38"/>
        <w:numPr>
          <w:ilvl w:val="1"/>
          <w:numId w:val="0"/>
        </w:numPr>
        <w:spacing w:before="156" w:after="156"/>
        <w:ind w:firstLine="420" w:firstLineChars="200"/>
        <w:rPr>
          <w:rFonts w:hint="eastAsia"/>
          <w:color w:val="auto"/>
          <w:lang w:val="en-US" w:eastAsia="zh-CN"/>
        </w:rPr>
      </w:pPr>
      <w:r>
        <w:rPr>
          <w:rFonts w:hint="eastAsia"/>
          <w:color w:val="auto"/>
          <w:lang w:val="en-US" w:eastAsia="zh-CN"/>
        </w:rPr>
        <w:t>受损芒果干 spoiled dried mango</w:t>
      </w:r>
    </w:p>
    <w:p>
      <w:pPr>
        <w:pStyle w:val="20"/>
        <w:bidi w:val="0"/>
        <w:rPr>
          <w:rFonts w:hint="eastAsia"/>
          <w:color w:val="auto"/>
        </w:rPr>
      </w:pPr>
      <w:r>
        <w:rPr>
          <w:rFonts w:hint="eastAsia"/>
          <w:color w:val="auto"/>
        </w:rPr>
        <w:t>因碰压伤、褐变、组织木栓化而受损害的</w:t>
      </w:r>
      <w:r>
        <w:rPr>
          <w:rFonts w:hint="eastAsia"/>
          <w:color w:val="auto"/>
          <w:lang w:eastAsia="zh-CN"/>
        </w:rPr>
        <w:t>芒果</w:t>
      </w:r>
      <w:r>
        <w:rPr>
          <w:rFonts w:hint="eastAsia"/>
          <w:color w:val="auto"/>
        </w:rPr>
        <w:t>干。</w:t>
      </w:r>
    </w:p>
    <w:p>
      <w:pPr>
        <w:pStyle w:val="38"/>
        <w:bidi w:val="0"/>
        <w:rPr>
          <w:rFonts w:hint="eastAsia"/>
          <w:color w:val="auto"/>
          <w:lang w:val="en-US" w:eastAsia="zh-CN"/>
        </w:rPr>
      </w:pPr>
    </w:p>
    <w:p>
      <w:pPr>
        <w:pStyle w:val="38"/>
        <w:numPr>
          <w:ilvl w:val="1"/>
          <w:numId w:val="0"/>
        </w:numPr>
        <w:spacing w:before="156" w:after="156"/>
        <w:ind w:firstLine="420" w:firstLineChars="200"/>
        <w:rPr>
          <w:rFonts w:hint="eastAsia"/>
          <w:color w:val="auto"/>
          <w:lang w:val="en-US" w:eastAsia="zh-CN"/>
        </w:rPr>
      </w:pPr>
      <w:r>
        <w:rPr>
          <w:rFonts w:hint="eastAsia"/>
          <w:color w:val="auto"/>
          <w:lang w:val="en-US" w:eastAsia="zh-CN"/>
        </w:rPr>
        <w:t>破碎芒果干 broken dried mango</w:t>
      </w:r>
    </w:p>
    <w:p>
      <w:pPr>
        <w:pStyle w:val="20"/>
        <w:bidi w:val="0"/>
        <w:rPr>
          <w:rFonts w:hint="eastAsia"/>
          <w:color w:val="auto"/>
        </w:rPr>
      </w:pPr>
      <w:r>
        <w:rPr>
          <w:rFonts w:hint="eastAsia"/>
          <w:color w:val="auto"/>
        </w:rPr>
        <w:t>比正常片小的</w:t>
      </w:r>
      <w:r>
        <w:rPr>
          <w:rFonts w:hint="eastAsia"/>
          <w:color w:val="auto"/>
          <w:lang w:eastAsia="zh-CN"/>
        </w:rPr>
        <w:t>芒果</w:t>
      </w:r>
      <w:r>
        <w:rPr>
          <w:rFonts w:hint="eastAsia"/>
          <w:color w:val="auto"/>
        </w:rPr>
        <w:t>干。</w:t>
      </w:r>
    </w:p>
    <w:p>
      <w:pPr>
        <w:pStyle w:val="41"/>
        <w:spacing w:before="312" w:after="312"/>
        <w:rPr>
          <w:color w:val="auto"/>
          <w:szCs w:val="22"/>
        </w:rPr>
      </w:pPr>
      <w:r>
        <w:rPr>
          <w:rFonts w:hint="eastAsia"/>
          <w:color w:val="auto"/>
          <w:szCs w:val="22"/>
        </w:rPr>
        <w:t>技术要求</w:t>
      </w:r>
    </w:p>
    <w:p>
      <w:pPr>
        <w:pStyle w:val="38"/>
        <w:spacing w:before="156" w:after="156"/>
        <w:rPr>
          <w:color w:val="auto"/>
        </w:rPr>
      </w:pPr>
      <w:r>
        <w:rPr>
          <w:rFonts w:hint="eastAsia"/>
          <w:color w:val="auto"/>
        </w:rPr>
        <w:t>原辅料要求</w:t>
      </w:r>
    </w:p>
    <w:p>
      <w:pPr>
        <w:pStyle w:val="59"/>
        <w:bidi w:val="0"/>
        <w:rPr>
          <w:color w:val="auto"/>
        </w:rPr>
      </w:pPr>
      <w:r>
        <w:rPr>
          <w:rFonts w:hint="eastAsia"/>
          <w:color w:val="auto"/>
        </w:rPr>
        <w:t>饮用水应符合 GB 5749</w:t>
      </w:r>
      <w:r>
        <w:rPr>
          <w:rFonts w:hint="eastAsia"/>
          <w:color w:val="auto"/>
          <w:lang w:val="en-US" w:eastAsia="zh-CN"/>
        </w:rPr>
        <w:t>的</w:t>
      </w:r>
      <w:r>
        <w:rPr>
          <w:rFonts w:hint="eastAsia"/>
          <w:color w:val="auto"/>
        </w:rPr>
        <w:t>规定。</w:t>
      </w:r>
    </w:p>
    <w:p>
      <w:pPr>
        <w:pStyle w:val="59"/>
        <w:bidi w:val="0"/>
        <w:rPr>
          <w:color w:val="auto"/>
        </w:rPr>
      </w:pPr>
      <w:r>
        <w:rPr>
          <w:rFonts w:hint="eastAsia"/>
          <w:color w:val="auto"/>
        </w:rPr>
        <w:t>白砂糖应符合 GB/T 317</w:t>
      </w:r>
      <w:r>
        <w:rPr>
          <w:rFonts w:hint="eastAsia"/>
          <w:color w:val="auto"/>
          <w:lang w:val="en-US" w:eastAsia="zh-CN"/>
        </w:rPr>
        <w:t>的</w:t>
      </w:r>
      <w:r>
        <w:rPr>
          <w:rFonts w:hint="eastAsia"/>
          <w:color w:val="auto"/>
        </w:rPr>
        <w:t>规定。</w:t>
      </w:r>
    </w:p>
    <w:p>
      <w:pPr>
        <w:pStyle w:val="59"/>
        <w:bidi w:val="0"/>
        <w:rPr>
          <w:color w:val="auto"/>
        </w:rPr>
      </w:pPr>
      <w:r>
        <w:rPr>
          <w:rFonts w:hint="eastAsia"/>
          <w:color w:val="auto"/>
        </w:rPr>
        <w:t>芒果应大小均匀、果实成熟、无虫害污染、质地紧密且完整洁净。</w:t>
      </w:r>
    </w:p>
    <w:p>
      <w:pPr>
        <w:pStyle w:val="59"/>
        <w:bidi w:val="0"/>
        <w:rPr>
          <w:color w:val="auto"/>
        </w:rPr>
      </w:pPr>
      <w:r>
        <w:rPr>
          <w:rFonts w:hint="eastAsia"/>
          <w:color w:val="auto"/>
        </w:rPr>
        <w:t>其他原辅料应符合相应的食品标准和有关规定。</w:t>
      </w:r>
    </w:p>
    <w:p>
      <w:pPr>
        <w:pStyle w:val="38"/>
        <w:spacing w:before="156" w:after="156"/>
        <w:rPr>
          <w:color w:val="auto"/>
        </w:rPr>
      </w:pPr>
      <w:r>
        <w:rPr>
          <w:rFonts w:hint="eastAsia"/>
          <w:color w:val="auto"/>
        </w:rPr>
        <w:t>感官要求</w:t>
      </w:r>
    </w:p>
    <w:p>
      <w:pPr>
        <w:pStyle w:val="20"/>
        <w:bidi w:val="0"/>
        <w:rPr>
          <w:color w:val="auto"/>
        </w:rPr>
      </w:pPr>
      <w:r>
        <w:rPr>
          <w:rFonts w:hint="eastAsia"/>
          <w:color w:val="auto"/>
        </w:rPr>
        <w:t>感官要求应符合表1规定。</w:t>
      </w:r>
    </w:p>
    <w:p>
      <w:pPr>
        <w:pStyle w:val="122"/>
        <w:bidi w:val="0"/>
        <w:rPr>
          <w:color w:val="auto"/>
        </w:rPr>
      </w:pPr>
      <w:r>
        <w:rPr>
          <w:rFonts w:hint="eastAsia"/>
          <w:color w:val="auto"/>
        </w:rPr>
        <w:t>感官要求</w:t>
      </w:r>
    </w:p>
    <w:tbl>
      <w:tblPr>
        <w:tblStyle w:val="30"/>
        <w:tblW w:w="99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98"/>
        <w:gridCol w:w="2900"/>
        <w:gridCol w:w="2900"/>
        <w:gridCol w:w="29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1298" w:type="dxa"/>
            <w:vMerge w:val="restart"/>
            <w:vAlign w:val="center"/>
          </w:tcPr>
          <w:p>
            <w:pPr>
              <w:pStyle w:val="20"/>
              <w:spacing w:line="340" w:lineRule="exact"/>
              <w:ind w:firstLine="0" w:firstLineChars="0"/>
              <w:jc w:val="center"/>
              <w:rPr>
                <w:rFonts w:hAnsi="宋体"/>
                <w:color w:val="auto"/>
                <w:szCs w:val="21"/>
              </w:rPr>
            </w:pPr>
            <w:r>
              <w:rPr>
                <w:rFonts w:hint="eastAsia" w:hAnsi="宋体"/>
                <w:color w:val="auto"/>
                <w:szCs w:val="21"/>
              </w:rPr>
              <w:t>项目</w:t>
            </w:r>
          </w:p>
        </w:tc>
        <w:tc>
          <w:tcPr>
            <w:tcW w:w="8700" w:type="dxa"/>
            <w:gridSpan w:val="3"/>
            <w:vAlign w:val="center"/>
          </w:tcPr>
          <w:p>
            <w:pPr>
              <w:pStyle w:val="20"/>
              <w:spacing w:line="340" w:lineRule="exact"/>
              <w:ind w:firstLine="0" w:firstLineChars="0"/>
              <w:jc w:val="center"/>
              <w:rPr>
                <w:rFonts w:hAnsi="宋体"/>
                <w:color w:val="auto"/>
                <w:szCs w:val="21"/>
              </w:rPr>
            </w:pPr>
            <w:r>
              <w:rPr>
                <w:rFonts w:hint="eastAsia" w:hAnsi="宋体"/>
                <w:color w:val="auto"/>
                <w:szCs w:val="21"/>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98" w:type="dxa"/>
            <w:vMerge w:val="continue"/>
            <w:vAlign w:val="center"/>
          </w:tcPr>
          <w:p>
            <w:pPr>
              <w:pStyle w:val="20"/>
              <w:spacing w:line="340" w:lineRule="exact"/>
              <w:ind w:firstLine="0" w:firstLineChars="0"/>
              <w:jc w:val="center"/>
              <w:rPr>
                <w:rFonts w:hAnsi="宋体"/>
                <w:color w:val="auto"/>
                <w:szCs w:val="21"/>
              </w:rPr>
            </w:pP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特级</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lang w:val="en-US" w:eastAsia="zh-CN"/>
              </w:rPr>
              <w:t>优</w:t>
            </w:r>
            <w:r>
              <w:rPr>
                <w:rFonts w:hint="eastAsia" w:hAnsi="宋体"/>
                <w:color w:val="auto"/>
                <w:szCs w:val="21"/>
              </w:rPr>
              <w:t>级</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合格品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1298"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色泽</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鲜亮，芒果干固有的黄色，</w:t>
            </w:r>
            <w:r>
              <w:rPr>
                <w:rFonts w:hint="eastAsia" w:hAnsi="宋体"/>
                <w:color w:val="auto"/>
                <w:szCs w:val="21"/>
                <w:lang w:val="en-US" w:eastAsia="zh-CN"/>
              </w:rPr>
              <w:t>颜色均匀，</w:t>
            </w:r>
            <w:r>
              <w:rPr>
                <w:rFonts w:hint="eastAsia" w:hAnsi="宋体"/>
                <w:color w:val="auto"/>
                <w:szCs w:val="21"/>
              </w:rPr>
              <w:t>无褐变</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鲜亮，芒果干固有的黄色，轻微褐变</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芒果干固有的黄色，轻微褐变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298"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组织状态</w:t>
            </w:r>
          </w:p>
        </w:tc>
        <w:tc>
          <w:tcPr>
            <w:tcW w:w="2900" w:type="dxa"/>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rPr>
              <w:t>组织紧密，厚薄合适</w:t>
            </w:r>
            <w:r>
              <w:rPr>
                <w:rFonts w:hint="eastAsia" w:hAnsi="宋体"/>
                <w:color w:val="auto"/>
                <w:szCs w:val="21"/>
                <w:lang w:eastAsia="zh-CN"/>
              </w:rPr>
              <w:t>，</w:t>
            </w:r>
            <w:r>
              <w:rPr>
                <w:rFonts w:hint="eastAsia" w:hAnsi="宋体"/>
                <w:color w:val="auto"/>
                <w:szCs w:val="21"/>
                <w:lang w:val="en-US" w:eastAsia="zh-CN"/>
              </w:rPr>
              <w:t>果肉中无粗纤维</w:t>
            </w:r>
          </w:p>
        </w:tc>
        <w:tc>
          <w:tcPr>
            <w:tcW w:w="2900" w:type="dxa"/>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rPr>
              <w:t>组织紧密，厚薄</w:t>
            </w:r>
            <w:r>
              <w:rPr>
                <w:rFonts w:hint="eastAsia" w:hAnsi="宋体"/>
                <w:color w:val="auto"/>
                <w:szCs w:val="21"/>
                <w:lang w:val="en-US" w:eastAsia="zh-CN"/>
              </w:rPr>
              <w:t>少量</w:t>
            </w:r>
            <w:r>
              <w:rPr>
                <w:rFonts w:hint="eastAsia" w:hAnsi="宋体"/>
                <w:color w:val="auto"/>
                <w:szCs w:val="21"/>
              </w:rPr>
              <w:t>不</w:t>
            </w:r>
            <w:r>
              <w:rPr>
                <w:rFonts w:hint="eastAsia" w:hAnsi="宋体"/>
                <w:color w:val="auto"/>
                <w:szCs w:val="21"/>
                <w:lang w:val="en-US" w:eastAsia="zh-CN"/>
              </w:rPr>
              <w:t>均匀，果肉中粗纤维较少</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组织紧密，厚薄</w:t>
            </w:r>
            <w:r>
              <w:rPr>
                <w:rFonts w:hint="eastAsia" w:hAnsi="宋体"/>
                <w:color w:val="auto"/>
                <w:szCs w:val="21"/>
                <w:lang w:val="en-US" w:eastAsia="zh-CN"/>
              </w:rPr>
              <w:t>少量</w:t>
            </w:r>
            <w:r>
              <w:rPr>
                <w:rFonts w:hint="eastAsia" w:hAnsi="宋体"/>
                <w:color w:val="auto"/>
                <w:szCs w:val="21"/>
              </w:rPr>
              <w:t>不</w:t>
            </w:r>
            <w:r>
              <w:rPr>
                <w:rFonts w:hint="eastAsia" w:hAnsi="宋体"/>
                <w:color w:val="auto"/>
                <w:szCs w:val="21"/>
                <w:lang w:val="en-US" w:eastAsia="zh-CN"/>
              </w:rPr>
              <w:t>均匀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298"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气味和滋味</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具有芒果干固有的甜香味，酸甜可口，软硬适中</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具有芒果干固有的甜香味，酸甜不均匀，软硬适中</w:t>
            </w:r>
          </w:p>
        </w:tc>
        <w:tc>
          <w:tcPr>
            <w:tcW w:w="2900"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具有芒果干固有的甜香味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98"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杂质</w:t>
            </w:r>
          </w:p>
        </w:tc>
        <w:tc>
          <w:tcPr>
            <w:tcW w:w="8700" w:type="dxa"/>
            <w:gridSpan w:val="3"/>
            <w:vAlign w:val="center"/>
          </w:tcPr>
          <w:p>
            <w:pPr>
              <w:pStyle w:val="20"/>
              <w:spacing w:line="340" w:lineRule="exact"/>
              <w:ind w:firstLine="0" w:firstLineChars="0"/>
              <w:rPr>
                <w:rFonts w:hAnsi="宋体"/>
                <w:color w:val="auto"/>
                <w:szCs w:val="21"/>
              </w:rPr>
            </w:pPr>
            <w:r>
              <w:rPr>
                <w:rFonts w:hint="eastAsia" w:hAnsi="宋体"/>
                <w:color w:val="auto"/>
                <w:szCs w:val="21"/>
              </w:rPr>
              <w:t>正常视力下，无肉眼可见杂质</w:t>
            </w:r>
          </w:p>
        </w:tc>
      </w:tr>
    </w:tbl>
    <w:p>
      <w:pPr>
        <w:pStyle w:val="38"/>
        <w:spacing w:before="156" w:after="156"/>
        <w:rPr>
          <w:color w:val="auto"/>
        </w:rPr>
      </w:pPr>
      <w:r>
        <w:rPr>
          <w:rFonts w:hint="eastAsia"/>
          <w:color w:val="auto"/>
        </w:rPr>
        <w:t>分级要求</w:t>
      </w:r>
    </w:p>
    <w:p>
      <w:pPr>
        <w:pStyle w:val="20"/>
        <w:bidi w:val="0"/>
        <w:rPr>
          <w:color w:val="auto"/>
        </w:rPr>
      </w:pPr>
      <w:r>
        <w:rPr>
          <w:rFonts w:hint="eastAsia"/>
          <w:color w:val="auto"/>
        </w:rPr>
        <w:t>分级要求应符合表2规定。</w:t>
      </w:r>
    </w:p>
    <w:p>
      <w:pPr>
        <w:pStyle w:val="122"/>
        <w:bidi w:val="0"/>
        <w:rPr>
          <w:rFonts w:hint="eastAsia"/>
          <w:color w:val="auto"/>
          <w:szCs w:val="22"/>
        </w:rPr>
      </w:pPr>
      <w:r>
        <w:rPr>
          <w:rFonts w:hint="eastAsia"/>
          <w:color w:val="auto"/>
          <w:szCs w:val="22"/>
        </w:rPr>
        <w:t>分级要求</w:t>
      </w:r>
    </w:p>
    <w:tbl>
      <w:tblPr>
        <w:tblStyle w:val="30"/>
        <w:tblW w:w="99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753"/>
        <w:gridCol w:w="2415"/>
        <w:gridCol w:w="2415"/>
        <w:gridCol w:w="24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2753" w:type="dxa"/>
            <w:vMerge w:val="restart"/>
            <w:vAlign w:val="center"/>
          </w:tcPr>
          <w:p>
            <w:pPr>
              <w:pStyle w:val="20"/>
              <w:spacing w:line="340" w:lineRule="exact"/>
              <w:ind w:firstLine="0" w:firstLineChars="0"/>
              <w:jc w:val="center"/>
              <w:rPr>
                <w:rFonts w:hAnsi="宋体"/>
                <w:color w:val="auto"/>
                <w:szCs w:val="21"/>
              </w:rPr>
            </w:pPr>
            <w:r>
              <w:rPr>
                <w:rFonts w:hint="eastAsia" w:hAnsi="宋体"/>
                <w:color w:val="auto"/>
                <w:szCs w:val="21"/>
              </w:rPr>
              <w:t>项目</w:t>
            </w:r>
          </w:p>
        </w:tc>
        <w:tc>
          <w:tcPr>
            <w:tcW w:w="7245" w:type="dxa"/>
            <w:gridSpan w:val="3"/>
            <w:vAlign w:val="center"/>
          </w:tcPr>
          <w:p>
            <w:pPr>
              <w:pStyle w:val="20"/>
              <w:spacing w:line="340" w:lineRule="exact"/>
              <w:ind w:firstLine="0" w:firstLineChars="0"/>
              <w:jc w:val="center"/>
              <w:rPr>
                <w:rFonts w:hAnsi="宋体"/>
                <w:color w:val="auto"/>
                <w:szCs w:val="21"/>
              </w:rPr>
            </w:pPr>
            <w:r>
              <w:rPr>
                <w:rFonts w:hint="eastAsia" w:hAnsi="宋体"/>
                <w:color w:val="auto"/>
                <w:szCs w:val="21"/>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2753" w:type="dxa"/>
            <w:vMerge w:val="continue"/>
            <w:vAlign w:val="center"/>
          </w:tcPr>
          <w:p>
            <w:pPr>
              <w:pStyle w:val="20"/>
              <w:spacing w:line="340" w:lineRule="exact"/>
              <w:ind w:firstLine="0" w:firstLineChars="0"/>
              <w:jc w:val="center"/>
              <w:rPr>
                <w:rFonts w:hAnsi="宋体"/>
                <w:color w:val="auto"/>
                <w:szCs w:val="21"/>
              </w:rPr>
            </w:pP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特级</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lang w:val="en-US" w:eastAsia="zh-CN"/>
              </w:rPr>
              <w:t>优</w:t>
            </w:r>
            <w:r>
              <w:rPr>
                <w:rFonts w:hint="eastAsia" w:hAnsi="宋体"/>
                <w:color w:val="auto"/>
                <w:szCs w:val="21"/>
              </w:rPr>
              <w:t>级</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合格品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753"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虫害芒果干（质量分数）%</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≤1</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≤2</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7" w:hRule="atLeast"/>
        </w:trPr>
        <w:tc>
          <w:tcPr>
            <w:tcW w:w="2753"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受损芒果干（质量分数）%</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≤2</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≤3</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53"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破碎芒果干（质量分数）%</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≤5</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≤10</w:t>
            </w:r>
          </w:p>
        </w:tc>
        <w:tc>
          <w:tcPr>
            <w:tcW w:w="2415" w:type="dxa"/>
            <w:vAlign w:val="center"/>
          </w:tcPr>
          <w:p>
            <w:pPr>
              <w:pStyle w:val="20"/>
              <w:spacing w:line="340" w:lineRule="exact"/>
              <w:ind w:firstLine="0" w:firstLineChars="0"/>
              <w:jc w:val="center"/>
              <w:rPr>
                <w:rFonts w:hAnsi="宋体"/>
                <w:color w:val="auto"/>
                <w:szCs w:val="21"/>
              </w:rPr>
            </w:pPr>
            <w:r>
              <w:rPr>
                <w:rFonts w:hint="eastAsia" w:hAnsi="宋体"/>
                <w:color w:val="auto"/>
                <w:szCs w:val="21"/>
              </w:rPr>
              <w:t>≤15</w:t>
            </w:r>
          </w:p>
        </w:tc>
      </w:tr>
    </w:tbl>
    <w:p>
      <w:pPr>
        <w:pStyle w:val="38"/>
        <w:spacing w:before="156" w:after="156"/>
        <w:rPr>
          <w:rFonts w:hint="eastAsia"/>
          <w:color w:val="auto"/>
        </w:rPr>
      </w:pPr>
      <w:r>
        <w:rPr>
          <w:rFonts w:hint="eastAsia"/>
          <w:color w:val="auto"/>
        </w:rPr>
        <w:t>理化指标</w:t>
      </w:r>
    </w:p>
    <w:p>
      <w:pPr>
        <w:pStyle w:val="20"/>
        <w:bidi w:val="0"/>
        <w:rPr>
          <w:color w:val="auto"/>
        </w:rPr>
      </w:pPr>
      <w:r>
        <w:rPr>
          <w:rFonts w:hint="eastAsia"/>
          <w:color w:val="auto"/>
        </w:rPr>
        <w:t>理化指标应符合表3规定。</w:t>
      </w:r>
    </w:p>
    <w:p>
      <w:pPr>
        <w:pStyle w:val="122"/>
        <w:bidi w:val="0"/>
        <w:rPr>
          <w:rFonts w:hint="eastAsia"/>
          <w:color w:val="auto"/>
          <w:szCs w:val="22"/>
        </w:rPr>
      </w:pPr>
      <w:r>
        <w:rPr>
          <w:rFonts w:hint="eastAsia"/>
          <w:color w:val="auto"/>
          <w:szCs w:val="22"/>
        </w:rPr>
        <w:t>理化指标</w:t>
      </w:r>
    </w:p>
    <w:tbl>
      <w:tblPr>
        <w:tblStyle w:val="30"/>
        <w:tblW w:w="522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7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01" w:type="pc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项目</w:t>
            </w:r>
          </w:p>
        </w:tc>
        <w:tc>
          <w:tcPr>
            <w:tcW w:w="3598" w:type="pc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401" w:type="pc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水分（g/100g)</w:t>
            </w:r>
          </w:p>
        </w:tc>
        <w:tc>
          <w:tcPr>
            <w:tcW w:w="3598" w:type="pc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1" w:type="pc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总酸</w:t>
            </w:r>
          </w:p>
        </w:tc>
        <w:tc>
          <w:tcPr>
            <w:tcW w:w="3598" w:type="pc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1" w:type="pct"/>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总糖（以葡萄糖计）</w:t>
            </w:r>
            <w:r>
              <w:rPr>
                <w:rFonts w:hint="eastAsia" w:hAnsi="宋体"/>
                <w:color w:val="auto"/>
                <w:szCs w:val="21"/>
              </w:rPr>
              <w:t>（g/100g)</w:t>
            </w:r>
          </w:p>
        </w:tc>
        <w:tc>
          <w:tcPr>
            <w:tcW w:w="3598" w:type="pct"/>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rPr>
              <w:t>≤</w:t>
            </w:r>
            <w:r>
              <w:rPr>
                <w:rFonts w:hint="eastAsia" w:hAnsi="宋体"/>
                <w:color w:val="auto"/>
                <w:szCs w:val="21"/>
                <w:lang w:val="en-US" w:eastAsia="zh-CN"/>
              </w:rPr>
              <w:t>85.0</w:t>
            </w:r>
          </w:p>
        </w:tc>
      </w:tr>
    </w:tbl>
    <w:p>
      <w:pPr>
        <w:pStyle w:val="38"/>
        <w:spacing w:before="156" w:after="156"/>
        <w:rPr>
          <w:color w:val="auto"/>
        </w:rPr>
      </w:pPr>
      <w:r>
        <w:rPr>
          <w:rFonts w:hint="eastAsia"/>
          <w:color w:val="auto"/>
        </w:rPr>
        <w:t>微生物限量</w:t>
      </w:r>
    </w:p>
    <w:p>
      <w:pPr>
        <w:pStyle w:val="20"/>
        <w:rPr>
          <w:rFonts w:hint="default" w:eastAsia="宋体"/>
          <w:color w:val="auto"/>
          <w:lang w:val="en-US" w:eastAsia="zh-CN"/>
        </w:rPr>
      </w:pPr>
      <w:r>
        <w:rPr>
          <w:rFonts w:hint="eastAsia"/>
          <w:color w:val="auto"/>
          <w:lang w:val="en-US" w:eastAsia="zh-CN"/>
        </w:rPr>
        <w:t>微生物限量</w:t>
      </w:r>
      <w:r>
        <w:rPr>
          <w:rFonts w:hint="eastAsia"/>
          <w:color w:val="auto"/>
        </w:rPr>
        <w:t>应符合GB 14884</w:t>
      </w:r>
      <w:r>
        <w:rPr>
          <w:rFonts w:hint="eastAsia"/>
          <w:color w:val="auto"/>
          <w:lang w:val="en-US" w:eastAsia="zh-CN"/>
        </w:rPr>
        <w:t>的规定。</w:t>
      </w:r>
    </w:p>
    <w:p>
      <w:pPr>
        <w:pStyle w:val="38"/>
        <w:spacing w:before="156" w:after="156"/>
        <w:rPr>
          <w:color w:val="auto"/>
        </w:rPr>
      </w:pPr>
      <w:r>
        <w:rPr>
          <w:rFonts w:hint="eastAsia"/>
          <w:color w:val="auto"/>
        </w:rPr>
        <w:t>污染物限量</w:t>
      </w:r>
    </w:p>
    <w:p>
      <w:pPr>
        <w:pStyle w:val="20"/>
        <w:bidi w:val="0"/>
        <w:rPr>
          <w:rFonts w:hint="eastAsia"/>
          <w:color w:val="auto"/>
        </w:rPr>
      </w:pPr>
      <w:r>
        <w:rPr>
          <w:rFonts w:hint="eastAsia"/>
          <w:color w:val="auto"/>
        </w:rPr>
        <w:t>污染物限量应符合GB 276</w:t>
      </w:r>
      <w:r>
        <w:rPr>
          <w:rFonts w:hint="eastAsia"/>
          <w:color w:val="auto"/>
          <w:lang w:val="en-US" w:eastAsia="zh-CN"/>
        </w:rPr>
        <w:t>2</w:t>
      </w:r>
      <w:r>
        <w:rPr>
          <w:rFonts w:hint="eastAsia"/>
          <w:color w:val="auto"/>
        </w:rPr>
        <w:t>的规定。</w:t>
      </w:r>
    </w:p>
    <w:p>
      <w:pPr>
        <w:pStyle w:val="38"/>
        <w:spacing w:before="156" w:after="156"/>
        <w:rPr>
          <w:rFonts w:hint="eastAsia"/>
          <w:color w:val="auto"/>
        </w:rPr>
      </w:pPr>
      <w:r>
        <w:rPr>
          <w:rFonts w:hint="eastAsia"/>
          <w:color w:val="auto"/>
        </w:rPr>
        <w:t>农药残留</w:t>
      </w:r>
      <w:r>
        <w:rPr>
          <w:rFonts w:hint="eastAsia"/>
          <w:color w:val="auto"/>
          <w:lang w:val="en-US" w:eastAsia="zh-CN"/>
        </w:rPr>
        <w:t>限量</w:t>
      </w:r>
    </w:p>
    <w:p>
      <w:pPr>
        <w:pStyle w:val="20"/>
        <w:rPr>
          <w:rFonts w:hint="default" w:eastAsia="宋体"/>
          <w:color w:val="auto"/>
          <w:lang w:val="en-US" w:eastAsia="zh-CN"/>
        </w:rPr>
      </w:pPr>
      <w:r>
        <w:rPr>
          <w:rFonts w:hint="eastAsia"/>
          <w:color w:val="auto"/>
          <w:lang w:val="en-US" w:eastAsia="zh-CN"/>
        </w:rPr>
        <w:t>农药残留限量应符合GB 2763的规定。</w:t>
      </w:r>
    </w:p>
    <w:p>
      <w:pPr>
        <w:pStyle w:val="38"/>
        <w:spacing w:before="156" w:after="156"/>
        <w:rPr>
          <w:rFonts w:hint="default"/>
          <w:color w:val="auto"/>
          <w:lang w:val="en-US" w:eastAsia="zh-CN"/>
        </w:rPr>
      </w:pPr>
      <w:r>
        <w:rPr>
          <w:rFonts w:hint="eastAsia"/>
          <w:color w:val="auto"/>
        </w:rPr>
        <w:t>食品添加剂</w:t>
      </w:r>
      <w:r>
        <w:rPr>
          <w:rFonts w:hint="eastAsia"/>
          <w:color w:val="auto"/>
          <w:lang w:val="en-US" w:eastAsia="zh-CN"/>
        </w:rPr>
        <w:t>与食品营养强化剂限量</w:t>
      </w:r>
    </w:p>
    <w:p>
      <w:pPr>
        <w:pStyle w:val="20"/>
        <w:rPr>
          <w:rFonts w:hint="default"/>
          <w:color w:val="auto"/>
          <w:lang w:val="en-US" w:eastAsia="zh-CN"/>
        </w:rPr>
      </w:pPr>
      <w:r>
        <w:rPr>
          <w:rFonts w:hint="eastAsia"/>
          <w:color w:val="auto"/>
          <w:lang w:val="en-US" w:eastAsia="zh-CN"/>
        </w:rPr>
        <w:t>食品添加剂和</w:t>
      </w:r>
      <w:r>
        <w:rPr>
          <w:rFonts w:hint="eastAsia"/>
          <w:color w:val="auto"/>
          <w:szCs w:val="22"/>
          <w:lang w:val="en-US" w:eastAsia="zh-CN"/>
        </w:rPr>
        <w:t>食品营</w:t>
      </w:r>
      <w:r>
        <w:rPr>
          <w:rFonts w:hint="eastAsia"/>
          <w:color w:val="auto"/>
          <w:lang w:val="en-US" w:eastAsia="zh-CN"/>
        </w:rPr>
        <w:t xml:space="preserve">养强化剂的使用应符合GB 2760和GB 14880的规定。 </w:t>
      </w:r>
    </w:p>
    <w:p>
      <w:pPr>
        <w:pStyle w:val="38"/>
        <w:spacing w:before="156" w:after="156"/>
        <w:rPr>
          <w:color w:val="auto"/>
        </w:rPr>
      </w:pPr>
      <w:r>
        <w:rPr>
          <w:rFonts w:hint="eastAsia"/>
          <w:color w:val="auto"/>
        </w:rPr>
        <w:t>净含量</w:t>
      </w:r>
    </w:p>
    <w:p>
      <w:pPr>
        <w:pStyle w:val="20"/>
        <w:bidi w:val="0"/>
        <w:rPr>
          <w:color w:val="auto"/>
        </w:rPr>
      </w:pPr>
      <w:r>
        <w:rPr>
          <w:rFonts w:hint="eastAsia"/>
          <w:color w:val="auto"/>
          <w:lang w:val="en-US" w:eastAsia="zh-CN"/>
        </w:rPr>
        <w:t>净含量</w:t>
      </w:r>
      <w:r>
        <w:rPr>
          <w:rFonts w:hint="eastAsia"/>
          <w:color w:val="auto"/>
        </w:rPr>
        <w:t>应符合《定量包装商品计量监督管理办法》的有关规定。</w:t>
      </w:r>
    </w:p>
    <w:p>
      <w:pPr>
        <w:pStyle w:val="41"/>
        <w:spacing w:before="312" w:after="312"/>
        <w:rPr>
          <w:color w:val="auto"/>
          <w:szCs w:val="22"/>
        </w:rPr>
      </w:pPr>
      <w:r>
        <w:rPr>
          <w:rFonts w:hint="eastAsia"/>
          <w:color w:val="auto"/>
        </w:rPr>
        <w:t>生产加工过程卫生要求</w:t>
      </w:r>
    </w:p>
    <w:p>
      <w:pPr>
        <w:pStyle w:val="20"/>
        <w:bidi w:val="0"/>
        <w:rPr>
          <w:color w:val="auto"/>
        </w:rPr>
      </w:pPr>
      <w:r>
        <w:rPr>
          <w:rFonts w:hint="eastAsia"/>
          <w:color w:val="auto"/>
        </w:rPr>
        <w:t>生产加工</w:t>
      </w:r>
      <w:r>
        <w:rPr>
          <w:rFonts w:hint="eastAsia"/>
          <w:color w:val="auto"/>
          <w:lang w:val="en-US" w:eastAsia="zh-CN"/>
        </w:rPr>
        <w:t>过</w:t>
      </w:r>
      <w:r>
        <w:rPr>
          <w:rFonts w:hint="eastAsia"/>
          <w:color w:val="auto"/>
        </w:rPr>
        <w:t>程</w:t>
      </w:r>
      <w:r>
        <w:rPr>
          <w:rFonts w:hint="eastAsia"/>
          <w:color w:val="auto"/>
          <w:lang w:val="en-US" w:eastAsia="zh-CN"/>
        </w:rPr>
        <w:t>卫生要求</w:t>
      </w:r>
      <w:r>
        <w:rPr>
          <w:rFonts w:hint="eastAsia"/>
          <w:color w:val="auto"/>
        </w:rPr>
        <w:t xml:space="preserve">应符合GB </w:t>
      </w:r>
      <w:r>
        <w:rPr>
          <w:rFonts w:hint="eastAsia"/>
          <w:color w:val="auto"/>
          <w:lang w:val="en-US" w:eastAsia="zh-CN"/>
        </w:rPr>
        <w:t>8956</w:t>
      </w:r>
      <w:r>
        <w:rPr>
          <w:rFonts w:hint="eastAsia"/>
          <w:color w:val="auto"/>
        </w:rPr>
        <w:t>的规定。</w:t>
      </w:r>
    </w:p>
    <w:p>
      <w:pPr>
        <w:pStyle w:val="41"/>
        <w:spacing w:before="312" w:after="312"/>
        <w:rPr>
          <w:color w:val="auto"/>
          <w:sz w:val="20"/>
        </w:rPr>
      </w:pPr>
      <w:r>
        <w:rPr>
          <w:rFonts w:hint="eastAsia"/>
          <w:color w:val="auto"/>
          <w:lang w:val="en-US" w:eastAsia="zh-CN"/>
        </w:rPr>
        <w:t>试验</w:t>
      </w:r>
      <w:r>
        <w:rPr>
          <w:rFonts w:hint="eastAsia"/>
          <w:color w:val="auto"/>
        </w:rPr>
        <w:t>方法</w:t>
      </w:r>
    </w:p>
    <w:p>
      <w:pPr>
        <w:pStyle w:val="38"/>
        <w:spacing w:before="156" w:after="156"/>
        <w:rPr>
          <w:color w:val="auto"/>
        </w:rPr>
      </w:pPr>
      <w:r>
        <w:rPr>
          <w:rFonts w:hint="eastAsia"/>
          <w:color w:val="auto"/>
        </w:rPr>
        <w:t>感官</w:t>
      </w:r>
      <w:r>
        <w:rPr>
          <w:rFonts w:hint="eastAsia"/>
          <w:color w:val="auto"/>
          <w:lang w:val="en-US" w:eastAsia="zh-CN"/>
        </w:rPr>
        <w:t>要求</w:t>
      </w:r>
    </w:p>
    <w:p>
      <w:pPr>
        <w:pStyle w:val="20"/>
        <w:rPr>
          <w:color w:val="auto"/>
        </w:rPr>
      </w:pPr>
      <w:r>
        <w:rPr>
          <w:rFonts w:hint="eastAsia"/>
          <w:color w:val="auto"/>
        </w:rPr>
        <w:t>将样品平摊于洁净的白瓷盘中，在自然光下肉眼观察其色泽，再用刀剖开观察其组织形态、杂质，嗅其气味；用温开水漱口，品其滋味。</w:t>
      </w:r>
    </w:p>
    <w:p>
      <w:pPr>
        <w:pStyle w:val="38"/>
        <w:spacing w:before="156" w:after="156"/>
        <w:rPr>
          <w:rFonts w:hint="default"/>
          <w:color w:val="auto"/>
          <w:lang w:val="en-US" w:eastAsia="zh-CN"/>
        </w:rPr>
      </w:pPr>
      <w:r>
        <w:rPr>
          <w:rFonts w:hint="eastAsia"/>
          <w:color w:val="auto"/>
          <w:lang w:val="en-US" w:eastAsia="zh-CN"/>
        </w:rPr>
        <w:t>虫害芒果干、受损芒果干、破碎芒果干</w:t>
      </w:r>
    </w:p>
    <w:p>
      <w:pPr>
        <w:pStyle w:val="20"/>
        <w:bidi w:val="0"/>
        <w:rPr>
          <w:rFonts w:hint="default"/>
          <w:color w:val="auto"/>
          <w:szCs w:val="22"/>
          <w:lang w:val="en-US" w:eastAsia="zh-CN"/>
        </w:rPr>
      </w:pPr>
      <w:r>
        <w:rPr>
          <w:rFonts w:hint="eastAsia"/>
          <w:color w:val="auto"/>
          <w:szCs w:val="22"/>
        </w:rPr>
        <w:t>按(附录A)规定的方法</w:t>
      </w:r>
      <w:r>
        <w:rPr>
          <w:rFonts w:hint="eastAsia"/>
          <w:color w:val="auto"/>
          <w:szCs w:val="22"/>
          <w:lang w:val="en-US" w:eastAsia="zh-CN"/>
        </w:rPr>
        <w:t>测定</w:t>
      </w:r>
      <w:r>
        <w:rPr>
          <w:rFonts w:hint="eastAsia"/>
          <w:color w:val="auto"/>
          <w:szCs w:val="22"/>
        </w:rPr>
        <w:t>。</w:t>
      </w:r>
    </w:p>
    <w:p>
      <w:pPr>
        <w:pStyle w:val="38"/>
        <w:spacing w:before="156" w:after="156"/>
        <w:rPr>
          <w:color w:val="auto"/>
        </w:rPr>
      </w:pPr>
      <w:r>
        <w:rPr>
          <w:rFonts w:hint="eastAsia"/>
          <w:color w:val="auto"/>
        </w:rPr>
        <w:t>理化指标</w:t>
      </w:r>
    </w:p>
    <w:p>
      <w:pPr>
        <w:pStyle w:val="42"/>
        <w:spacing w:before="156" w:after="156"/>
        <w:rPr>
          <w:color w:val="auto"/>
        </w:rPr>
      </w:pPr>
      <w:r>
        <w:rPr>
          <w:rFonts w:hint="eastAsia"/>
          <w:color w:val="auto"/>
        </w:rPr>
        <w:t>水分</w:t>
      </w:r>
    </w:p>
    <w:p>
      <w:pPr>
        <w:pStyle w:val="20"/>
        <w:bidi w:val="0"/>
        <w:rPr>
          <w:color w:val="auto"/>
        </w:rPr>
      </w:pPr>
      <w:r>
        <w:rPr>
          <w:rFonts w:hint="eastAsia"/>
          <w:color w:val="auto"/>
        </w:rPr>
        <w:t>按GB 5009.3 规定的方法</w:t>
      </w:r>
      <w:r>
        <w:rPr>
          <w:rFonts w:hint="eastAsia"/>
          <w:color w:val="auto"/>
          <w:lang w:val="en-US" w:eastAsia="zh-CN"/>
        </w:rPr>
        <w:t>测定</w:t>
      </w:r>
      <w:r>
        <w:rPr>
          <w:rFonts w:hint="eastAsia"/>
          <w:color w:val="auto"/>
        </w:rPr>
        <w:t>。</w:t>
      </w:r>
    </w:p>
    <w:p>
      <w:pPr>
        <w:pStyle w:val="42"/>
        <w:spacing w:before="156" w:after="156"/>
        <w:rPr>
          <w:color w:val="auto"/>
        </w:rPr>
      </w:pPr>
      <w:r>
        <w:rPr>
          <w:rFonts w:hint="eastAsia"/>
          <w:color w:val="auto"/>
        </w:rPr>
        <w:t>总酸</w:t>
      </w:r>
    </w:p>
    <w:p>
      <w:pPr>
        <w:pStyle w:val="20"/>
        <w:bidi w:val="0"/>
        <w:rPr>
          <w:rFonts w:hint="eastAsia"/>
          <w:color w:val="auto"/>
          <w:szCs w:val="22"/>
        </w:rPr>
      </w:pPr>
      <w:r>
        <w:rPr>
          <w:rFonts w:hint="eastAsia"/>
          <w:color w:val="auto"/>
          <w:szCs w:val="22"/>
        </w:rPr>
        <w:t xml:space="preserve">按GB/T </w:t>
      </w:r>
      <w:r>
        <w:rPr>
          <w:rFonts w:hint="eastAsia"/>
          <w:color w:val="auto"/>
          <w:szCs w:val="22"/>
          <w:lang w:val="en-US" w:eastAsia="zh-CN"/>
        </w:rPr>
        <w:t>12456</w:t>
      </w:r>
      <w:r>
        <w:rPr>
          <w:rFonts w:hint="eastAsia"/>
          <w:color w:val="auto"/>
          <w:szCs w:val="22"/>
        </w:rPr>
        <w:t xml:space="preserve"> 规定的方法</w:t>
      </w:r>
      <w:r>
        <w:rPr>
          <w:rFonts w:hint="eastAsia"/>
          <w:color w:val="auto"/>
          <w:szCs w:val="22"/>
          <w:lang w:val="en-US" w:eastAsia="zh-CN"/>
        </w:rPr>
        <w:t>测定</w:t>
      </w:r>
      <w:r>
        <w:rPr>
          <w:rFonts w:hint="eastAsia"/>
          <w:color w:val="auto"/>
          <w:szCs w:val="22"/>
        </w:rPr>
        <w:t>。</w:t>
      </w:r>
    </w:p>
    <w:p>
      <w:pPr>
        <w:pStyle w:val="42"/>
        <w:spacing w:before="156" w:after="156"/>
        <w:rPr>
          <w:rFonts w:hint="eastAsia"/>
          <w:color w:val="auto"/>
          <w:lang w:val="en-US" w:eastAsia="zh-CN"/>
        </w:rPr>
      </w:pPr>
      <w:r>
        <w:rPr>
          <w:rFonts w:hint="eastAsia"/>
          <w:color w:val="auto"/>
          <w:lang w:val="en-US" w:eastAsia="zh-CN"/>
        </w:rPr>
        <w:t>总糖</w:t>
      </w:r>
    </w:p>
    <w:p>
      <w:pPr>
        <w:pStyle w:val="20"/>
        <w:bidi w:val="0"/>
        <w:rPr>
          <w:rFonts w:hint="eastAsia"/>
          <w:color w:val="auto"/>
        </w:rPr>
      </w:pPr>
      <w:r>
        <w:rPr>
          <w:rFonts w:hint="eastAsia"/>
          <w:color w:val="auto"/>
        </w:rPr>
        <w:t xml:space="preserve">按GB/T </w:t>
      </w:r>
      <w:r>
        <w:rPr>
          <w:rFonts w:hint="eastAsia"/>
          <w:color w:val="auto"/>
          <w:lang w:val="en-US" w:eastAsia="zh-CN"/>
        </w:rPr>
        <w:t xml:space="preserve">10782 </w:t>
      </w:r>
      <w:r>
        <w:rPr>
          <w:rFonts w:hint="eastAsia"/>
          <w:color w:val="auto"/>
        </w:rPr>
        <w:t>规定的方法</w:t>
      </w:r>
      <w:r>
        <w:rPr>
          <w:rFonts w:hint="eastAsia"/>
          <w:color w:val="auto"/>
          <w:lang w:val="en-US" w:eastAsia="zh-CN"/>
        </w:rPr>
        <w:t>测定</w:t>
      </w:r>
      <w:r>
        <w:rPr>
          <w:rFonts w:hint="eastAsia"/>
          <w:color w:val="auto"/>
        </w:rPr>
        <w:t>。</w:t>
      </w:r>
    </w:p>
    <w:p>
      <w:pPr>
        <w:pStyle w:val="38"/>
        <w:spacing w:before="156" w:after="156"/>
        <w:rPr>
          <w:rFonts w:hint="eastAsia"/>
          <w:color w:val="auto"/>
        </w:rPr>
      </w:pPr>
      <w:r>
        <w:rPr>
          <w:rFonts w:hint="eastAsia"/>
          <w:color w:val="auto"/>
        </w:rPr>
        <w:t>微生物</w:t>
      </w:r>
      <w:r>
        <w:rPr>
          <w:rFonts w:hint="eastAsia"/>
          <w:color w:val="auto"/>
          <w:lang w:val="en-US" w:eastAsia="zh-CN"/>
        </w:rPr>
        <w:t>限量</w:t>
      </w:r>
    </w:p>
    <w:p>
      <w:pPr>
        <w:pStyle w:val="42"/>
        <w:spacing w:before="156" w:after="156"/>
        <w:rPr>
          <w:color w:val="auto"/>
        </w:rPr>
      </w:pPr>
      <w:r>
        <w:rPr>
          <w:rFonts w:hint="eastAsia"/>
          <w:color w:val="auto"/>
        </w:rPr>
        <w:t>菌落总数</w:t>
      </w:r>
    </w:p>
    <w:p>
      <w:pPr>
        <w:pStyle w:val="20"/>
        <w:bidi w:val="0"/>
        <w:rPr>
          <w:color w:val="auto"/>
        </w:rPr>
      </w:pPr>
      <w:r>
        <w:rPr>
          <w:rFonts w:hint="eastAsia"/>
          <w:color w:val="auto"/>
        </w:rPr>
        <w:t>按GB 4789.2 规定的方法</w:t>
      </w:r>
      <w:r>
        <w:rPr>
          <w:rFonts w:hint="eastAsia"/>
          <w:color w:val="auto"/>
          <w:lang w:val="en-US" w:eastAsia="zh-CN"/>
        </w:rPr>
        <w:t>测定</w:t>
      </w:r>
      <w:r>
        <w:rPr>
          <w:rFonts w:hint="eastAsia"/>
          <w:color w:val="auto"/>
        </w:rPr>
        <w:t>。</w:t>
      </w:r>
    </w:p>
    <w:p>
      <w:pPr>
        <w:pStyle w:val="42"/>
        <w:spacing w:before="156" w:after="156"/>
        <w:rPr>
          <w:color w:val="auto"/>
        </w:rPr>
      </w:pPr>
      <w:r>
        <w:rPr>
          <w:rFonts w:hint="eastAsia"/>
          <w:color w:val="auto"/>
        </w:rPr>
        <w:t>大肠菌群</w:t>
      </w:r>
    </w:p>
    <w:p>
      <w:pPr>
        <w:pStyle w:val="20"/>
        <w:bidi w:val="0"/>
        <w:rPr>
          <w:color w:val="auto"/>
        </w:rPr>
      </w:pPr>
      <w:r>
        <w:rPr>
          <w:rFonts w:hint="eastAsia"/>
          <w:color w:val="auto"/>
        </w:rPr>
        <w:t>按GB 4789.3 规定的</w:t>
      </w:r>
      <w:r>
        <w:rPr>
          <w:rFonts w:hint="eastAsia"/>
          <w:color w:val="auto"/>
          <w:lang w:val="en-US" w:eastAsia="zh-CN"/>
        </w:rPr>
        <w:t>平板计数法测定</w:t>
      </w:r>
      <w:r>
        <w:rPr>
          <w:rFonts w:hint="eastAsia"/>
          <w:color w:val="auto"/>
        </w:rPr>
        <w:t>。</w:t>
      </w:r>
    </w:p>
    <w:p>
      <w:pPr>
        <w:pStyle w:val="38"/>
        <w:spacing w:before="156" w:after="156"/>
        <w:rPr>
          <w:rFonts w:hint="eastAsia"/>
          <w:color w:val="auto"/>
          <w:lang w:val="en-US" w:eastAsia="zh-CN"/>
        </w:rPr>
      </w:pPr>
      <w:r>
        <w:rPr>
          <w:rFonts w:hint="eastAsia"/>
          <w:color w:val="auto"/>
          <w:lang w:val="en-US" w:eastAsia="zh-CN"/>
        </w:rPr>
        <w:t>净含量</w:t>
      </w:r>
    </w:p>
    <w:p>
      <w:pPr>
        <w:pStyle w:val="20"/>
        <w:bidi w:val="0"/>
        <w:rPr>
          <w:rFonts w:hint="eastAsia"/>
          <w:color w:val="auto"/>
          <w:lang w:val="en-US" w:eastAsia="zh-CN"/>
        </w:rPr>
      </w:pPr>
      <w:r>
        <w:rPr>
          <w:rFonts w:hint="eastAsia"/>
          <w:color w:val="auto"/>
        </w:rPr>
        <w:t>按JJF 1070</w:t>
      </w:r>
      <w:r>
        <w:rPr>
          <w:rFonts w:hint="eastAsia"/>
          <w:color w:val="auto"/>
          <w:lang w:val="en-US" w:eastAsia="zh-CN"/>
        </w:rPr>
        <w:t xml:space="preserve"> </w:t>
      </w:r>
      <w:r>
        <w:rPr>
          <w:rFonts w:hint="eastAsia"/>
          <w:color w:val="auto"/>
        </w:rPr>
        <w:t>规定的方法</w:t>
      </w:r>
      <w:r>
        <w:rPr>
          <w:rFonts w:hint="eastAsia"/>
          <w:color w:val="auto"/>
          <w:lang w:val="en-US" w:eastAsia="zh-CN"/>
        </w:rPr>
        <w:t>测定</w:t>
      </w:r>
      <w:r>
        <w:rPr>
          <w:rFonts w:hint="eastAsia"/>
          <w:color w:val="auto"/>
        </w:rPr>
        <w:t>。</w:t>
      </w:r>
    </w:p>
    <w:p>
      <w:pPr>
        <w:pStyle w:val="41"/>
        <w:spacing w:before="312" w:after="312"/>
        <w:rPr>
          <w:color w:val="auto"/>
          <w:szCs w:val="22"/>
        </w:rPr>
      </w:pPr>
      <w:r>
        <w:rPr>
          <w:rFonts w:hint="eastAsia"/>
          <w:color w:val="auto"/>
          <w:szCs w:val="22"/>
        </w:rPr>
        <w:t>检验规则</w:t>
      </w:r>
    </w:p>
    <w:p>
      <w:pPr>
        <w:pStyle w:val="38"/>
        <w:spacing w:before="156" w:after="156"/>
        <w:rPr>
          <w:color w:val="auto"/>
        </w:rPr>
      </w:pPr>
      <w:r>
        <w:rPr>
          <w:rFonts w:hint="eastAsia"/>
          <w:color w:val="auto"/>
        </w:rPr>
        <w:t>组批</w:t>
      </w:r>
    </w:p>
    <w:p>
      <w:pPr>
        <w:pStyle w:val="20"/>
        <w:bidi w:val="0"/>
        <w:rPr>
          <w:color w:val="auto"/>
        </w:rPr>
      </w:pPr>
      <w:r>
        <w:rPr>
          <w:rFonts w:hint="eastAsia"/>
          <w:color w:val="auto"/>
        </w:rPr>
        <w:t>同一班次、同一品种和相同工艺的产品为一批。</w:t>
      </w:r>
    </w:p>
    <w:p>
      <w:pPr>
        <w:pStyle w:val="38"/>
        <w:spacing w:before="156" w:after="156"/>
        <w:rPr>
          <w:color w:val="auto"/>
        </w:rPr>
      </w:pPr>
      <w:r>
        <w:rPr>
          <w:rFonts w:hint="eastAsia"/>
          <w:color w:val="auto"/>
        </w:rPr>
        <w:t>抽样</w:t>
      </w:r>
    </w:p>
    <w:p>
      <w:pPr>
        <w:pStyle w:val="59"/>
        <w:bidi w:val="0"/>
        <w:rPr>
          <w:rFonts w:hint="eastAsia"/>
          <w:color w:val="auto"/>
        </w:rPr>
      </w:pPr>
      <w:r>
        <w:rPr>
          <w:rFonts w:hint="eastAsia"/>
          <w:color w:val="auto"/>
        </w:rPr>
        <w:t>在成品库内抽样，抽样单位以包计。</w:t>
      </w:r>
    </w:p>
    <w:p>
      <w:pPr>
        <w:pStyle w:val="59"/>
        <w:bidi w:val="0"/>
        <w:rPr>
          <w:rFonts w:hint="eastAsia"/>
          <w:color w:val="auto"/>
        </w:rPr>
      </w:pPr>
      <w:r>
        <w:rPr>
          <w:rFonts w:hint="eastAsia"/>
          <w:color w:val="auto"/>
        </w:rPr>
        <w:t>抽样基数不得少于20kg，抽样数量为2kg（不少于12个独立包装）</w:t>
      </w:r>
      <w:r>
        <w:rPr>
          <w:rFonts w:hint="eastAsia"/>
          <w:color w:val="auto"/>
          <w:lang w:eastAsia="zh-CN"/>
        </w:rPr>
        <w:t>，</w:t>
      </w:r>
      <w:r>
        <w:rPr>
          <w:rFonts w:hint="eastAsia"/>
          <w:color w:val="auto"/>
          <w:lang w:val="en-US" w:eastAsia="zh-CN"/>
        </w:rPr>
        <w:t>数量满足检验和留样的需要</w:t>
      </w:r>
      <w:r>
        <w:rPr>
          <w:rFonts w:hint="eastAsia"/>
          <w:color w:val="auto"/>
        </w:rPr>
        <w:t>,分为2份，1份检验，1份备查</w:t>
      </w:r>
      <w:r>
        <w:rPr>
          <w:rFonts w:hint="eastAsia"/>
          <w:color w:val="auto"/>
          <w:lang w:val="en-US" w:eastAsia="zh-CN"/>
        </w:rPr>
        <w:t>。</w:t>
      </w:r>
    </w:p>
    <w:p>
      <w:pPr>
        <w:pStyle w:val="38"/>
        <w:spacing w:before="156" w:after="156"/>
        <w:rPr>
          <w:color w:val="auto"/>
        </w:rPr>
      </w:pPr>
      <w:r>
        <w:rPr>
          <w:rFonts w:hint="eastAsia"/>
          <w:color w:val="auto"/>
        </w:rPr>
        <w:t>出厂检验</w:t>
      </w:r>
    </w:p>
    <w:p>
      <w:pPr>
        <w:pStyle w:val="59"/>
        <w:bidi w:val="0"/>
        <w:rPr>
          <w:color w:val="auto"/>
        </w:rPr>
      </w:pPr>
      <w:r>
        <w:rPr>
          <w:rFonts w:hint="eastAsia"/>
          <w:color w:val="auto"/>
        </w:rPr>
        <w:t>芒果干出厂检验</w:t>
      </w:r>
      <w:r>
        <w:rPr>
          <w:rFonts w:hint="eastAsia"/>
          <w:color w:val="auto"/>
          <w:lang w:val="en-US" w:eastAsia="zh-CN"/>
        </w:rPr>
        <w:t>项目</w:t>
      </w:r>
      <w:r>
        <w:rPr>
          <w:rFonts w:hint="eastAsia"/>
          <w:color w:val="auto"/>
        </w:rPr>
        <w:t>包括</w:t>
      </w:r>
      <w:r>
        <w:rPr>
          <w:rFonts w:hint="eastAsia"/>
          <w:color w:val="auto"/>
          <w:lang w:val="en-US" w:eastAsia="zh-CN"/>
        </w:rPr>
        <w:t>:</w:t>
      </w:r>
      <w:r>
        <w:rPr>
          <w:rFonts w:hint="eastAsia"/>
          <w:color w:val="auto"/>
        </w:rPr>
        <w:t>感官</w:t>
      </w:r>
      <w:r>
        <w:rPr>
          <w:rFonts w:hint="eastAsia"/>
          <w:color w:val="auto"/>
          <w:lang w:val="en-US" w:eastAsia="zh-CN"/>
        </w:rPr>
        <w:t>要求</w:t>
      </w:r>
      <w:bookmarkStart w:id="16" w:name="_GoBack"/>
      <w:bookmarkEnd w:id="16"/>
      <w:r>
        <w:rPr>
          <w:rFonts w:hint="eastAsia"/>
          <w:color w:val="auto"/>
          <w:lang w:eastAsia="zh-CN"/>
        </w:rPr>
        <w:t>、</w:t>
      </w:r>
      <w:r>
        <w:rPr>
          <w:rFonts w:hint="eastAsia"/>
          <w:color w:val="auto"/>
        </w:rPr>
        <w:t>净含量</w:t>
      </w:r>
      <w:r>
        <w:rPr>
          <w:rFonts w:hint="eastAsia"/>
          <w:color w:val="auto"/>
          <w:lang w:eastAsia="zh-CN"/>
        </w:rPr>
        <w:t>、</w:t>
      </w:r>
      <w:r>
        <w:rPr>
          <w:rFonts w:hint="eastAsia"/>
          <w:color w:val="auto"/>
        </w:rPr>
        <w:t>水分、</w:t>
      </w:r>
      <w:r>
        <w:rPr>
          <w:rFonts w:hint="eastAsia"/>
          <w:color w:val="auto"/>
          <w:lang w:val="en-US" w:eastAsia="zh-CN"/>
        </w:rPr>
        <w:t>分级要求</w:t>
      </w:r>
      <w:r>
        <w:rPr>
          <w:rFonts w:hint="eastAsia"/>
          <w:color w:val="auto"/>
        </w:rPr>
        <w:t>、菌落总数</w:t>
      </w:r>
      <w:r>
        <w:rPr>
          <w:rFonts w:hint="eastAsia"/>
          <w:color w:val="auto"/>
          <w:lang w:val="en-US" w:eastAsia="zh-CN"/>
        </w:rPr>
        <w:t>和</w:t>
      </w:r>
      <w:r>
        <w:rPr>
          <w:rFonts w:hint="eastAsia"/>
          <w:color w:val="auto"/>
        </w:rPr>
        <w:t>大肠菌群。</w:t>
      </w:r>
    </w:p>
    <w:p>
      <w:pPr>
        <w:pStyle w:val="59"/>
        <w:bidi w:val="0"/>
        <w:rPr>
          <w:rFonts w:hint="eastAsia"/>
          <w:color w:val="auto"/>
        </w:rPr>
      </w:pPr>
      <w:r>
        <w:rPr>
          <w:rFonts w:hint="eastAsia"/>
          <w:color w:val="auto"/>
        </w:rPr>
        <w:t>出厂检验项目全部符合本</w:t>
      </w:r>
      <w:r>
        <w:rPr>
          <w:rFonts w:hint="eastAsia"/>
          <w:color w:val="auto"/>
          <w:lang w:val="en-US" w:eastAsia="zh-CN"/>
        </w:rPr>
        <w:t>文件</w:t>
      </w:r>
      <w:r>
        <w:rPr>
          <w:rFonts w:hint="eastAsia"/>
          <w:color w:val="auto"/>
        </w:rPr>
        <w:t>规定要求的，判该批为合格（特级或一级）产品。</w:t>
      </w:r>
    </w:p>
    <w:p>
      <w:pPr>
        <w:pStyle w:val="59"/>
        <w:bidi w:val="0"/>
        <w:rPr>
          <w:rFonts w:hint="eastAsia"/>
          <w:color w:val="auto"/>
        </w:rPr>
      </w:pPr>
      <w:r>
        <w:rPr>
          <w:rFonts w:hint="eastAsia"/>
          <w:color w:val="auto"/>
        </w:rPr>
        <w:t>出厂检验项目如有 1 项不符合本</w:t>
      </w:r>
      <w:r>
        <w:rPr>
          <w:rFonts w:hint="eastAsia"/>
          <w:color w:val="auto"/>
          <w:lang w:val="en-US" w:eastAsia="zh-CN"/>
        </w:rPr>
        <w:t>文件</w:t>
      </w:r>
      <w:r>
        <w:rPr>
          <w:rFonts w:hint="eastAsia"/>
          <w:color w:val="auto"/>
        </w:rPr>
        <w:t>规定的要求，可在抽样批次中加倍抽样复检，仍有 1 项不符合本</w:t>
      </w:r>
      <w:r>
        <w:rPr>
          <w:rFonts w:hint="eastAsia"/>
          <w:color w:val="auto"/>
          <w:lang w:val="en-US" w:eastAsia="zh-CN"/>
        </w:rPr>
        <w:t>文件</w:t>
      </w:r>
      <w:r>
        <w:rPr>
          <w:rFonts w:hint="eastAsia"/>
          <w:color w:val="auto"/>
        </w:rPr>
        <w:t>要求的，判该批为不合格（不符合）产品。超过及2项不符合本</w:t>
      </w:r>
      <w:r>
        <w:rPr>
          <w:rFonts w:hint="eastAsia"/>
          <w:color w:val="auto"/>
          <w:lang w:val="en-US" w:eastAsia="zh-CN"/>
        </w:rPr>
        <w:t>文件</w:t>
      </w:r>
      <w:r>
        <w:rPr>
          <w:rFonts w:hint="eastAsia"/>
          <w:color w:val="auto"/>
        </w:rPr>
        <w:t>规定要求的，不应复检，直接判该批为不合格（不符合）产品。</w:t>
      </w:r>
    </w:p>
    <w:p>
      <w:pPr>
        <w:pStyle w:val="59"/>
        <w:bidi w:val="0"/>
        <w:rPr>
          <w:rFonts w:hint="eastAsia"/>
          <w:color w:val="auto"/>
        </w:rPr>
      </w:pPr>
      <w:r>
        <w:rPr>
          <w:rFonts w:hint="eastAsia"/>
          <w:color w:val="auto"/>
        </w:rPr>
        <w:t>微生物项目如有</w:t>
      </w:r>
      <w:r>
        <w:rPr>
          <w:rFonts w:hint="eastAsia"/>
          <w:color w:val="auto"/>
          <w:lang w:val="en-US" w:eastAsia="zh-CN"/>
        </w:rPr>
        <w:t>1</w:t>
      </w:r>
      <w:r>
        <w:rPr>
          <w:rFonts w:hint="eastAsia"/>
          <w:color w:val="auto"/>
        </w:rPr>
        <w:t>项不符合</w:t>
      </w:r>
      <w:r>
        <w:rPr>
          <w:rFonts w:hint="eastAsia"/>
          <w:color w:val="auto"/>
          <w:lang w:val="en-US" w:eastAsia="zh-CN"/>
        </w:rPr>
        <w:t>本文件</w:t>
      </w:r>
      <w:r>
        <w:rPr>
          <w:rFonts w:hint="eastAsia"/>
          <w:color w:val="auto"/>
        </w:rPr>
        <w:t>，判为不合格品，不得复检。</w:t>
      </w:r>
    </w:p>
    <w:p>
      <w:pPr>
        <w:pStyle w:val="38"/>
        <w:spacing w:before="156" w:after="156"/>
        <w:rPr>
          <w:rFonts w:hint="eastAsia"/>
          <w:color w:val="auto"/>
        </w:rPr>
      </w:pPr>
      <w:r>
        <w:rPr>
          <w:rFonts w:hint="eastAsia"/>
          <w:color w:val="auto"/>
        </w:rPr>
        <w:t>型式检验</w:t>
      </w:r>
    </w:p>
    <w:p>
      <w:pPr>
        <w:pStyle w:val="59"/>
        <w:rPr>
          <w:color w:val="auto"/>
        </w:rPr>
      </w:pPr>
      <w:r>
        <w:rPr>
          <w:rFonts w:hint="eastAsia"/>
          <w:color w:val="auto"/>
        </w:rPr>
        <w:t>正常生产时应每6个月进行一次型式检验；此外有下列情况之一时，亦应进行型式检验：</w:t>
      </w:r>
    </w:p>
    <w:p>
      <w:pPr>
        <w:pStyle w:val="55"/>
        <w:rPr>
          <w:color w:val="auto"/>
        </w:rPr>
      </w:pPr>
      <w:r>
        <w:rPr>
          <w:rFonts w:hint="eastAsia"/>
          <w:color w:val="auto"/>
        </w:rPr>
        <w:t>新产品试制鉴定时；</w:t>
      </w:r>
    </w:p>
    <w:p>
      <w:pPr>
        <w:pStyle w:val="55"/>
        <w:rPr>
          <w:color w:val="auto"/>
        </w:rPr>
      </w:pPr>
      <w:r>
        <w:rPr>
          <w:rFonts w:hint="eastAsia"/>
          <w:color w:val="auto"/>
        </w:rPr>
        <w:t>原料、生产工艺有较大改变，可能影响产品质量时；</w:t>
      </w:r>
    </w:p>
    <w:p>
      <w:pPr>
        <w:pStyle w:val="55"/>
        <w:rPr>
          <w:color w:val="auto"/>
        </w:rPr>
      </w:pPr>
      <w:r>
        <w:rPr>
          <w:rFonts w:hint="eastAsia"/>
          <w:color w:val="auto"/>
        </w:rPr>
        <w:t>产品停产半年以上，恢复生产时；</w:t>
      </w:r>
    </w:p>
    <w:p>
      <w:pPr>
        <w:pStyle w:val="55"/>
        <w:rPr>
          <w:color w:val="auto"/>
        </w:rPr>
      </w:pPr>
      <w:r>
        <w:rPr>
          <w:rFonts w:hint="eastAsia"/>
          <w:color w:val="auto"/>
        </w:rPr>
        <w:t>出厂检验结果与上一次型式检验结果有较大差异时；</w:t>
      </w:r>
    </w:p>
    <w:p>
      <w:pPr>
        <w:pStyle w:val="55"/>
        <w:rPr>
          <w:rFonts w:hint="eastAsia"/>
          <w:color w:val="auto"/>
        </w:rPr>
      </w:pPr>
      <w:r>
        <w:rPr>
          <w:rFonts w:hint="eastAsia"/>
          <w:color w:val="auto"/>
        </w:rPr>
        <w:t>国家质量监督机构提出要求时。</w:t>
      </w:r>
    </w:p>
    <w:p>
      <w:pPr>
        <w:pStyle w:val="59"/>
        <w:bidi w:val="0"/>
        <w:rPr>
          <w:rFonts w:hint="eastAsia"/>
          <w:color w:val="auto"/>
        </w:rPr>
      </w:pPr>
      <w:r>
        <w:rPr>
          <w:rFonts w:hint="eastAsia"/>
          <w:color w:val="auto"/>
        </w:rPr>
        <w:t>型式检验应按照</w:t>
      </w:r>
      <w:r>
        <w:rPr>
          <w:rFonts w:hint="eastAsia"/>
          <w:color w:val="auto"/>
          <w:lang w:val="en-US" w:eastAsia="zh-CN"/>
        </w:rPr>
        <w:t>4</w:t>
      </w:r>
      <w:r>
        <w:rPr>
          <w:rFonts w:hint="eastAsia"/>
          <w:color w:val="auto"/>
        </w:rPr>
        <w:t>.2～</w:t>
      </w:r>
      <w:r>
        <w:rPr>
          <w:rFonts w:hint="eastAsia"/>
          <w:color w:val="auto"/>
          <w:lang w:val="en-US" w:eastAsia="zh-CN"/>
        </w:rPr>
        <w:t>4</w:t>
      </w:r>
      <w:r>
        <w:rPr>
          <w:rFonts w:hint="eastAsia"/>
          <w:color w:val="auto"/>
        </w:rPr>
        <w:t>.</w:t>
      </w:r>
      <w:r>
        <w:rPr>
          <w:rFonts w:hint="eastAsia"/>
          <w:color w:val="auto"/>
          <w:lang w:val="en-US" w:eastAsia="zh-CN"/>
        </w:rPr>
        <w:t>9</w:t>
      </w:r>
      <w:r>
        <w:rPr>
          <w:rFonts w:hint="eastAsia"/>
          <w:color w:val="auto"/>
        </w:rPr>
        <w:t>的项目进行检验。</w:t>
      </w:r>
    </w:p>
    <w:p>
      <w:pPr>
        <w:pStyle w:val="59"/>
        <w:bidi w:val="0"/>
        <w:rPr>
          <w:rFonts w:hint="eastAsia"/>
          <w:color w:val="auto"/>
        </w:rPr>
      </w:pPr>
      <w:r>
        <w:rPr>
          <w:rFonts w:hint="eastAsia"/>
          <w:color w:val="auto"/>
        </w:rPr>
        <w:t>型式检验项目全部符合本</w:t>
      </w:r>
      <w:r>
        <w:rPr>
          <w:rFonts w:hint="eastAsia"/>
          <w:color w:val="auto"/>
          <w:lang w:val="en-US" w:eastAsia="zh-CN"/>
        </w:rPr>
        <w:t>文件</w:t>
      </w:r>
      <w:r>
        <w:rPr>
          <w:rFonts w:hint="eastAsia"/>
          <w:color w:val="auto"/>
        </w:rPr>
        <w:t>规定要求的，判该批为合格（特级或一级）产品。</w:t>
      </w:r>
    </w:p>
    <w:p>
      <w:pPr>
        <w:pStyle w:val="59"/>
        <w:bidi w:val="0"/>
        <w:rPr>
          <w:rFonts w:hint="eastAsia"/>
          <w:color w:val="auto"/>
        </w:rPr>
      </w:pPr>
      <w:r>
        <w:rPr>
          <w:rFonts w:hint="eastAsia"/>
          <w:color w:val="auto"/>
        </w:rPr>
        <w:t>型式检验项目不超过3项（含3项）不符合本</w:t>
      </w:r>
      <w:r>
        <w:rPr>
          <w:rFonts w:hint="eastAsia"/>
          <w:color w:val="auto"/>
          <w:lang w:val="en-US" w:eastAsia="zh-CN"/>
        </w:rPr>
        <w:t>文件</w:t>
      </w:r>
      <w:r>
        <w:rPr>
          <w:rFonts w:hint="eastAsia"/>
          <w:color w:val="auto"/>
        </w:rPr>
        <w:t>的，可在抽样批次中加倍抽样复检，复检后仍有 1 项不符合本</w:t>
      </w:r>
      <w:r>
        <w:rPr>
          <w:rFonts w:hint="eastAsia"/>
          <w:color w:val="auto"/>
          <w:lang w:val="en-US" w:eastAsia="zh-CN"/>
        </w:rPr>
        <w:t>文件</w:t>
      </w:r>
      <w:r>
        <w:rPr>
          <w:rFonts w:hint="eastAsia"/>
          <w:color w:val="auto"/>
        </w:rPr>
        <w:t>要求的，判该批为不合格（不符合）产品。超过3项不符合本</w:t>
      </w:r>
      <w:r>
        <w:rPr>
          <w:rFonts w:hint="eastAsia"/>
          <w:color w:val="auto"/>
          <w:lang w:val="en-US" w:eastAsia="zh-CN"/>
        </w:rPr>
        <w:t>文件</w:t>
      </w:r>
      <w:r>
        <w:rPr>
          <w:rFonts w:hint="eastAsia"/>
          <w:color w:val="auto"/>
        </w:rPr>
        <w:t>的，不应复检，判该批为不合格（不符合）产品。</w:t>
      </w:r>
    </w:p>
    <w:p>
      <w:pPr>
        <w:pStyle w:val="59"/>
        <w:bidi w:val="0"/>
        <w:rPr>
          <w:rFonts w:hint="eastAsia"/>
          <w:color w:val="auto"/>
        </w:rPr>
      </w:pPr>
      <w:r>
        <w:rPr>
          <w:rFonts w:hint="eastAsia"/>
          <w:color w:val="auto"/>
        </w:rPr>
        <w:t>微生物项目如有</w:t>
      </w:r>
      <w:r>
        <w:rPr>
          <w:rFonts w:hint="eastAsia"/>
          <w:color w:val="auto"/>
          <w:lang w:val="en-US" w:eastAsia="zh-CN"/>
        </w:rPr>
        <w:t>1</w:t>
      </w:r>
      <w:r>
        <w:rPr>
          <w:rFonts w:hint="eastAsia"/>
          <w:color w:val="auto"/>
        </w:rPr>
        <w:t>项不符合</w:t>
      </w:r>
      <w:r>
        <w:rPr>
          <w:rFonts w:hint="eastAsia"/>
          <w:color w:val="auto"/>
          <w:lang w:val="en-US" w:eastAsia="zh-CN"/>
        </w:rPr>
        <w:t>本文件</w:t>
      </w:r>
      <w:r>
        <w:rPr>
          <w:rFonts w:hint="eastAsia"/>
          <w:color w:val="auto"/>
        </w:rPr>
        <w:t>的，判为不合格品，不得复检。</w:t>
      </w:r>
    </w:p>
    <w:p>
      <w:pPr>
        <w:pStyle w:val="41"/>
        <w:spacing w:before="312" w:after="312"/>
        <w:rPr>
          <w:color w:val="auto"/>
          <w:szCs w:val="22"/>
        </w:rPr>
      </w:pPr>
      <w:r>
        <w:rPr>
          <w:rFonts w:hint="eastAsia"/>
          <w:color w:val="auto"/>
          <w:szCs w:val="22"/>
        </w:rPr>
        <w:t>标签、标志和包装</w:t>
      </w:r>
    </w:p>
    <w:p>
      <w:pPr>
        <w:pStyle w:val="38"/>
        <w:spacing w:before="156" w:after="156"/>
        <w:rPr>
          <w:color w:val="auto"/>
        </w:rPr>
      </w:pPr>
      <w:r>
        <w:rPr>
          <w:rFonts w:hint="eastAsia"/>
          <w:color w:val="auto"/>
        </w:rPr>
        <w:t>标签、标志</w:t>
      </w:r>
    </w:p>
    <w:p>
      <w:pPr>
        <w:pStyle w:val="20"/>
        <w:bidi w:val="0"/>
        <w:rPr>
          <w:color w:val="auto"/>
        </w:rPr>
      </w:pPr>
      <w:r>
        <w:rPr>
          <w:rFonts w:hint="eastAsia"/>
          <w:color w:val="auto"/>
        </w:rPr>
        <w:t>产品标签应符合GB 7718</w:t>
      </w:r>
      <w:r>
        <w:rPr>
          <w:rFonts w:hint="eastAsia"/>
          <w:color w:val="auto"/>
          <w:lang w:val="en-US" w:eastAsia="zh-CN"/>
        </w:rPr>
        <w:t>和</w:t>
      </w:r>
      <w:r>
        <w:rPr>
          <w:rFonts w:hint="eastAsia"/>
          <w:color w:val="auto"/>
        </w:rPr>
        <w:t>GB 28050的规定</w:t>
      </w:r>
      <w:r>
        <w:rPr>
          <w:rFonts w:hint="eastAsia"/>
          <w:color w:val="auto"/>
          <w:lang w:eastAsia="zh-CN"/>
        </w:rPr>
        <w:t>，</w:t>
      </w:r>
      <w:r>
        <w:rPr>
          <w:rFonts w:hint="eastAsia"/>
          <w:color w:val="auto"/>
          <w:lang w:val="en-US" w:eastAsia="zh-CN"/>
        </w:rPr>
        <w:t>分级产品上还应注明产品等级</w:t>
      </w:r>
      <w:r>
        <w:rPr>
          <w:rFonts w:hint="eastAsia"/>
          <w:color w:val="auto"/>
          <w:lang w:eastAsia="zh-CN"/>
        </w:rPr>
        <w:t>；</w:t>
      </w:r>
      <w:r>
        <w:rPr>
          <w:rFonts w:hint="eastAsia"/>
          <w:color w:val="auto"/>
        </w:rPr>
        <w:t>包装运输标志应符合GB/T 191的规定。</w:t>
      </w:r>
    </w:p>
    <w:p>
      <w:pPr>
        <w:pStyle w:val="38"/>
        <w:spacing w:before="156" w:after="156"/>
        <w:rPr>
          <w:color w:val="auto"/>
        </w:rPr>
      </w:pPr>
      <w:r>
        <w:rPr>
          <w:rFonts w:hint="eastAsia"/>
          <w:color w:val="auto"/>
        </w:rPr>
        <w:t>包装</w:t>
      </w:r>
    </w:p>
    <w:p>
      <w:pPr>
        <w:pStyle w:val="20"/>
        <w:bidi w:val="0"/>
        <w:rPr>
          <w:rFonts w:hint="eastAsia"/>
          <w:color w:val="auto"/>
        </w:rPr>
      </w:pPr>
      <w:r>
        <w:rPr>
          <w:rFonts w:hint="eastAsia"/>
          <w:color w:val="auto"/>
        </w:rPr>
        <w:t>使用复合包装材料应符合GB 4806.7</w:t>
      </w:r>
      <w:r>
        <w:rPr>
          <w:rFonts w:hint="eastAsia"/>
          <w:color w:val="auto"/>
          <w:lang w:val="en-US" w:eastAsia="zh-CN"/>
        </w:rPr>
        <w:t>或</w:t>
      </w:r>
      <w:r>
        <w:rPr>
          <w:rFonts w:hint="eastAsia"/>
          <w:color w:val="auto"/>
        </w:rPr>
        <w:t>GB/T 10004的规定，其他包装材料和容器必须符合相应国家标准和有关规定。</w:t>
      </w:r>
    </w:p>
    <w:p>
      <w:pPr>
        <w:pStyle w:val="41"/>
        <w:spacing w:before="312" w:after="312"/>
        <w:rPr>
          <w:color w:val="auto"/>
          <w:szCs w:val="22"/>
        </w:rPr>
      </w:pPr>
      <w:r>
        <w:rPr>
          <w:rFonts w:hint="eastAsia"/>
          <w:color w:val="auto"/>
          <w:szCs w:val="22"/>
        </w:rPr>
        <w:t>运输和</w:t>
      </w:r>
      <w:r>
        <w:rPr>
          <w:rFonts w:hint="eastAsia"/>
          <w:color w:val="auto"/>
          <w:szCs w:val="22"/>
          <w:lang w:eastAsia="zh-CN"/>
        </w:rPr>
        <w:t>贮存</w:t>
      </w:r>
    </w:p>
    <w:p>
      <w:pPr>
        <w:pStyle w:val="38"/>
        <w:spacing w:before="156" w:after="156"/>
        <w:rPr>
          <w:color w:val="auto"/>
        </w:rPr>
      </w:pPr>
      <w:r>
        <w:rPr>
          <w:rFonts w:hint="eastAsia"/>
          <w:color w:val="auto"/>
        </w:rPr>
        <w:t>运输</w:t>
      </w:r>
    </w:p>
    <w:p>
      <w:pPr>
        <w:pStyle w:val="20"/>
        <w:bidi w:val="0"/>
        <w:rPr>
          <w:color w:val="auto"/>
        </w:rPr>
      </w:pPr>
      <w:r>
        <w:rPr>
          <w:color w:val="auto"/>
        </w:rPr>
        <w:t>运输工具应清洁卫生，不得与有毒、有异味、有腐蚀性等污染性货物混运。运输中应防止</w:t>
      </w:r>
      <w:r>
        <w:rPr>
          <w:rFonts w:hint="eastAsia"/>
          <w:color w:val="auto"/>
        </w:rPr>
        <w:t>踩踏、</w:t>
      </w:r>
      <w:r>
        <w:rPr>
          <w:color w:val="auto"/>
        </w:rPr>
        <w:t>挤压、碰撞、日晒、雨淋、冻结。装卸时应轻搬轻放，严禁抛掷。</w:t>
      </w:r>
    </w:p>
    <w:p>
      <w:pPr>
        <w:pStyle w:val="38"/>
        <w:spacing w:before="156" w:after="156"/>
        <w:rPr>
          <w:color w:val="auto"/>
        </w:rPr>
      </w:pPr>
      <w:r>
        <w:rPr>
          <w:rFonts w:hint="eastAsia"/>
          <w:color w:val="auto"/>
          <w:szCs w:val="22"/>
          <w:lang w:val="en-US" w:eastAsia="zh-CN"/>
        </w:rPr>
        <w:t>贮</w:t>
      </w:r>
      <w:r>
        <w:rPr>
          <w:rFonts w:hint="eastAsia"/>
          <w:color w:val="auto"/>
          <w:szCs w:val="22"/>
        </w:rPr>
        <w:t>存</w:t>
      </w:r>
    </w:p>
    <w:p>
      <w:pPr>
        <w:pStyle w:val="59"/>
        <w:bidi w:val="0"/>
        <w:rPr>
          <w:color w:val="auto"/>
        </w:rPr>
      </w:pPr>
      <w:r>
        <w:rPr>
          <w:color w:val="auto"/>
        </w:rPr>
        <w:t>产品应贮存在干燥、通风的仓库内，</w:t>
      </w:r>
      <w:r>
        <w:rPr>
          <w:rFonts w:hint="eastAsia"/>
          <w:color w:val="auto"/>
          <w:lang w:val="en-US" w:eastAsia="zh-CN"/>
        </w:rPr>
        <w:t>具有防虫害和防鼠措施。</w:t>
      </w:r>
      <w:r>
        <w:rPr>
          <w:color w:val="auto"/>
        </w:rPr>
        <w:t>不得与有毒、有异味、有腐蚀性货物混贮，避免阳光直射和靠近热源，防止冻结。</w:t>
      </w:r>
    </w:p>
    <w:p>
      <w:pPr>
        <w:pStyle w:val="59"/>
        <w:bidi w:val="0"/>
        <w:rPr>
          <w:rFonts w:hint="default"/>
          <w:color w:val="auto"/>
          <w:lang w:val="en-US" w:eastAsia="zh-CN"/>
        </w:rPr>
      </w:pPr>
      <w:r>
        <w:rPr>
          <w:rFonts w:hint="eastAsia"/>
          <w:color w:val="auto"/>
          <w:lang w:val="en-US" w:eastAsia="zh-CN"/>
        </w:rPr>
        <w:t>产品应分批次、分等级堆放，码放整齐，层数不宜过多，离地离墙。</w:t>
      </w:r>
    </w:p>
    <w:p>
      <w:pPr>
        <w:pStyle w:val="41"/>
        <w:spacing w:before="312" w:after="312"/>
        <w:rPr>
          <w:color w:val="auto"/>
          <w:szCs w:val="22"/>
        </w:rPr>
      </w:pPr>
      <w:r>
        <w:rPr>
          <w:rFonts w:hint="eastAsia"/>
          <w:color w:val="auto"/>
          <w:szCs w:val="22"/>
        </w:rPr>
        <w:t>销售</w:t>
      </w:r>
    </w:p>
    <w:p>
      <w:pPr>
        <w:pStyle w:val="121"/>
        <w:pBdr>
          <w:top w:val="none" w:color="auto" w:sz="0" w:space="0"/>
          <w:left w:val="none" w:color="auto" w:sz="0" w:space="0"/>
          <w:bottom w:val="none" w:color="auto" w:sz="0" w:space="0"/>
          <w:right w:val="none" w:color="auto" w:sz="0" w:space="0"/>
        </w:pBdr>
        <w:rPr>
          <w:rFonts w:hint="eastAsia"/>
          <w:color w:val="auto"/>
          <w:lang w:val="en-US" w:eastAsia="zh-CN"/>
        </w:rPr>
      </w:pPr>
      <w:r>
        <w:rPr>
          <w:rFonts w:hint="eastAsia"/>
          <w:color w:val="auto"/>
          <w:lang w:val="en-US" w:eastAsia="zh-CN"/>
        </w:rPr>
        <w:t>对于包装破损的芒果干，应查明原因，确认无安全危害时，才能上市销售；对于认定不合格的芒果干，应按有关规定做好下架、退市、销毁等处理。</w:t>
      </w:r>
    </w:p>
    <w:p>
      <w:pPr>
        <w:pStyle w:val="121"/>
        <w:pBdr>
          <w:top w:val="none" w:color="auto" w:sz="0" w:space="0"/>
          <w:left w:val="none" w:color="auto" w:sz="0" w:space="0"/>
          <w:bottom w:val="none" w:color="auto" w:sz="0" w:space="0"/>
          <w:right w:val="none" w:color="auto" w:sz="0" w:space="0"/>
        </w:pBdr>
        <w:rPr>
          <w:rFonts w:hint="eastAsia"/>
          <w:color w:val="auto"/>
          <w:lang w:val="en-US" w:eastAsia="zh-CN"/>
        </w:rPr>
      </w:pPr>
      <w:r>
        <w:rPr>
          <w:rFonts w:hint="eastAsia"/>
          <w:color w:val="auto"/>
          <w:lang w:val="en-US" w:eastAsia="zh-CN"/>
        </w:rPr>
        <w:t>销售过程应注意保持适宜的温度，湿度。</w:t>
      </w:r>
    </w:p>
    <w:p>
      <w:pPr>
        <w:pStyle w:val="121"/>
        <w:pBdr>
          <w:top w:val="none" w:color="auto" w:sz="0" w:space="0"/>
          <w:left w:val="none" w:color="auto" w:sz="0" w:space="0"/>
          <w:bottom w:val="none" w:color="auto" w:sz="0" w:space="0"/>
          <w:right w:val="none" w:color="auto" w:sz="0" w:space="0"/>
        </w:pBdr>
        <w:rPr>
          <w:rFonts w:hint="eastAsia"/>
          <w:color w:val="auto"/>
          <w:lang w:val="en-US" w:eastAsia="zh-CN"/>
        </w:rPr>
      </w:pPr>
      <w:r>
        <w:rPr>
          <w:rFonts w:hint="eastAsia"/>
          <w:color w:val="auto"/>
          <w:lang w:val="en-US" w:eastAsia="zh-CN"/>
        </w:rPr>
        <w:t>销售场所的计量设备要经过严格的校验，应符合衡量器相关标准。</w:t>
      </w:r>
    </w:p>
    <w:p>
      <w:pPr>
        <w:pStyle w:val="41"/>
        <w:spacing w:before="312" w:after="312"/>
        <w:rPr>
          <w:color w:val="auto"/>
          <w:szCs w:val="22"/>
        </w:rPr>
      </w:pPr>
      <w:r>
        <w:rPr>
          <w:rFonts w:hint="eastAsia" w:hAnsi="黑体" w:cs="黑体"/>
          <w:color w:val="auto"/>
          <w:szCs w:val="21"/>
        </w:rPr>
        <w:t>召回</w:t>
      </w:r>
    </w:p>
    <w:p>
      <w:pPr>
        <w:pStyle w:val="121"/>
        <w:pBdr>
          <w:top w:val="none" w:color="auto" w:sz="0" w:space="0"/>
          <w:left w:val="none" w:color="auto" w:sz="0" w:space="0"/>
          <w:bottom w:val="none" w:color="auto" w:sz="0" w:space="0"/>
          <w:right w:val="none" w:color="auto" w:sz="0" w:space="0"/>
        </w:pBdr>
        <w:rPr>
          <w:color w:val="auto"/>
        </w:rPr>
      </w:pPr>
      <w:r>
        <w:rPr>
          <w:rFonts w:hint="eastAsia"/>
          <w:color w:val="auto"/>
        </w:rPr>
        <w:t>发现其生产的食品不符合食品安全标准或者有证据证明可能危害人体健康的，</w:t>
      </w:r>
      <w:r>
        <w:rPr>
          <w:rFonts w:hint="eastAsia"/>
          <w:color w:val="auto"/>
          <w:lang w:eastAsia="zh-CN"/>
        </w:rPr>
        <w:t>应</w:t>
      </w:r>
      <w:r>
        <w:rPr>
          <w:rFonts w:hint="eastAsia"/>
          <w:color w:val="auto"/>
        </w:rPr>
        <w:t>立即停止生产，召回已经上市销售的食品，通知相关生产经营者和消费者，并记录召回和通知情况。</w:t>
      </w:r>
    </w:p>
    <w:p>
      <w:pPr>
        <w:pStyle w:val="121"/>
        <w:pBdr>
          <w:top w:val="none" w:color="auto" w:sz="0" w:space="0"/>
          <w:left w:val="none" w:color="auto" w:sz="0" w:space="0"/>
          <w:bottom w:val="none" w:color="auto" w:sz="0" w:space="0"/>
          <w:right w:val="none" w:color="auto" w:sz="0" w:space="0"/>
        </w:pBdr>
        <w:rPr>
          <w:color w:val="auto"/>
        </w:rPr>
      </w:pPr>
      <w:r>
        <w:rPr>
          <w:rFonts w:hint="eastAsia"/>
          <w:color w:val="auto"/>
          <w:lang w:eastAsia="zh-CN"/>
        </w:rPr>
        <w:t>应</w:t>
      </w:r>
      <w:r>
        <w:rPr>
          <w:rFonts w:hint="eastAsia"/>
          <w:color w:val="auto"/>
        </w:rPr>
        <w:t>将食品召回和处理情况向所在地县级</w:t>
      </w:r>
      <w:r>
        <w:rPr>
          <w:rFonts w:hint="eastAsia"/>
          <w:color w:val="auto"/>
          <w:lang w:val="en-US" w:eastAsia="zh-CN"/>
        </w:rPr>
        <w:t>市场</w:t>
      </w:r>
      <w:r>
        <w:rPr>
          <w:rFonts w:hint="eastAsia"/>
          <w:color w:val="auto"/>
        </w:rPr>
        <w:t>监督管理部门报告;需要对召回的食品进行无害化处理、销毁的，</w:t>
      </w:r>
      <w:r>
        <w:rPr>
          <w:rFonts w:hint="eastAsia"/>
          <w:color w:val="auto"/>
          <w:lang w:eastAsia="zh-CN"/>
        </w:rPr>
        <w:t>应</w:t>
      </w:r>
      <w:r>
        <w:rPr>
          <w:rFonts w:hint="eastAsia"/>
          <w:color w:val="auto"/>
        </w:rPr>
        <w:t>提前报告时间、地点。县级</w:t>
      </w:r>
      <w:r>
        <w:rPr>
          <w:rFonts w:hint="eastAsia"/>
          <w:color w:val="auto"/>
          <w:lang w:val="en-US" w:eastAsia="zh-CN"/>
        </w:rPr>
        <w:t>市场</w:t>
      </w:r>
      <w:r>
        <w:rPr>
          <w:rFonts w:hint="eastAsia"/>
          <w:color w:val="auto"/>
        </w:rPr>
        <w:t>监督管理部门认为必要的，</w:t>
      </w:r>
      <w:r>
        <w:rPr>
          <w:rFonts w:hint="eastAsia"/>
          <w:color w:val="auto"/>
          <w:lang w:val="en-US" w:eastAsia="zh-CN"/>
        </w:rPr>
        <w:t>企业应配合其</w:t>
      </w:r>
      <w:r>
        <w:rPr>
          <w:rFonts w:hint="eastAsia"/>
          <w:color w:val="auto"/>
        </w:rPr>
        <w:t>实施现场监督。</w:t>
      </w:r>
    </w:p>
    <w:p>
      <w:pPr>
        <w:rPr>
          <w:color w:val="auto"/>
        </w:rPr>
      </w:pPr>
      <w:r>
        <w:rPr>
          <w:rFonts w:hint="eastAsia"/>
          <w:color w:val="auto"/>
        </w:rPr>
        <w:br w:type="page"/>
      </w:r>
    </w:p>
    <w:p>
      <w:pPr>
        <w:pStyle w:val="80"/>
        <w:bidi w:val="0"/>
      </w:pPr>
    </w:p>
    <w:p>
      <w:pPr>
        <w:pStyle w:val="81"/>
        <w:bidi w:val="0"/>
      </w:pPr>
      <w:r>
        <w:rPr>
          <w:rFonts w:hint="eastAsia"/>
        </w:rPr>
        <w:t>（规范性附录）</w:t>
      </w:r>
    </w:p>
    <w:p>
      <w:pPr>
        <w:pStyle w:val="81"/>
        <w:bidi w:val="0"/>
      </w:pPr>
      <w:r>
        <w:rPr>
          <w:rFonts w:hint="eastAsia"/>
        </w:rPr>
        <w:t>虫害芒果干、受损芒果干、破碎芒果干的检测</w:t>
      </w:r>
    </w:p>
    <w:p>
      <w:pPr>
        <w:pStyle w:val="20"/>
      </w:pPr>
    </w:p>
    <w:p>
      <w:pPr>
        <w:pStyle w:val="81"/>
        <w:bidi w:val="0"/>
        <w:jc w:val="both"/>
      </w:pPr>
      <w:r>
        <w:rPr>
          <w:rFonts w:hint="eastAsia"/>
        </w:rPr>
        <w:t>A.1 方法</w:t>
      </w:r>
    </w:p>
    <w:p>
      <w:pPr>
        <w:pStyle w:val="20"/>
        <w:spacing w:before="156" w:beforeLines="50" w:after="156" w:afterLines="50"/>
        <w:rPr>
          <w:szCs w:val="22"/>
        </w:rPr>
      </w:pPr>
      <w:r>
        <w:rPr>
          <w:rFonts w:hint="eastAsia"/>
          <w:szCs w:val="22"/>
        </w:rPr>
        <w:t>对芒果干试样进行目测检查。将虫害芒果干、受损芒果干、破碎芒果干分别挑出。</w:t>
      </w:r>
    </w:p>
    <w:p>
      <w:pPr>
        <w:pStyle w:val="20"/>
        <w:ind w:firstLine="0" w:firstLineChars="0"/>
        <w:rPr>
          <w:rFonts w:ascii="黑体" w:hAnsi="黑体" w:eastAsia="黑体" w:cs="黑体"/>
        </w:rPr>
      </w:pPr>
      <w:r>
        <w:rPr>
          <w:rFonts w:hint="eastAsia" w:ascii="黑体" w:hAnsi="黑体" w:eastAsia="黑体" w:cs="黑体"/>
        </w:rPr>
        <w:t>A.2 步骤</w:t>
      </w:r>
    </w:p>
    <w:p>
      <w:pPr>
        <w:pStyle w:val="20"/>
        <w:spacing w:before="156" w:beforeLines="50" w:after="156" w:afterLines="50"/>
        <w:rPr>
          <w:szCs w:val="22"/>
        </w:rPr>
      </w:pPr>
      <w:r>
        <w:rPr>
          <w:rFonts w:hint="eastAsia"/>
          <w:szCs w:val="22"/>
        </w:rPr>
        <w:t>称取试样约500g(精确到0.01g)，用手和镊子仔细的将虫害芒果干、受损芒果干、破碎芒果干分别挑出。一片芒果干有多项缺陷的，以最严重的缺陷计。</w:t>
      </w:r>
    </w:p>
    <w:p>
      <w:pPr>
        <w:pStyle w:val="20"/>
        <w:ind w:firstLine="0" w:firstLineChars="0"/>
        <w:rPr>
          <w:rFonts w:ascii="黑体" w:hAnsi="黑体" w:eastAsia="黑体" w:cs="黑体"/>
        </w:rPr>
      </w:pPr>
      <w:r>
        <w:rPr>
          <w:rFonts w:hint="eastAsia" w:ascii="黑体" w:hAnsi="黑体" w:eastAsia="黑体" w:cs="黑体"/>
        </w:rPr>
        <w:t>A.3 结果</w:t>
      </w:r>
    </w:p>
    <w:p>
      <w:pPr>
        <w:pStyle w:val="20"/>
      </w:pPr>
      <w:r>
        <w:rPr>
          <w:rFonts w:hint="eastAsia"/>
        </w:rPr>
        <w:t>每一类的芒果干含量计算见式（A.1）</w:t>
      </w:r>
    </w:p>
    <w:p>
      <w:pPr>
        <w:pStyle w:val="20"/>
        <w:jc w:val="center"/>
        <w:rPr>
          <w:rStyle w:val="136"/>
        </w:rPr>
      </w:pPr>
      <w:r>
        <w:rPr>
          <w:rFonts w:hint="eastAsia"/>
        </w:rPr>
        <w:t xml:space="preserve">                                 </w:t>
      </w:r>
      <w:r>
        <w:rPr>
          <w:rStyle w:val="136"/>
          <w:rFonts w:hint="eastAsia"/>
        </w:rPr>
        <w:t xml:space="preserve"> </w:t>
      </w:r>
      <w:r>
        <w:rPr>
          <w:rStyle w:val="136"/>
          <w:rFonts w:hint="eastAsia"/>
          <w:position w:val="-30"/>
        </w:rPr>
        <w:object>
          <v:shape id="_x0000_i1025" o:spt="75" type="#_x0000_t75" style="height:34pt;width:6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Style w:val="136"/>
        </w:rPr>
        <w:t>…………………………………………(A.1)</w:t>
      </w:r>
    </w:p>
    <w:p>
      <w:pPr>
        <w:pStyle w:val="20"/>
        <w:spacing w:before="156" w:beforeLines="50" w:after="156" w:afterLines="50"/>
        <w:rPr>
          <w:szCs w:val="22"/>
        </w:rPr>
      </w:pPr>
      <w:r>
        <w:rPr>
          <w:rFonts w:hint="eastAsia"/>
          <w:szCs w:val="22"/>
        </w:rPr>
        <w:t>式中：</w:t>
      </w:r>
    </w:p>
    <w:p>
      <w:pPr>
        <w:pStyle w:val="20"/>
        <w:spacing w:before="156" w:beforeLines="50" w:after="156" w:afterLines="50"/>
        <w:rPr>
          <w:rFonts w:hint="eastAsia" w:eastAsia="宋体"/>
          <w:szCs w:val="22"/>
          <w:lang w:eastAsia="zh-CN"/>
        </w:rPr>
      </w:pPr>
      <w:r>
        <w:rPr>
          <w:rStyle w:val="137"/>
          <w:rFonts w:hint="default" w:ascii="Times New Roman" w:hAnsi="Times New Roman" w:cs="Times New Roman"/>
          <w:i/>
          <w:iCs/>
        </w:rPr>
        <w:t>X</w:t>
      </w:r>
      <w:r>
        <w:rPr>
          <w:rFonts w:hint="eastAsia"/>
          <w:szCs w:val="22"/>
        </w:rPr>
        <w:t>——每一类芒果干含量</w:t>
      </w:r>
      <w:r>
        <w:rPr>
          <w:rFonts w:hint="eastAsia"/>
          <w:szCs w:val="22"/>
          <w:lang w:eastAsia="zh-CN"/>
        </w:rPr>
        <w:t>（</w:t>
      </w:r>
      <w:r>
        <w:rPr>
          <w:rFonts w:hint="eastAsia"/>
          <w:szCs w:val="22"/>
        </w:rPr>
        <w:t>%</w:t>
      </w:r>
      <w:r>
        <w:rPr>
          <w:rFonts w:hint="eastAsia"/>
          <w:szCs w:val="22"/>
          <w:lang w:eastAsia="zh-CN"/>
        </w:rPr>
        <w:t>）</w:t>
      </w:r>
    </w:p>
    <w:p>
      <w:pPr>
        <w:pStyle w:val="20"/>
        <w:spacing w:before="156" w:beforeLines="50" w:after="156" w:afterLines="50"/>
        <w:rPr>
          <w:szCs w:val="22"/>
        </w:rPr>
      </w:pPr>
      <w:r>
        <w:rPr>
          <w:rFonts w:hint="default" w:ascii="Times New Roman" w:hAnsi="Times New Roman" w:cs="Times New Roman"/>
          <w:i/>
          <w:iCs/>
          <w:szCs w:val="22"/>
        </w:rPr>
        <w:t>m</w:t>
      </w:r>
      <w:r>
        <w:rPr>
          <w:rFonts w:hint="default" w:ascii="Times New Roman" w:hAnsi="Times New Roman" w:cs="Times New Roman"/>
          <w:i/>
          <w:iCs/>
          <w:szCs w:val="22"/>
          <w:vertAlign w:val="subscript"/>
        </w:rPr>
        <w:t>1</w:t>
      </w:r>
      <w:r>
        <w:rPr>
          <w:rFonts w:hint="eastAsia"/>
          <w:szCs w:val="22"/>
        </w:rPr>
        <w:t>——该类别</w:t>
      </w:r>
      <w:r>
        <w:rPr>
          <w:rFonts w:hint="eastAsia"/>
          <w:szCs w:val="22"/>
          <w:lang w:eastAsia="zh-CN"/>
        </w:rPr>
        <w:t>芒果</w:t>
      </w:r>
      <w:r>
        <w:rPr>
          <w:rFonts w:hint="eastAsia"/>
          <w:szCs w:val="22"/>
        </w:rPr>
        <w:t>干的质量，单位为克（g);</w:t>
      </w:r>
    </w:p>
    <w:p>
      <w:pPr>
        <w:pStyle w:val="20"/>
        <w:spacing w:before="156" w:beforeLines="50" w:after="156" w:afterLines="50"/>
        <w:rPr>
          <w:szCs w:val="22"/>
        </w:rPr>
      </w:pPr>
      <w:r>
        <w:rPr>
          <w:rFonts w:hint="default" w:ascii="Times New Roman" w:hAnsi="Times New Roman" w:cs="Times New Roman"/>
          <w:i/>
          <w:iCs/>
          <w:szCs w:val="22"/>
        </w:rPr>
        <w:t>m</w:t>
      </w:r>
      <w:r>
        <w:rPr>
          <w:rFonts w:hint="default" w:ascii="Times New Roman" w:hAnsi="Times New Roman" w:cs="Times New Roman"/>
          <w:i/>
          <w:iCs/>
          <w:szCs w:val="22"/>
          <w:vertAlign w:val="subscript"/>
        </w:rPr>
        <w:t>0</w:t>
      </w:r>
      <w:r>
        <w:rPr>
          <w:rFonts w:hint="eastAsia"/>
          <w:szCs w:val="22"/>
        </w:rPr>
        <w:t>——试样的质量，单位为克（g)。</w:t>
      </w:r>
    </w:p>
    <w:p>
      <w:pPr>
        <w:pStyle w:val="20"/>
        <w:ind w:firstLine="0" w:firstLineChars="0"/>
        <w:rPr>
          <w:rFonts w:ascii="黑体" w:hAnsi="黑体" w:eastAsia="黑体" w:cs="黑体"/>
        </w:rPr>
      </w:pPr>
      <w:r>
        <w:rPr>
          <w:rFonts w:hint="eastAsia" w:ascii="黑体" w:hAnsi="黑体" w:eastAsia="黑体" w:cs="黑体"/>
        </w:rPr>
        <w:t>A.4 试验报告</w:t>
      </w:r>
    </w:p>
    <w:p>
      <w:pPr>
        <w:pStyle w:val="20"/>
        <w:spacing w:before="156" w:beforeLines="50" w:after="156" w:afterLines="50"/>
        <w:rPr>
          <w:szCs w:val="22"/>
        </w:rPr>
      </w:pPr>
      <w:r>
        <w:rPr>
          <w:rFonts w:hint="eastAsia"/>
          <w:szCs w:val="22"/>
        </w:rPr>
        <w:t>试验报告应详细说明；</w:t>
      </w:r>
    </w:p>
    <w:p>
      <w:pPr>
        <w:pStyle w:val="20"/>
        <w:spacing w:before="156" w:beforeLines="50" w:after="156" w:afterLines="50"/>
        <w:rPr>
          <w:szCs w:val="22"/>
        </w:rPr>
      </w:pPr>
      <w:r>
        <w:rPr>
          <w:rFonts w:hint="eastAsia"/>
          <w:szCs w:val="22"/>
        </w:rPr>
        <w:t>——取样的方法；</w:t>
      </w:r>
    </w:p>
    <w:p>
      <w:pPr>
        <w:pStyle w:val="20"/>
        <w:spacing w:before="156" w:beforeLines="50" w:after="156" w:afterLines="50"/>
        <w:rPr>
          <w:szCs w:val="22"/>
        </w:rPr>
      </w:pPr>
      <w:r>
        <w:rPr>
          <w:rFonts w:hint="eastAsia"/>
          <w:szCs w:val="22"/>
        </w:rPr>
        <w:t>——使用的试验方法；</w:t>
      </w:r>
    </w:p>
    <w:p>
      <w:pPr>
        <w:pStyle w:val="20"/>
        <w:spacing w:before="156" w:beforeLines="50" w:after="156" w:afterLines="50"/>
        <w:rPr>
          <w:szCs w:val="22"/>
        </w:rPr>
      </w:pPr>
      <w:r>
        <w:rPr>
          <w:rFonts w:hint="eastAsia"/>
          <w:szCs w:val="22"/>
        </w:rPr>
        <w:t>——得到的试验结果。</w:t>
      </w:r>
    </w:p>
    <w:p>
      <w:pPr>
        <w:pStyle w:val="20"/>
        <w:spacing w:before="156" w:beforeLines="50" w:after="156" w:afterLines="50"/>
        <w:rPr>
          <w:szCs w:val="22"/>
        </w:rPr>
      </w:pPr>
      <w:r>
        <w:rPr>
          <w:szCs w:val="22"/>
        </w:rPr>
        <w:t>报告还应列出本</w:t>
      </w:r>
      <w:r>
        <w:rPr>
          <w:rFonts w:hint="eastAsia"/>
          <w:szCs w:val="22"/>
          <w:lang w:val="en-US" w:eastAsia="zh-CN"/>
        </w:rPr>
        <w:t>文件</w:t>
      </w:r>
      <w:r>
        <w:rPr>
          <w:szCs w:val="22"/>
        </w:rPr>
        <w:t>中没有详细说明的所有操作细节(或作为选项列出)以及可能影响试验结果的任何细节。试验报告还应包括完整地鉴别样品所必需的所有内容。</w:t>
      </w:r>
    </w:p>
    <w:p>
      <w:pPr>
        <w:pStyle w:val="20"/>
        <w:spacing w:before="156" w:beforeLines="50" w:after="156" w:afterLines="50"/>
        <w:rPr>
          <w:szCs w:val="22"/>
        </w:rPr>
      </w:pPr>
    </w:p>
    <w:p>
      <w:pPr>
        <w:pStyle w:val="125"/>
      </w:pPr>
      <w:r>
        <w:t>_________________________________</w:t>
      </w:r>
    </w:p>
    <w:sectPr>
      <w:pgSz w:w="11906" w:h="16838"/>
      <w:pgMar w:top="567" w:right="1134" w:bottom="1134" w:left="1418" w:header="1417"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 xml:space="preserve">T/ZFS </w:t>
    </w:r>
    <w:r>
      <w:rPr>
        <w:rFonts w:hint="eastAsia" w:hAnsi="黑体"/>
        <w:sz w:val="21"/>
        <w:szCs w:val="21"/>
      </w:rPr>
      <w:t>XX</w:t>
    </w:r>
    <w:r>
      <w:rPr>
        <w:rFonts w:hAnsi="黑体"/>
        <w:sz w:val="21"/>
        <w:szCs w:val="21"/>
      </w:rPr>
      <w:t>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6C3E"/>
    <w:rsid w:val="00027155"/>
    <w:rsid w:val="00027280"/>
    <w:rsid w:val="000320A7"/>
    <w:rsid w:val="00032310"/>
    <w:rsid w:val="00035925"/>
    <w:rsid w:val="000477BB"/>
    <w:rsid w:val="00067288"/>
    <w:rsid w:val="00067CDF"/>
    <w:rsid w:val="00067D87"/>
    <w:rsid w:val="00074FBE"/>
    <w:rsid w:val="00083A09"/>
    <w:rsid w:val="0009005E"/>
    <w:rsid w:val="000921C1"/>
    <w:rsid w:val="00092857"/>
    <w:rsid w:val="000A20A9"/>
    <w:rsid w:val="000A48B1"/>
    <w:rsid w:val="000B3143"/>
    <w:rsid w:val="000B5142"/>
    <w:rsid w:val="000B572F"/>
    <w:rsid w:val="000C6B05"/>
    <w:rsid w:val="000C6DD6"/>
    <w:rsid w:val="000C73D4"/>
    <w:rsid w:val="000D3D4C"/>
    <w:rsid w:val="000D4F51"/>
    <w:rsid w:val="000D718B"/>
    <w:rsid w:val="000E0C46"/>
    <w:rsid w:val="000F030C"/>
    <w:rsid w:val="000F129C"/>
    <w:rsid w:val="001024A1"/>
    <w:rsid w:val="001056DE"/>
    <w:rsid w:val="00111EF8"/>
    <w:rsid w:val="001124C0"/>
    <w:rsid w:val="00122069"/>
    <w:rsid w:val="00122AB0"/>
    <w:rsid w:val="00127208"/>
    <w:rsid w:val="0013175F"/>
    <w:rsid w:val="00131E96"/>
    <w:rsid w:val="00132D85"/>
    <w:rsid w:val="001330D0"/>
    <w:rsid w:val="00142329"/>
    <w:rsid w:val="00143E3E"/>
    <w:rsid w:val="0014698F"/>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D5ED5"/>
    <w:rsid w:val="001E0380"/>
    <w:rsid w:val="001E13B1"/>
    <w:rsid w:val="001E3543"/>
    <w:rsid w:val="001F3A19"/>
    <w:rsid w:val="002007C1"/>
    <w:rsid w:val="00206E3E"/>
    <w:rsid w:val="00217A9A"/>
    <w:rsid w:val="00234467"/>
    <w:rsid w:val="0023453A"/>
    <w:rsid w:val="00237D8D"/>
    <w:rsid w:val="00241DA2"/>
    <w:rsid w:val="0024277B"/>
    <w:rsid w:val="00247FEE"/>
    <w:rsid w:val="00250E7D"/>
    <w:rsid w:val="0025292A"/>
    <w:rsid w:val="002565D5"/>
    <w:rsid w:val="0025773E"/>
    <w:rsid w:val="0026063E"/>
    <w:rsid w:val="002622C0"/>
    <w:rsid w:val="002717F9"/>
    <w:rsid w:val="002778AE"/>
    <w:rsid w:val="00277CF3"/>
    <w:rsid w:val="0028269A"/>
    <w:rsid w:val="00283590"/>
    <w:rsid w:val="00286973"/>
    <w:rsid w:val="00294E70"/>
    <w:rsid w:val="00297183"/>
    <w:rsid w:val="00297C2B"/>
    <w:rsid w:val="002A1924"/>
    <w:rsid w:val="002A1B52"/>
    <w:rsid w:val="002A7420"/>
    <w:rsid w:val="002B0F12"/>
    <w:rsid w:val="002B1308"/>
    <w:rsid w:val="002B4554"/>
    <w:rsid w:val="002C72D8"/>
    <w:rsid w:val="002D11FA"/>
    <w:rsid w:val="002D3849"/>
    <w:rsid w:val="002D44AD"/>
    <w:rsid w:val="002E0DDF"/>
    <w:rsid w:val="002E1E34"/>
    <w:rsid w:val="002E2906"/>
    <w:rsid w:val="002E39A5"/>
    <w:rsid w:val="002E5635"/>
    <w:rsid w:val="002E64C3"/>
    <w:rsid w:val="002E6A2C"/>
    <w:rsid w:val="002E7B2D"/>
    <w:rsid w:val="002F1D8C"/>
    <w:rsid w:val="002F21DA"/>
    <w:rsid w:val="00301F39"/>
    <w:rsid w:val="00306D5A"/>
    <w:rsid w:val="00312980"/>
    <w:rsid w:val="00325926"/>
    <w:rsid w:val="00327A8A"/>
    <w:rsid w:val="00336610"/>
    <w:rsid w:val="00342904"/>
    <w:rsid w:val="00343F73"/>
    <w:rsid w:val="00345060"/>
    <w:rsid w:val="0035323B"/>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227D"/>
    <w:rsid w:val="003D290F"/>
    <w:rsid w:val="003D4E29"/>
    <w:rsid w:val="003E1867"/>
    <w:rsid w:val="003E1E24"/>
    <w:rsid w:val="003E5729"/>
    <w:rsid w:val="003F198C"/>
    <w:rsid w:val="003F4EE0"/>
    <w:rsid w:val="00402153"/>
    <w:rsid w:val="00402FC1"/>
    <w:rsid w:val="00413AE4"/>
    <w:rsid w:val="0041659E"/>
    <w:rsid w:val="00425082"/>
    <w:rsid w:val="00425EB9"/>
    <w:rsid w:val="004263BB"/>
    <w:rsid w:val="004264BC"/>
    <w:rsid w:val="00431DEB"/>
    <w:rsid w:val="00431F8C"/>
    <w:rsid w:val="004349F9"/>
    <w:rsid w:val="0043620B"/>
    <w:rsid w:val="00445976"/>
    <w:rsid w:val="00446B29"/>
    <w:rsid w:val="00447FC3"/>
    <w:rsid w:val="00453F9A"/>
    <w:rsid w:val="004630E3"/>
    <w:rsid w:val="004653F9"/>
    <w:rsid w:val="00471E91"/>
    <w:rsid w:val="00474675"/>
    <w:rsid w:val="0047470C"/>
    <w:rsid w:val="00475A73"/>
    <w:rsid w:val="00475B89"/>
    <w:rsid w:val="004803C0"/>
    <w:rsid w:val="0048356B"/>
    <w:rsid w:val="00485A50"/>
    <w:rsid w:val="004929DD"/>
    <w:rsid w:val="004A06C6"/>
    <w:rsid w:val="004A1EAF"/>
    <w:rsid w:val="004A2602"/>
    <w:rsid w:val="004A35F9"/>
    <w:rsid w:val="004A4644"/>
    <w:rsid w:val="004B24C1"/>
    <w:rsid w:val="004C292F"/>
    <w:rsid w:val="004C620D"/>
    <w:rsid w:val="004F00C6"/>
    <w:rsid w:val="004F16D5"/>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44AE1"/>
    <w:rsid w:val="0054693D"/>
    <w:rsid w:val="005533D7"/>
    <w:rsid w:val="00553498"/>
    <w:rsid w:val="005703DE"/>
    <w:rsid w:val="00570A1D"/>
    <w:rsid w:val="0058464E"/>
    <w:rsid w:val="0058479E"/>
    <w:rsid w:val="005A01CB"/>
    <w:rsid w:val="005A58FF"/>
    <w:rsid w:val="005A5EAF"/>
    <w:rsid w:val="005A64C0"/>
    <w:rsid w:val="005B3C11"/>
    <w:rsid w:val="005B669B"/>
    <w:rsid w:val="005B69CE"/>
    <w:rsid w:val="005B7BC9"/>
    <w:rsid w:val="005C1C28"/>
    <w:rsid w:val="005C6DB5"/>
    <w:rsid w:val="005D2C93"/>
    <w:rsid w:val="005E18A5"/>
    <w:rsid w:val="005E19E7"/>
    <w:rsid w:val="005F1457"/>
    <w:rsid w:val="005F5391"/>
    <w:rsid w:val="005F564E"/>
    <w:rsid w:val="005F7DEA"/>
    <w:rsid w:val="00601D69"/>
    <w:rsid w:val="0061716C"/>
    <w:rsid w:val="006224C6"/>
    <w:rsid w:val="006243A1"/>
    <w:rsid w:val="00632E56"/>
    <w:rsid w:val="00634048"/>
    <w:rsid w:val="00634C5E"/>
    <w:rsid w:val="00635CBA"/>
    <w:rsid w:val="0064338B"/>
    <w:rsid w:val="00646542"/>
    <w:rsid w:val="006504F4"/>
    <w:rsid w:val="00654BC9"/>
    <w:rsid w:val="006552FD"/>
    <w:rsid w:val="0065768A"/>
    <w:rsid w:val="00663AF3"/>
    <w:rsid w:val="00666548"/>
    <w:rsid w:val="00666B6C"/>
    <w:rsid w:val="00673E5A"/>
    <w:rsid w:val="0067541F"/>
    <w:rsid w:val="00676C85"/>
    <w:rsid w:val="00680F97"/>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5030"/>
    <w:rsid w:val="00716421"/>
    <w:rsid w:val="007202D3"/>
    <w:rsid w:val="00724EFB"/>
    <w:rsid w:val="0072519C"/>
    <w:rsid w:val="00732762"/>
    <w:rsid w:val="00735395"/>
    <w:rsid w:val="007419C3"/>
    <w:rsid w:val="00743254"/>
    <w:rsid w:val="007467A7"/>
    <w:rsid w:val="007469DD"/>
    <w:rsid w:val="0074741B"/>
    <w:rsid w:val="0074759E"/>
    <w:rsid w:val="007478EA"/>
    <w:rsid w:val="0075415C"/>
    <w:rsid w:val="00755F79"/>
    <w:rsid w:val="00763502"/>
    <w:rsid w:val="00780D84"/>
    <w:rsid w:val="007913AB"/>
    <w:rsid w:val="007914F7"/>
    <w:rsid w:val="00793DDC"/>
    <w:rsid w:val="007A07E4"/>
    <w:rsid w:val="007B1625"/>
    <w:rsid w:val="007B706E"/>
    <w:rsid w:val="007B71EB"/>
    <w:rsid w:val="007C6205"/>
    <w:rsid w:val="007C686A"/>
    <w:rsid w:val="007C728E"/>
    <w:rsid w:val="007D2C53"/>
    <w:rsid w:val="007D3D60"/>
    <w:rsid w:val="007D49D8"/>
    <w:rsid w:val="007D5A3D"/>
    <w:rsid w:val="007E1980"/>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B3"/>
    <w:rsid w:val="0083617B"/>
    <w:rsid w:val="008371BD"/>
    <w:rsid w:val="00837DEB"/>
    <w:rsid w:val="008504A8"/>
    <w:rsid w:val="0085282E"/>
    <w:rsid w:val="00852A8A"/>
    <w:rsid w:val="00863B41"/>
    <w:rsid w:val="00865902"/>
    <w:rsid w:val="0086649F"/>
    <w:rsid w:val="00867E9C"/>
    <w:rsid w:val="008706CA"/>
    <w:rsid w:val="0087198C"/>
    <w:rsid w:val="00872C1F"/>
    <w:rsid w:val="0087343F"/>
    <w:rsid w:val="00873B42"/>
    <w:rsid w:val="00877725"/>
    <w:rsid w:val="008856D8"/>
    <w:rsid w:val="00892E82"/>
    <w:rsid w:val="008961AC"/>
    <w:rsid w:val="008A1116"/>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C4D"/>
    <w:rsid w:val="00920596"/>
    <w:rsid w:val="00920AB8"/>
    <w:rsid w:val="009213E0"/>
    <w:rsid w:val="00924085"/>
    <w:rsid w:val="009279DE"/>
    <w:rsid w:val="00930116"/>
    <w:rsid w:val="009352EE"/>
    <w:rsid w:val="0093678E"/>
    <w:rsid w:val="0094212C"/>
    <w:rsid w:val="00942D07"/>
    <w:rsid w:val="00954689"/>
    <w:rsid w:val="009552D8"/>
    <w:rsid w:val="009604BF"/>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77D3"/>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A02E43"/>
    <w:rsid w:val="00A065F9"/>
    <w:rsid w:val="00A07F34"/>
    <w:rsid w:val="00A1013E"/>
    <w:rsid w:val="00A10F0E"/>
    <w:rsid w:val="00A17D4E"/>
    <w:rsid w:val="00A22154"/>
    <w:rsid w:val="00A23290"/>
    <w:rsid w:val="00A25C38"/>
    <w:rsid w:val="00A36BBE"/>
    <w:rsid w:val="00A37E92"/>
    <w:rsid w:val="00A406AA"/>
    <w:rsid w:val="00A4307A"/>
    <w:rsid w:val="00A47EBB"/>
    <w:rsid w:val="00A505D0"/>
    <w:rsid w:val="00A51CDD"/>
    <w:rsid w:val="00A528C3"/>
    <w:rsid w:val="00A57EDC"/>
    <w:rsid w:val="00A6161D"/>
    <w:rsid w:val="00A6304A"/>
    <w:rsid w:val="00A65C4E"/>
    <w:rsid w:val="00A6730D"/>
    <w:rsid w:val="00A71625"/>
    <w:rsid w:val="00A71B9B"/>
    <w:rsid w:val="00A751C7"/>
    <w:rsid w:val="00A82006"/>
    <w:rsid w:val="00A86B4A"/>
    <w:rsid w:val="00A87844"/>
    <w:rsid w:val="00A9083A"/>
    <w:rsid w:val="00AA038C"/>
    <w:rsid w:val="00AA20CE"/>
    <w:rsid w:val="00AA2AC1"/>
    <w:rsid w:val="00AA7A09"/>
    <w:rsid w:val="00AB3B50"/>
    <w:rsid w:val="00AC05B1"/>
    <w:rsid w:val="00AC1038"/>
    <w:rsid w:val="00AD168E"/>
    <w:rsid w:val="00AD356C"/>
    <w:rsid w:val="00AE2914"/>
    <w:rsid w:val="00AE6D15"/>
    <w:rsid w:val="00AF0422"/>
    <w:rsid w:val="00B0046E"/>
    <w:rsid w:val="00B04182"/>
    <w:rsid w:val="00B07AE3"/>
    <w:rsid w:val="00B11430"/>
    <w:rsid w:val="00B17459"/>
    <w:rsid w:val="00B21FC4"/>
    <w:rsid w:val="00B30705"/>
    <w:rsid w:val="00B30F2D"/>
    <w:rsid w:val="00B353EB"/>
    <w:rsid w:val="00B3786B"/>
    <w:rsid w:val="00B439AB"/>
    <w:rsid w:val="00B439C4"/>
    <w:rsid w:val="00B43CCC"/>
    <w:rsid w:val="00B4535E"/>
    <w:rsid w:val="00B528DF"/>
    <w:rsid w:val="00B52A8C"/>
    <w:rsid w:val="00B531EE"/>
    <w:rsid w:val="00B636A8"/>
    <w:rsid w:val="00B665C6"/>
    <w:rsid w:val="00B73CD5"/>
    <w:rsid w:val="00B805AF"/>
    <w:rsid w:val="00B824F3"/>
    <w:rsid w:val="00B83EF5"/>
    <w:rsid w:val="00B869EC"/>
    <w:rsid w:val="00B9397A"/>
    <w:rsid w:val="00B9633D"/>
    <w:rsid w:val="00BA2EBE"/>
    <w:rsid w:val="00BB0F28"/>
    <w:rsid w:val="00BB1332"/>
    <w:rsid w:val="00BB3479"/>
    <w:rsid w:val="00BB458A"/>
    <w:rsid w:val="00BB5582"/>
    <w:rsid w:val="00BB71AF"/>
    <w:rsid w:val="00BC58F4"/>
    <w:rsid w:val="00BC6824"/>
    <w:rsid w:val="00BD00D3"/>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17E9C"/>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4203"/>
    <w:rsid w:val="00C50F1A"/>
    <w:rsid w:val="00C601D2"/>
    <w:rsid w:val="00C62698"/>
    <w:rsid w:val="00C657AB"/>
    <w:rsid w:val="00C65BCC"/>
    <w:rsid w:val="00C66970"/>
    <w:rsid w:val="00C766E4"/>
    <w:rsid w:val="00C8691C"/>
    <w:rsid w:val="00C920BB"/>
    <w:rsid w:val="00CA168A"/>
    <w:rsid w:val="00CA2AB4"/>
    <w:rsid w:val="00CA357E"/>
    <w:rsid w:val="00CA44F9"/>
    <w:rsid w:val="00CA4A69"/>
    <w:rsid w:val="00CA5C47"/>
    <w:rsid w:val="00CB1C05"/>
    <w:rsid w:val="00CB6161"/>
    <w:rsid w:val="00CC3E0C"/>
    <w:rsid w:val="00CC58D3"/>
    <w:rsid w:val="00CC784D"/>
    <w:rsid w:val="00CD28E4"/>
    <w:rsid w:val="00CD48B1"/>
    <w:rsid w:val="00CE2F8B"/>
    <w:rsid w:val="00CF1BA4"/>
    <w:rsid w:val="00CF3F8F"/>
    <w:rsid w:val="00D0337B"/>
    <w:rsid w:val="00D07990"/>
    <w:rsid w:val="00D079B2"/>
    <w:rsid w:val="00D114E9"/>
    <w:rsid w:val="00D11F0A"/>
    <w:rsid w:val="00D175E8"/>
    <w:rsid w:val="00D31F2E"/>
    <w:rsid w:val="00D32DD9"/>
    <w:rsid w:val="00D338E2"/>
    <w:rsid w:val="00D35371"/>
    <w:rsid w:val="00D412FB"/>
    <w:rsid w:val="00D429C6"/>
    <w:rsid w:val="00D45289"/>
    <w:rsid w:val="00D47748"/>
    <w:rsid w:val="00D53AA1"/>
    <w:rsid w:val="00D54CC3"/>
    <w:rsid w:val="00D5735A"/>
    <w:rsid w:val="00D6041A"/>
    <w:rsid w:val="00D61149"/>
    <w:rsid w:val="00D6225F"/>
    <w:rsid w:val="00D633EB"/>
    <w:rsid w:val="00D75194"/>
    <w:rsid w:val="00D82939"/>
    <w:rsid w:val="00D82FF7"/>
    <w:rsid w:val="00D847FE"/>
    <w:rsid w:val="00D85D7E"/>
    <w:rsid w:val="00D87177"/>
    <w:rsid w:val="00D877D9"/>
    <w:rsid w:val="00D87F72"/>
    <w:rsid w:val="00D91986"/>
    <w:rsid w:val="00D9243D"/>
    <w:rsid w:val="00D964EA"/>
    <w:rsid w:val="00D966D0"/>
    <w:rsid w:val="00DA0C59"/>
    <w:rsid w:val="00DA2593"/>
    <w:rsid w:val="00DA3991"/>
    <w:rsid w:val="00DB01D2"/>
    <w:rsid w:val="00DB1D39"/>
    <w:rsid w:val="00DB7E6C"/>
    <w:rsid w:val="00DD108D"/>
    <w:rsid w:val="00DD13B8"/>
    <w:rsid w:val="00DD5A29"/>
    <w:rsid w:val="00DD5D9D"/>
    <w:rsid w:val="00DE1A46"/>
    <w:rsid w:val="00DE35CB"/>
    <w:rsid w:val="00DF067D"/>
    <w:rsid w:val="00DF21E9"/>
    <w:rsid w:val="00DF2F9A"/>
    <w:rsid w:val="00DF3ECA"/>
    <w:rsid w:val="00E00325"/>
    <w:rsid w:val="00E00684"/>
    <w:rsid w:val="00E00F14"/>
    <w:rsid w:val="00E06386"/>
    <w:rsid w:val="00E11943"/>
    <w:rsid w:val="00E1217C"/>
    <w:rsid w:val="00E16540"/>
    <w:rsid w:val="00E17EAB"/>
    <w:rsid w:val="00E208AD"/>
    <w:rsid w:val="00E21912"/>
    <w:rsid w:val="00E24EB4"/>
    <w:rsid w:val="00E31395"/>
    <w:rsid w:val="00E320ED"/>
    <w:rsid w:val="00E3270B"/>
    <w:rsid w:val="00E33AFB"/>
    <w:rsid w:val="00E34218"/>
    <w:rsid w:val="00E3476E"/>
    <w:rsid w:val="00E46282"/>
    <w:rsid w:val="00E5216E"/>
    <w:rsid w:val="00E62448"/>
    <w:rsid w:val="00E717C6"/>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786A"/>
    <w:rsid w:val="00EC1578"/>
    <w:rsid w:val="00EC1C72"/>
    <w:rsid w:val="00EC3CC9"/>
    <w:rsid w:val="00EC680A"/>
    <w:rsid w:val="00EC6E0A"/>
    <w:rsid w:val="00ED3C58"/>
    <w:rsid w:val="00EE2BED"/>
    <w:rsid w:val="00EE374B"/>
    <w:rsid w:val="00EE3B5E"/>
    <w:rsid w:val="00EF7E90"/>
    <w:rsid w:val="00F005D2"/>
    <w:rsid w:val="00F11BB5"/>
    <w:rsid w:val="00F1417B"/>
    <w:rsid w:val="00F21272"/>
    <w:rsid w:val="00F216CB"/>
    <w:rsid w:val="00F34B99"/>
    <w:rsid w:val="00F35D8B"/>
    <w:rsid w:val="00F52DAB"/>
    <w:rsid w:val="00F543F0"/>
    <w:rsid w:val="00F6004E"/>
    <w:rsid w:val="00F704D7"/>
    <w:rsid w:val="00F7649B"/>
    <w:rsid w:val="00F7776E"/>
    <w:rsid w:val="00F81D29"/>
    <w:rsid w:val="00F8294E"/>
    <w:rsid w:val="00F8585D"/>
    <w:rsid w:val="00F861CF"/>
    <w:rsid w:val="00F86F7A"/>
    <w:rsid w:val="00F91C4D"/>
    <w:rsid w:val="00F92FD9"/>
    <w:rsid w:val="00FA6684"/>
    <w:rsid w:val="00FA731E"/>
    <w:rsid w:val="00FA75C4"/>
    <w:rsid w:val="00FB2B38"/>
    <w:rsid w:val="00FB6804"/>
    <w:rsid w:val="00FC6358"/>
    <w:rsid w:val="00FD28AD"/>
    <w:rsid w:val="00FD320D"/>
    <w:rsid w:val="00FD7613"/>
    <w:rsid w:val="00FE23DE"/>
    <w:rsid w:val="00FF3977"/>
    <w:rsid w:val="00FF4AB6"/>
    <w:rsid w:val="00FF615F"/>
    <w:rsid w:val="01074428"/>
    <w:rsid w:val="01785D9B"/>
    <w:rsid w:val="01C65DFC"/>
    <w:rsid w:val="025E17A9"/>
    <w:rsid w:val="02AF59BB"/>
    <w:rsid w:val="032F5C2F"/>
    <w:rsid w:val="033C5E11"/>
    <w:rsid w:val="033D37D1"/>
    <w:rsid w:val="03CE50C4"/>
    <w:rsid w:val="04502F45"/>
    <w:rsid w:val="048A6440"/>
    <w:rsid w:val="05175584"/>
    <w:rsid w:val="0580673A"/>
    <w:rsid w:val="058D6240"/>
    <w:rsid w:val="063F196E"/>
    <w:rsid w:val="06853EAC"/>
    <w:rsid w:val="06C75059"/>
    <w:rsid w:val="06ED06ED"/>
    <w:rsid w:val="078E6D42"/>
    <w:rsid w:val="07C3219B"/>
    <w:rsid w:val="07F316BF"/>
    <w:rsid w:val="0858376D"/>
    <w:rsid w:val="08911A08"/>
    <w:rsid w:val="08A30BD9"/>
    <w:rsid w:val="094957A4"/>
    <w:rsid w:val="099A29F6"/>
    <w:rsid w:val="09B27034"/>
    <w:rsid w:val="09CE4DC2"/>
    <w:rsid w:val="0AC10B29"/>
    <w:rsid w:val="0AF5724F"/>
    <w:rsid w:val="0B0260F6"/>
    <w:rsid w:val="0B5D68CC"/>
    <w:rsid w:val="0B943771"/>
    <w:rsid w:val="0BE521AA"/>
    <w:rsid w:val="0C754E18"/>
    <w:rsid w:val="0CEC5348"/>
    <w:rsid w:val="0D0824A1"/>
    <w:rsid w:val="0DD45756"/>
    <w:rsid w:val="0E6C4231"/>
    <w:rsid w:val="0E9425D7"/>
    <w:rsid w:val="0EB00F2F"/>
    <w:rsid w:val="0F163A6F"/>
    <w:rsid w:val="0F39181C"/>
    <w:rsid w:val="0F4D6A3D"/>
    <w:rsid w:val="0F583E34"/>
    <w:rsid w:val="0F7673E6"/>
    <w:rsid w:val="0FD94FBB"/>
    <w:rsid w:val="0FFB7AAC"/>
    <w:rsid w:val="100722F9"/>
    <w:rsid w:val="1015718D"/>
    <w:rsid w:val="102608F5"/>
    <w:rsid w:val="10891024"/>
    <w:rsid w:val="11164A2A"/>
    <w:rsid w:val="117076BE"/>
    <w:rsid w:val="11957523"/>
    <w:rsid w:val="11C57572"/>
    <w:rsid w:val="11CA4098"/>
    <w:rsid w:val="121C3C6A"/>
    <w:rsid w:val="122F7668"/>
    <w:rsid w:val="12574288"/>
    <w:rsid w:val="12A01F3F"/>
    <w:rsid w:val="12AF078B"/>
    <w:rsid w:val="12D01B4F"/>
    <w:rsid w:val="12DF18E3"/>
    <w:rsid w:val="13473B89"/>
    <w:rsid w:val="13A0427C"/>
    <w:rsid w:val="1402574B"/>
    <w:rsid w:val="14823275"/>
    <w:rsid w:val="14942A02"/>
    <w:rsid w:val="14DD5103"/>
    <w:rsid w:val="152B34FF"/>
    <w:rsid w:val="1574406A"/>
    <w:rsid w:val="158D360F"/>
    <w:rsid w:val="15A069F5"/>
    <w:rsid w:val="15D70B04"/>
    <w:rsid w:val="15E000A5"/>
    <w:rsid w:val="1626489C"/>
    <w:rsid w:val="16713D93"/>
    <w:rsid w:val="1692242B"/>
    <w:rsid w:val="16A351E6"/>
    <w:rsid w:val="16BA246A"/>
    <w:rsid w:val="17183164"/>
    <w:rsid w:val="171B2F7A"/>
    <w:rsid w:val="176D4FD8"/>
    <w:rsid w:val="17886A73"/>
    <w:rsid w:val="17CB5B86"/>
    <w:rsid w:val="17D17533"/>
    <w:rsid w:val="1816519E"/>
    <w:rsid w:val="18E717D1"/>
    <w:rsid w:val="190679EA"/>
    <w:rsid w:val="190E02A3"/>
    <w:rsid w:val="190E5F2F"/>
    <w:rsid w:val="195A6500"/>
    <w:rsid w:val="19721C0B"/>
    <w:rsid w:val="19BD4D99"/>
    <w:rsid w:val="19C40AE8"/>
    <w:rsid w:val="1A032FF7"/>
    <w:rsid w:val="1A0F7C6F"/>
    <w:rsid w:val="1A151FD4"/>
    <w:rsid w:val="1A8E4611"/>
    <w:rsid w:val="1A933A30"/>
    <w:rsid w:val="1ADC1605"/>
    <w:rsid w:val="1AFB6D86"/>
    <w:rsid w:val="1B9505D7"/>
    <w:rsid w:val="1B9D6637"/>
    <w:rsid w:val="1BEF4653"/>
    <w:rsid w:val="1C2B4A2D"/>
    <w:rsid w:val="1CAD6963"/>
    <w:rsid w:val="1CB7775A"/>
    <w:rsid w:val="1CD75C4A"/>
    <w:rsid w:val="1D393259"/>
    <w:rsid w:val="1D7502B2"/>
    <w:rsid w:val="1DA00AE3"/>
    <w:rsid w:val="1DB95428"/>
    <w:rsid w:val="1E3627DF"/>
    <w:rsid w:val="1E7A0881"/>
    <w:rsid w:val="1F0639E9"/>
    <w:rsid w:val="1F572990"/>
    <w:rsid w:val="1FA674A8"/>
    <w:rsid w:val="1FB2622D"/>
    <w:rsid w:val="2010417C"/>
    <w:rsid w:val="2074475D"/>
    <w:rsid w:val="20B25FCE"/>
    <w:rsid w:val="20CA1119"/>
    <w:rsid w:val="212B1697"/>
    <w:rsid w:val="219D6374"/>
    <w:rsid w:val="219E64B9"/>
    <w:rsid w:val="21BB646C"/>
    <w:rsid w:val="220A2FEC"/>
    <w:rsid w:val="229739E8"/>
    <w:rsid w:val="22A5229B"/>
    <w:rsid w:val="22B6774D"/>
    <w:rsid w:val="22D07DE5"/>
    <w:rsid w:val="234A4E97"/>
    <w:rsid w:val="23F75DA9"/>
    <w:rsid w:val="242511B4"/>
    <w:rsid w:val="24506FEB"/>
    <w:rsid w:val="245F2468"/>
    <w:rsid w:val="24777930"/>
    <w:rsid w:val="248D289C"/>
    <w:rsid w:val="24B900AB"/>
    <w:rsid w:val="251E57FC"/>
    <w:rsid w:val="25645EC6"/>
    <w:rsid w:val="25656F5A"/>
    <w:rsid w:val="25842856"/>
    <w:rsid w:val="26285BE4"/>
    <w:rsid w:val="2663105E"/>
    <w:rsid w:val="27207D1E"/>
    <w:rsid w:val="272A3DC5"/>
    <w:rsid w:val="275447B5"/>
    <w:rsid w:val="27775ABA"/>
    <w:rsid w:val="27C17E95"/>
    <w:rsid w:val="27E601CE"/>
    <w:rsid w:val="285E4A3D"/>
    <w:rsid w:val="28981E30"/>
    <w:rsid w:val="28BC4AAE"/>
    <w:rsid w:val="28F10AE6"/>
    <w:rsid w:val="29B615DA"/>
    <w:rsid w:val="29CB34BB"/>
    <w:rsid w:val="2AB1392C"/>
    <w:rsid w:val="2B1677A2"/>
    <w:rsid w:val="2B2C0FA3"/>
    <w:rsid w:val="2B3F2ED9"/>
    <w:rsid w:val="2B597F6C"/>
    <w:rsid w:val="2B671774"/>
    <w:rsid w:val="2B967FD9"/>
    <w:rsid w:val="2BAE3439"/>
    <w:rsid w:val="2BCA75B8"/>
    <w:rsid w:val="2C5507A4"/>
    <w:rsid w:val="2C566B43"/>
    <w:rsid w:val="2C7F6D20"/>
    <w:rsid w:val="2C8D7095"/>
    <w:rsid w:val="2CAF424B"/>
    <w:rsid w:val="2CC27532"/>
    <w:rsid w:val="2CD32DFA"/>
    <w:rsid w:val="2CF86D7F"/>
    <w:rsid w:val="2DED1E76"/>
    <w:rsid w:val="2E1B2C9B"/>
    <w:rsid w:val="2E4634E1"/>
    <w:rsid w:val="2E476241"/>
    <w:rsid w:val="2EA92741"/>
    <w:rsid w:val="2F2972E8"/>
    <w:rsid w:val="2F321787"/>
    <w:rsid w:val="2F582328"/>
    <w:rsid w:val="2F684D83"/>
    <w:rsid w:val="2FBA602C"/>
    <w:rsid w:val="2FC5318D"/>
    <w:rsid w:val="2FD86310"/>
    <w:rsid w:val="307309DA"/>
    <w:rsid w:val="308519FC"/>
    <w:rsid w:val="308F3138"/>
    <w:rsid w:val="30983C27"/>
    <w:rsid w:val="31454DF1"/>
    <w:rsid w:val="3192731B"/>
    <w:rsid w:val="31A52F6E"/>
    <w:rsid w:val="325C00B5"/>
    <w:rsid w:val="32CD4B1D"/>
    <w:rsid w:val="334B5ACD"/>
    <w:rsid w:val="338D2F41"/>
    <w:rsid w:val="34146EE9"/>
    <w:rsid w:val="342A0608"/>
    <w:rsid w:val="348B5DE1"/>
    <w:rsid w:val="348E6718"/>
    <w:rsid w:val="34C61D14"/>
    <w:rsid w:val="3522456F"/>
    <w:rsid w:val="35370042"/>
    <w:rsid w:val="35AD4019"/>
    <w:rsid w:val="35B05892"/>
    <w:rsid w:val="36474CB1"/>
    <w:rsid w:val="367A0B01"/>
    <w:rsid w:val="368D37A4"/>
    <w:rsid w:val="36AE4ED5"/>
    <w:rsid w:val="36F64A15"/>
    <w:rsid w:val="37720514"/>
    <w:rsid w:val="37C624D9"/>
    <w:rsid w:val="37D6117A"/>
    <w:rsid w:val="37F27663"/>
    <w:rsid w:val="384546AC"/>
    <w:rsid w:val="38E35C95"/>
    <w:rsid w:val="390219C2"/>
    <w:rsid w:val="39043021"/>
    <w:rsid w:val="3912283A"/>
    <w:rsid w:val="395976B0"/>
    <w:rsid w:val="39C4031C"/>
    <w:rsid w:val="3A2C5CC1"/>
    <w:rsid w:val="3A576091"/>
    <w:rsid w:val="3A5B48E4"/>
    <w:rsid w:val="3AAB6548"/>
    <w:rsid w:val="3AD825F7"/>
    <w:rsid w:val="3ADA252C"/>
    <w:rsid w:val="3B2B4556"/>
    <w:rsid w:val="3B433799"/>
    <w:rsid w:val="3BB67D39"/>
    <w:rsid w:val="3BBE2857"/>
    <w:rsid w:val="3BBE39CD"/>
    <w:rsid w:val="3BC67E24"/>
    <w:rsid w:val="3C2F46D2"/>
    <w:rsid w:val="3C96009E"/>
    <w:rsid w:val="3C97666E"/>
    <w:rsid w:val="3E3109AA"/>
    <w:rsid w:val="3F2F06EA"/>
    <w:rsid w:val="403F1243"/>
    <w:rsid w:val="404D4792"/>
    <w:rsid w:val="408503AB"/>
    <w:rsid w:val="40B55762"/>
    <w:rsid w:val="418C66D9"/>
    <w:rsid w:val="42244C13"/>
    <w:rsid w:val="42324FC8"/>
    <w:rsid w:val="42AE5A9C"/>
    <w:rsid w:val="42DA3846"/>
    <w:rsid w:val="42E15CC3"/>
    <w:rsid w:val="434642F4"/>
    <w:rsid w:val="437F086D"/>
    <w:rsid w:val="43893DB3"/>
    <w:rsid w:val="438E69B3"/>
    <w:rsid w:val="43EB4550"/>
    <w:rsid w:val="43EF6303"/>
    <w:rsid w:val="452705C0"/>
    <w:rsid w:val="455C4166"/>
    <w:rsid w:val="45696D9A"/>
    <w:rsid w:val="45AE131F"/>
    <w:rsid w:val="462016B6"/>
    <w:rsid w:val="46216B92"/>
    <w:rsid w:val="46446E01"/>
    <w:rsid w:val="468336D4"/>
    <w:rsid w:val="46AB7F3F"/>
    <w:rsid w:val="47295E8C"/>
    <w:rsid w:val="47A733EC"/>
    <w:rsid w:val="48040A77"/>
    <w:rsid w:val="481B532D"/>
    <w:rsid w:val="48822C63"/>
    <w:rsid w:val="489A7BA3"/>
    <w:rsid w:val="490675D9"/>
    <w:rsid w:val="496E7C4F"/>
    <w:rsid w:val="49D46173"/>
    <w:rsid w:val="4A0837DF"/>
    <w:rsid w:val="4A095BFD"/>
    <w:rsid w:val="4A6F1A42"/>
    <w:rsid w:val="4A795CD7"/>
    <w:rsid w:val="4AD675AB"/>
    <w:rsid w:val="4AE26B3E"/>
    <w:rsid w:val="4BE6584C"/>
    <w:rsid w:val="4C610905"/>
    <w:rsid w:val="4CC96FE0"/>
    <w:rsid w:val="4D62204F"/>
    <w:rsid w:val="4E5D1152"/>
    <w:rsid w:val="4E871BE7"/>
    <w:rsid w:val="4F055989"/>
    <w:rsid w:val="4F27285C"/>
    <w:rsid w:val="4F9E0605"/>
    <w:rsid w:val="4FEC1443"/>
    <w:rsid w:val="4FFB5696"/>
    <w:rsid w:val="507C1952"/>
    <w:rsid w:val="50F27F44"/>
    <w:rsid w:val="51233284"/>
    <w:rsid w:val="51F30DE4"/>
    <w:rsid w:val="52811294"/>
    <w:rsid w:val="52AD1EEB"/>
    <w:rsid w:val="52C57969"/>
    <w:rsid w:val="53022452"/>
    <w:rsid w:val="531C512C"/>
    <w:rsid w:val="53232D50"/>
    <w:rsid w:val="534E4B81"/>
    <w:rsid w:val="53600DA6"/>
    <w:rsid w:val="536400FC"/>
    <w:rsid w:val="5376123C"/>
    <w:rsid w:val="537C2F52"/>
    <w:rsid w:val="53C62C4C"/>
    <w:rsid w:val="541539FE"/>
    <w:rsid w:val="54666CDD"/>
    <w:rsid w:val="55282B68"/>
    <w:rsid w:val="55776B26"/>
    <w:rsid w:val="55DD317A"/>
    <w:rsid w:val="56350660"/>
    <w:rsid w:val="567265E5"/>
    <w:rsid w:val="56DC64C0"/>
    <w:rsid w:val="56F62EF8"/>
    <w:rsid w:val="57457F43"/>
    <w:rsid w:val="5774104E"/>
    <w:rsid w:val="57E03821"/>
    <w:rsid w:val="581E3966"/>
    <w:rsid w:val="58734A4B"/>
    <w:rsid w:val="58CE1718"/>
    <w:rsid w:val="58D54539"/>
    <w:rsid w:val="592712FE"/>
    <w:rsid w:val="59A57608"/>
    <w:rsid w:val="59BE42B3"/>
    <w:rsid w:val="5A674FB2"/>
    <w:rsid w:val="5AA24FF0"/>
    <w:rsid w:val="5B084578"/>
    <w:rsid w:val="5B6E0573"/>
    <w:rsid w:val="5BA872E3"/>
    <w:rsid w:val="5C0465C2"/>
    <w:rsid w:val="5C2226E8"/>
    <w:rsid w:val="5C4304BA"/>
    <w:rsid w:val="5C4E15E5"/>
    <w:rsid w:val="5C5B39BC"/>
    <w:rsid w:val="5CC96699"/>
    <w:rsid w:val="5CE547E4"/>
    <w:rsid w:val="5CE668C5"/>
    <w:rsid w:val="5CF11851"/>
    <w:rsid w:val="5D0532B9"/>
    <w:rsid w:val="5D1F4F35"/>
    <w:rsid w:val="5D2A0203"/>
    <w:rsid w:val="5D372F5E"/>
    <w:rsid w:val="5D42572B"/>
    <w:rsid w:val="5D7633C7"/>
    <w:rsid w:val="5DA720F7"/>
    <w:rsid w:val="5DC801DF"/>
    <w:rsid w:val="5DCE7AD1"/>
    <w:rsid w:val="5E2B132B"/>
    <w:rsid w:val="5E831ABC"/>
    <w:rsid w:val="5E9B2D5E"/>
    <w:rsid w:val="5ED93125"/>
    <w:rsid w:val="5EEA0883"/>
    <w:rsid w:val="5F356FB1"/>
    <w:rsid w:val="5FC15874"/>
    <w:rsid w:val="5FC973E1"/>
    <w:rsid w:val="5FCC27B6"/>
    <w:rsid w:val="5FCE3931"/>
    <w:rsid w:val="5FE3598E"/>
    <w:rsid w:val="61273440"/>
    <w:rsid w:val="61501007"/>
    <w:rsid w:val="616040FE"/>
    <w:rsid w:val="616517E2"/>
    <w:rsid w:val="61761BB9"/>
    <w:rsid w:val="61870177"/>
    <w:rsid w:val="6190090D"/>
    <w:rsid w:val="61CC75F9"/>
    <w:rsid w:val="61DB05F4"/>
    <w:rsid w:val="61F83EE4"/>
    <w:rsid w:val="62364EF5"/>
    <w:rsid w:val="6240666B"/>
    <w:rsid w:val="62817A92"/>
    <w:rsid w:val="62895FCC"/>
    <w:rsid w:val="62D87097"/>
    <w:rsid w:val="62D97AB9"/>
    <w:rsid w:val="62DB30C6"/>
    <w:rsid w:val="63033040"/>
    <w:rsid w:val="63173049"/>
    <w:rsid w:val="633F483D"/>
    <w:rsid w:val="63751DAA"/>
    <w:rsid w:val="63D1569B"/>
    <w:rsid w:val="63DB41F1"/>
    <w:rsid w:val="644B5858"/>
    <w:rsid w:val="645535A7"/>
    <w:rsid w:val="64664CE3"/>
    <w:rsid w:val="64884AA7"/>
    <w:rsid w:val="648B1BF5"/>
    <w:rsid w:val="64A36D75"/>
    <w:rsid w:val="64D33FA8"/>
    <w:rsid w:val="6516115C"/>
    <w:rsid w:val="65520B1F"/>
    <w:rsid w:val="6561679F"/>
    <w:rsid w:val="65D971C7"/>
    <w:rsid w:val="662D6C21"/>
    <w:rsid w:val="66325ED1"/>
    <w:rsid w:val="665D1235"/>
    <w:rsid w:val="66B81ED3"/>
    <w:rsid w:val="68621280"/>
    <w:rsid w:val="6872589F"/>
    <w:rsid w:val="689626B7"/>
    <w:rsid w:val="68AC2A98"/>
    <w:rsid w:val="68CF3421"/>
    <w:rsid w:val="692B51E2"/>
    <w:rsid w:val="69364124"/>
    <w:rsid w:val="69406230"/>
    <w:rsid w:val="69D739D0"/>
    <w:rsid w:val="6A5B1B81"/>
    <w:rsid w:val="6AB71B26"/>
    <w:rsid w:val="6AE65546"/>
    <w:rsid w:val="6B183B4F"/>
    <w:rsid w:val="6B377E4D"/>
    <w:rsid w:val="6B763B99"/>
    <w:rsid w:val="6BAB7857"/>
    <w:rsid w:val="6BF30BF6"/>
    <w:rsid w:val="6C4F07B5"/>
    <w:rsid w:val="6C7E6178"/>
    <w:rsid w:val="6CDF4419"/>
    <w:rsid w:val="6D1727A7"/>
    <w:rsid w:val="6D4E7E24"/>
    <w:rsid w:val="6D566C6B"/>
    <w:rsid w:val="6DBF470C"/>
    <w:rsid w:val="6E285893"/>
    <w:rsid w:val="6E3C7073"/>
    <w:rsid w:val="6EBD61FF"/>
    <w:rsid w:val="6ED40266"/>
    <w:rsid w:val="6EE036C0"/>
    <w:rsid w:val="6F7A0A3E"/>
    <w:rsid w:val="6FCF6F3C"/>
    <w:rsid w:val="70037722"/>
    <w:rsid w:val="703A535A"/>
    <w:rsid w:val="703D799F"/>
    <w:rsid w:val="70CF015A"/>
    <w:rsid w:val="71EC08E9"/>
    <w:rsid w:val="723C1524"/>
    <w:rsid w:val="7286140E"/>
    <w:rsid w:val="72EE6C02"/>
    <w:rsid w:val="72F30425"/>
    <w:rsid w:val="733A7BC8"/>
    <w:rsid w:val="73DC0A4E"/>
    <w:rsid w:val="73E2321F"/>
    <w:rsid w:val="74424463"/>
    <w:rsid w:val="7463676E"/>
    <w:rsid w:val="748C1E68"/>
    <w:rsid w:val="74BB530C"/>
    <w:rsid w:val="752F7894"/>
    <w:rsid w:val="753E5133"/>
    <w:rsid w:val="754119E9"/>
    <w:rsid w:val="754410FD"/>
    <w:rsid w:val="75E12DF4"/>
    <w:rsid w:val="761829F7"/>
    <w:rsid w:val="76372D31"/>
    <w:rsid w:val="764E28D8"/>
    <w:rsid w:val="76C73788"/>
    <w:rsid w:val="77F0569A"/>
    <w:rsid w:val="78036DAC"/>
    <w:rsid w:val="781A04AF"/>
    <w:rsid w:val="783E3FCC"/>
    <w:rsid w:val="786A13B8"/>
    <w:rsid w:val="786B5135"/>
    <w:rsid w:val="788E3D7B"/>
    <w:rsid w:val="78A0302E"/>
    <w:rsid w:val="78D30DAB"/>
    <w:rsid w:val="795A1076"/>
    <w:rsid w:val="795A30EE"/>
    <w:rsid w:val="79714C5B"/>
    <w:rsid w:val="798329EE"/>
    <w:rsid w:val="798E3BDF"/>
    <w:rsid w:val="79B81103"/>
    <w:rsid w:val="7A0C35AB"/>
    <w:rsid w:val="7A1A0716"/>
    <w:rsid w:val="7A4C1580"/>
    <w:rsid w:val="7A894748"/>
    <w:rsid w:val="7AAF0D64"/>
    <w:rsid w:val="7AE27F1E"/>
    <w:rsid w:val="7B21528E"/>
    <w:rsid w:val="7B2851B8"/>
    <w:rsid w:val="7BA24E10"/>
    <w:rsid w:val="7BDE7FF1"/>
    <w:rsid w:val="7C154B89"/>
    <w:rsid w:val="7C2A1258"/>
    <w:rsid w:val="7C33547B"/>
    <w:rsid w:val="7C376E73"/>
    <w:rsid w:val="7C4D351A"/>
    <w:rsid w:val="7CA75B69"/>
    <w:rsid w:val="7CB636F3"/>
    <w:rsid w:val="7D032928"/>
    <w:rsid w:val="7D122C47"/>
    <w:rsid w:val="7D230E52"/>
    <w:rsid w:val="7D445545"/>
    <w:rsid w:val="7E060930"/>
    <w:rsid w:val="7E21475A"/>
    <w:rsid w:val="7E795E8A"/>
    <w:rsid w:val="7E8B5049"/>
    <w:rsid w:val="7E9F428E"/>
    <w:rsid w:val="7ED859C2"/>
    <w:rsid w:val="7EEA1749"/>
    <w:rsid w:val="7FAC321C"/>
    <w:rsid w:val="7FD0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semiHidden="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qFormat/>
    <w:uiPriority w:val="0"/>
    <w:pPr>
      <w:tabs>
        <w:tab w:val="right" w:leader="dot" w:pos="9241"/>
      </w:tabs>
      <w:ind w:firstLine="300" w:firstLineChars="300"/>
      <w:jc w:val="left"/>
    </w:pPr>
    <w:rPr>
      <w:rFonts w:ascii="宋体"/>
      <w:szCs w:val="21"/>
    </w:rPr>
  </w:style>
  <w:style w:type="paragraph" w:styleId="10">
    <w:name w:val="toc 3"/>
    <w:basedOn w:val="1"/>
    <w:next w:val="1"/>
    <w:qFormat/>
    <w:uiPriority w:val="39"/>
    <w:pPr>
      <w:tabs>
        <w:tab w:val="right" w:leader="dot" w:pos="9241"/>
      </w:tabs>
      <w:ind w:firstLine="102" w:firstLineChars="100"/>
      <w:jc w:val="left"/>
    </w:pPr>
    <w:rPr>
      <w:rFonts w:ascii="宋体"/>
      <w:szCs w:val="21"/>
    </w:rPr>
  </w:style>
  <w:style w:type="paragraph" w:styleId="11">
    <w:name w:val="toc 8"/>
    <w:basedOn w:val="1"/>
    <w:next w:val="1"/>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qFormat/>
    <w:uiPriority w:val="39"/>
    <w:pPr>
      <w:tabs>
        <w:tab w:val="right" w:leader="dot" w:pos="9241"/>
      </w:tabs>
      <w:spacing w:beforeLines="25" w:afterLines="25"/>
      <w:jc w:val="left"/>
    </w:pPr>
    <w:rPr>
      <w:rFonts w:ascii="宋体"/>
      <w:szCs w:val="21"/>
    </w:rPr>
  </w:style>
  <w:style w:type="paragraph" w:styleId="17">
    <w:name w:val="toc 4"/>
    <w:basedOn w:val="1"/>
    <w:next w:val="1"/>
    <w:semiHidden/>
    <w:qFormat/>
    <w:uiPriority w:val="0"/>
    <w:pPr>
      <w:tabs>
        <w:tab w:val="right" w:leader="dot" w:pos="9241"/>
      </w:tabs>
      <w:ind w:firstLine="198"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3"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1"/>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0"/>
    <w:qFormat/>
    <w:uiPriority w:val="0"/>
    <w:rPr>
      <w:rFonts w:ascii="宋体"/>
      <w:sz w:val="21"/>
      <w:lang w:val="en-US" w:eastAsia="zh-CN" w:bidi="ar-SA"/>
    </w:rPr>
  </w:style>
  <w:style w:type="paragraph" w:customStyle="1" w:styleId="38">
    <w:name w:val="一级条标题"/>
    <w:next w:val="20"/>
    <w:link w:val="13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0"/>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0"/>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0"/>
    <w:qFormat/>
    <w:uiPriority w:val="0"/>
    <w:pPr>
      <w:numPr>
        <w:ilvl w:val="4"/>
      </w:numPr>
      <w:outlineLvl w:val="5"/>
    </w:pPr>
  </w:style>
  <w:style w:type="paragraph" w:customStyle="1" w:styleId="52">
    <w:name w:val="五级条标题"/>
    <w:basedOn w:val="51"/>
    <w:next w:val="20"/>
    <w:qFormat/>
    <w:uiPriority w:val="0"/>
    <w:pPr>
      <w:numPr>
        <w:ilvl w:val="5"/>
      </w:numPr>
      <w:outlineLvl w:val="6"/>
    </w:pPr>
  </w:style>
  <w:style w:type="paragraph" w:customStyle="1" w:styleId="53">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link w:val="137"/>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0"/>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0"/>
    <w:next w:val="20"/>
    <w:qFormat/>
    <w:uiPriority w:val="0"/>
    <w:pPr>
      <w:ind w:firstLine="0" w:firstLineChars="0"/>
      <w:jc w:val="center"/>
    </w:pPr>
    <w:rPr>
      <w:rFonts w:ascii="黑体" w:eastAsia="黑体"/>
    </w:rPr>
  </w:style>
  <w:style w:type="paragraph" w:customStyle="1" w:styleId="82">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0"/>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0"/>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0"/>
    <w:next w:val="20"/>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0"/>
    <w:link w:val="136"/>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0"/>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0"/>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0"/>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0"/>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0"/>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0"/>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hAnchor="text"/>
      <w:jc w:val="right"/>
    </w:pPr>
  </w:style>
  <w:style w:type="paragraph" w:customStyle="1" w:styleId="111">
    <w:name w:val="示例后文字"/>
    <w:basedOn w:val="20"/>
    <w:next w:val="20"/>
    <w:qFormat/>
    <w:uiPriority w:val="0"/>
    <w:pPr>
      <w:ind w:firstLine="360"/>
    </w:pPr>
    <w:rPr>
      <w:sz w:val="18"/>
    </w:rPr>
  </w:style>
  <w:style w:type="paragraph" w:customStyle="1" w:styleId="112">
    <w:name w:val="首示例"/>
    <w:next w:val="20"/>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1"/>
    <w:qFormat/>
    <w:uiPriority w:val="0"/>
    <w:pPr>
      <w:numPr>
        <w:numId w:val="0"/>
      </w:numPr>
      <w:jc w:val="both"/>
    </w:pPr>
  </w:style>
  <w:style w:type="paragraph" w:customStyle="1" w:styleId="116">
    <w:name w:val="图标脚注说明"/>
    <w:basedOn w:val="20"/>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0"/>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0"/>
    <w:next w:val="20"/>
    <w:qFormat/>
    <w:uiPriority w:val="0"/>
    <w:pPr>
      <w:ind w:firstLine="0" w:firstLineChars="0"/>
    </w:pPr>
  </w:style>
  <w:style w:type="paragraph" w:customStyle="1" w:styleId="124">
    <w:name w:val="正文图标题"/>
    <w:next w:val="20"/>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text"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character" w:customStyle="1" w:styleId="133">
    <w:name w:val="一级条标题 Char"/>
    <w:basedOn w:val="31"/>
    <w:link w:val="38"/>
    <w:qFormat/>
    <w:uiPriority w:val="0"/>
    <w:rPr>
      <w:rFonts w:ascii="黑体" w:eastAsia="黑体"/>
      <w:sz w:val="21"/>
      <w:szCs w:val="21"/>
      <w:lang w:val="en-US" w:eastAsia="zh-CN" w:bidi="ar-SA"/>
    </w:rPr>
  </w:style>
  <w:style w:type="paragraph" w:customStyle="1" w:styleId="134">
    <w:name w:val="Body text|1"/>
    <w:basedOn w:val="1"/>
    <w:qFormat/>
    <w:uiPriority w:val="0"/>
    <w:pPr>
      <w:spacing w:line="312" w:lineRule="auto"/>
    </w:pPr>
    <w:rPr>
      <w:rFonts w:ascii="MingLiU" w:hAnsi="MingLiU" w:eastAsia="MingLiU" w:cs="MingLiU"/>
      <w:sz w:val="20"/>
      <w:szCs w:val="20"/>
      <w:lang w:val="zh-TW" w:eastAsia="zh-TW" w:bidi="zh-TW"/>
    </w:rPr>
  </w:style>
  <w:style w:type="character" w:customStyle="1" w:styleId="135">
    <w:name w:val="未处理的提及1"/>
    <w:basedOn w:val="31"/>
    <w:semiHidden/>
    <w:unhideWhenUsed/>
    <w:qFormat/>
    <w:uiPriority w:val="99"/>
    <w:rPr>
      <w:color w:val="605E5C"/>
      <w:shd w:val="clear" w:color="auto" w:fill="E1DFDD"/>
    </w:rPr>
  </w:style>
  <w:style w:type="character" w:customStyle="1" w:styleId="136">
    <w:name w:val="附录公式编号制表符 Char"/>
    <w:link w:val="88"/>
    <w:qFormat/>
    <w:uiPriority w:val="0"/>
    <w:rPr>
      <w:rFonts w:ascii="宋体"/>
      <w:kern w:val="0"/>
      <w:szCs w:val="20"/>
    </w:rPr>
  </w:style>
  <w:style w:type="character" w:customStyle="1" w:styleId="137">
    <w:name w:val="字母编号列项（一级） Char"/>
    <w:link w:val="55"/>
    <w:qFormat/>
    <w:uiPriority w:val="0"/>
    <w:rPr>
      <w:rFonts w:ascii="宋体" w:hAnsi="Times New Roman" w:eastAsia="宋体" w:cs="Times New Roman"/>
      <w:sz w:val="21"/>
      <w:lang w:val="en-US" w:eastAsia="zh-CN" w:bidi="ar-SA"/>
    </w:rPr>
  </w:style>
  <w:style w:type="paragraph" w:customStyle="1" w:styleId="138">
    <w:name w:val="列表段落1"/>
    <w:basedOn w:val="1"/>
    <w:unhideWhenUsed/>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8DD5-6E27-4AF9-9AFC-BEC09400892A}">
  <ds:schemaRefs/>
</ds:datastoreItem>
</file>

<file path=docProps/app.xml><?xml version="1.0" encoding="utf-8"?>
<Properties xmlns="http://schemas.openxmlformats.org/officeDocument/2006/extended-properties" xmlns:vt="http://schemas.openxmlformats.org/officeDocument/2006/docPropsVTypes">
  <Template>Normal</Template>
  <Pages>10</Pages>
  <Words>659</Words>
  <Characters>3761</Characters>
  <Lines>31</Lines>
  <Paragraphs>8</Paragraphs>
  <TotalTime>1</TotalTime>
  <ScaleCrop>false</ScaleCrop>
  <LinksUpToDate>false</LinksUpToDate>
  <CharactersWithSpaces>4412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2020-03-02T10:09:00Z</dcterms:created>
  <dcterms:modified xsi:type="dcterms:W3CDTF">2020-09-03T09:32:50Z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