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rPr>
          <w:rFonts w:hAnsi="黑体" w:cs="黑体"/>
          <w:color w:val="000000"/>
        </w:rPr>
      </w:pPr>
      <w:r>
        <w:rPr>
          <w:rFonts w:hint="eastAsia" w:hAnsi="黑体" w:cs="黑体"/>
          <w:color w:val="000000"/>
        </w:rPr>
        <w:t>ICS 67.060</w:t>
      </w:r>
    </w:p>
    <w:p>
      <w:pPr>
        <w:pStyle w:val="117"/>
        <w:rPr>
          <w:color w:val="000000"/>
        </w:rPr>
      </w:pPr>
      <w:r>
        <w:rPr>
          <w:rFonts w:hint="eastAsia"/>
          <w:color w:val="000000"/>
        </w:rPr>
        <w:t>C</w:t>
      </w:r>
      <w:r>
        <w:rPr>
          <w:color w:val="000000"/>
        </w:rPr>
        <w:t>CS</w:t>
      </w:r>
      <w:r>
        <w:rPr>
          <w:rFonts w:hint="eastAsia"/>
          <w:color w:val="000000"/>
        </w:rPr>
        <w:t xml:space="preserve"> </w:t>
      </w:r>
      <w:r>
        <w:rPr>
          <w:color w:val="000000"/>
        </w:rPr>
        <w:t>B 23</w:t>
      </w:r>
    </w:p>
    <w:tbl>
      <w:tblPr>
        <w:tblStyle w:val="31"/>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vAlign w:val="top"/>
          </w:tcPr>
          <w:p>
            <w:pPr>
              <w:pStyle w:val="117"/>
              <w:rPr>
                <w:color w:val="000000"/>
              </w:rPr>
            </w:pPr>
          </w:p>
          <w:p>
            <w:pPr>
              <w:pStyle w:val="117"/>
              <w:rPr>
                <w:color w:val="000000"/>
              </w:rPr>
            </w:pPr>
            <w:r>
              <w:rPr>
                <w:rFonts w:ascii="黑体" w:hAnsi="Times New Roman" w:eastAsia="黑体" w:cs="Times New Roman"/>
                <w:color w:val="000000"/>
                <w:sz w:val="21"/>
                <w:szCs w:val="21"/>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yK4v7NUAAAAHAQAADwAAAAAAAAABACAAAAAiAAAAZHJzL2Rvd25yZXYueG1s&#10;UEsBAhQAFAAAAAgAh07iQKWmWPiJAQAACwMAAA4AAAAAAAAAAQAgAAAAJAEAAGRycy9lMm9Eb2Mu&#10;eG1sUEsFBgAAAAAGAAYAWQEAAB8FAAAAAA==&#10;">
                      <v:fill on="t" focussize="0,0"/>
                      <v:stroke on="f"/>
                      <v:imagedata o:title=""/>
                      <o:lock v:ext="edit" aspectratio="f"/>
                    </v:rect>
                  </w:pict>
                </mc:Fallback>
              </mc:AlternateContent>
            </w:r>
          </w:p>
        </w:tc>
      </w:tr>
    </w:tbl>
    <w:p>
      <w:pPr>
        <w:pStyle w:val="64"/>
        <w:framePr w:w="0"/>
        <w:rPr>
          <w:color w:val="000000"/>
        </w:rPr>
      </w:pPr>
      <w:r>
        <w:rPr>
          <w:rFonts w:hint="eastAsia" w:ascii="黑体" w:hAnsi="黑体" w:eastAsia="黑体" w:cs="黑体"/>
          <w:color w:val="000000"/>
        </w:rPr>
        <w:t>团体标准</w:t>
      </w:r>
    </w:p>
    <w:p>
      <w:pPr>
        <w:pStyle w:val="44"/>
        <w:rPr>
          <w:rFonts w:hAnsi="黑体"/>
          <w:color w:val="000000"/>
        </w:rPr>
      </w:pPr>
      <w:r>
        <w:rPr>
          <w:rFonts w:hint="eastAsia" w:ascii="黑体" w:hAnsi="黑体" w:eastAsia="黑体" w:cs="黑体"/>
          <w:color w:val="000000"/>
        </w:rPr>
        <w:t>T/ZFS</w:t>
      </w:r>
      <w:r>
        <w:rPr>
          <w:rFonts w:ascii="Times New Roman"/>
          <w:color w:val="000000"/>
        </w:rPr>
        <w:t xml:space="preserve"> </w:t>
      </w:r>
      <w:r>
        <w:rPr>
          <w:rFonts w:hint="eastAsia" w:ascii="黑体" w:hAnsi="黑体" w:eastAsia="黑体" w:cs="黑体"/>
          <w:color w:val="000000"/>
          <w:lang w:val="en-US" w:eastAsia="zh-CN"/>
        </w:rPr>
        <w:t>XXXX</w:t>
      </w:r>
      <w:r>
        <w:rPr>
          <w:rFonts w:hint="eastAsia" w:ascii="黑体" w:hAnsi="黑体" w:eastAsia="黑体" w:cs="黑体"/>
          <w:color w:val="000000"/>
        </w:rPr>
        <w:t>—2020</w:t>
      </w:r>
    </w:p>
    <w:tbl>
      <w:tblPr>
        <w:tblStyle w:val="3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vAlign w:val="top"/>
          </w:tcPr>
          <w:p>
            <w:pPr>
              <w:pStyle w:val="72"/>
              <w:rPr>
                <w:color w:val="000000"/>
              </w:rPr>
            </w:pPr>
            <w:bookmarkStart w:id="0" w:name="DT"/>
            <w:r>
              <w:rPr>
                <w:rFonts w:ascii="宋体" w:hAnsi="Times New Roman" w:eastAsia="宋体" w:cs="Times New Roman"/>
                <w:color w:val="000000"/>
                <w:sz w:val="21"/>
                <w:szCs w:val="21"/>
                <w:lang w:val="en-US" w:eastAsia="zh-CN" w:bidi="ar-SA"/>
              </w:rP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72.8pt;margin-top:2.7pt;height:18pt;width:90pt;z-index:-25165824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AeYPLL1gAAAAgBAAAPAAAAAAAAAAEAIAAAACIAAABkcnMvZG93bnJldi54bWxQSwEC&#10;FAAUAAAACACHTuJArKPrT4QBAAALAwAADgAAAAAAAAABACAAAAAlAQAAZHJzL2Uyb0RvYy54bWxQ&#10;SwUGAAAAAAYABgBZAQAAGwUAAAAA&#10;">
                      <v:fill on="t" focussize="0,0"/>
                      <v:stroke on="f"/>
                      <v:imagedata o:title=""/>
                      <o:lock v:ext="edit" aspectratio="f"/>
                    </v:rect>
                  </w:pict>
                </mc:Fallback>
              </mc:AlternateContent>
            </w:r>
            <w:bookmarkEnd w:id="0"/>
          </w:p>
        </w:tc>
      </w:tr>
    </w:tbl>
    <w:p>
      <w:pPr>
        <w:pStyle w:val="44"/>
        <w:rPr>
          <w:rFonts w:hAnsi="黑体"/>
          <w:color w:val="000000"/>
        </w:rPr>
      </w:pPr>
      <w:r>
        <w:rPr>
          <w:rFonts w:ascii="黑体" w:hAnsi="Times New Roman" w:eastAsia="黑体" w:cs="Times New Roman"/>
          <w:color w:val="000000"/>
          <w:sz w:val="28"/>
          <w:szCs w:val="28"/>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40640</wp:posOffset>
                </wp:positionV>
                <wp:extent cx="6119495" cy="635"/>
                <wp:effectExtent l="0" t="0" r="0" b="0"/>
                <wp:wrapNone/>
                <wp:docPr id="6" name="直线 11"/>
                <wp:cNvGraphicFramePr/>
                <a:graphic xmlns:a="http://schemas.openxmlformats.org/drawingml/2006/main">
                  <a:graphicData uri="http://schemas.microsoft.com/office/word/2010/wordprocessingShape">
                    <wps:wsp>
                      <wps:cNvCnPr/>
                      <wps:spPr>
                        <a:xfrm>
                          <a:off x="0" y="0"/>
                          <a:ext cx="61194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4pt;margin-top:3.2pt;height:0.05pt;width:481.85pt;z-index:251663360;mso-width-relative:page;mso-height-relative:page;" filled="f" stroked="t" coordsize="21600,21600" o:gfxdata="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rCZdd0wAAAAQBAAAPAAAAAAAAAAEAIAAAACIAAABkcnMv&#10;ZG93bnJldi54bWxQSwECFAAUAAAACACHTuJA3ic9Cc8BAACQAwAADgAAAAAAAAABACAAAAAiAQAA&#10;ZHJzL2Uyb0RvYy54bWxQSwUGAAAAAAYABgBZAQAAYwUAAAAA&#10;">
                <v:fill on="f" focussize="0,0"/>
                <v:stroke color="#000000" joinstyle="round"/>
                <v:imagedata o:title=""/>
                <o:lock v:ext="edit" aspectratio="f"/>
              </v:line>
            </w:pict>
          </mc:Fallback>
        </mc:AlternateContent>
      </w:r>
    </w:p>
    <w:p>
      <w:pPr>
        <w:pStyle w:val="44"/>
        <w:rPr>
          <w:rFonts w:hAnsi="黑体"/>
          <w:color w:val="000000"/>
        </w:rPr>
      </w:pPr>
    </w:p>
    <w:p>
      <w:pPr>
        <w:pStyle w:val="44"/>
        <w:rPr>
          <w:rFonts w:hAnsi="黑体"/>
          <w:color w:val="000000"/>
        </w:rPr>
      </w:pPr>
    </w:p>
    <w:p>
      <w:pPr>
        <w:pStyle w:val="75"/>
        <w:spacing w:after="200"/>
        <w:rPr>
          <w:color w:val="000000"/>
          <w:sz w:val="52"/>
          <w:szCs w:val="52"/>
        </w:rPr>
      </w:pPr>
      <w:r>
        <w:rPr>
          <w:rFonts w:hint="eastAsia"/>
          <w:color w:val="000000"/>
          <w:sz w:val="52"/>
          <w:szCs w:val="52"/>
        </w:rPr>
        <w:t>即食豆制品</w:t>
      </w:r>
    </w:p>
    <w:p>
      <w:pPr>
        <w:pStyle w:val="76"/>
        <w:rPr>
          <w:rFonts w:hint="eastAsia" w:ascii="Times New Roman" w:eastAsia="黑体"/>
          <w:color w:val="000000"/>
          <w:kern w:val="2"/>
        </w:rPr>
      </w:pPr>
      <w:r>
        <w:rPr>
          <w:rFonts w:hint="eastAsia" w:ascii="Times New Roman" w:eastAsia="黑体"/>
          <w:color w:val="000000"/>
          <w:kern w:val="2"/>
        </w:rPr>
        <w:t>Ready</w:t>
      </w:r>
      <w:r>
        <w:rPr>
          <w:rFonts w:hint="eastAsia" w:ascii="Times New Roman" w:eastAsia="黑体"/>
          <w:color w:val="000000"/>
          <w:kern w:val="2"/>
          <w:lang w:val="en-US" w:eastAsia="zh-CN"/>
        </w:rPr>
        <w:t>-</w:t>
      </w:r>
      <w:r>
        <w:rPr>
          <w:rFonts w:hint="eastAsia" w:ascii="Times New Roman" w:eastAsia="黑体"/>
          <w:color w:val="000000"/>
          <w:kern w:val="2"/>
        </w:rPr>
        <w:t>to</w:t>
      </w:r>
      <w:r>
        <w:rPr>
          <w:rFonts w:hint="eastAsia" w:ascii="Times New Roman" w:eastAsia="黑体"/>
          <w:color w:val="000000"/>
          <w:kern w:val="2"/>
          <w:lang w:val="en-US" w:eastAsia="zh-CN"/>
        </w:rPr>
        <w:t>-</w:t>
      </w:r>
      <w:r>
        <w:rPr>
          <w:rFonts w:hint="eastAsia" w:ascii="Times New Roman" w:eastAsia="黑体"/>
          <w:color w:val="000000"/>
          <w:kern w:val="2"/>
        </w:rPr>
        <w:t>eat bean product</w:t>
      </w:r>
    </w:p>
    <w:p>
      <w:pPr>
        <w:pStyle w:val="76"/>
        <w:rPr>
          <w:rFonts w:hint="eastAsia" w:ascii="Times New Roman" w:eastAsia="黑体"/>
          <w:color w:val="000000"/>
          <w:kern w:val="2"/>
        </w:rPr>
      </w:pPr>
    </w:p>
    <w:tbl>
      <w:tblPr>
        <w:tblStyle w:val="3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vAlign w:val="top"/>
          </w:tcPr>
          <w:p>
            <w:pPr>
              <w:pStyle w:val="77"/>
              <w:rPr>
                <w:color w:val="000000"/>
              </w:rPr>
            </w:pPr>
            <w:r>
              <w:rPr>
                <w:rFonts w:ascii="宋体" w:hAnsi="Times New Roman" w:eastAsia="宋体" w:cs="Times New Roman"/>
                <w:color w:val="000000"/>
                <w:sz w:val="24"/>
                <w:szCs w:val="28"/>
                <w:lang w:val="en-US" w:eastAsia="zh-CN" w:bidi="ar-SA"/>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AWJrpLVAAAACgEAAA8AAAAAAAAAAQAgAAAAIgAAAGRycy9kb3ducmV2LnhtbFBLAQIU&#10;ABQAAAAIAIdO4kCLffvshAEAAAsDAAAOAAAAAAAAAAEAIAAAACQBAABkcnMvZTJvRG9jLnhtbFBL&#10;BQYAAAAABgAGAFkBAAAaBQAAAAA=&#10;">
                      <v:fill on="t" focussize="0,0"/>
                      <v:stroke on="f"/>
                      <v:imagedata o:title=""/>
                      <o:lock v:ext="edit" aspectratio="f"/>
                      <w10:anchorlock/>
                    </v:rect>
                  </w:pict>
                </mc:Fallback>
              </mc:AlternateContent>
            </w:r>
            <w:r>
              <w:rPr>
                <w:rFonts w:ascii="宋体" w:hAnsi="Times New Roman" w:eastAsia="宋体" w:cs="Times New Roman"/>
                <w:color w:val="000000"/>
                <w:sz w:val="24"/>
                <w:szCs w:val="28"/>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AD4Yvl1gAAAAkBAAAPAAAAAAAAAAEAIAAAACIAAABkcnMvZG93bnJldi54bWxQSwEC&#10;FAAUAAAACACHTuJAd5Sep4QBAAALAwAADgAAAAAAAAABACAAAAAlAQAAZHJzL2Uyb0RvYy54bWxQ&#10;SwUGAAAAAAYABgBZAQAAGwUAAAAA&#10;">
                      <v:fill on="t" focussize="0,0"/>
                      <v:stroke on="f"/>
                      <v:imagedata o:title=""/>
                      <o:lock v:ext="edit" aspectratio="f"/>
                    </v:rect>
                  </w:pict>
                </mc:Fallback>
              </mc:AlternateContent>
            </w:r>
            <w:r>
              <w:rPr>
                <w:rFonts w:hint="eastAsia"/>
                <w:color w:val="000000"/>
              </w:rPr>
              <w:t>（</w:t>
            </w:r>
            <w:r>
              <w:rPr>
                <w:rFonts w:hint="eastAsia"/>
                <w:color w:val="000000"/>
                <w:lang w:val="en-US" w:eastAsia="zh-CN"/>
              </w:rPr>
              <w:t>征求意见稿</w:t>
            </w:r>
            <w:r>
              <w:rPr>
                <w:rFonts w:hint="eastAsia"/>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vAlign w:val="top"/>
          </w:tcPr>
          <w:p>
            <w:pPr>
              <w:pStyle w:val="78"/>
              <w:rPr>
                <w:color w:val="000000"/>
              </w:rPr>
            </w:pPr>
          </w:p>
        </w:tc>
      </w:tr>
    </w:tbl>
    <w:p>
      <w:pPr>
        <w:pStyle w:val="124"/>
        <w:framePr w:hAnchor="page" w:x="1753" w:y="14161"/>
        <w:rPr>
          <w:color w:val="000000"/>
        </w:rPr>
      </w:pPr>
      <w:bookmarkStart w:id="1" w:name="FY"/>
      <w:r>
        <w:rPr>
          <w:rFonts w:ascii="黑体"/>
          <w:color w:val="000000"/>
        </w:rPr>
        <w:fldChar w:fldCharType="begin">
          <w:ffData>
            <w:name w:val="FY"/>
            <w:enabled/>
            <w:calcOnExit w:val="0"/>
            <w:textInput>
              <w:default w:val="XXXX"/>
              <w:maxLength w:val="4"/>
            </w:textInput>
          </w:ffData>
        </w:fldChar>
      </w:r>
      <w:r>
        <w:rPr>
          <w:rFonts w:ascii="黑体"/>
          <w:color w:val="000000"/>
        </w:rPr>
        <w:instrText xml:space="preserve"> FORMTEXT </w:instrText>
      </w:r>
      <w:r>
        <w:rPr>
          <w:rFonts w:ascii="黑体"/>
          <w:color w:val="000000"/>
        </w:rPr>
        <w:fldChar w:fldCharType="separate"/>
      </w:r>
      <w:r>
        <w:rPr>
          <w:rFonts w:hint="eastAsia" w:ascii="黑体"/>
          <w:color w:val="000000"/>
        </w:rPr>
        <w:t>202</w:t>
      </w:r>
      <w:r>
        <w:rPr>
          <w:rFonts w:ascii="黑体"/>
          <w:color w:val="000000"/>
        </w:rPr>
        <w:t>X</w:t>
      </w:r>
      <w:r>
        <w:rPr>
          <w:rFonts w:ascii="黑体"/>
          <w:color w:val="000000"/>
        </w:rPr>
        <w:fldChar w:fldCharType="end"/>
      </w:r>
      <w:bookmarkEnd w:id="1"/>
      <w:r>
        <w:rPr>
          <w:color w:val="000000"/>
        </w:rPr>
        <w:t xml:space="preserve"> </w:t>
      </w:r>
      <w:r>
        <w:rPr>
          <w:rFonts w:ascii="黑体"/>
          <w:color w:val="000000"/>
        </w:rPr>
        <w:t>-</w:t>
      </w:r>
      <w:r>
        <w:rPr>
          <w:color w:val="000000"/>
        </w:rPr>
        <w:t xml:space="preserve"> </w:t>
      </w:r>
      <w:r>
        <w:rPr>
          <w:rFonts w:ascii="黑体"/>
          <w:color w:val="000000"/>
        </w:rPr>
        <w:fldChar w:fldCharType="begin">
          <w:ffData>
            <w:name w:val="FM"/>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r>
        <w:rPr>
          <w:color w:val="000000"/>
        </w:rPr>
        <w:t xml:space="preserve"> </w:t>
      </w:r>
      <w:r>
        <w:rPr>
          <w:rFonts w:ascii="黑体"/>
          <w:color w:val="000000"/>
        </w:rPr>
        <w:t>-</w:t>
      </w:r>
      <w:r>
        <w:rPr>
          <w:color w:val="000000"/>
        </w:rPr>
        <w:t xml:space="preserve"> </w:t>
      </w:r>
      <w:bookmarkStart w:id="2" w:name="FD"/>
      <w:r>
        <w:rPr>
          <w:rFonts w:ascii="黑体"/>
          <w:color w:val="000000"/>
        </w:rPr>
        <w:fldChar w:fldCharType="begin">
          <w:ffData>
            <w:name w:val="FD"/>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2"/>
      <w:r>
        <w:rPr>
          <w:rFonts w:hint="eastAsia"/>
          <w:color w:val="000000"/>
        </w:rPr>
        <w:t>发布</w:t>
      </w:r>
      <w:r>
        <w:rPr>
          <w:rFonts w:ascii="Times New Roman" w:hAnsi="Times New Roman" w:eastAsia="黑体" w:cs="Times New Roman"/>
          <w:color w:val="000000"/>
          <w:sz w:val="28"/>
          <w:lang w:val="en-US" w:eastAsia="zh-CN" w:bidi="ar-SA"/>
        </w:rPr>
        <mc:AlternateContent>
          <mc:Choice Requires="wps">
            <w:drawing>
              <wp:anchor distT="0" distB="0" distL="114300" distR="114300" simplePos="0" relativeHeight="251662336" behindDoc="0" locked="1" layoutInCell="1" allowOverlap="1">
                <wp:simplePos x="0" y="0"/>
                <wp:positionH relativeFrom="column">
                  <wp:posOffset>-190500</wp:posOffset>
                </wp:positionH>
                <wp:positionV relativeFrom="page">
                  <wp:posOffset>9353550</wp:posOffset>
                </wp:positionV>
                <wp:extent cx="6115685" cy="635"/>
                <wp:effectExtent l="0" t="0" r="0" b="0"/>
                <wp:wrapNone/>
                <wp:docPr id="5" name="直线 10"/>
                <wp:cNvGraphicFramePr/>
                <a:graphic xmlns:a="http://schemas.openxmlformats.org/drawingml/2006/main">
                  <a:graphicData uri="http://schemas.microsoft.com/office/word/2010/wordprocessingShape">
                    <wps:wsp>
                      <wps:cNvCnPr/>
                      <wps:spPr>
                        <a:xfrm>
                          <a:off x="0" y="0"/>
                          <a:ext cx="61156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5pt;margin-top:736.5pt;height:0.05pt;width:481.55pt;mso-position-vertical-relative:page;z-index:251662336;mso-width-relative:page;mso-height-relative:page;" filled="f" stroked="t" coordsize="21600,21600" o:gfxdata="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G5uxdkAAAANAQAADwAAAAAAAAABACAAAAAiAAAA&#10;ZHJzL2Rvd25yZXYueG1sUEsBAhQAFAAAAAgAh07iQB0T0sbNAQAAkAMAAA4AAAAAAAAAAQAgAAAA&#10;KAEAAGRycy9lMm9Eb2MueG1sUEsFBgAAAAAGAAYAWQEAAGcFAAAAAA==&#10;">
                <v:fill on="f" focussize="0,0"/>
                <v:stroke color="#000000" joinstyle="round"/>
                <v:imagedata o:title=""/>
                <o:lock v:ext="edit" aspectratio="f"/>
                <w10:anchorlock/>
              </v:line>
            </w:pict>
          </mc:Fallback>
        </mc:AlternateContent>
      </w:r>
    </w:p>
    <w:p>
      <w:pPr>
        <w:pStyle w:val="125"/>
        <w:framePr w:hAnchor="page" w:x="7729" w:y="14161"/>
        <w:ind w:left="1069" w:leftChars="200" w:right="-10" w:hanging="649" w:hangingChars="232"/>
        <w:rPr>
          <w:color w:val="000000"/>
        </w:rPr>
      </w:pPr>
      <w:bookmarkStart w:id="3" w:name="SY"/>
      <w:r>
        <w:rPr>
          <w:rFonts w:ascii="黑体"/>
          <w:color w:val="000000"/>
        </w:rPr>
        <w:fldChar w:fldCharType="begin">
          <w:ffData>
            <w:name w:val="SY"/>
            <w:enabled/>
            <w:calcOnExit w:val="0"/>
            <w:textInput>
              <w:default w:val="XXXX"/>
              <w:maxLength w:val="4"/>
            </w:textInput>
          </w:ffData>
        </w:fldChar>
      </w:r>
      <w:r>
        <w:rPr>
          <w:rFonts w:ascii="黑体"/>
          <w:color w:val="000000"/>
        </w:rPr>
        <w:instrText xml:space="preserve"> FORMTEXT </w:instrText>
      </w:r>
      <w:r>
        <w:rPr>
          <w:rFonts w:ascii="黑体"/>
          <w:color w:val="000000"/>
        </w:rPr>
        <w:fldChar w:fldCharType="separate"/>
      </w:r>
      <w:r>
        <w:rPr>
          <w:rFonts w:hint="eastAsia" w:ascii="黑体"/>
          <w:color w:val="000000"/>
        </w:rPr>
        <w:t>202</w:t>
      </w:r>
      <w:r>
        <w:rPr>
          <w:rFonts w:ascii="黑体"/>
          <w:color w:val="000000"/>
        </w:rPr>
        <w:t>X</w:t>
      </w:r>
      <w:r>
        <w:rPr>
          <w:rFonts w:ascii="黑体"/>
          <w:color w:val="000000"/>
        </w:rPr>
        <w:fldChar w:fldCharType="end"/>
      </w:r>
      <w:bookmarkEnd w:id="3"/>
      <w:r>
        <w:rPr>
          <w:color w:val="000000"/>
        </w:rPr>
        <w:t xml:space="preserve"> </w:t>
      </w:r>
      <w:r>
        <w:rPr>
          <w:rFonts w:ascii="黑体"/>
          <w:color w:val="000000"/>
        </w:rPr>
        <w:t>-</w:t>
      </w:r>
      <w:r>
        <w:rPr>
          <w:color w:val="000000"/>
        </w:rPr>
        <w:t xml:space="preserve"> </w:t>
      </w:r>
      <w:bookmarkStart w:id="4" w:name="SM"/>
      <w:r>
        <w:rPr>
          <w:rFonts w:ascii="黑体"/>
          <w:color w:val="000000"/>
        </w:rPr>
        <w:fldChar w:fldCharType="begin">
          <w:ffData>
            <w:name w:val="SM"/>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4"/>
      <w:r>
        <w:rPr>
          <w:color w:val="000000"/>
        </w:rPr>
        <w:t xml:space="preserve"> </w:t>
      </w:r>
      <w:r>
        <w:rPr>
          <w:rFonts w:ascii="黑体"/>
          <w:color w:val="000000"/>
        </w:rPr>
        <w:t>-</w:t>
      </w:r>
      <w:r>
        <w:rPr>
          <w:color w:val="000000"/>
        </w:rPr>
        <w:t xml:space="preserve"> </w:t>
      </w:r>
      <w:bookmarkStart w:id="5" w:name="SD"/>
      <w:r>
        <w:rPr>
          <w:rFonts w:ascii="黑体"/>
          <w:color w:val="000000"/>
        </w:rPr>
        <w:fldChar w:fldCharType="begin">
          <w:ffData>
            <w:name w:val="SD"/>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5"/>
      <w:r>
        <w:rPr>
          <w:rFonts w:hint="eastAsia"/>
          <w:color w:val="000000"/>
        </w:rPr>
        <w:t>实施</w:t>
      </w:r>
    </w:p>
    <w:p>
      <w:pPr>
        <w:pStyle w:val="106"/>
        <w:rPr>
          <w:color w:val="000000"/>
        </w:rPr>
      </w:pPr>
      <w:r>
        <w:rPr>
          <w:rFonts w:hint="eastAsia"/>
          <w:color w:val="000000"/>
        </w:rPr>
        <w:t>浙江省食品学会</w:t>
      </w:r>
      <w:r>
        <w:rPr>
          <w:rFonts w:hAnsi="黑体"/>
          <w:color w:val="000000"/>
        </w:rPr>
        <w:t>   </w:t>
      </w:r>
      <w:r>
        <w:rPr>
          <w:rStyle w:val="135"/>
          <w:rFonts w:hint="eastAsia"/>
          <w:color w:val="000000"/>
        </w:rPr>
        <w:t>发布</w:t>
      </w:r>
    </w:p>
    <w:p>
      <w:pPr>
        <w:pStyle w:val="22"/>
        <w:rPr>
          <w:color w:val="000000"/>
        </w:rPr>
        <w:sectPr>
          <w:pgSz w:w="11906" w:h="16838"/>
          <w:pgMar w:top="567" w:right="850" w:bottom="1134" w:left="1418" w:header="0" w:footer="0" w:gutter="0"/>
          <w:pgNumType w:start="1"/>
          <w:cols w:space="720" w:num="1"/>
          <w:docGrid w:type="lines" w:linePitch="312" w:charSpace="0"/>
        </w:sectPr>
      </w:pPr>
    </w:p>
    <w:p>
      <w:pPr>
        <w:pStyle w:val="131"/>
        <w:keepNext w:val="0"/>
        <w:keepLines w:val="0"/>
        <w:pageBreakBefore w:val="0"/>
        <w:widowControl w:val="0"/>
        <w:kinsoku/>
        <w:wordWrap/>
        <w:overflowPunct/>
        <w:topLinePunct w:val="0"/>
        <w:autoSpaceDE/>
        <w:autoSpaceDN/>
        <w:bidi w:val="0"/>
        <w:adjustRightInd/>
        <w:snapToGrid/>
        <w:spacing w:before="600" w:after="560" w:line="360" w:lineRule="auto"/>
        <w:ind w:left="0" w:leftChars="0" w:right="0" w:firstLine="0" w:firstLineChars="0"/>
        <w:jc w:val="center"/>
        <w:textAlignment w:val="auto"/>
        <w:outlineLvl w:val="9"/>
        <w:rPr>
          <w:rFonts w:hint="eastAsia" w:ascii="宋体" w:hAnsi="宋体" w:eastAsia="宋体" w:cs="宋体"/>
          <w:color w:val="000000"/>
          <w:kern w:val="2"/>
          <w:sz w:val="20"/>
          <w:szCs w:val="21"/>
          <w:lang w:val="zh-TW" w:eastAsia="zh-CN" w:bidi="zh-TW"/>
        </w:rPr>
      </w:pPr>
      <w:bookmarkStart w:id="6" w:name="_Toc15919"/>
      <w:r>
        <w:rPr>
          <w:rFonts w:hint="eastAsia" w:ascii="黑体" w:hAnsi="黑体" w:eastAsia="黑体" w:cs="黑体"/>
          <w:sz w:val="48"/>
          <w:szCs w:val="48"/>
        </w:rPr>
        <w:t>目</w:t>
      </w:r>
      <w:bookmarkStart w:id="7" w:name="BKML"/>
      <w:r>
        <w:rPr>
          <w:rFonts w:hint="eastAsia" w:ascii="黑体" w:hAnsi="黑体" w:eastAsia="黑体" w:cs="黑体"/>
          <w:sz w:val="48"/>
          <w:szCs w:val="48"/>
        </w:rPr>
        <w:t>  次</w:t>
      </w:r>
      <w:bookmarkEnd w:id="6"/>
      <w:bookmarkEnd w:id="7"/>
      <w:bookmarkStart w:id="8" w:name="_Toc43899010"/>
      <w:r>
        <w:rPr>
          <w:rFonts w:hint="eastAsia" w:ascii="宋体" w:hAnsi="宋体" w:cs="宋体"/>
          <w:color w:val="000000"/>
          <w:szCs w:val="21"/>
        </w:rPr>
        <w:fldChar w:fldCharType="begin"/>
      </w:r>
      <w:r>
        <w:rPr>
          <w:rFonts w:hint="eastAsia" w:ascii="宋体" w:hAnsi="宋体" w:cs="宋体"/>
          <w:color w:val="000000"/>
          <w:szCs w:val="21"/>
        </w:rPr>
        <w:instrText xml:space="preserve">TOC \o "1-2" \h \u </w:instrText>
      </w:r>
      <w:r>
        <w:rPr>
          <w:rFonts w:hint="eastAsia" w:ascii="宋体" w:hAnsi="宋体" w:cs="宋体"/>
          <w:color w:val="000000"/>
          <w:szCs w:val="21"/>
        </w:rPr>
        <w:fldChar w:fldCharType="separate"/>
      </w:r>
    </w:p>
    <w:p>
      <w:pPr>
        <w:pStyle w:val="27"/>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ind w:left="0" w:leftChars="0"/>
        <w:textAlignment w:val="auto"/>
      </w:pPr>
      <w:r>
        <w:rPr>
          <w:rFonts w:hint="eastAsia" w:ascii="宋体" w:hAnsi="宋体" w:eastAsia="宋体" w:cs="宋体"/>
          <w:color w:val="000000"/>
          <w:kern w:val="2"/>
          <w:szCs w:val="21"/>
          <w:lang w:val="zh-TW" w:eastAsia="zh-CN" w:bidi="zh-TW"/>
        </w:rPr>
        <w:fldChar w:fldCharType="begin"/>
      </w:r>
      <w:r>
        <w:rPr>
          <w:rFonts w:hint="eastAsia" w:ascii="宋体" w:hAnsi="宋体" w:eastAsia="宋体" w:cs="宋体"/>
          <w:kern w:val="2"/>
          <w:szCs w:val="21"/>
          <w:lang w:val="zh-TW" w:eastAsia="zh-CN" w:bidi="zh-TW"/>
        </w:rPr>
        <w:instrText xml:space="preserve"> HYPERLINK \l _Toc1368 </w:instrText>
      </w:r>
      <w:r>
        <w:rPr>
          <w:rFonts w:hint="eastAsia" w:ascii="宋体" w:hAnsi="宋体" w:eastAsia="宋体" w:cs="宋体"/>
          <w:kern w:val="2"/>
          <w:szCs w:val="21"/>
          <w:lang w:val="zh-TW" w:eastAsia="zh-CN" w:bidi="zh-TW"/>
        </w:rPr>
        <w:fldChar w:fldCharType="separate"/>
      </w:r>
      <w:r>
        <w:rPr>
          <w:rFonts w:hint="eastAsia" w:ascii="宋体" w:hAnsi="宋体" w:eastAsia="宋体" w:cs="宋体"/>
          <w:szCs w:val="32"/>
          <w:lang w:eastAsia="zh-CN"/>
        </w:rPr>
        <w:t>前   言</w:t>
      </w:r>
      <w:r>
        <w:tab/>
      </w:r>
      <w:r>
        <w:fldChar w:fldCharType="begin"/>
      </w:r>
      <w:r>
        <w:instrText xml:space="preserve"> PAGEREF _Toc1368 </w:instrText>
      </w:r>
      <w:r>
        <w:fldChar w:fldCharType="separate"/>
      </w:r>
      <w:r>
        <w:t>II</w:t>
      </w:r>
      <w:r>
        <w:fldChar w:fldCharType="end"/>
      </w:r>
      <w:r>
        <w:rPr>
          <w:rFonts w:hint="eastAsia" w:ascii="宋体" w:hAnsi="宋体" w:eastAsia="宋体" w:cs="宋体"/>
          <w:color w:val="000000"/>
          <w:kern w:val="2"/>
          <w:szCs w:val="21"/>
          <w:lang w:val="zh-TW" w:eastAsia="zh-CN" w:bidi="zh-TW"/>
        </w:rPr>
        <w:fldChar w:fldCharType="end"/>
      </w:r>
    </w:p>
    <w:p>
      <w:pPr>
        <w:pStyle w:val="27"/>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ind w:left="0" w:leftChars="0"/>
        <w:textAlignment w:val="auto"/>
      </w:pPr>
      <w:r>
        <w:rPr>
          <w:rFonts w:hint="eastAsia" w:ascii="宋体" w:hAnsi="宋体" w:eastAsia="宋体" w:cs="宋体"/>
          <w:color w:val="000000"/>
          <w:kern w:val="2"/>
          <w:szCs w:val="21"/>
          <w:lang w:val="zh-TW" w:eastAsia="zh-CN" w:bidi="zh-TW"/>
        </w:rPr>
        <w:fldChar w:fldCharType="begin"/>
      </w:r>
      <w:r>
        <w:rPr>
          <w:rFonts w:hint="eastAsia" w:ascii="宋体" w:hAnsi="宋体" w:eastAsia="宋体" w:cs="宋体"/>
          <w:kern w:val="2"/>
          <w:szCs w:val="21"/>
          <w:lang w:val="zh-TW" w:eastAsia="zh-CN" w:bidi="zh-TW"/>
        </w:rPr>
        <w:instrText xml:space="preserve"> HYPERLINK \l _Toc11821 </w:instrText>
      </w:r>
      <w:r>
        <w:rPr>
          <w:rFonts w:hint="eastAsia" w:ascii="宋体" w:hAnsi="宋体" w:eastAsia="宋体" w:cs="宋体"/>
          <w:kern w:val="2"/>
          <w:szCs w:val="21"/>
          <w:lang w:val="zh-TW" w:eastAsia="zh-CN" w:bidi="zh-TW"/>
        </w:rPr>
        <w:fldChar w:fldCharType="separate"/>
      </w:r>
      <w:r>
        <w:rPr>
          <w:rFonts w:hint="eastAsia" w:ascii="黑体" w:hAnsi="Times New Roman" w:eastAsia="黑体"/>
          <w:i w:val="0"/>
          <w:szCs w:val="21"/>
        </w:rPr>
        <w:t xml:space="preserve">1 </w:t>
      </w:r>
      <w:r>
        <w:rPr>
          <w:rFonts w:hint="eastAsia"/>
          <w:szCs w:val="22"/>
        </w:rPr>
        <w:t>范围</w:t>
      </w:r>
      <w:r>
        <w:tab/>
      </w:r>
      <w:r>
        <w:fldChar w:fldCharType="begin"/>
      </w:r>
      <w:r>
        <w:instrText xml:space="preserve"> PAGEREF _Toc11821 </w:instrText>
      </w:r>
      <w:r>
        <w:fldChar w:fldCharType="separate"/>
      </w:r>
      <w:r>
        <w:t>1</w:t>
      </w:r>
      <w:r>
        <w:fldChar w:fldCharType="end"/>
      </w:r>
      <w:r>
        <w:rPr>
          <w:rFonts w:hint="eastAsia" w:ascii="宋体" w:hAnsi="宋体" w:eastAsia="宋体" w:cs="宋体"/>
          <w:color w:val="000000"/>
          <w:kern w:val="2"/>
          <w:szCs w:val="21"/>
          <w:lang w:val="zh-TW" w:eastAsia="zh-CN" w:bidi="zh-TW"/>
        </w:rPr>
        <w:fldChar w:fldCharType="end"/>
      </w:r>
    </w:p>
    <w:p>
      <w:pPr>
        <w:pStyle w:val="27"/>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ind w:left="0" w:leftChars="0"/>
        <w:textAlignment w:val="auto"/>
      </w:pPr>
      <w:r>
        <w:rPr>
          <w:rFonts w:hint="eastAsia" w:ascii="宋体" w:hAnsi="宋体" w:eastAsia="宋体" w:cs="宋体"/>
          <w:color w:val="000000"/>
          <w:kern w:val="2"/>
          <w:szCs w:val="21"/>
          <w:lang w:val="zh-TW" w:eastAsia="zh-CN" w:bidi="zh-TW"/>
        </w:rPr>
        <w:fldChar w:fldCharType="begin"/>
      </w:r>
      <w:r>
        <w:rPr>
          <w:rFonts w:hint="eastAsia" w:ascii="宋体" w:hAnsi="宋体" w:eastAsia="宋体" w:cs="宋体"/>
          <w:kern w:val="2"/>
          <w:szCs w:val="21"/>
          <w:lang w:val="zh-TW" w:eastAsia="zh-CN" w:bidi="zh-TW"/>
        </w:rPr>
        <w:instrText xml:space="preserve"> HYPERLINK \l _Toc15965 </w:instrText>
      </w:r>
      <w:r>
        <w:rPr>
          <w:rFonts w:hint="eastAsia" w:ascii="宋体" w:hAnsi="宋体" w:eastAsia="宋体" w:cs="宋体"/>
          <w:kern w:val="2"/>
          <w:szCs w:val="21"/>
          <w:lang w:val="zh-TW" w:eastAsia="zh-CN" w:bidi="zh-TW"/>
        </w:rPr>
        <w:fldChar w:fldCharType="separate"/>
      </w:r>
      <w:r>
        <w:rPr>
          <w:rFonts w:hint="eastAsia" w:ascii="黑体" w:hAnsi="Times New Roman" w:eastAsia="黑体"/>
          <w:i w:val="0"/>
          <w:szCs w:val="21"/>
        </w:rPr>
        <w:t xml:space="preserve">2 </w:t>
      </w:r>
      <w:r>
        <w:rPr>
          <w:rFonts w:hint="eastAsia"/>
          <w:szCs w:val="22"/>
        </w:rPr>
        <w:t>规范性引用文件</w:t>
      </w:r>
      <w:r>
        <w:tab/>
      </w:r>
      <w:r>
        <w:fldChar w:fldCharType="begin"/>
      </w:r>
      <w:r>
        <w:instrText xml:space="preserve"> PAGEREF _Toc15965 </w:instrText>
      </w:r>
      <w:r>
        <w:fldChar w:fldCharType="separate"/>
      </w:r>
      <w:r>
        <w:t>1</w:t>
      </w:r>
      <w:r>
        <w:fldChar w:fldCharType="end"/>
      </w:r>
      <w:r>
        <w:rPr>
          <w:rFonts w:hint="eastAsia" w:ascii="宋体" w:hAnsi="宋体" w:eastAsia="宋体" w:cs="宋体"/>
          <w:color w:val="000000"/>
          <w:kern w:val="2"/>
          <w:szCs w:val="21"/>
          <w:lang w:val="zh-TW" w:eastAsia="zh-CN" w:bidi="zh-TW"/>
        </w:rPr>
        <w:fldChar w:fldCharType="end"/>
      </w:r>
    </w:p>
    <w:p>
      <w:pPr>
        <w:pStyle w:val="27"/>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ind w:left="0" w:leftChars="0"/>
        <w:textAlignment w:val="auto"/>
      </w:pPr>
      <w:r>
        <w:rPr>
          <w:rFonts w:hint="eastAsia" w:ascii="宋体" w:hAnsi="宋体" w:eastAsia="宋体" w:cs="宋体"/>
          <w:color w:val="000000"/>
          <w:kern w:val="2"/>
          <w:szCs w:val="21"/>
          <w:lang w:val="zh-TW" w:eastAsia="zh-CN" w:bidi="zh-TW"/>
        </w:rPr>
        <w:fldChar w:fldCharType="begin"/>
      </w:r>
      <w:r>
        <w:rPr>
          <w:rFonts w:hint="eastAsia" w:ascii="宋体" w:hAnsi="宋体" w:eastAsia="宋体" w:cs="宋体"/>
          <w:kern w:val="2"/>
          <w:szCs w:val="21"/>
          <w:lang w:val="zh-TW" w:eastAsia="zh-CN" w:bidi="zh-TW"/>
        </w:rPr>
        <w:instrText xml:space="preserve"> HYPERLINK \l _Toc7729 </w:instrText>
      </w:r>
      <w:r>
        <w:rPr>
          <w:rFonts w:hint="eastAsia" w:ascii="宋体" w:hAnsi="宋体" w:eastAsia="宋体" w:cs="宋体"/>
          <w:kern w:val="2"/>
          <w:szCs w:val="21"/>
          <w:lang w:val="zh-TW" w:eastAsia="zh-CN" w:bidi="zh-TW"/>
        </w:rPr>
        <w:fldChar w:fldCharType="separate"/>
      </w:r>
      <w:r>
        <w:rPr>
          <w:rFonts w:hint="eastAsia" w:ascii="黑体" w:hAnsi="Times New Roman" w:eastAsia="黑体"/>
          <w:i w:val="0"/>
          <w:szCs w:val="21"/>
        </w:rPr>
        <w:t xml:space="preserve">3 </w:t>
      </w:r>
      <w:r>
        <w:rPr>
          <w:rFonts w:hint="eastAsia"/>
          <w:szCs w:val="22"/>
        </w:rPr>
        <w:t>术语和定义</w:t>
      </w:r>
      <w:r>
        <w:tab/>
      </w:r>
      <w:r>
        <w:fldChar w:fldCharType="begin"/>
      </w:r>
      <w:r>
        <w:instrText xml:space="preserve"> PAGEREF _Toc7729 </w:instrText>
      </w:r>
      <w:r>
        <w:fldChar w:fldCharType="separate"/>
      </w:r>
      <w:r>
        <w:t>1</w:t>
      </w:r>
      <w:r>
        <w:fldChar w:fldCharType="end"/>
      </w:r>
      <w:r>
        <w:rPr>
          <w:rFonts w:hint="eastAsia" w:ascii="宋体" w:hAnsi="宋体" w:eastAsia="宋体" w:cs="宋体"/>
          <w:color w:val="000000"/>
          <w:kern w:val="2"/>
          <w:szCs w:val="21"/>
          <w:lang w:val="zh-TW" w:eastAsia="zh-CN" w:bidi="zh-TW"/>
        </w:rPr>
        <w:fldChar w:fldCharType="end"/>
      </w:r>
    </w:p>
    <w:p>
      <w:pPr>
        <w:pStyle w:val="27"/>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ind w:left="0" w:leftChars="0"/>
        <w:textAlignment w:val="auto"/>
      </w:pPr>
      <w:r>
        <w:rPr>
          <w:rFonts w:hint="eastAsia" w:ascii="宋体" w:hAnsi="宋体" w:eastAsia="宋体" w:cs="宋体"/>
          <w:color w:val="000000"/>
          <w:kern w:val="2"/>
          <w:szCs w:val="21"/>
          <w:lang w:val="zh-TW" w:eastAsia="zh-CN" w:bidi="zh-TW"/>
        </w:rPr>
        <w:fldChar w:fldCharType="begin"/>
      </w:r>
      <w:r>
        <w:rPr>
          <w:rFonts w:hint="eastAsia" w:ascii="宋体" w:hAnsi="宋体" w:eastAsia="宋体" w:cs="宋体"/>
          <w:kern w:val="2"/>
          <w:szCs w:val="21"/>
          <w:lang w:val="zh-TW" w:eastAsia="zh-CN" w:bidi="zh-TW"/>
        </w:rPr>
        <w:instrText xml:space="preserve"> HYPERLINK \l _Toc24436 </w:instrText>
      </w:r>
      <w:r>
        <w:rPr>
          <w:rFonts w:hint="eastAsia" w:ascii="宋体" w:hAnsi="宋体" w:eastAsia="宋体" w:cs="宋体"/>
          <w:kern w:val="2"/>
          <w:szCs w:val="21"/>
          <w:lang w:val="zh-TW" w:eastAsia="zh-CN" w:bidi="zh-TW"/>
        </w:rPr>
        <w:fldChar w:fldCharType="separate"/>
      </w:r>
      <w:r>
        <w:rPr>
          <w:rFonts w:hint="eastAsia" w:ascii="黑体" w:eastAsia="黑体"/>
          <w:i w:val="0"/>
          <w:szCs w:val="21"/>
          <w:lang w:val="en-US" w:eastAsia="zh-CN"/>
        </w:rPr>
        <w:t>4</w:t>
      </w:r>
      <w:r>
        <w:rPr>
          <w:rFonts w:hint="eastAsia" w:ascii="黑体" w:hAnsi="Times New Roman" w:eastAsia="黑体"/>
          <w:i w:val="0"/>
          <w:szCs w:val="21"/>
          <w:lang w:val="en-US" w:eastAsia="zh-CN"/>
        </w:rPr>
        <w:t xml:space="preserve"> </w:t>
      </w:r>
      <w:r>
        <w:rPr>
          <w:rFonts w:hint="eastAsia"/>
          <w:lang w:val="en-US" w:eastAsia="zh-CN"/>
        </w:rPr>
        <w:t>要求</w:t>
      </w:r>
      <w:r>
        <w:tab/>
      </w:r>
      <w:r>
        <w:fldChar w:fldCharType="begin"/>
      </w:r>
      <w:r>
        <w:instrText xml:space="preserve"> PAGEREF _Toc24436 </w:instrText>
      </w:r>
      <w:r>
        <w:fldChar w:fldCharType="separate"/>
      </w:r>
      <w:r>
        <w:t>2</w:t>
      </w:r>
      <w:r>
        <w:fldChar w:fldCharType="end"/>
      </w:r>
      <w:r>
        <w:rPr>
          <w:rFonts w:hint="eastAsia" w:ascii="宋体" w:hAnsi="宋体" w:eastAsia="宋体" w:cs="宋体"/>
          <w:color w:val="000000"/>
          <w:kern w:val="2"/>
          <w:szCs w:val="21"/>
          <w:lang w:val="zh-TW" w:eastAsia="zh-CN" w:bidi="zh-TW"/>
        </w:rPr>
        <w:fldChar w:fldCharType="end"/>
      </w:r>
    </w:p>
    <w:p>
      <w:pPr>
        <w:pStyle w:val="27"/>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ind w:left="0" w:leftChars="0"/>
        <w:textAlignment w:val="auto"/>
      </w:pPr>
      <w:r>
        <w:rPr>
          <w:rFonts w:hint="eastAsia" w:ascii="宋体" w:hAnsi="宋体" w:eastAsia="宋体" w:cs="宋体"/>
          <w:color w:val="000000"/>
          <w:kern w:val="2"/>
          <w:szCs w:val="21"/>
          <w:lang w:val="zh-TW" w:eastAsia="zh-CN" w:bidi="zh-TW"/>
        </w:rPr>
        <w:fldChar w:fldCharType="begin"/>
      </w:r>
      <w:r>
        <w:rPr>
          <w:rFonts w:hint="eastAsia" w:ascii="宋体" w:hAnsi="宋体" w:eastAsia="宋体" w:cs="宋体"/>
          <w:kern w:val="2"/>
          <w:szCs w:val="21"/>
          <w:lang w:val="zh-TW" w:eastAsia="zh-CN" w:bidi="zh-TW"/>
        </w:rPr>
        <w:instrText xml:space="preserve"> HYPERLINK \l _Toc20593 </w:instrText>
      </w:r>
      <w:r>
        <w:rPr>
          <w:rFonts w:hint="eastAsia" w:ascii="宋体" w:hAnsi="宋体" w:eastAsia="宋体" w:cs="宋体"/>
          <w:kern w:val="2"/>
          <w:szCs w:val="21"/>
          <w:lang w:val="zh-TW" w:eastAsia="zh-CN" w:bidi="zh-TW"/>
        </w:rPr>
        <w:fldChar w:fldCharType="separate"/>
      </w:r>
      <w:r>
        <w:rPr>
          <w:rFonts w:hint="eastAsia" w:ascii="黑体" w:eastAsia="黑体"/>
          <w:i w:val="0"/>
          <w:szCs w:val="21"/>
          <w:lang w:val="en-US" w:eastAsia="zh-CN"/>
        </w:rPr>
        <w:t>5</w:t>
      </w:r>
      <w:r>
        <w:rPr>
          <w:rFonts w:hint="eastAsia" w:ascii="黑体" w:hAnsi="Times New Roman" w:eastAsia="黑体"/>
          <w:i w:val="0"/>
          <w:szCs w:val="21"/>
        </w:rPr>
        <w:t xml:space="preserve"> </w:t>
      </w:r>
      <w:r>
        <w:rPr>
          <w:rFonts w:hint="eastAsia"/>
          <w:szCs w:val="22"/>
        </w:rPr>
        <w:t>生产加工</w:t>
      </w:r>
      <w:r>
        <w:rPr>
          <w:rFonts w:hint="eastAsia"/>
          <w:szCs w:val="22"/>
          <w:lang w:val="en-US" w:eastAsia="zh-CN"/>
        </w:rPr>
        <w:t>过程</w:t>
      </w:r>
      <w:r>
        <w:rPr>
          <w:rFonts w:hint="eastAsia"/>
          <w:szCs w:val="22"/>
        </w:rPr>
        <w:t>卫生要求</w:t>
      </w:r>
      <w:r>
        <w:tab/>
      </w:r>
      <w:r>
        <w:fldChar w:fldCharType="begin"/>
      </w:r>
      <w:r>
        <w:instrText xml:space="preserve"> PAGEREF _Toc20593 </w:instrText>
      </w:r>
      <w:r>
        <w:fldChar w:fldCharType="separate"/>
      </w:r>
      <w:r>
        <w:t>3</w:t>
      </w:r>
      <w:r>
        <w:fldChar w:fldCharType="end"/>
      </w:r>
      <w:r>
        <w:rPr>
          <w:rFonts w:hint="eastAsia" w:ascii="宋体" w:hAnsi="宋体" w:eastAsia="宋体" w:cs="宋体"/>
          <w:color w:val="000000"/>
          <w:kern w:val="2"/>
          <w:szCs w:val="21"/>
          <w:lang w:val="zh-TW" w:eastAsia="zh-CN" w:bidi="zh-TW"/>
        </w:rPr>
        <w:fldChar w:fldCharType="end"/>
      </w:r>
    </w:p>
    <w:p>
      <w:pPr>
        <w:pStyle w:val="27"/>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ind w:left="0" w:leftChars="0"/>
        <w:textAlignment w:val="auto"/>
      </w:pPr>
      <w:r>
        <w:rPr>
          <w:rFonts w:hint="eastAsia" w:ascii="宋体" w:hAnsi="宋体" w:eastAsia="宋体" w:cs="宋体"/>
          <w:color w:val="000000"/>
          <w:kern w:val="2"/>
          <w:szCs w:val="21"/>
          <w:lang w:val="zh-TW" w:eastAsia="zh-CN" w:bidi="zh-TW"/>
        </w:rPr>
        <w:fldChar w:fldCharType="begin"/>
      </w:r>
      <w:r>
        <w:rPr>
          <w:rFonts w:hint="eastAsia" w:ascii="宋体" w:hAnsi="宋体" w:eastAsia="宋体" w:cs="宋体"/>
          <w:kern w:val="2"/>
          <w:szCs w:val="21"/>
          <w:lang w:val="zh-TW" w:eastAsia="zh-CN" w:bidi="zh-TW"/>
        </w:rPr>
        <w:instrText xml:space="preserve"> HYPERLINK \l _Toc13696 </w:instrText>
      </w:r>
      <w:r>
        <w:rPr>
          <w:rFonts w:hint="eastAsia" w:ascii="宋体" w:hAnsi="宋体" w:eastAsia="宋体" w:cs="宋体"/>
          <w:kern w:val="2"/>
          <w:szCs w:val="21"/>
          <w:lang w:val="zh-TW" w:eastAsia="zh-CN" w:bidi="zh-TW"/>
        </w:rPr>
        <w:fldChar w:fldCharType="separate"/>
      </w:r>
      <w:r>
        <w:rPr>
          <w:rFonts w:hint="eastAsia" w:ascii="黑体" w:eastAsia="黑体"/>
          <w:i w:val="0"/>
          <w:szCs w:val="21"/>
          <w:lang w:val="en-US" w:eastAsia="zh-CN"/>
        </w:rPr>
        <w:t>6</w:t>
      </w:r>
      <w:r>
        <w:rPr>
          <w:rFonts w:hint="eastAsia" w:ascii="黑体" w:hAnsi="Times New Roman" w:eastAsia="黑体"/>
          <w:i w:val="0"/>
          <w:szCs w:val="21"/>
        </w:rPr>
        <w:t xml:space="preserve"> </w:t>
      </w:r>
      <w:r>
        <w:rPr>
          <w:rFonts w:hint="eastAsia"/>
          <w:szCs w:val="22"/>
          <w:lang w:val="en-US" w:eastAsia="zh-CN"/>
        </w:rPr>
        <w:t>试验</w:t>
      </w:r>
      <w:r>
        <w:rPr>
          <w:rFonts w:hint="eastAsia"/>
          <w:szCs w:val="22"/>
        </w:rPr>
        <w:t>方法</w:t>
      </w:r>
      <w:r>
        <w:tab/>
      </w:r>
      <w:r>
        <w:fldChar w:fldCharType="begin"/>
      </w:r>
      <w:r>
        <w:instrText xml:space="preserve"> PAGEREF _Toc13696 </w:instrText>
      </w:r>
      <w:r>
        <w:fldChar w:fldCharType="separate"/>
      </w:r>
      <w:r>
        <w:t>3</w:t>
      </w:r>
      <w:r>
        <w:fldChar w:fldCharType="end"/>
      </w:r>
      <w:r>
        <w:rPr>
          <w:rFonts w:hint="eastAsia" w:ascii="宋体" w:hAnsi="宋体" w:eastAsia="宋体" w:cs="宋体"/>
          <w:color w:val="000000"/>
          <w:kern w:val="2"/>
          <w:szCs w:val="21"/>
          <w:lang w:val="zh-TW" w:eastAsia="zh-CN" w:bidi="zh-TW"/>
        </w:rPr>
        <w:fldChar w:fldCharType="end"/>
      </w:r>
    </w:p>
    <w:p>
      <w:pPr>
        <w:pStyle w:val="27"/>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ind w:left="0" w:leftChars="0"/>
        <w:textAlignment w:val="auto"/>
      </w:pPr>
      <w:r>
        <w:rPr>
          <w:rFonts w:hint="eastAsia" w:ascii="宋体" w:hAnsi="宋体" w:eastAsia="宋体" w:cs="宋体"/>
          <w:color w:val="000000"/>
          <w:kern w:val="2"/>
          <w:szCs w:val="21"/>
          <w:lang w:val="zh-TW" w:eastAsia="zh-CN" w:bidi="zh-TW"/>
        </w:rPr>
        <w:fldChar w:fldCharType="begin"/>
      </w:r>
      <w:r>
        <w:rPr>
          <w:rFonts w:hint="eastAsia" w:ascii="宋体" w:hAnsi="宋体" w:eastAsia="宋体" w:cs="宋体"/>
          <w:kern w:val="2"/>
          <w:szCs w:val="21"/>
          <w:lang w:val="zh-TW" w:eastAsia="zh-CN" w:bidi="zh-TW"/>
        </w:rPr>
        <w:instrText xml:space="preserve"> HYPERLINK \l _Toc14254 </w:instrText>
      </w:r>
      <w:r>
        <w:rPr>
          <w:rFonts w:hint="eastAsia" w:ascii="宋体" w:hAnsi="宋体" w:eastAsia="宋体" w:cs="宋体"/>
          <w:kern w:val="2"/>
          <w:szCs w:val="21"/>
          <w:lang w:val="zh-TW" w:eastAsia="zh-CN" w:bidi="zh-TW"/>
        </w:rPr>
        <w:fldChar w:fldCharType="separate"/>
      </w:r>
      <w:r>
        <w:rPr>
          <w:rFonts w:hint="eastAsia" w:ascii="黑体" w:eastAsia="黑体"/>
          <w:i w:val="0"/>
          <w:szCs w:val="21"/>
          <w:lang w:val="en-US" w:eastAsia="zh-CN"/>
        </w:rPr>
        <w:t>7</w:t>
      </w:r>
      <w:r>
        <w:rPr>
          <w:rFonts w:hint="eastAsia" w:ascii="黑体" w:hAnsi="Times New Roman" w:eastAsia="黑体"/>
          <w:i w:val="0"/>
          <w:szCs w:val="21"/>
        </w:rPr>
        <w:t xml:space="preserve"> </w:t>
      </w:r>
      <w:r>
        <w:rPr>
          <w:rFonts w:hint="eastAsia"/>
          <w:szCs w:val="22"/>
        </w:rPr>
        <w:t>检验规则</w:t>
      </w:r>
      <w:r>
        <w:tab/>
      </w:r>
      <w:r>
        <w:fldChar w:fldCharType="begin"/>
      </w:r>
      <w:r>
        <w:instrText xml:space="preserve"> PAGEREF _Toc14254 </w:instrText>
      </w:r>
      <w:r>
        <w:fldChar w:fldCharType="separate"/>
      </w:r>
      <w:r>
        <w:t>4</w:t>
      </w:r>
      <w:r>
        <w:fldChar w:fldCharType="end"/>
      </w:r>
      <w:r>
        <w:rPr>
          <w:rFonts w:hint="eastAsia" w:ascii="宋体" w:hAnsi="宋体" w:eastAsia="宋体" w:cs="宋体"/>
          <w:color w:val="000000"/>
          <w:kern w:val="2"/>
          <w:szCs w:val="21"/>
          <w:lang w:val="zh-TW" w:eastAsia="zh-CN" w:bidi="zh-TW"/>
        </w:rPr>
        <w:fldChar w:fldCharType="end"/>
      </w:r>
    </w:p>
    <w:p>
      <w:pPr>
        <w:pStyle w:val="27"/>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ind w:left="0" w:leftChars="0"/>
        <w:textAlignment w:val="auto"/>
      </w:pPr>
      <w:r>
        <w:rPr>
          <w:rFonts w:hint="eastAsia" w:ascii="宋体" w:hAnsi="宋体" w:eastAsia="宋体" w:cs="宋体"/>
          <w:color w:val="000000"/>
          <w:kern w:val="2"/>
          <w:szCs w:val="21"/>
          <w:lang w:val="zh-TW" w:eastAsia="zh-CN" w:bidi="zh-TW"/>
        </w:rPr>
        <w:fldChar w:fldCharType="begin"/>
      </w:r>
      <w:r>
        <w:rPr>
          <w:rFonts w:hint="eastAsia" w:ascii="宋体" w:hAnsi="宋体" w:eastAsia="宋体" w:cs="宋体"/>
          <w:kern w:val="2"/>
          <w:szCs w:val="21"/>
          <w:lang w:val="zh-TW" w:eastAsia="zh-CN" w:bidi="zh-TW"/>
        </w:rPr>
        <w:instrText xml:space="preserve"> HYPERLINK \l _Toc20680 </w:instrText>
      </w:r>
      <w:r>
        <w:rPr>
          <w:rFonts w:hint="eastAsia" w:ascii="宋体" w:hAnsi="宋体" w:eastAsia="宋体" w:cs="宋体"/>
          <w:kern w:val="2"/>
          <w:szCs w:val="21"/>
          <w:lang w:val="zh-TW" w:eastAsia="zh-CN" w:bidi="zh-TW"/>
        </w:rPr>
        <w:fldChar w:fldCharType="separate"/>
      </w:r>
      <w:r>
        <w:rPr>
          <w:rFonts w:hint="eastAsia" w:ascii="黑体" w:eastAsia="黑体"/>
          <w:i w:val="0"/>
          <w:szCs w:val="21"/>
          <w:lang w:val="en-US" w:eastAsia="zh-CN"/>
        </w:rPr>
        <w:t>8</w:t>
      </w:r>
      <w:r>
        <w:rPr>
          <w:rFonts w:hint="eastAsia" w:ascii="黑体" w:hAnsi="Times New Roman" w:eastAsia="黑体"/>
          <w:i w:val="0"/>
          <w:szCs w:val="21"/>
        </w:rPr>
        <w:t xml:space="preserve"> </w:t>
      </w:r>
      <w:r>
        <w:rPr>
          <w:rFonts w:hint="eastAsia"/>
          <w:szCs w:val="22"/>
        </w:rPr>
        <w:t>包装</w:t>
      </w:r>
      <w:r>
        <w:rPr>
          <w:rFonts w:hint="eastAsia"/>
          <w:szCs w:val="22"/>
          <w:lang w:eastAsia="zh-CN"/>
        </w:rPr>
        <w:t>、</w:t>
      </w:r>
      <w:r>
        <w:rPr>
          <w:rFonts w:hint="eastAsia"/>
          <w:szCs w:val="22"/>
        </w:rPr>
        <w:t>标签</w:t>
      </w:r>
      <w:r>
        <w:rPr>
          <w:rFonts w:hint="eastAsia"/>
          <w:szCs w:val="22"/>
          <w:lang w:val="en-US" w:eastAsia="zh-CN"/>
        </w:rPr>
        <w:t>和标志</w:t>
      </w:r>
      <w:r>
        <w:tab/>
      </w:r>
      <w:r>
        <w:fldChar w:fldCharType="begin"/>
      </w:r>
      <w:r>
        <w:instrText xml:space="preserve"> PAGEREF _Toc20680 </w:instrText>
      </w:r>
      <w:r>
        <w:fldChar w:fldCharType="separate"/>
      </w:r>
      <w:r>
        <w:t>5</w:t>
      </w:r>
      <w:r>
        <w:fldChar w:fldCharType="end"/>
      </w:r>
      <w:r>
        <w:rPr>
          <w:rFonts w:hint="eastAsia" w:ascii="宋体" w:hAnsi="宋体" w:eastAsia="宋体" w:cs="宋体"/>
          <w:color w:val="000000"/>
          <w:kern w:val="2"/>
          <w:szCs w:val="21"/>
          <w:lang w:val="zh-TW" w:eastAsia="zh-CN" w:bidi="zh-TW"/>
        </w:rPr>
        <w:fldChar w:fldCharType="end"/>
      </w:r>
    </w:p>
    <w:p>
      <w:pPr>
        <w:pStyle w:val="27"/>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ind w:left="0" w:leftChars="0"/>
        <w:textAlignment w:val="auto"/>
      </w:pPr>
      <w:r>
        <w:rPr>
          <w:rFonts w:hint="eastAsia" w:ascii="宋体" w:hAnsi="宋体" w:eastAsia="宋体" w:cs="宋体"/>
          <w:color w:val="000000"/>
          <w:kern w:val="2"/>
          <w:szCs w:val="21"/>
          <w:lang w:val="zh-TW" w:eastAsia="zh-CN" w:bidi="zh-TW"/>
        </w:rPr>
        <w:fldChar w:fldCharType="begin"/>
      </w:r>
      <w:r>
        <w:rPr>
          <w:rFonts w:hint="eastAsia" w:ascii="宋体" w:hAnsi="宋体" w:eastAsia="宋体" w:cs="宋体"/>
          <w:kern w:val="2"/>
          <w:szCs w:val="21"/>
          <w:lang w:val="zh-TW" w:eastAsia="zh-CN" w:bidi="zh-TW"/>
        </w:rPr>
        <w:instrText xml:space="preserve"> HYPERLINK \l _Toc19325 </w:instrText>
      </w:r>
      <w:r>
        <w:rPr>
          <w:rFonts w:hint="eastAsia" w:ascii="宋体" w:hAnsi="宋体" w:eastAsia="宋体" w:cs="宋体"/>
          <w:kern w:val="2"/>
          <w:szCs w:val="21"/>
          <w:lang w:val="zh-TW" w:eastAsia="zh-CN" w:bidi="zh-TW"/>
        </w:rPr>
        <w:fldChar w:fldCharType="separate"/>
      </w:r>
      <w:r>
        <w:rPr>
          <w:rFonts w:hint="eastAsia" w:ascii="宋体" w:hAnsi="宋体" w:cs="宋体"/>
          <w:kern w:val="2"/>
          <w:szCs w:val="21"/>
          <w:lang w:val="en-US" w:eastAsia="zh-CN" w:bidi="zh-TW"/>
        </w:rPr>
        <w:t>9</w:t>
      </w:r>
      <w:r>
        <w:rPr>
          <w:rFonts w:hint="eastAsia" w:ascii="黑体" w:hAnsi="Times New Roman" w:eastAsia="黑体"/>
          <w:i w:val="0"/>
          <w:szCs w:val="21"/>
        </w:rPr>
        <w:t xml:space="preserve"> </w:t>
      </w:r>
      <w:r>
        <w:rPr>
          <w:rFonts w:hint="eastAsia"/>
          <w:szCs w:val="22"/>
        </w:rPr>
        <w:t>运输</w:t>
      </w:r>
      <w:r>
        <w:rPr>
          <w:rFonts w:hint="eastAsia"/>
          <w:szCs w:val="22"/>
          <w:lang w:val="en-US" w:eastAsia="zh-CN"/>
        </w:rPr>
        <w:t>和</w:t>
      </w:r>
      <w:r>
        <w:rPr>
          <w:rFonts w:hint="eastAsia"/>
          <w:szCs w:val="22"/>
        </w:rPr>
        <w:t>贮存</w:t>
      </w:r>
      <w:r>
        <w:tab/>
      </w:r>
      <w:r>
        <w:fldChar w:fldCharType="begin"/>
      </w:r>
      <w:r>
        <w:instrText xml:space="preserve"> PAGEREF _Toc19325 </w:instrText>
      </w:r>
      <w:r>
        <w:fldChar w:fldCharType="separate"/>
      </w:r>
      <w:r>
        <w:t>5</w:t>
      </w:r>
      <w:r>
        <w:fldChar w:fldCharType="end"/>
      </w:r>
      <w:r>
        <w:rPr>
          <w:rFonts w:hint="eastAsia" w:ascii="宋体" w:hAnsi="宋体" w:eastAsia="宋体" w:cs="宋体"/>
          <w:color w:val="000000"/>
          <w:kern w:val="2"/>
          <w:szCs w:val="21"/>
          <w:lang w:val="zh-TW" w:eastAsia="zh-CN" w:bidi="zh-TW"/>
        </w:rPr>
        <w:fldChar w:fldCharType="end"/>
      </w:r>
    </w:p>
    <w:p>
      <w:pPr>
        <w:pStyle w:val="27"/>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ind w:left="0" w:leftChars="0"/>
        <w:textAlignment w:val="auto"/>
      </w:pPr>
      <w:r>
        <w:rPr>
          <w:rFonts w:hint="eastAsia" w:ascii="宋体" w:hAnsi="宋体" w:eastAsia="宋体" w:cs="宋体"/>
          <w:color w:val="000000"/>
          <w:kern w:val="2"/>
          <w:szCs w:val="21"/>
          <w:lang w:val="zh-TW" w:eastAsia="zh-CN" w:bidi="zh-TW"/>
        </w:rPr>
        <w:fldChar w:fldCharType="begin"/>
      </w:r>
      <w:r>
        <w:rPr>
          <w:rFonts w:hint="eastAsia" w:ascii="宋体" w:hAnsi="宋体" w:eastAsia="宋体" w:cs="宋体"/>
          <w:kern w:val="2"/>
          <w:szCs w:val="21"/>
          <w:lang w:val="zh-TW" w:eastAsia="zh-CN" w:bidi="zh-TW"/>
        </w:rPr>
        <w:instrText xml:space="preserve"> HYPERLINK \l _Toc23173 </w:instrText>
      </w:r>
      <w:r>
        <w:rPr>
          <w:rFonts w:hint="eastAsia" w:ascii="宋体" w:hAnsi="宋体" w:eastAsia="宋体" w:cs="宋体"/>
          <w:kern w:val="2"/>
          <w:szCs w:val="21"/>
          <w:lang w:val="zh-TW" w:eastAsia="zh-CN" w:bidi="zh-TW"/>
        </w:rPr>
        <w:fldChar w:fldCharType="separate"/>
      </w:r>
      <w:r>
        <w:rPr>
          <w:rFonts w:hint="eastAsia" w:ascii="黑体" w:eastAsia="黑体"/>
          <w:i w:val="0"/>
          <w:szCs w:val="21"/>
          <w:lang w:val="en-US" w:eastAsia="zh-CN"/>
        </w:rPr>
        <w:t>10</w:t>
      </w:r>
      <w:r>
        <w:rPr>
          <w:rFonts w:hint="eastAsia" w:ascii="宋体" w:hAnsi="宋体" w:eastAsia="宋体" w:cs="宋体"/>
          <w:i w:val="0"/>
          <w:szCs w:val="21"/>
          <w:lang w:val="en-US" w:eastAsia="zh-CN"/>
        </w:rPr>
        <w:t>销售</w:t>
      </w:r>
      <w:r>
        <w:tab/>
      </w:r>
      <w:r>
        <w:fldChar w:fldCharType="begin"/>
      </w:r>
      <w:r>
        <w:instrText xml:space="preserve"> PAGEREF _Toc23173 </w:instrText>
      </w:r>
      <w:r>
        <w:fldChar w:fldCharType="separate"/>
      </w:r>
      <w:r>
        <w:t>5</w:t>
      </w:r>
      <w:r>
        <w:fldChar w:fldCharType="end"/>
      </w:r>
      <w:r>
        <w:rPr>
          <w:rFonts w:hint="eastAsia" w:ascii="宋体" w:hAnsi="宋体" w:eastAsia="宋体" w:cs="宋体"/>
          <w:color w:val="000000"/>
          <w:kern w:val="2"/>
          <w:szCs w:val="21"/>
          <w:lang w:val="zh-TW" w:eastAsia="zh-CN" w:bidi="zh-TW"/>
        </w:rPr>
        <w:fldChar w:fldCharType="end"/>
      </w:r>
    </w:p>
    <w:p>
      <w:pPr>
        <w:pStyle w:val="27"/>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ind w:left="0" w:leftChars="0"/>
        <w:textAlignment w:val="auto"/>
        <w:rPr>
          <w:rFonts w:hint="eastAsia" w:ascii="宋体" w:hAnsi="宋体" w:eastAsia="宋体" w:cs="宋体"/>
          <w:color w:val="000000"/>
          <w:kern w:val="2"/>
          <w:szCs w:val="21"/>
          <w:lang w:val="zh-TW" w:eastAsia="zh-CN" w:bidi="zh-TW"/>
        </w:rPr>
      </w:pPr>
      <w:r>
        <w:rPr>
          <w:rFonts w:hint="eastAsia" w:ascii="宋体" w:hAnsi="宋体" w:eastAsia="宋体" w:cs="宋体"/>
          <w:color w:val="000000"/>
          <w:kern w:val="2"/>
          <w:szCs w:val="21"/>
          <w:lang w:val="zh-TW" w:eastAsia="zh-CN" w:bidi="zh-TW"/>
        </w:rPr>
        <w:fldChar w:fldCharType="begin"/>
      </w:r>
      <w:r>
        <w:rPr>
          <w:rFonts w:hint="eastAsia" w:ascii="宋体" w:hAnsi="宋体" w:eastAsia="宋体" w:cs="宋体"/>
          <w:kern w:val="2"/>
          <w:szCs w:val="21"/>
          <w:lang w:val="zh-TW" w:eastAsia="zh-CN" w:bidi="zh-TW"/>
        </w:rPr>
        <w:instrText xml:space="preserve"> HYPERLINK \l _Toc31845 </w:instrText>
      </w:r>
      <w:r>
        <w:rPr>
          <w:rFonts w:hint="eastAsia" w:ascii="宋体" w:hAnsi="宋体" w:eastAsia="宋体" w:cs="宋体"/>
          <w:kern w:val="2"/>
          <w:szCs w:val="21"/>
          <w:lang w:val="zh-TW" w:eastAsia="zh-CN" w:bidi="zh-TW"/>
        </w:rPr>
        <w:fldChar w:fldCharType="separate"/>
      </w:r>
      <w:r>
        <w:rPr>
          <w:rFonts w:hint="eastAsia" w:ascii="黑体" w:eastAsia="黑体"/>
          <w:i w:val="0"/>
          <w:szCs w:val="21"/>
          <w:lang w:val="en-US" w:eastAsia="zh-CN"/>
        </w:rPr>
        <w:t>11</w:t>
      </w:r>
      <w:r>
        <w:rPr>
          <w:rFonts w:hint="eastAsia" w:ascii="黑体" w:hAnsi="Times New Roman" w:eastAsia="黑体"/>
          <w:i w:val="0"/>
          <w:szCs w:val="21"/>
          <w:lang w:val="en-US" w:eastAsia="zh-CN"/>
        </w:rPr>
        <w:t xml:space="preserve"> </w:t>
      </w:r>
      <w:r>
        <w:rPr>
          <w:rFonts w:hint="eastAsia"/>
          <w:szCs w:val="22"/>
          <w:lang w:val="en-US" w:eastAsia="zh-CN"/>
        </w:rPr>
        <w:t>召回</w:t>
      </w:r>
      <w:r>
        <w:tab/>
      </w:r>
      <w:r>
        <w:fldChar w:fldCharType="begin"/>
      </w:r>
      <w:r>
        <w:instrText xml:space="preserve"> PAGEREF _Toc31845 </w:instrText>
      </w:r>
      <w:r>
        <w:fldChar w:fldCharType="separate"/>
      </w:r>
      <w:r>
        <w:t>5</w:t>
      </w:r>
      <w:r>
        <w:fldChar w:fldCharType="end"/>
      </w:r>
      <w:r>
        <w:rPr>
          <w:rFonts w:hint="eastAsia" w:ascii="宋体" w:hAnsi="宋体" w:eastAsia="宋体" w:cs="宋体"/>
          <w:color w:val="000000"/>
          <w:kern w:val="2"/>
          <w:szCs w:val="21"/>
          <w:lang w:val="zh-TW" w:eastAsia="zh-CN" w:bidi="zh-TW"/>
        </w:rPr>
        <w:fldChar w:fldCharType="end"/>
      </w:r>
    </w:p>
    <w:p/>
    <w:p>
      <w:pPr>
        <w:pStyle w:val="47"/>
        <w:keepNext/>
        <w:keepLines w:val="0"/>
        <w:pageBreakBefore/>
        <w:widowControl/>
        <w:kinsoku/>
        <w:wordWrap/>
        <w:overflowPunct/>
        <w:topLinePunct w:val="0"/>
        <w:autoSpaceDE/>
        <w:autoSpaceDN/>
        <w:bidi w:val="0"/>
        <w:adjustRightInd/>
        <w:snapToGrid/>
        <w:spacing w:line="360" w:lineRule="auto"/>
        <w:ind w:right="0"/>
        <w:jc w:val="center"/>
        <w:textAlignment w:val="auto"/>
        <w:outlineLvl w:val="9"/>
        <w:rPr>
          <w:rFonts w:ascii="黑体" w:hAnsi="黑体" w:eastAsia="黑体"/>
          <w:color w:val="000000"/>
          <w:sz w:val="32"/>
          <w:szCs w:val="32"/>
          <w:lang w:eastAsia="zh-CN"/>
        </w:rPr>
      </w:pPr>
      <w:r>
        <w:rPr>
          <w:rFonts w:hint="eastAsia" w:ascii="宋体" w:hAnsi="宋体" w:eastAsia="宋体" w:cs="宋体"/>
          <w:color w:val="000000"/>
          <w:kern w:val="2"/>
          <w:szCs w:val="21"/>
          <w:lang w:val="zh-TW" w:eastAsia="zh-CN" w:bidi="zh-TW"/>
        </w:rPr>
        <w:fldChar w:fldCharType="end"/>
      </w:r>
      <w:bookmarkStart w:id="9" w:name="_Toc1368"/>
      <w:r>
        <w:rPr>
          <w:rFonts w:hint="eastAsia" w:ascii="黑体" w:hAnsi="黑体" w:eastAsia="黑体"/>
          <w:color w:val="000000"/>
          <w:sz w:val="32"/>
          <w:szCs w:val="32"/>
          <w:lang w:eastAsia="zh-CN"/>
        </w:rPr>
        <w:t>前   言</w:t>
      </w:r>
      <w:bookmarkEnd w:id="8"/>
      <w:bookmarkEnd w:id="9"/>
    </w:p>
    <w:p>
      <w:pPr>
        <w:pStyle w:val="131"/>
        <w:spacing w:line="313" w:lineRule="exact"/>
        <w:ind w:firstLine="420"/>
        <w:rPr>
          <w:rFonts w:hint="eastAsia" w:ascii="宋体" w:hAnsi="宋体" w:eastAsia="宋体"/>
          <w:color w:val="000000"/>
          <w:sz w:val="21"/>
          <w:szCs w:val="21"/>
          <w:lang w:val="en-US" w:eastAsia="zh-CN"/>
        </w:rPr>
      </w:pPr>
      <w:r>
        <w:rPr>
          <w:rFonts w:ascii="宋体" w:hAnsi="宋体" w:eastAsia="宋体"/>
          <w:color w:val="000000"/>
          <w:sz w:val="21"/>
          <w:szCs w:val="21"/>
        </w:rPr>
        <w:t>本</w:t>
      </w:r>
      <w:r>
        <w:rPr>
          <w:rFonts w:hint="eastAsia" w:ascii="宋体" w:hAnsi="宋体" w:eastAsia="宋体"/>
          <w:color w:val="000000"/>
          <w:sz w:val="21"/>
          <w:szCs w:val="21"/>
        </w:rPr>
        <w:t>文件</w:t>
      </w:r>
      <w:r>
        <w:rPr>
          <w:rFonts w:ascii="宋体" w:hAnsi="宋体" w:eastAsia="宋体"/>
          <w:color w:val="000000"/>
          <w:sz w:val="21"/>
          <w:szCs w:val="21"/>
        </w:rPr>
        <w:t>按照</w:t>
      </w:r>
      <w:r>
        <w:rPr>
          <w:rFonts w:ascii="宋体" w:hAnsi="宋体" w:eastAsia="宋体"/>
          <w:color w:val="000000"/>
          <w:sz w:val="21"/>
          <w:szCs w:val="21"/>
          <w:lang w:val="en-US" w:eastAsia="zh-CN"/>
        </w:rPr>
        <w:t>GB/T 1.1—20</w:t>
      </w:r>
      <w:r>
        <w:rPr>
          <w:rFonts w:hint="eastAsia" w:ascii="宋体" w:hAnsi="宋体" w:eastAsia="宋体"/>
          <w:color w:val="000000"/>
          <w:sz w:val="21"/>
          <w:szCs w:val="21"/>
          <w:lang w:val="en-US" w:eastAsia="zh-CN"/>
        </w:rPr>
        <w:t>20《标准化工作导则</w:t>
      </w:r>
      <w:r>
        <w:rPr>
          <w:rFonts w:ascii="宋体" w:hAnsi="宋体" w:eastAsia="宋体"/>
          <w:color w:val="000000"/>
          <w:sz w:val="21"/>
          <w:szCs w:val="21"/>
          <w:lang w:val="en-US" w:eastAsia="zh-CN"/>
        </w:rPr>
        <w:t xml:space="preserve"> </w:t>
      </w:r>
      <w:r>
        <w:rPr>
          <w:rFonts w:hint="eastAsia" w:ascii="宋体" w:hAnsi="宋体" w:eastAsia="宋体"/>
          <w:color w:val="000000"/>
          <w:sz w:val="21"/>
          <w:szCs w:val="21"/>
          <w:lang w:val="en-US" w:eastAsia="zh-CN"/>
        </w:rPr>
        <w:t>第1部分：标准化文件的结构和起草规则》的规定起草。</w:t>
      </w:r>
    </w:p>
    <w:p>
      <w:pPr>
        <w:pStyle w:val="131"/>
        <w:spacing w:line="313" w:lineRule="exact"/>
        <w:ind w:firstLine="420"/>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请注意本文件的某些内容可能涉及专利。本文件的发布机构不承担识别专利的责任。</w:t>
      </w:r>
    </w:p>
    <w:p>
      <w:pPr>
        <w:pStyle w:val="131"/>
        <w:spacing w:line="313" w:lineRule="exact"/>
        <w:ind w:firstLine="420"/>
        <w:rPr>
          <w:rFonts w:ascii="宋体" w:hAnsi="宋体" w:eastAsia="宋体"/>
          <w:color w:val="000000"/>
          <w:sz w:val="21"/>
          <w:szCs w:val="21"/>
          <w:lang w:val="en-US" w:eastAsia="zh-CN"/>
        </w:rPr>
      </w:pPr>
      <w:r>
        <w:rPr>
          <w:rFonts w:ascii="宋体" w:hAnsi="宋体" w:eastAsia="宋体"/>
          <w:color w:val="000000"/>
          <w:sz w:val="21"/>
          <w:szCs w:val="21"/>
        </w:rPr>
        <w:t>本</w:t>
      </w:r>
      <w:r>
        <w:rPr>
          <w:rFonts w:hint="eastAsia" w:ascii="宋体" w:hAnsi="宋体" w:eastAsia="宋体"/>
          <w:color w:val="000000"/>
          <w:sz w:val="21"/>
          <w:szCs w:val="21"/>
        </w:rPr>
        <w:t>文件</w:t>
      </w:r>
      <w:r>
        <w:rPr>
          <w:rFonts w:ascii="宋体" w:hAnsi="宋体" w:eastAsia="宋体"/>
          <w:color w:val="000000"/>
          <w:sz w:val="21"/>
          <w:szCs w:val="21"/>
        </w:rPr>
        <w:t>由</w:t>
      </w:r>
      <w:r>
        <w:rPr>
          <w:rFonts w:hint="eastAsia" w:ascii="宋体" w:hAnsi="宋体" w:eastAsia="宋体"/>
          <w:color w:val="000000"/>
          <w:sz w:val="21"/>
          <w:szCs w:val="21"/>
          <w:lang w:val="en-US" w:eastAsia="zh-CN"/>
        </w:rPr>
        <w:t>浙江</w:t>
      </w:r>
      <w:r>
        <w:rPr>
          <w:rFonts w:hint="eastAsia" w:ascii="宋体" w:hAnsi="宋体" w:eastAsia="宋体"/>
          <w:color w:val="000000"/>
          <w:sz w:val="21"/>
          <w:szCs w:val="21"/>
          <w:lang w:eastAsia="zh-CN"/>
        </w:rPr>
        <w:t>省食品学会</w:t>
      </w:r>
      <w:r>
        <w:rPr>
          <w:rFonts w:ascii="宋体" w:hAnsi="宋体" w:eastAsia="宋体"/>
          <w:color w:val="000000"/>
          <w:sz w:val="21"/>
          <w:szCs w:val="21"/>
        </w:rPr>
        <w:t>提出</w:t>
      </w:r>
      <w:r>
        <w:rPr>
          <w:rFonts w:hint="eastAsia" w:ascii="宋体" w:hAnsi="宋体" w:eastAsia="宋体"/>
          <w:color w:val="000000"/>
          <w:sz w:val="21"/>
          <w:szCs w:val="21"/>
          <w:lang w:val="en-US" w:eastAsia="zh-CN"/>
        </w:rPr>
        <w:t>并归口</w:t>
      </w:r>
      <w:r>
        <w:rPr>
          <w:rFonts w:hint="eastAsia" w:ascii="宋体" w:hAnsi="宋体" w:eastAsia="宋体"/>
          <w:color w:val="000000"/>
          <w:sz w:val="21"/>
          <w:szCs w:val="21"/>
          <w:lang w:eastAsia="zh-CN"/>
        </w:rPr>
        <w:t>。</w:t>
      </w:r>
    </w:p>
    <w:p>
      <w:pPr>
        <w:pStyle w:val="131"/>
        <w:spacing w:line="313" w:lineRule="exact"/>
        <w:ind w:firstLine="420"/>
        <w:rPr>
          <w:rFonts w:ascii="宋体" w:hAnsi="宋体" w:eastAsia="宋体"/>
          <w:color w:val="000000"/>
          <w:sz w:val="21"/>
          <w:szCs w:val="21"/>
        </w:rPr>
      </w:pPr>
      <w:r>
        <w:rPr>
          <w:rFonts w:ascii="宋体" w:hAnsi="宋体" w:eastAsia="宋体"/>
          <w:color w:val="000000"/>
          <w:sz w:val="21"/>
          <w:szCs w:val="21"/>
        </w:rPr>
        <w:t>本</w:t>
      </w:r>
      <w:r>
        <w:rPr>
          <w:rFonts w:hint="eastAsia" w:ascii="宋体" w:hAnsi="宋体" w:eastAsia="宋体"/>
          <w:color w:val="000000"/>
          <w:sz w:val="21"/>
          <w:szCs w:val="21"/>
        </w:rPr>
        <w:t>文件</w:t>
      </w:r>
      <w:r>
        <w:rPr>
          <w:rFonts w:ascii="宋体" w:hAnsi="宋体" w:eastAsia="宋体"/>
          <w:color w:val="000000"/>
          <w:sz w:val="21"/>
          <w:szCs w:val="21"/>
        </w:rPr>
        <w:t>起草单位:</w:t>
      </w:r>
      <w:r>
        <w:rPr>
          <w:rFonts w:hint="eastAsia" w:ascii="宋体" w:hAnsi="宋体" w:eastAsia="宋体"/>
          <w:color w:val="000000"/>
          <w:sz w:val="21"/>
          <w:szCs w:val="21"/>
          <w:lang w:val="en-US" w:eastAsia="zh-CN"/>
        </w:rPr>
        <w:t>XXXXX</w:t>
      </w:r>
      <w:r>
        <w:rPr>
          <w:rFonts w:ascii="宋体" w:hAnsi="宋体" w:eastAsia="宋体"/>
          <w:color w:val="000000"/>
          <w:sz w:val="21"/>
          <w:szCs w:val="21"/>
        </w:rPr>
        <w:t>、</w:t>
      </w:r>
      <w:r>
        <w:rPr>
          <w:rFonts w:hint="eastAsia" w:ascii="宋体" w:hAnsi="宋体" w:eastAsia="宋体"/>
          <w:color w:val="000000"/>
          <w:sz w:val="21"/>
          <w:szCs w:val="21"/>
          <w:lang w:val="en-US" w:eastAsia="zh-CN"/>
        </w:rPr>
        <w:t>XXXXX</w:t>
      </w:r>
      <w:r>
        <w:rPr>
          <w:rFonts w:ascii="宋体" w:hAnsi="宋体" w:eastAsia="宋体"/>
          <w:color w:val="000000"/>
          <w:sz w:val="21"/>
          <w:szCs w:val="21"/>
        </w:rPr>
        <w:t>、</w:t>
      </w:r>
      <w:r>
        <w:rPr>
          <w:rFonts w:hint="eastAsia" w:ascii="宋体" w:hAnsi="宋体" w:eastAsia="宋体"/>
          <w:color w:val="000000"/>
          <w:sz w:val="21"/>
          <w:szCs w:val="21"/>
          <w:lang w:val="en-US" w:eastAsia="zh-CN"/>
        </w:rPr>
        <w:t>XXXXX、XXXXX</w:t>
      </w:r>
      <w:r>
        <w:rPr>
          <w:rFonts w:ascii="宋体" w:hAnsi="宋体" w:eastAsia="宋体"/>
          <w:color w:val="000000"/>
          <w:sz w:val="21"/>
          <w:szCs w:val="21"/>
        </w:rPr>
        <w:t>。</w:t>
      </w:r>
    </w:p>
    <w:p>
      <w:pPr>
        <w:pStyle w:val="131"/>
        <w:spacing w:line="313" w:lineRule="exact"/>
        <w:ind w:firstLine="420"/>
        <w:rPr>
          <w:rFonts w:ascii="宋体" w:hAnsi="宋体" w:eastAsia="宋体"/>
          <w:color w:val="000000"/>
          <w:sz w:val="21"/>
          <w:szCs w:val="21"/>
        </w:rPr>
      </w:pPr>
      <w:r>
        <w:rPr>
          <w:rFonts w:ascii="宋体" w:hAnsi="宋体" w:eastAsia="宋体"/>
          <w:color w:val="000000"/>
          <w:sz w:val="21"/>
          <w:szCs w:val="21"/>
        </w:rPr>
        <w:t>本</w:t>
      </w:r>
      <w:r>
        <w:rPr>
          <w:rFonts w:hint="eastAsia" w:ascii="宋体" w:hAnsi="宋体" w:eastAsia="宋体"/>
          <w:color w:val="000000"/>
          <w:sz w:val="21"/>
          <w:szCs w:val="21"/>
        </w:rPr>
        <w:t>文件</w:t>
      </w:r>
      <w:r>
        <w:rPr>
          <w:rFonts w:ascii="宋体" w:hAnsi="宋体" w:eastAsia="宋体"/>
          <w:color w:val="000000"/>
          <w:sz w:val="21"/>
          <w:szCs w:val="21"/>
        </w:rPr>
        <w:t>主要起草人:</w:t>
      </w:r>
      <w:r>
        <w:rPr>
          <w:rFonts w:hint="eastAsia" w:ascii="宋体" w:hAnsi="宋体" w:eastAsia="宋体"/>
          <w:color w:val="000000"/>
          <w:sz w:val="21"/>
          <w:szCs w:val="21"/>
        </w:rPr>
        <w:t>XXX</w:t>
      </w:r>
      <w:r>
        <w:rPr>
          <w:rFonts w:ascii="宋体" w:hAnsi="宋体" w:eastAsia="宋体"/>
          <w:color w:val="000000"/>
          <w:sz w:val="21"/>
          <w:szCs w:val="21"/>
        </w:rPr>
        <w:t>、</w:t>
      </w:r>
      <w:r>
        <w:rPr>
          <w:rFonts w:hint="eastAsia" w:ascii="宋体" w:hAnsi="宋体" w:eastAsia="宋体"/>
          <w:color w:val="000000"/>
          <w:sz w:val="21"/>
          <w:szCs w:val="21"/>
        </w:rPr>
        <w:t>XXX</w:t>
      </w:r>
      <w:r>
        <w:rPr>
          <w:rFonts w:ascii="宋体" w:hAnsi="宋体" w:eastAsia="宋体"/>
          <w:color w:val="000000"/>
          <w:sz w:val="21"/>
          <w:szCs w:val="21"/>
        </w:rPr>
        <w:t>、</w:t>
      </w:r>
      <w:r>
        <w:rPr>
          <w:rFonts w:hint="eastAsia" w:ascii="宋体" w:hAnsi="宋体" w:eastAsia="宋体"/>
          <w:color w:val="000000"/>
          <w:sz w:val="21"/>
          <w:szCs w:val="21"/>
        </w:rPr>
        <w:t>XXX</w:t>
      </w:r>
      <w:r>
        <w:rPr>
          <w:rFonts w:ascii="宋体" w:hAnsi="宋体" w:eastAsia="宋体"/>
          <w:color w:val="000000"/>
          <w:sz w:val="21"/>
          <w:szCs w:val="21"/>
        </w:rPr>
        <w:t>、</w:t>
      </w:r>
      <w:r>
        <w:rPr>
          <w:rFonts w:hint="eastAsia" w:ascii="宋体" w:hAnsi="宋体" w:eastAsia="宋体"/>
          <w:color w:val="000000"/>
          <w:sz w:val="21"/>
          <w:szCs w:val="21"/>
        </w:rPr>
        <w:t>XXX</w:t>
      </w:r>
      <w:r>
        <w:rPr>
          <w:rFonts w:ascii="宋体" w:hAnsi="宋体" w:eastAsia="宋体"/>
          <w:color w:val="000000"/>
          <w:sz w:val="21"/>
          <w:szCs w:val="21"/>
        </w:rPr>
        <w:t>、</w:t>
      </w:r>
      <w:r>
        <w:rPr>
          <w:rFonts w:hint="eastAsia" w:ascii="宋体" w:hAnsi="宋体" w:eastAsia="宋体"/>
          <w:color w:val="000000"/>
          <w:sz w:val="21"/>
          <w:szCs w:val="21"/>
        </w:rPr>
        <w:t>XXX</w:t>
      </w:r>
      <w:r>
        <w:rPr>
          <w:rFonts w:ascii="宋体" w:hAnsi="宋体" w:eastAsia="宋体"/>
          <w:color w:val="000000"/>
          <w:sz w:val="21"/>
          <w:szCs w:val="21"/>
        </w:rPr>
        <w:t>、</w:t>
      </w:r>
      <w:r>
        <w:rPr>
          <w:rFonts w:hint="eastAsia" w:ascii="宋体" w:hAnsi="宋体" w:eastAsia="宋体"/>
          <w:color w:val="000000"/>
          <w:sz w:val="21"/>
          <w:szCs w:val="21"/>
        </w:rPr>
        <w:t>XXX</w:t>
      </w:r>
      <w:r>
        <w:rPr>
          <w:rFonts w:ascii="宋体" w:hAnsi="宋体" w:eastAsia="宋体"/>
          <w:color w:val="000000"/>
          <w:sz w:val="21"/>
          <w:szCs w:val="21"/>
        </w:rPr>
        <w:t>。</w:t>
      </w: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pPr>
    </w:p>
    <w:p>
      <w:pPr>
        <w:pStyle w:val="131"/>
        <w:spacing w:line="313" w:lineRule="exact"/>
        <w:rPr>
          <w:rFonts w:ascii="宋体" w:hAnsi="宋体" w:eastAsia="宋体"/>
          <w:color w:val="000000"/>
          <w:sz w:val="21"/>
          <w:szCs w:val="21"/>
          <w:lang w:eastAsia="zh-CN"/>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42"/>
        <w:numPr>
          <w:ilvl w:val="0"/>
          <w:numId w:val="0"/>
        </w:numPr>
        <w:spacing w:before="156" w:beforeLines="50" w:after="312" w:line="360" w:lineRule="auto"/>
        <w:jc w:val="center"/>
        <w:outlineLvl w:val="9"/>
        <w:rPr>
          <w:rFonts w:hAnsi="黑体" w:cs="黑体"/>
          <w:color w:val="000000"/>
          <w:sz w:val="32"/>
          <w:szCs w:val="32"/>
        </w:rPr>
      </w:pPr>
      <w:bookmarkStart w:id="10" w:name="_Toc43899011"/>
      <w:bookmarkStart w:id="11" w:name="_Toc9027"/>
      <w:bookmarkStart w:id="12" w:name="_Toc19395"/>
      <w:bookmarkStart w:id="13" w:name="_Toc15978"/>
      <w:bookmarkStart w:id="14" w:name="_Toc17700"/>
      <w:bookmarkStart w:id="15" w:name="_Toc16291"/>
      <w:bookmarkStart w:id="16" w:name="_Toc18122"/>
      <w:bookmarkStart w:id="17" w:name="_Toc18471"/>
      <w:bookmarkStart w:id="18" w:name="_Toc30746"/>
      <w:bookmarkStart w:id="19" w:name="_Toc3370"/>
      <w:bookmarkStart w:id="20" w:name="_Toc1163"/>
      <w:bookmarkStart w:id="21" w:name="_Toc1931"/>
      <w:bookmarkStart w:id="22" w:name="_Toc12096"/>
      <w:bookmarkStart w:id="23" w:name="_Toc9422"/>
      <w:bookmarkStart w:id="24" w:name="_Toc9418"/>
      <w:bookmarkStart w:id="25" w:name="_Toc556"/>
      <w:bookmarkStart w:id="26" w:name="_Toc16298"/>
      <w:bookmarkStart w:id="27" w:name="_Toc682"/>
      <w:bookmarkStart w:id="28" w:name="_Toc34064675"/>
      <w:bookmarkStart w:id="29" w:name="_Toc34064617"/>
      <w:bookmarkStart w:id="30" w:name="_Toc24730"/>
      <w:r>
        <w:rPr>
          <w:rFonts w:hint="eastAsia" w:hAnsi="黑体" w:cs="黑体"/>
          <w:color w:val="000000"/>
          <w:sz w:val="32"/>
          <w:szCs w:val="32"/>
        </w:rPr>
        <w:t>即食豆制品</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42"/>
        <w:spacing w:before="312" w:after="312"/>
        <w:rPr>
          <w:color w:val="000000"/>
        </w:rPr>
      </w:pPr>
      <w:bookmarkStart w:id="31" w:name="_Toc11821"/>
      <w:bookmarkStart w:id="32" w:name="_Toc43899012"/>
      <w:r>
        <w:rPr>
          <w:rFonts w:hint="eastAsia"/>
          <w:color w:val="000000"/>
          <w:szCs w:val="22"/>
        </w:rPr>
        <w:t>范围</w:t>
      </w:r>
      <w:bookmarkEnd w:id="28"/>
      <w:bookmarkEnd w:id="29"/>
      <w:bookmarkEnd w:id="30"/>
      <w:bookmarkEnd w:id="31"/>
      <w:bookmarkEnd w:id="32"/>
    </w:p>
    <w:p>
      <w:pPr>
        <w:pStyle w:val="22"/>
        <w:rPr>
          <w:rFonts w:hAnsi="宋体" w:cs="宋体"/>
          <w:color w:val="000000"/>
        </w:rPr>
      </w:pPr>
      <w:r>
        <w:rPr>
          <w:rFonts w:hint="eastAsia" w:hAnsi="宋体" w:cs="宋体"/>
          <w:color w:val="000000"/>
        </w:rPr>
        <w:t>本文件规定了即食豆制品的术语和定义、要求、</w:t>
      </w:r>
      <w:r>
        <w:rPr>
          <w:rFonts w:hint="eastAsia" w:hAnsi="宋体" w:cs="MingLiU"/>
          <w:color w:val="000000"/>
          <w:kern w:val="2"/>
          <w:szCs w:val="22"/>
          <w:lang w:val="zh-TW" w:eastAsia="zh-TW" w:bidi="zh-TW"/>
        </w:rPr>
        <w:t>生产加工</w:t>
      </w:r>
      <w:r>
        <w:rPr>
          <w:rFonts w:hint="eastAsia" w:hAnsi="宋体" w:cs="MingLiU"/>
          <w:color w:val="000000"/>
          <w:kern w:val="2"/>
          <w:szCs w:val="22"/>
          <w:lang w:val="en-US" w:eastAsia="zh-CN" w:bidi="zh-TW"/>
        </w:rPr>
        <w:t>过程</w:t>
      </w:r>
      <w:r>
        <w:rPr>
          <w:rFonts w:hint="eastAsia" w:hAnsi="宋体" w:cs="MingLiU"/>
          <w:color w:val="000000"/>
          <w:kern w:val="2"/>
          <w:szCs w:val="22"/>
          <w:lang w:val="zh-TW" w:eastAsia="zh-TW" w:bidi="zh-TW"/>
        </w:rPr>
        <w:t>卫生要求</w:t>
      </w:r>
      <w:r>
        <w:rPr>
          <w:rFonts w:hint="eastAsia" w:hAnsi="宋体" w:cs="MingLiU"/>
          <w:color w:val="000000"/>
          <w:kern w:val="2"/>
          <w:szCs w:val="22"/>
          <w:lang w:val="zh-TW" w:bidi="zh-TW"/>
        </w:rPr>
        <w:t>、</w:t>
      </w:r>
      <w:r>
        <w:rPr>
          <w:rFonts w:hint="eastAsia" w:hAnsi="宋体" w:cs="宋体"/>
          <w:color w:val="000000"/>
          <w:lang w:val="en-US" w:eastAsia="zh-CN"/>
        </w:rPr>
        <w:t>试验</w:t>
      </w:r>
      <w:r>
        <w:rPr>
          <w:rFonts w:hint="eastAsia" w:hAnsi="宋体" w:cs="宋体"/>
          <w:color w:val="000000"/>
        </w:rPr>
        <w:t>方法、检验规则、</w:t>
      </w:r>
      <w:r>
        <w:rPr>
          <w:rFonts w:hint="eastAsia" w:hAnsi="宋体" w:cs="宋体"/>
          <w:color w:val="000000"/>
          <w:lang w:val="zh-TW" w:eastAsia="zh-TW"/>
        </w:rPr>
        <w:t>包装</w:t>
      </w:r>
      <w:r>
        <w:rPr>
          <w:rFonts w:hint="eastAsia" w:hAnsi="宋体" w:cs="宋体"/>
          <w:color w:val="000000"/>
          <w:lang w:val="zh-TW" w:eastAsia="zh-CN"/>
        </w:rPr>
        <w:t>、</w:t>
      </w:r>
      <w:r>
        <w:rPr>
          <w:rFonts w:hint="eastAsia" w:hAnsi="宋体" w:cs="宋体"/>
          <w:color w:val="000000"/>
          <w:lang w:val="zh-TW" w:eastAsia="zh-TW"/>
        </w:rPr>
        <w:t>标签</w:t>
      </w:r>
      <w:r>
        <w:rPr>
          <w:rFonts w:hint="eastAsia" w:hAnsi="宋体" w:cs="宋体"/>
          <w:color w:val="000000"/>
          <w:lang w:val="en-US" w:eastAsia="zh-CN"/>
        </w:rPr>
        <w:t>和标志</w:t>
      </w:r>
      <w:r>
        <w:rPr>
          <w:rFonts w:hint="eastAsia" w:hAnsi="宋体" w:cs="宋体"/>
          <w:color w:val="000000"/>
          <w:kern w:val="2"/>
          <w:szCs w:val="22"/>
          <w:lang w:val="zh-TW" w:eastAsia="zh-TW" w:bidi="zh-TW"/>
        </w:rPr>
        <w:t>、运输</w:t>
      </w:r>
      <w:r>
        <w:rPr>
          <w:rFonts w:hint="eastAsia" w:hAnsi="宋体" w:cs="宋体"/>
          <w:color w:val="000000"/>
          <w:kern w:val="2"/>
          <w:szCs w:val="22"/>
          <w:lang w:val="en-US" w:eastAsia="zh-CN" w:bidi="zh-TW"/>
        </w:rPr>
        <w:t>和</w:t>
      </w:r>
      <w:r>
        <w:rPr>
          <w:rFonts w:hint="eastAsia" w:hAnsi="宋体" w:cs="宋体"/>
          <w:color w:val="000000"/>
          <w:kern w:val="2"/>
          <w:szCs w:val="22"/>
          <w:lang w:val="zh-TW" w:eastAsia="zh-TW" w:bidi="zh-TW"/>
        </w:rPr>
        <w:t>贮存</w:t>
      </w:r>
      <w:r>
        <w:rPr>
          <w:rFonts w:hint="eastAsia" w:hAnsi="宋体" w:cs="宋体"/>
          <w:color w:val="000000"/>
          <w:kern w:val="2"/>
          <w:szCs w:val="22"/>
          <w:lang w:val="zh-TW" w:eastAsia="zh-CN" w:bidi="zh-TW"/>
        </w:rPr>
        <w:t>、</w:t>
      </w:r>
      <w:r>
        <w:rPr>
          <w:rFonts w:hint="eastAsia" w:hAnsi="宋体" w:cs="宋体"/>
          <w:color w:val="000000"/>
          <w:kern w:val="2"/>
          <w:szCs w:val="22"/>
          <w:lang w:val="en-US" w:eastAsia="zh-CN" w:bidi="zh-TW"/>
        </w:rPr>
        <w:t>销售及召回</w:t>
      </w:r>
      <w:r>
        <w:rPr>
          <w:rFonts w:hint="eastAsia" w:hAnsi="宋体" w:cs="宋体"/>
          <w:color w:val="000000"/>
          <w:kern w:val="2"/>
          <w:szCs w:val="22"/>
          <w:lang w:bidi="zh-TW"/>
        </w:rPr>
        <w:t>的要求。</w:t>
      </w:r>
    </w:p>
    <w:p>
      <w:pPr>
        <w:pStyle w:val="12"/>
        <w:tabs>
          <w:tab w:val="right" w:leader="dot" w:pos="9241"/>
        </w:tabs>
        <w:ind w:left="0" w:leftChars="0"/>
        <w:rPr>
          <w:rFonts w:ascii="宋体" w:hAnsi="宋体" w:cs="宋体"/>
          <w:color w:val="000000"/>
        </w:rPr>
      </w:pPr>
      <w:r>
        <w:rPr>
          <w:rFonts w:hint="eastAsia" w:ascii="宋体" w:hAnsi="宋体" w:cs="宋体"/>
          <w:color w:val="000000"/>
        </w:rPr>
        <w:t xml:space="preserve">    本文件适用于即食豆制品的生产</w:t>
      </w:r>
      <w:r>
        <w:rPr>
          <w:rFonts w:hint="eastAsia" w:ascii="宋体" w:hAnsi="宋体" w:cs="宋体"/>
          <w:color w:val="000000"/>
          <w:lang w:eastAsia="zh-CN"/>
        </w:rPr>
        <w:t>、</w:t>
      </w:r>
      <w:r>
        <w:rPr>
          <w:rFonts w:hint="eastAsia" w:ascii="宋体" w:hAnsi="宋体" w:cs="宋体"/>
          <w:color w:val="000000"/>
        </w:rPr>
        <w:t>检验</w:t>
      </w:r>
      <w:r>
        <w:rPr>
          <w:rFonts w:hint="eastAsia" w:ascii="宋体" w:hAnsi="宋体" w:cs="宋体"/>
          <w:color w:val="000000"/>
          <w:lang w:val="en-US" w:eastAsia="zh-CN"/>
        </w:rPr>
        <w:t>和销售</w:t>
      </w:r>
      <w:r>
        <w:rPr>
          <w:rFonts w:hint="eastAsia" w:ascii="宋体" w:hAnsi="宋体" w:cs="宋体"/>
          <w:color w:val="000000"/>
        </w:rPr>
        <w:t>。</w:t>
      </w:r>
    </w:p>
    <w:p>
      <w:pPr>
        <w:pStyle w:val="42"/>
        <w:spacing w:before="312" w:after="312"/>
        <w:rPr>
          <w:color w:val="000000"/>
          <w:szCs w:val="22"/>
        </w:rPr>
      </w:pPr>
      <w:bookmarkStart w:id="33" w:name="_Toc15965"/>
      <w:bookmarkStart w:id="34" w:name="_Toc34064676"/>
      <w:bookmarkStart w:id="35" w:name="_Toc43899013"/>
      <w:bookmarkStart w:id="36" w:name="_Toc9261"/>
      <w:bookmarkStart w:id="37" w:name="_Toc34064618"/>
      <w:r>
        <w:rPr>
          <w:rFonts w:hint="eastAsia"/>
          <w:color w:val="000000"/>
          <w:szCs w:val="22"/>
        </w:rPr>
        <w:t>规范性引用文件</w:t>
      </w:r>
      <w:bookmarkEnd w:id="33"/>
      <w:bookmarkEnd w:id="34"/>
      <w:bookmarkEnd w:id="35"/>
      <w:bookmarkEnd w:id="36"/>
      <w:bookmarkEnd w:id="37"/>
    </w:p>
    <w:p>
      <w:pPr>
        <w:pStyle w:val="22"/>
        <w:rPr>
          <w:rFonts w:hint="eastAsia"/>
          <w:color w:val="000000"/>
          <w:szCs w:val="22"/>
        </w:rPr>
      </w:pPr>
      <w:r>
        <w:rPr>
          <w:rFonts w:hint="eastAsia"/>
          <w:color w:val="000000"/>
          <w:szCs w:val="22"/>
        </w:rPr>
        <w:t>下列文件中的内容通过文中的规范性引用而构成本文件必不可少的条款。其中，注日期的引用文件，仅该日期对应的版本适用于本文件</w:t>
      </w:r>
      <w:r>
        <w:rPr>
          <w:rFonts w:hint="eastAsia"/>
          <w:color w:val="000000"/>
          <w:szCs w:val="22"/>
          <w:lang w:eastAsia="zh-CN"/>
        </w:rPr>
        <w:t>；</w:t>
      </w:r>
      <w:r>
        <w:rPr>
          <w:rFonts w:hint="eastAsia"/>
          <w:color w:val="000000"/>
          <w:szCs w:val="22"/>
        </w:rPr>
        <w:t>不注日期的引用文件，其最新版本（包括所有的修改单）适用于本文件。</w:t>
      </w:r>
    </w:p>
    <w:p>
      <w:pPr>
        <w:pStyle w:val="22"/>
        <w:rPr>
          <w:rFonts w:hint="eastAsia"/>
          <w:color w:val="000000"/>
          <w:szCs w:val="22"/>
        </w:rPr>
      </w:pPr>
      <w:r>
        <w:rPr>
          <w:rFonts w:hint="eastAsia"/>
          <w:color w:val="000000"/>
          <w:szCs w:val="22"/>
        </w:rPr>
        <w:t>GB/T 191 包装储运图示标志</w:t>
      </w:r>
    </w:p>
    <w:p>
      <w:pPr>
        <w:pStyle w:val="22"/>
        <w:bidi w:val="0"/>
      </w:pPr>
      <w:r>
        <w:rPr>
          <w:rFonts w:hint="eastAsia"/>
        </w:rPr>
        <w:t>GB 2712 食品安全国家标准 豆制品</w:t>
      </w:r>
    </w:p>
    <w:p>
      <w:pPr>
        <w:pStyle w:val="22"/>
        <w:bidi w:val="0"/>
      </w:pPr>
      <w:r>
        <w:rPr>
          <w:rFonts w:hint="eastAsia"/>
        </w:rPr>
        <w:t>GB 2760 食品安全国家标准 食品添加剂使用卫生标准</w:t>
      </w:r>
    </w:p>
    <w:p>
      <w:pPr>
        <w:pStyle w:val="22"/>
        <w:bidi w:val="0"/>
        <w:rPr>
          <w:rFonts w:hint="eastAsia"/>
          <w:color w:val="000000" w:themeColor="text1"/>
          <w:shd w:val="clear" w:color="auto" w:fill="auto"/>
          <w14:textFill>
            <w14:solidFill>
              <w14:schemeClr w14:val="tx1"/>
            </w14:solidFill>
          </w14:textFill>
        </w:rPr>
      </w:pPr>
      <w:r>
        <w:rPr>
          <w:rFonts w:hint="eastAsia"/>
          <w:color w:val="000000" w:themeColor="text1"/>
          <w:shd w:val="clear" w:color="auto" w:fill="auto"/>
          <w14:textFill>
            <w14:solidFill>
              <w14:schemeClr w14:val="tx1"/>
            </w14:solidFill>
          </w14:textFill>
        </w:rPr>
        <w:t>GB 4789.1食品安全国家标准 食品微生物学检验 总则</w:t>
      </w:r>
    </w:p>
    <w:p>
      <w:pPr>
        <w:pStyle w:val="22"/>
        <w:bidi w:val="0"/>
        <w:rPr>
          <w:rFonts w:hint="eastAsia"/>
          <w:color w:val="000000" w:themeColor="text1"/>
          <w:shd w:val="clear" w:color="auto" w:fill="auto"/>
          <w14:textFill>
            <w14:solidFill>
              <w14:schemeClr w14:val="tx1"/>
            </w14:solidFill>
          </w14:textFill>
        </w:rPr>
      </w:pPr>
      <w:r>
        <w:rPr>
          <w:rFonts w:hint="eastAsia"/>
          <w:color w:val="000000" w:themeColor="text1"/>
          <w:shd w:val="clear" w:color="auto" w:fill="auto"/>
          <w14:textFill>
            <w14:solidFill>
              <w14:schemeClr w14:val="tx1"/>
            </w14:solidFill>
          </w14:textFill>
        </w:rPr>
        <w:t>GB 4789.3 食品安全国家标准 食品微生物学检验 大肠菌群计数</w:t>
      </w:r>
    </w:p>
    <w:p>
      <w:pPr>
        <w:pStyle w:val="22"/>
        <w:bidi w:val="0"/>
        <w:rPr>
          <w:rFonts w:hint="eastAsia"/>
          <w:color w:val="000000" w:themeColor="text1"/>
          <w:shd w:val="clear" w:color="auto" w:fill="auto"/>
          <w14:textFill>
            <w14:solidFill>
              <w14:schemeClr w14:val="tx1"/>
            </w14:solidFill>
          </w14:textFill>
        </w:rPr>
      </w:pPr>
      <w:r>
        <w:rPr>
          <w:rFonts w:hint="eastAsia"/>
          <w:color w:val="000000" w:themeColor="text1"/>
          <w:shd w:val="clear" w:color="auto" w:fill="auto"/>
          <w14:textFill>
            <w14:solidFill>
              <w14:schemeClr w14:val="tx1"/>
            </w14:solidFill>
          </w14:textFill>
        </w:rPr>
        <w:t>GB 4789.4 食品安全国家标准 食品微生物学检验 沙门氏菌检验</w:t>
      </w:r>
    </w:p>
    <w:p>
      <w:pPr>
        <w:pStyle w:val="22"/>
        <w:bidi w:val="0"/>
        <w:rPr>
          <w:rFonts w:hint="eastAsia"/>
          <w:color w:val="000000" w:themeColor="text1"/>
          <w:shd w:val="clear" w:color="auto" w:fill="auto"/>
          <w14:textFill>
            <w14:solidFill>
              <w14:schemeClr w14:val="tx1"/>
            </w14:solidFill>
          </w14:textFill>
        </w:rPr>
      </w:pPr>
      <w:r>
        <w:rPr>
          <w:rFonts w:hint="eastAsia"/>
          <w:color w:val="000000" w:themeColor="text1"/>
          <w:shd w:val="clear" w:color="auto" w:fill="auto"/>
          <w14:textFill>
            <w14:solidFill>
              <w14:schemeClr w14:val="tx1"/>
            </w14:solidFill>
          </w14:textFill>
        </w:rPr>
        <w:t>GB 4789.10</w:t>
      </w:r>
      <w:r>
        <w:rPr>
          <w:rFonts w:hint="eastAsia"/>
          <w:color w:val="000000" w:themeColor="text1"/>
          <w:shd w:val="clear" w:color="auto" w:fill="auto"/>
          <w:lang w:val="en-US" w:eastAsia="zh-CN"/>
          <w14:textFill>
            <w14:solidFill>
              <w14:schemeClr w14:val="tx1"/>
            </w14:solidFill>
          </w14:textFill>
        </w:rPr>
        <w:t xml:space="preserve"> </w:t>
      </w:r>
      <w:r>
        <w:rPr>
          <w:rFonts w:hint="eastAsia"/>
          <w:color w:val="000000" w:themeColor="text1"/>
          <w:shd w:val="clear" w:color="auto" w:fill="auto"/>
          <w14:textFill>
            <w14:solidFill>
              <w14:schemeClr w14:val="tx1"/>
            </w14:solidFill>
          </w14:textFill>
        </w:rPr>
        <w:t>食品安全国家标准 食品微生物学检验 金黄色葡萄球菌检验</w:t>
      </w:r>
    </w:p>
    <w:p>
      <w:pPr>
        <w:pStyle w:val="22"/>
        <w:bidi w:val="0"/>
        <w:rPr>
          <w:rFonts w:hint="eastAsia"/>
          <w:color w:val="000000" w:themeColor="text1"/>
          <w:shd w:val="clear" w:color="auto" w:fill="auto"/>
          <w14:textFill>
            <w14:solidFill>
              <w14:schemeClr w14:val="tx1"/>
            </w14:solidFill>
          </w14:textFill>
        </w:rPr>
      </w:pPr>
      <w:r>
        <w:rPr>
          <w:rFonts w:hint="eastAsia"/>
          <w:color w:val="000000" w:themeColor="text1"/>
          <w:shd w:val="clear" w:color="auto" w:fill="auto"/>
          <w14:textFill>
            <w14:solidFill>
              <w14:schemeClr w14:val="tx1"/>
            </w14:solidFill>
          </w14:textFill>
        </w:rPr>
        <w:t>GB 4789.26 食品安全国家标准 食品微生物学检验 商业无菌检验</w:t>
      </w:r>
    </w:p>
    <w:p>
      <w:pPr>
        <w:pStyle w:val="22"/>
        <w:bidi w:val="0"/>
        <w:rPr>
          <w:rFonts w:hint="eastAsia"/>
          <w:color w:val="000000" w:themeColor="text1"/>
          <w:shd w:val="clear" w:color="auto" w:fill="auto"/>
          <w14:textFill>
            <w14:solidFill>
              <w14:schemeClr w14:val="tx1"/>
            </w14:solidFill>
          </w14:textFill>
        </w:rPr>
      </w:pPr>
      <w:r>
        <w:rPr>
          <w:rFonts w:hint="eastAsia"/>
          <w:color w:val="000000" w:themeColor="text1"/>
          <w:shd w:val="clear" w:color="auto" w:fill="auto"/>
          <w14:textFill>
            <w14:solidFill>
              <w14:schemeClr w14:val="tx1"/>
            </w14:solidFill>
          </w14:textFill>
        </w:rPr>
        <w:t>GB 4806.7 食品安全国家标准 食品接触用塑料材料及制品</w:t>
      </w:r>
    </w:p>
    <w:p>
      <w:pPr>
        <w:pStyle w:val="22"/>
        <w:bidi w:val="0"/>
      </w:pPr>
      <w:r>
        <w:rPr>
          <w:rFonts w:hint="eastAsia"/>
        </w:rPr>
        <w:t>GB 5009.3 食品安全国家标准 食品中水分的测定</w:t>
      </w:r>
    </w:p>
    <w:p>
      <w:pPr>
        <w:pStyle w:val="22"/>
        <w:bidi w:val="0"/>
      </w:pPr>
      <w:r>
        <w:rPr>
          <w:rFonts w:hint="eastAsia"/>
        </w:rPr>
        <w:t>GB 5009.5 食品安全国家标准 食品中蛋白质的测定</w:t>
      </w:r>
    </w:p>
    <w:p>
      <w:pPr>
        <w:pStyle w:val="22"/>
        <w:bidi w:val="0"/>
      </w:pPr>
      <w:r>
        <w:rPr>
          <w:rFonts w:hint="eastAsia"/>
        </w:rPr>
        <w:t>GB 5009.12 食品安全国家标准 食品中铅的测定</w:t>
      </w:r>
    </w:p>
    <w:p>
      <w:pPr>
        <w:pStyle w:val="22"/>
        <w:bidi w:val="0"/>
      </w:pPr>
      <w:r>
        <w:t>GB 5009.44 食品安全国家标准 食品中氯化物的测定</w:t>
      </w:r>
    </w:p>
    <w:p>
      <w:pPr>
        <w:pStyle w:val="22"/>
        <w:bidi w:val="0"/>
        <w:rPr>
          <w:rFonts w:hint="eastAsia"/>
        </w:rPr>
      </w:pPr>
      <w:r>
        <w:rPr>
          <w:rFonts w:hint="eastAsia"/>
        </w:rPr>
        <w:t>GB 7098</w:t>
      </w:r>
      <w:r>
        <w:rPr>
          <w:rFonts w:hint="eastAsia"/>
          <w:lang w:val="en-US" w:eastAsia="zh-CN"/>
        </w:rPr>
        <w:t xml:space="preserve"> </w:t>
      </w:r>
      <w:r>
        <w:rPr>
          <w:rFonts w:hint="eastAsia"/>
        </w:rPr>
        <w:t>食品安全国家标准 罐头食品</w:t>
      </w:r>
    </w:p>
    <w:p>
      <w:pPr>
        <w:pStyle w:val="22"/>
        <w:bidi w:val="0"/>
        <w:rPr>
          <w:rFonts w:hint="eastAsia"/>
        </w:rPr>
      </w:pPr>
      <w:r>
        <w:rPr>
          <w:rFonts w:hint="eastAsia"/>
        </w:rPr>
        <w:t>GB 7718 食品安全国家标准 预包装食品标签通则</w:t>
      </w:r>
    </w:p>
    <w:p>
      <w:pPr>
        <w:pStyle w:val="22"/>
        <w:bidi w:val="0"/>
        <w:rPr>
          <w:rFonts w:hint="eastAsia"/>
          <w:color w:val="000000" w:themeColor="text1"/>
          <w:shd w:val="clear" w:color="auto" w:fill="auto"/>
          <w14:textFill>
            <w14:solidFill>
              <w14:schemeClr w14:val="tx1"/>
            </w14:solidFill>
          </w14:textFill>
        </w:rPr>
      </w:pPr>
      <w:r>
        <w:rPr>
          <w:rFonts w:hint="eastAsia"/>
          <w:color w:val="000000" w:themeColor="text1"/>
          <w:shd w:val="clear" w:color="auto" w:fill="auto"/>
          <w14:textFill>
            <w14:solidFill>
              <w14:schemeClr w14:val="tx1"/>
            </w14:solidFill>
          </w14:textFill>
        </w:rPr>
        <w:t>GB/T 10004 包装用塑料复合膜、袋 干法复合、挤出复合</w:t>
      </w:r>
    </w:p>
    <w:p>
      <w:pPr>
        <w:pStyle w:val="22"/>
        <w:bidi w:val="0"/>
        <w:rPr>
          <w:rFonts w:hint="eastAsia"/>
          <w:color w:val="000000" w:themeColor="text1"/>
          <w:shd w:val="clear" w:color="auto" w:fill="auto"/>
          <w14:textFill>
            <w14:solidFill>
              <w14:schemeClr w14:val="tx1"/>
            </w14:solidFill>
          </w14:textFill>
        </w:rPr>
      </w:pPr>
      <w:r>
        <w:rPr>
          <w:rFonts w:hint="eastAsia"/>
          <w:color w:val="000000" w:themeColor="text1"/>
          <w:shd w:val="clear" w:color="auto" w:fill="auto"/>
          <w14:textFill>
            <w14:solidFill>
              <w14:schemeClr w14:val="tx1"/>
            </w14:solidFill>
          </w14:textFill>
        </w:rPr>
        <w:t>GB 14880 食品安全国家标准 食品营养强化剂使用标准</w:t>
      </w:r>
    </w:p>
    <w:p>
      <w:pPr>
        <w:pStyle w:val="22"/>
        <w:bidi w:val="0"/>
        <w:rPr>
          <w:rFonts w:hint="eastAsia"/>
        </w:rPr>
      </w:pPr>
      <w:r>
        <w:rPr>
          <w:rFonts w:hint="eastAsia"/>
        </w:rPr>
        <w:t>GB 14881 食品安全国家标准 食品生产通用卫生规范</w:t>
      </w:r>
    </w:p>
    <w:p>
      <w:pPr>
        <w:pStyle w:val="22"/>
        <w:bidi w:val="0"/>
        <w:rPr>
          <w:rFonts w:hint="eastAsia"/>
        </w:rPr>
      </w:pPr>
      <w:r>
        <w:rPr>
          <w:rFonts w:hint="eastAsia"/>
        </w:rPr>
        <w:t>GB/T 22106 非发酵豆制品</w:t>
      </w:r>
    </w:p>
    <w:p>
      <w:pPr>
        <w:pStyle w:val="22"/>
        <w:bidi w:val="0"/>
        <w:rPr>
          <w:rFonts w:hint="eastAsia"/>
        </w:rPr>
      </w:pPr>
      <w:r>
        <w:rPr>
          <w:rFonts w:hint="eastAsia"/>
        </w:rPr>
        <w:t>GB 28050</w:t>
      </w:r>
      <w:r>
        <w:rPr>
          <w:rFonts w:hint="eastAsia"/>
          <w:lang w:val="en-US" w:eastAsia="zh-CN"/>
        </w:rPr>
        <w:t xml:space="preserve"> </w:t>
      </w:r>
      <w:r>
        <w:rPr>
          <w:rFonts w:hint="eastAsia"/>
        </w:rPr>
        <w:t>食品安全国家标准 预包装食品营养标签通则</w:t>
      </w:r>
    </w:p>
    <w:p>
      <w:pPr>
        <w:pStyle w:val="22"/>
        <w:bidi w:val="0"/>
      </w:pPr>
      <w:r>
        <w:rPr>
          <w:rFonts w:hint="eastAsia"/>
        </w:rPr>
        <w:t>JJF 1070 定量包装商品净含量计量检验规则</w:t>
      </w:r>
    </w:p>
    <w:p>
      <w:pPr>
        <w:pStyle w:val="22"/>
        <w:bidi w:val="0"/>
        <w:rPr>
          <w:rFonts w:hint="eastAsia"/>
          <w:lang w:val="en-US" w:eastAsia="zh-CN"/>
        </w:rPr>
      </w:pPr>
      <w:r>
        <w:rPr>
          <w:rFonts w:hint="eastAsia"/>
        </w:rPr>
        <w:t>国家质量监督检验检疫总局令[2005]第75号</w:t>
      </w:r>
      <w:r>
        <w:rPr>
          <w:rFonts w:hint="eastAsia"/>
          <w:lang w:val="en-US" w:eastAsia="zh-CN"/>
        </w:rPr>
        <w:t xml:space="preserve"> </w:t>
      </w:r>
      <w:r>
        <w:rPr>
          <w:rFonts w:hint="eastAsia"/>
        </w:rPr>
        <w:t>定量包装商品计量监督管理办法</w:t>
      </w:r>
      <w:r>
        <w:rPr>
          <w:rFonts w:hint="eastAsia"/>
          <w:lang w:val="en-US" w:eastAsia="zh-CN"/>
        </w:rPr>
        <w:t xml:space="preserve"> </w:t>
      </w:r>
    </w:p>
    <w:p>
      <w:pPr>
        <w:pStyle w:val="42"/>
        <w:spacing w:before="312" w:after="312"/>
        <w:rPr>
          <w:color w:val="000000"/>
          <w:szCs w:val="22"/>
        </w:rPr>
      </w:pPr>
      <w:bookmarkStart w:id="38" w:name="_Toc7729"/>
      <w:bookmarkStart w:id="39" w:name="_Toc9148"/>
      <w:bookmarkStart w:id="40" w:name="_Toc43899014"/>
      <w:r>
        <w:rPr>
          <w:rFonts w:hint="eastAsia"/>
          <w:color w:val="000000"/>
          <w:szCs w:val="22"/>
        </w:rPr>
        <w:t>术语和定义</w:t>
      </w:r>
      <w:bookmarkEnd w:id="38"/>
      <w:bookmarkEnd w:id="39"/>
      <w:bookmarkEnd w:id="40"/>
    </w:p>
    <w:p>
      <w:pPr>
        <w:widowControl/>
        <w:ind w:firstLine="420" w:firstLineChars="200"/>
        <w:rPr>
          <w:rFonts w:ascii="宋体"/>
          <w:color w:val="000000"/>
          <w:kern w:val="0"/>
          <w:szCs w:val="21"/>
        </w:rPr>
      </w:pPr>
      <w:r>
        <w:rPr>
          <w:rFonts w:hint="eastAsia" w:ascii="宋体"/>
          <w:color w:val="000000"/>
          <w:kern w:val="0"/>
          <w:szCs w:val="21"/>
        </w:rPr>
        <w:t>下列术语和定义适用于本文件。</w:t>
      </w:r>
    </w:p>
    <w:p>
      <w:pPr>
        <w:pStyle w:val="39"/>
        <w:spacing w:before="156" w:after="156"/>
        <w:ind w:left="0"/>
        <w:rPr>
          <w:color w:val="000000"/>
        </w:rPr>
      </w:pPr>
    </w:p>
    <w:p>
      <w:pPr>
        <w:widowControl/>
        <w:wordWrap/>
        <w:adjustRightInd/>
        <w:snapToGrid/>
        <w:spacing w:before="156" w:beforeLines="50" w:after="156" w:afterLines="50" w:line="240" w:lineRule="auto"/>
        <w:ind w:left="0" w:leftChars="0" w:right="0" w:firstLine="420" w:firstLineChars="200"/>
        <w:jc w:val="both"/>
        <w:textAlignment w:val="auto"/>
        <w:outlineLvl w:val="9"/>
        <w:rPr>
          <w:rFonts w:hint="eastAsia" w:ascii="黑体" w:hAnsi="黑体" w:eastAsia="黑体"/>
          <w:color w:val="000000"/>
          <w:kern w:val="0"/>
          <w:szCs w:val="21"/>
          <w:lang w:val="en-US" w:eastAsia="zh-CN"/>
        </w:rPr>
      </w:pPr>
      <w:bookmarkStart w:id="41" w:name="_Toc25511"/>
      <w:r>
        <w:rPr>
          <w:rFonts w:hint="eastAsia" w:ascii="黑体" w:hAnsi="黑体" w:eastAsia="黑体"/>
          <w:color w:val="000000"/>
          <w:kern w:val="0"/>
          <w:szCs w:val="21"/>
        </w:rPr>
        <w:t>即食豆制品</w:t>
      </w:r>
      <w:r>
        <w:rPr>
          <w:rFonts w:hint="eastAsia" w:ascii="黑体" w:hAnsi="黑体" w:eastAsia="黑体"/>
          <w:color w:val="000000"/>
          <w:kern w:val="0"/>
          <w:szCs w:val="21"/>
          <w:lang w:val="en-US" w:eastAsia="zh-CN"/>
        </w:rPr>
        <w:t xml:space="preserve"> </w:t>
      </w:r>
      <w:r>
        <w:rPr>
          <w:rFonts w:hint="eastAsia" w:ascii="黑体" w:hAnsi="黑体" w:eastAsia="黑体" w:cs="Times New Roman"/>
          <w:color w:val="000000"/>
          <w:kern w:val="0"/>
          <w:sz w:val="21"/>
          <w:szCs w:val="21"/>
          <w:lang w:val="en-US" w:eastAsia="zh-CN" w:bidi="ar-SA"/>
        </w:rPr>
        <w:t>ready-to-eat bean product</w:t>
      </w:r>
    </w:p>
    <w:p>
      <w:pPr>
        <w:widowControl/>
        <w:ind w:firstLine="420" w:firstLineChars="200"/>
        <w:rPr>
          <w:rFonts w:ascii="宋体" w:hAnsi="宋体" w:cs="宋体"/>
          <w:color w:val="000000"/>
          <w:kern w:val="0"/>
          <w:szCs w:val="21"/>
        </w:rPr>
      </w:pPr>
      <w:r>
        <w:rPr>
          <w:rFonts w:hint="eastAsia" w:ascii="宋体" w:hAnsi="宋体" w:cs="宋体"/>
          <w:color w:val="000000"/>
          <w:kern w:val="0"/>
          <w:szCs w:val="21"/>
        </w:rPr>
        <w:t>以</w:t>
      </w:r>
      <w:r>
        <w:rPr>
          <w:rFonts w:hint="eastAsia" w:ascii="宋体" w:hAnsi="宋体" w:cs="宋体"/>
          <w:color w:val="000000"/>
          <w:kern w:val="0"/>
          <w:szCs w:val="21"/>
          <w:lang w:val="en-US" w:eastAsia="zh-CN"/>
        </w:rPr>
        <w:t>豆腐干类、腐皮、腐竹</w:t>
      </w:r>
      <w:r>
        <w:rPr>
          <w:rFonts w:hint="eastAsia" w:ascii="宋体" w:hAnsi="宋体" w:cs="宋体"/>
          <w:color w:val="000000"/>
          <w:kern w:val="0"/>
          <w:szCs w:val="21"/>
        </w:rPr>
        <w:t>、千张</w:t>
      </w:r>
      <w:r>
        <w:rPr>
          <w:rFonts w:hint="eastAsia" w:ascii="宋体" w:hAnsi="宋体" w:cs="宋体"/>
          <w:color w:val="000000"/>
          <w:kern w:val="0"/>
          <w:szCs w:val="21"/>
          <w:lang w:val="en-US" w:eastAsia="zh-CN"/>
        </w:rPr>
        <w:t>等豆制品</w:t>
      </w:r>
      <w:r>
        <w:rPr>
          <w:rFonts w:hint="eastAsia" w:ascii="宋体" w:hAnsi="宋体" w:cs="宋体"/>
          <w:color w:val="000000"/>
          <w:kern w:val="0"/>
          <w:szCs w:val="21"/>
        </w:rPr>
        <w:t>为原料，</w:t>
      </w:r>
      <w:r>
        <w:rPr>
          <w:rFonts w:hint="eastAsia" w:ascii="宋体" w:hAnsi="宋体" w:cs="宋体"/>
          <w:color w:val="000000"/>
          <w:kern w:val="0"/>
          <w:szCs w:val="21"/>
          <w:lang w:val="en-US" w:eastAsia="zh-CN"/>
        </w:rPr>
        <w:t>添加或不添加其他</w:t>
      </w:r>
      <w:r>
        <w:rPr>
          <w:rFonts w:hint="eastAsia" w:ascii="宋体" w:hAnsi="宋体" w:cs="宋体"/>
          <w:color w:val="000000"/>
          <w:kern w:val="0"/>
          <w:szCs w:val="21"/>
        </w:rPr>
        <w:t>辅料，经</w:t>
      </w:r>
      <w:r>
        <w:rPr>
          <w:rFonts w:hint="eastAsia" w:ascii="宋体" w:hAnsi="宋体" w:cs="宋体"/>
          <w:color w:val="000000"/>
          <w:kern w:val="0"/>
          <w:szCs w:val="21"/>
          <w:lang w:val="en-US" w:eastAsia="zh-CN"/>
        </w:rPr>
        <w:t>清洗、浸泡（或不浸泡）、油炸（或不油炸</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卤制调味、冷却（或不冷却）、</w:t>
      </w:r>
      <w:r>
        <w:rPr>
          <w:rFonts w:hint="eastAsia" w:ascii="宋体" w:hAnsi="宋体" w:cs="宋体"/>
          <w:color w:val="000000"/>
          <w:kern w:val="0"/>
          <w:szCs w:val="21"/>
        </w:rPr>
        <w:t>抽真空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或不抽真空</w:t>
      </w:r>
      <w:r>
        <w:rPr>
          <w:rFonts w:hint="eastAsia" w:ascii="宋体" w:hAnsi="宋体" w:cs="宋体"/>
          <w:color w:val="000000"/>
          <w:kern w:val="0"/>
          <w:szCs w:val="21"/>
          <w:lang w:eastAsia="zh-CN"/>
        </w:rPr>
        <w:t>）</w:t>
      </w:r>
      <w:r>
        <w:rPr>
          <w:rFonts w:hint="eastAsia" w:ascii="宋体" w:hAnsi="宋体" w:cs="宋体"/>
          <w:color w:val="000000"/>
          <w:kern w:val="0"/>
          <w:szCs w:val="21"/>
        </w:rPr>
        <w:t>包装、</w:t>
      </w:r>
      <w:r>
        <w:rPr>
          <w:rFonts w:hint="eastAsia" w:ascii="宋体" w:hAnsi="宋体" w:cs="宋体"/>
          <w:color w:val="000000"/>
          <w:kern w:val="0"/>
          <w:szCs w:val="21"/>
          <w:lang w:val="en-US" w:eastAsia="zh-CN"/>
        </w:rPr>
        <w:t>杀</w:t>
      </w:r>
      <w:r>
        <w:rPr>
          <w:rFonts w:hint="eastAsia" w:ascii="宋体" w:hAnsi="宋体" w:cs="宋体"/>
          <w:color w:val="000000"/>
          <w:kern w:val="0"/>
          <w:szCs w:val="21"/>
        </w:rPr>
        <w:t>菌</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或不杀菌</w:t>
      </w:r>
      <w:r>
        <w:rPr>
          <w:rFonts w:hint="eastAsia" w:ascii="宋体" w:hAnsi="宋体" w:cs="宋体"/>
          <w:color w:val="000000"/>
          <w:kern w:val="0"/>
          <w:szCs w:val="21"/>
          <w:lang w:eastAsia="zh-CN"/>
        </w:rPr>
        <w:t>）</w:t>
      </w:r>
      <w:r>
        <w:rPr>
          <w:rFonts w:hint="eastAsia" w:ascii="宋体" w:hAnsi="宋体" w:cs="宋体"/>
          <w:color w:val="000000"/>
          <w:kern w:val="0"/>
          <w:szCs w:val="21"/>
        </w:rPr>
        <w:t>等工艺而制成的</w:t>
      </w:r>
      <w:r>
        <w:rPr>
          <w:rFonts w:hint="eastAsia" w:ascii="宋体" w:hAnsi="宋体"/>
          <w:color w:val="000000"/>
          <w:szCs w:val="21"/>
        </w:rPr>
        <w:t>可直接食用的食品</w:t>
      </w:r>
      <w:r>
        <w:rPr>
          <w:rFonts w:hint="eastAsia" w:ascii="宋体" w:hAnsi="宋体" w:cs="宋体"/>
          <w:color w:val="000000"/>
          <w:kern w:val="0"/>
          <w:szCs w:val="21"/>
        </w:rPr>
        <w:t>。</w:t>
      </w:r>
      <w:bookmarkEnd w:id="41"/>
    </w:p>
    <w:p>
      <w:pPr>
        <w:pStyle w:val="42"/>
        <w:spacing w:before="312" w:after="312"/>
        <w:rPr>
          <w:rFonts w:hint="default"/>
          <w:lang w:val="en-US" w:eastAsia="zh-CN"/>
        </w:rPr>
      </w:pPr>
      <w:bookmarkStart w:id="42" w:name="_Toc24436"/>
      <w:r>
        <w:rPr>
          <w:rFonts w:hint="eastAsia"/>
          <w:lang w:val="en-US" w:eastAsia="zh-CN"/>
        </w:rPr>
        <w:t>要求</w:t>
      </w:r>
      <w:bookmarkEnd w:id="42"/>
    </w:p>
    <w:p>
      <w:pPr>
        <w:pStyle w:val="39"/>
        <w:spacing w:before="156" w:after="156"/>
        <w:ind w:left="0"/>
      </w:pPr>
      <w:r>
        <w:rPr>
          <w:rFonts w:hint="eastAsia"/>
          <w:color w:val="000000"/>
        </w:rPr>
        <w:t>原辅料要求</w:t>
      </w:r>
    </w:p>
    <w:p>
      <w:pPr>
        <w:pStyle w:val="60"/>
        <w:bidi w:val="0"/>
      </w:pPr>
      <w:r>
        <w:rPr>
          <w:rFonts w:hint="eastAsia"/>
          <w:lang w:val="en-US" w:eastAsia="zh-CN"/>
        </w:rPr>
        <w:t>豆腐干类、腐皮、腐竹</w:t>
      </w:r>
      <w:r>
        <w:rPr>
          <w:rFonts w:hint="eastAsia"/>
        </w:rPr>
        <w:t>应符合GB/T 22106和 GB 2712的规定</w:t>
      </w:r>
    </w:p>
    <w:p>
      <w:pPr>
        <w:pStyle w:val="60"/>
        <w:bidi w:val="0"/>
        <w:rPr>
          <w:rFonts w:hint="eastAsia"/>
        </w:rPr>
      </w:pPr>
      <w:r>
        <w:rPr>
          <w:rFonts w:hint="eastAsia"/>
        </w:rPr>
        <w:t>千张应符合GB 2712的规定。</w:t>
      </w:r>
    </w:p>
    <w:p>
      <w:pPr>
        <w:pStyle w:val="60"/>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其他原辅料应符合相关国家标准或行业标准的规定。</w:t>
      </w:r>
    </w:p>
    <w:p>
      <w:pPr>
        <w:pStyle w:val="39"/>
        <w:spacing w:before="156" w:after="156"/>
        <w:ind w:left="0"/>
        <w:rPr>
          <w:color w:val="000000"/>
        </w:rPr>
      </w:pPr>
      <w:r>
        <w:rPr>
          <w:rFonts w:hint="eastAsia"/>
          <w:color w:val="000000"/>
        </w:rPr>
        <w:t>感官要求</w:t>
      </w:r>
    </w:p>
    <w:p>
      <w:pPr>
        <w:pStyle w:val="22"/>
        <w:rPr>
          <w:color w:val="000000"/>
        </w:rPr>
      </w:pPr>
      <w:r>
        <w:rPr>
          <w:rFonts w:hint="eastAsia"/>
          <w:color w:val="000000"/>
        </w:rPr>
        <w:t>感官要求应符合表 1 的规定。</w:t>
      </w:r>
    </w:p>
    <w:p>
      <w:pPr>
        <w:pStyle w:val="22"/>
        <w:ind w:firstLine="0" w:firstLineChars="0"/>
        <w:jc w:val="center"/>
        <w:rPr>
          <w:rFonts w:ascii="黑体" w:hAnsi="黑体" w:eastAsia="黑体"/>
          <w:color w:val="000000"/>
        </w:rPr>
      </w:pPr>
      <w:r>
        <w:rPr>
          <w:rFonts w:hint="eastAsia" w:ascii="黑体" w:hAnsi="黑体" w:eastAsia="黑体"/>
          <w:color w:val="000000"/>
        </w:rPr>
        <w:t>表 1 感官要求</w:t>
      </w:r>
    </w:p>
    <w:tbl>
      <w:tblPr>
        <w:tblStyle w:val="31"/>
        <w:tblW w:w="895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1602"/>
        <w:gridCol w:w="1629"/>
        <w:gridCol w:w="1594"/>
        <w:gridCol w:w="18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276" w:type="dxa"/>
            <w:vMerge w:val="restart"/>
            <w:vAlign w:val="center"/>
          </w:tcPr>
          <w:p>
            <w:pPr>
              <w:pStyle w:val="22"/>
              <w:keepNext w:val="0"/>
              <w:keepLines w:val="0"/>
              <w:pageBreakBefore w:val="0"/>
              <w:kinsoku/>
              <w:wordWrap/>
              <w:overflowPunct/>
              <w:topLinePunct w:val="0"/>
              <w:bidi w:val="0"/>
              <w:adjustRightInd/>
              <w:snapToGrid/>
              <w:ind w:firstLine="0" w:firstLineChars="0"/>
              <w:jc w:val="center"/>
              <w:textAlignment w:val="auto"/>
              <w:rPr>
                <w:rFonts w:hAnsi="宋体" w:cs="宋体"/>
                <w:color w:val="000000"/>
                <w:sz w:val="21"/>
                <w:szCs w:val="21"/>
              </w:rPr>
            </w:pPr>
            <w:r>
              <w:rPr>
                <w:rFonts w:hint="eastAsia" w:hAnsi="宋体" w:cs="宋体"/>
                <w:color w:val="000000"/>
                <w:sz w:val="21"/>
                <w:szCs w:val="21"/>
              </w:rPr>
              <w:t>项目</w:t>
            </w:r>
          </w:p>
        </w:tc>
        <w:tc>
          <w:tcPr>
            <w:tcW w:w="6681" w:type="dxa"/>
            <w:gridSpan w:val="4"/>
            <w:vAlign w:val="top"/>
          </w:tcPr>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hAnsi="宋体" w:cs="宋体"/>
                <w:color w:val="000000"/>
                <w:sz w:val="21"/>
                <w:szCs w:val="21"/>
              </w:rPr>
            </w:pPr>
            <w:r>
              <w:rPr>
                <w:rFonts w:hint="eastAsia" w:hAnsi="宋体" w:cs="宋体"/>
                <w:color w:val="000000"/>
                <w:sz w:val="21"/>
                <w:szCs w:val="21"/>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2276" w:type="dxa"/>
            <w:vMerge w:val="continue"/>
            <w:vAlign w:val="top"/>
          </w:tcPr>
          <w:p>
            <w:pPr>
              <w:pStyle w:val="22"/>
              <w:keepNext w:val="0"/>
              <w:keepLines w:val="0"/>
              <w:pageBreakBefore w:val="0"/>
              <w:kinsoku/>
              <w:wordWrap/>
              <w:overflowPunct/>
              <w:topLinePunct w:val="0"/>
              <w:bidi w:val="0"/>
              <w:adjustRightInd/>
              <w:snapToGrid/>
              <w:ind w:firstLine="0" w:firstLineChars="0"/>
              <w:jc w:val="center"/>
              <w:textAlignment w:val="auto"/>
              <w:rPr>
                <w:sz w:val="21"/>
                <w:szCs w:val="21"/>
              </w:rPr>
            </w:pPr>
          </w:p>
        </w:tc>
        <w:tc>
          <w:tcPr>
            <w:tcW w:w="1602" w:type="dxa"/>
            <w:vAlign w:val="top"/>
          </w:tcPr>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eastAsia="宋体"/>
                <w:sz w:val="21"/>
                <w:szCs w:val="21"/>
                <w:lang w:val="en-US" w:eastAsia="zh-CN"/>
              </w:rPr>
            </w:pPr>
            <w:r>
              <w:rPr>
                <w:rFonts w:hint="eastAsia"/>
                <w:sz w:val="21"/>
                <w:szCs w:val="21"/>
                <w:lang w:val="en-US" w:eastAsia="zh-CN"/>
              </w:rPr>
              <w:t>豆腐干类</w:t>
            </w:r>
          </w:p>
        </w:tc>
        <w:tc>
          <w:tcPr>
            <w:tcW w:w="1629" w:type="dxa"/>
            <w:vAlign w:val="top"/>
          </w:tcPr>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sz w:val="21"/>
                <w:szCs w:val="21"/>
                <w:lang w:val="en-US" w:eastAsia="zh-CN"/>
              </w:rPr>
            </w:pPr>
            <w:r>
              <w:rPr>
                <w:rFonts w:hint="eastAsia"/>
                <w:sz w:val="21"/>
                <w:szCs w:val="21"/>
                <w:lang w:val="en-US" w:eastAsia="zh-CN"/>
              </w:rPr>
              <w:t>腐皮</w:t>
            </w:r>
          </w:p>
        </w:tc>
        <w:tc>
          <w:tcPr>
            <w:tcW w:w="1594" w:type="dxa"/>
            <w:vAlign w:val="top"/>
          </w:tcPr>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eastAsia="宋体"/>
                <w:sz w:val="21"/>
                <w:szCs w:val="21"/>
                <w:lang w:val="en-US" w:eastAsia="zh-CN"/>
              </w:rPr>
            </w:pPr>
            <w:r>
              <w:rPr>
                <w:rFonts w:hint="eastAsia"/>
                <w:sz w:val="21"/>
                <w:szCs w:val="21"/>
                <w:lang w:val="en-US" w:eastAsia="zh-CN"/>
              </w:rPr>
              <w:t>腐竹</w:t>
            </w:r>
          </w:p>
        </w:tc>
        <w:tc>
          <w:tcPr>
            <w:tcW w:w="1856" w:type="dxa"/>
            <w:vAlign w:val="top"/>
          </w:tcPr>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hAnsi="宋体" w:eastAsia="宋体" w:cs="宋体"/>
                <w:color w:val="000000"/>
                <w:sz w:val="21"/>
                <w:szCs w:val="21"/>
                <w:lang w:val="en-US" w:eastAsia="zh-CN"/>
              </w:rPr>
            </w:pPr>
            <w:r>
              <w:rPr>
                <w:rFonts w:hint="eastAsia" w:hAnsi="宋体" w:cs="宋体"/>
                <w:color w:val="000000"/>
                <w:sz w:val="21"/>
                <w:szCs w:val="21"/>
                <w:lang w:val="en-US" w:eastAsia="zh-CN"/>
              </w:rPr>
              <w:t>千张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vAlign w:val="top"/>
          </w:tcPr>
          <w:p>
            <w:pPr>
              <w:keepNext w:val="0"/>
              <w:keepLines w:val="0"/>
              <w:pageBreakBefore w:val="0"/>
              <w:kinsoku/>
              <w:wordWrap/>
              <w:overflowPunct/>
              <w:topLinePunct w:val="0"/>
              <w:bidi w:val="0"/>
              <w:adjustRightInd/>
              <w:snapToGrid/>
              <w:ind w:firstLine="0" w:firstLineChars="0"/>
              <w:jc w:val="left"/>
              <w:textAlignment w:val="auto"/>
              <w:rPr>
                <w:rFonts w:ascii="宋体" w:hAnsi="宋体" w:cs="宋体"/>
                <w:color w:val="000000"/>
                <w:sz w:val="21"/>
                <w:szCs w:val="21"/>
              </w:rPr>
            </w:pPr>
            <w:r>
              <w:rPr>
                <w:rFonts w:hint="eastAsia" w:ascii="宋体" w:hAnsi="宋体" w:cs="宋体"/>
                <w:color w:val="000000"/>
                <w:sz w:val="21"/>
                <w:szCs w:val="21"/>
              </w:rPr>
              <w:t>色泽</w:t>
            </w:r>
          </w:p>
        </w:tc>
        <w:tc>
          <w:tcPr>
            <w:tcW w:w="6681" w:type="dxa"/>
            <w:gridSpan w:val="4"/>
            <w:vAlign w:val="top"/>
          </w:tcPr>
          <w:p>
            <w:pPr>
              <w:keepNext w:val="0"/>
              <w:keepLines w:val="0"/>
              <w:pageBreakBefore w:val="0"/>
              <w:kinsoku/>
              <w:wordWrap/>
              <w:overflowPunct/>
              <w:topLinePunct w:val="0"/>
              <w:bidi w:val="0"/>
              <w:adjustRightInd/>
              <w:snapToGrid/>
              <w:ind w:firstLine="0" w:firstLineChars="0"/>
              <w:jc w:val="center"/>
              <w:textAlignment w:val="auto"/>
              <w:rPr>
                <w:rFonts w:hint="eastAsia" w:ascii="宋体" w:hAnsi="宋体" w:cs="宋体"/>
                <w:color w:val="000000"/>
                <w:sz w:val="21"/>
                <w:szCs w:val="21"/>
              </w:rPr>
            </w:pPr>
            <w:r>
              <w:rPr>
                <w:rFonts w:hint="eastAsia" w:ascii="宋体" w:hAnsi="宋体" w:cs="宋体"/>
                <w:color w:val="000000"/>
                <w:sz w:val="21"/>
                <w:szCs w:val="21"/>
              </w:rPr>
              <w:t>具有产品应有的色泽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vAlign w:val="top"/>
          </w:tcPr>
          <w:p>
            <w:pPr>
              <w:keepNext w:val="0"/>
              <w:keepLines w:val="0"/>
              <w:pageBreakBefore w:val="0"/>
              <w:kinsoku/>
              <w:wordWrap/>
              <w:overflowPunct/>
              <w:topLinePunct w:val="0"/>
              <w:bidi w:val="0"/>
              <w:adjustRightInd/>
              <w:snapToGrid/>
              <w:ind w:firstLine="0" w:firstLineChars="0"/>
              <w:jc w:val="left"/>
              <w:textAlignment w:val="auto"/>
              <w:rPr>
                <w:rFonts w:ascii="宋体" w:hAnsi="宋体" w:cs="宋体"/>
                <w:color w:val="000000"/>
                <w:sz w:val="21"/>
                <w:szCs w:val="21"/>
              </w:rPr>
            </w:pPr>
            <w:r>
              <w:rPr>
                <w:rFonts w:hint="eastAsia" w:ascii="宋体" w:hAnsi="宋体" w:cs="宋体"/>
                <w:color w:val="000000"/>
                <w:sz w:val="21"/>
                <w:szCs w:val="21"/>
              </w:rPr>
              <w:t>滋味、气味</w:t>
            </w:r>
          </w:p>
        </w:tc>
        <w:tc>
          <w:tcPr>
            <w:tcW w:w="6681" w:type="dxa"/>
            <w:gridSpan w:val="4"/>
            <w:vAlign w:val="top"/>
          </w:tcPr>
          <w:p>
            <w:pPr>
              <w:keepNext w:val="0"/>
              <w:keepLines w:val="0"/>
              <w:pageBreakBefore w:val="0"/>
              <w:kinsoku/>
              <w:wordWrap/>
              <w:overflowPunct/>
              <w:topLinePunct w:val="0"/>
              <w:bidi w:val="0"/>
              <w:adjustRightInd/>
              <w:snapToGrid/>
              <w:ind w:firstLine="0" w:firstLineChars="0"/>
              <w:jc w:val="center"/>
              <w:textAlignment w:val="auto"/>
              <w:rPr>
                <w:rFonts w:hint="eastAsia" w:ascii="宋体" w:hAnsi="宋体" w:cs="宋体"/>
                <w:color w:val="000000"/>
                <w:sz w:val="21"/>
                <w:szCs w:val="21"/>
              </w:rPr>
            </w:pPr>
            <w:r>
              <w:rPr>
                <w:rFonts w:hint="eastAsia" w:ascii="宋体" w:hAnsi="宋体" w:cs="宋体"/>
                <w:color w:val="000000"/>
                <w:sz w:val="21"/>
                <w:szCs w:val="21"/>
              </w:rPr>
              <w:t>香气正常，咸淡适口，无异味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vAlign w:val="center"/>
          </w:tcPr>
          <w:p>
            <w:pPr>
              <w:keepNext w:val="0"/>
              <w:keepLines w:val="0"/>
              <w:pageBreakBefore w:val="0"/>
              <w:kinsoku/>
              <w:wordWrap/>
              <w:overflowPunct/>
              <w:topLinePunct w:val="0"/>
              <w:bidi w:val="0"/>
              <w:adjustRightInd/>
              <w:snapToGrid/>
              <w:ind w:firstLine="0" w:firstLineChars="0"/>
              <w:jc w:val="left"/>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组织形态</w:t>
            </w:r>
          </w:p>
        </w:tc>
        <w:tc>
          <w:tcPr>
            <w:tcW w:w="1602" w:type="dxa"/>
            <w:vAlign w:val="top"/>
          </w:tcPr>
          <w:p>
            <w:pPr>
              <w:keepNext w:val="0"/>
              <w:keepLines w:val="0"/>
              <w:pageBreakBefore w:val="0"/>
              <w:kinsoku/>
              <w:wordWrap/>
              <w:overflowPunct/>
              <w:topLinePunct w:val="0"/>
              <w:bidi w:val="0"/>
              <w:adjustRightInd/>
              <w:snapToGrid/>
              <w:ind w:firstLine="0" w:firstLineChars="0"/>
              <w:jc w:val="left"/>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形状完整、均匀，软硬适宜，表面结皮均匀</w:t>
            </w:r>
          </w:p>
        </w:tc>
        <w:tc>
          <w:tcPr>
            <w:tcW w:w="1629" w:type="dxa"/>
            <w:vAlign w:val="top"/>
          </w:tcPr>
          <w:p>
            <w:pPr>
              <w:keepNext w:val="0"/>
              <w:keepLines w:val="0"/>
              <w:pageBreakBefore w:val="0"/>
              <w:kinsoku/>
              <w:wordWrap/>
              <w:overflowPunct/>
              <w:topLinePunct w:val="0"/>
              <w:bidi w:val="0"/>
              <w:adjustRightInd/>
              <w:snapToGrid/>
              <w:ind w:firstLine="0" w:firstLineChars="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薄膜状，薄厚均匀，有韧性，形态完整</w:t>
            </w:r>
          </w:p>
        </w:tc>
        <w:tc>
          <w:tcPr>
            <w:tcW w:w="1594" w:type="dxa"/>
            <w:vAlign w:val="top"/>
          </w:tcPr>
          <w:p>
            <w:pPr>
              <w:keepNext w:val="0"/>
              <w:keepLines w:val="0"/>
              <w:pageBreakBefore w:val="0"/>
              <w:kinsoku/>
              <w:wordWrap/>
              <w:overflowPunct/>
              <w:topLinePunct w:val="0"/>
              <w:bidi w:val="0"/>
              <w:adjustRightInd/>
              <w:snapToGrid/>
              <w:ind w:firstLine="0" w:firstLineChars="0"/>
              <w:jc w:val="left"/>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形态完整，具有韧性</w:t>
            </w:r>
          </w:p>
        </w:tc>
        <w:tc>
          <w:tcPr>
            <w:tcW w:w="1856" w:type="dxa"/>
            <w:vAlign w:val="top"/>
          </w:tcPr>
          <w:p>
            <w:pPr>
              <w:keepNext w:val="0"/>
              <w:keepLines w:val="0"/>
              <w:pageBreakBefore w:val="0"/>
              <w:kinsoku/>
              <w:wordWrap/>
              <w:overflowPunct/>
              <w:topLinePunct w:val="0"/>
              <w:bidi w:val="0"/>
              <w:adjustRightInd/>
              <w:snapToGrid/>
              <w:ind w:firstLine="0" w:firstLineChars="0"/>
              <w:jc w:val="left"/>
              <w:textAlignment w:val="auto"/>
              <w:rPr>
                <w:rFonts w:hint="eastAsia" w:ascii="宋体" w:hAnsi="宋体" w:cs="宋体"/>
                <w:color w:val="000000"/>
                <w:sz w:val="21"/>
                <w:szCs w:val="21"/>
              </w:rPr>
            </w:pPr>
            <w:r>
              <w:rPr>
                <w:rFonts w:hint="eastAsia" w:ascii="宋体" w:hAnsi="宋体" w:cs="宋体"/>
                <w:color w:val="000000"/>
                <w:sz w:val="21"/>
                <w:szCs w:val="21"/>
              </w:rPr>
              <w:t>形状完整、均匀，有弹性，无裂纹，切面光亮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vAlign w:val="center"/>
          </w:tcPr>
          <w:p>
            <w:pPr>
              <w:keepNext w:val="0"/>
              <w:keepLines w:val="0"/>
              <w:pageBreakBefore w:val="0"/>
              <w:kinsoku/>
              <w:wordWrap/>
              <w:overflowPunct/>
              <w:topLinePunct w:val="0"/>
              <w:bidi w:val="0"/>
              <w:adjustRightInd/>
              <w:snapToGrid/>
              <w:ind w:firstLine="0" w:firstLineChars="0"/>
              <w:jc w:val="left"/>
              <w:textAlignment w:val="auto"/>
              <w:rPr>
                <w:rFonts w:ascii="宋体" w:hAnsi="宋体" w:cs="宋体"/>
                <w:color w:val="000000"/>
                <w:sz w:val="21"/>
                <w:szCs w:val="21"/>
              </w:rPr>
            </w:pPr>
            <w:r>
              <w:rPr>
                <w:rFonts w:hint="eastAsia" w:ascii="宋体" w:hAnsi="宋体" w:cs="宋体"/>
                <w:color w:val="000000"/>
                <w:sz w:val="21"/>
                <w:szCs w:val="21"/>
              </w:rPr>
              <w:t>杂质</w:t>
            </w:r>
          </w:p>
        </w:tc>
        <w:tc>
          <w:tcPr>
            <w:tcW w:w="6681" w:type="dxa"/>
            <w:gridSpan w:val="4"/>
            <w:vAlign w:val="center"/>
          </w:tcPr>
          <w:p>
            <w:pPr>
              <w:keepNext w:val="0"/>
              <w:keepLines w:val="0"/>
              <w:pageBreakBefore w:val="0"/>
              <w:kinsoku/>
              <w:wordWrap/>
              <w:overflowPunct/>
              <w:topLinePunct w:val="0"/>
              <w:bidi w:val="0"/>
              <w:adjustRightInd/>
              <w:snapToGrid/>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无正常视力可见的杂质</w:t>
            </w:r>
          </w:p>
        </w:tc>
      </w:tr>
    </w:tbl>
    <w:p>
      <w:pPr>
        <w:pStyle w:val="39"/>
        <w:spacing w:before="156" w:after="156"/>
        <w:ind w:left="0"/>
        <w:rPr>
          <w:color w:val="000000"/>
        </w:rPr>
      </w:pPr>
      <w:r>
        <w:rPr>
          <w:rFonts w:hint="eastAsia"/>
          <w:color w:val="000000"/>
        </w:rPr>
        <w:t>理化指标</w:t>
      </w:r>
    </w:p>
    <w:p>
      <w:pPr>
        <w:pStyle w:val="22"/>
        <w:rPr>
          <w:rFonts w:hint="eastAsia"/>
          <w:color w:val="000000"/>
          <w:szCs w:val="21"/>
        </w:rPr>
      </w:pPr>
      <w:r>
        <w:rPr>
          <w:rFonts w:hint="eastAsia"/>
          <w:color w:val="000000"/>
          <w:szCs w:val="21"/>
        </w:rPr>
        <w:t>理化指标应符合表 2 的规定。</w:t>
      </w:r>
    </w:p>
    <w:p>
      <w:pPr>
        <w:pStyle w:val="22"/>
        <w:spacing w:before="156" w:beforeLines="50" w:after="156" w:afterLines="50"/>
        <w:ind w:firstLine="0" w:firstLineChars="0"/>
        <w:jc w:val="center"/>
        <w:rPr>
          <w:rFonts w:ascii="黑体" w:hAnsi="黑体" w:eastAsia="黑体"/>
          <w:color w:val="000000"/>
        </w:rPr>
      </w:pPr>
      <w:r>
        <w:rPr>
          <w:rFonts w:hint="eastAsia" w:ascii="黑体" w:hAnsi="黑体" w:eastAsia="黑体"/>
          <w:color w:val="000000"/>
        </w:rPr>
        <w:t>表 2 理化指标</w:t>
      </w:r>
    </w:p>
    <w:tbl>
      <w:tblPr>
        <w:tblStyle w:val="31"/>
        <w:tblW w:w="8957" w:type="dxa"/>
        <w:jc w:val="center"/>
        <w:tblInd w:w="-16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16"/>
        <w:gridCol w:w="806"/>
        <w:gridCol w:w="703"/>
        <w:gridCol w:w="677"/>
        <w:gridCol w:w="677"/>
        <w:gridCol w:w="780"/>
        <w:gridCol w:w="694"/>
        <w:gridCol w:w="651"/>
        <w:gridCol w:w="8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6" w:type="dxa"/>
            <w:vMerge w:val="restart"/>
            <w:vAlign w:val="center"/>
          </w:tcPr>
          <w:p>
            <w:pPr>
              <w:pStyle w:val="22"/>
              <w:ind w:firstLine="0" w:firstLineChars="0"/>
              <w:jc w:val="center"/>
              <w:rPr>
                <w:rFonts w:hAnsi="宋体" w:cs="宋体"/>
                <w:color w:val="000000"/>
                <w:sz w:val="21"/>
                <w:szCs w:val="21"/>
              </w:rPr>
            </w:pPr>
            <w:r>
              <w:rPr>
                <w:rFonts w:hint="eastAsia" w:hAnsi="宋体" w:cs="宋体"/>
                <w:color w:val="000000"/>
                <w:sz w:val="21"/>
                <w:szCs w:val="21"/>
              </w:rPr>
              <w:t>项目</w:t>
            </w:r>
          </w:p>
        </w:tc>
        <w:tc>
          <w:tcPr>
            <w:tcW w:w="5841" w:type="dxa"/>
            <w:gridSpan w:val="8"/>
            <w:vAlign w:val="top"/>
          </w:tcPr>
          <w:p>
            <w:pPr>
              <w:pStyle w:val="22"/>
              <w:ind w:firstLine="0" w:firstLineChars="0"/>
              <w:jc w:val="center"/>
              <w:rPr>
                <w:rFonts w:hAnsi="宋体" w:cs="宋体"/>
                <w:color w:val="000000"/>
                <w:sz w:val="21"/>
                <w:szCs w:val="21"/>
              </w:rPr>
            </w:pPr>
            <w:r>
              <w:rPr>
                <w:rFonts w:hint="eastAsia" w:hAnsi="宋体" w:cs="宋体"/>
                <w:color w:val="000000"/>
                <w:sz w:val="21"/>
                <w:szCs w:val="21"/>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116" w:type="dxa"/>
            <w:vMerge w:val="continue"/>
            <w:vAlign w:val="top"/>
          </w:tcPr>
          <w:p>
            <w:pPr>
              <w:pStyle w:val="22"/>
              <w:ind w:firstLine="0" w:firstLineChars="0"/>
              <w:jc w:val="center"/>
              <w:rPr>
                <w:rFonts w:hAnsi="宋体" w:cs="宋体"/>
                <w:color w:val="000000"/>
                <w:sz w:val="21"/>
                <w:szCs w:val="21"/>
              </w:rPr>
            </w:pPr>
          </w:p>
        </w:tc>
        <w:tc>
          <w:tcPr>
            <w:tcW w:w="1509" w:type="dxa"/>
            <w:gridSpan w:val="2"/>
            <w:vAlign w:val="top"/>
          </w:tcPr>
          <w:p>
            <w:pPr>
              <w:pStyle w:val="22"/>
              <w:ind w:firstLine="0" w:firstLineChars="0"/>
              <w:jc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豆腐干类</w:t>
            </w:r>
          </w:p>
        </w:tc>
        <w:tc>
          <w:tcPr>
            <w:tcW w:w="1354" w:type="dxa"/>
            <w:gridSpan w:val="2"/>
            <w:vAlign w:val="top"/>
          </w:tcPr>
          <w:p>
            <w:pPr>
              <w:pStyle w:val="22"/>
              <w:ind w:firstLine="0" w:firstLineChars="0"/>
              <w:jc w:val="center"/>
              <w:rPr>
                <w:rFonts w:hAnsi="宋体" w:cs="宋体"/>
                <w:color w:val="000000"/>
                <w:sz w:val="21"/>
                <w:szCs w:val="21"/>
              </w:rPr>
            </w:pPr>
            <w:r>
              <w:rPr>
                <w:rFonts w:hint="eastAsia" w:hAnsi="宋体" w:cs="宋体"/>
                <w:color w:val="000000"/>
                <w:sz w:val="21"/>
                <w:szCs w:val="21"/>
                <w:lang w:val="en-US" w:eastAsia="zh-CN"/>
              </w:rPr>
              <w:t>腐</w:t>
            </w:r>
            <w:r>
              <w:rPr>
                <w:rFonts w:hAnsi="宋体" w:cs="宋体"/>
                <w:color w:val="000000"/>
                <w:sz w:val="21"/>
                <w:szCs w:val="21"/>
              </w:rPr>
              <w:t>皮</w:t>
            </w:r>
          </w:p>
        </w:tc>
        <w:tc>
          <w:tcPr>
            <w:tcW w:w="1474" w:type="dxa"/>
            <w:gridSpan w:val="2"/>
            <w:vAlign w:val="top"/>
          </w:tcPr>
          <w:p>
            <w:pPr>
              <w:pStyle w:val="22"/>
              <w:ind w:firstLine="0" w:firstLineChars="0"/>
              <w:jc w:val="center"/>
              <w:rPr>
                <w:rFonts w:hAnsi="宋体" w:cs="宋体"/>
                <w:color w:val="000000"/>
                <w:sz w:val="21"/>
                <w:szCs w:val="21"/>
              </w:rPr>
            </w:pPr>
            <w:r>
              <w:rPr>
                <w:rFonts w:hAnsi="宋体" w:cs="宋体"/>
                <w:color w:val="000000"/>
                <w:sz w:val="21"/>
                <w:szCs w:val="21"/>
              </w:rPr>
              <w:t>腐竹</w:t>
            </w:r>
          </w:p>
        </w:tc>
        <w:tc>
          <w:tcPr>
            <w:tcW w:w="1504" w:type="dxa"/>
            <w:gridSpan w:val="2"/>
            <w:vAlign w:val="top"/>
          </w:tcPr>
          <w:p>
            <w:pPr>
              <w:pStyle w:val="22"/>
              <w:ind w:firstLine="0" w:firstLineChars="0"/>
              <w:jc w:val="center"/>
              <w:rPr>
                <w:rFonts w:hAnsi="宋体" w:cs="宋体"/>
                <w:color w:val="000000"/>
                <w:sz w:val="21"/>
                <w:szCs w:val="21"/>
              </w:rPr>
            </w:pPr>
            <w:r>
              <w:rPr>
                <w:rFonts w:hAnsi="宋体" w:cs="宋体"/>
                <w:color w:val="000000"/>
                <w:sz w:val="21"/>
                <w:szCs w:val="21"/>
              </w:rPr>
              <w:t>千张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116" w:type="dxa"/>
            <w:vMerge w:val="continue"/>
            <w:vAlign w:val="top"/>
          </w:tcPr>
          <w:p>
            <w:pPr>
              <w:pStyle w:val="22"/>
              <w:ind w:firstLine="0" w:firstLineChars="0"/>
              <w:jc w:val="center"/>
              <w:rPr>
                <w:rFonts w:hAnsi="宋体" w:cs="宋体"/>
                <w:color w:val="000000"/>
                <w:sz w:val="21"/>
                <w:szCs w:val="21"/>
              </w:rPr>
            </w:pPr>
          </w:p>
        </w:tc>
        <w:tc>
          <w:tcPr>
            <w:tcW w:w="806" w:type="dxa"/>
            <w:vAlign w:val="top"/>
          </w:tcPr>
          <w:p>
            <w:pPr>
              <w:pStyle w:val="22"/>
              <w:ind w:firstLine="0" w:firstLineChars="0"/>
              <w:jc w:val="center"/>
              <w:rPr>
                <w:rFonts w:hint="eastAsia" w:hAnsi="宋体" w:eastAsia="宋体" w:cs="宋体"/>
                <w:color w:val="000000"/>
                <w:sz w:val="21"/>
                <w:szCs w:val="21"/>
                <w:lang w:val="en-US" w:eastAsia="zh-CN"/>
              </w:rPr>
            </w:pPr>
            <w:r>
              <w:rPr>
                <w:rFonts w:hAnsi="宋体" w:cs="宋体"/>
                <w:color w:val="000000"/>
                <w:sz w:val="21"/>
                <w:szCs w:val="21"/>
              </w:rPr>
              <w:t>优</w:t>
            </w:r>
            <w:r>
              <w:rPr>
                <w:rFonts w:hint="eastAsia" w:hAnsi="宋体" w:cs="宋体"/>
                <w:color w:val="000000"/>
                <w:sz w:val="21"/>
                <w:szCs w:val="21"/>
                <w:lang w:val="en-US" w:eastAsia="zh-CN"/>
              </w:rPr>
              <w:t>级</w:t>
            </w:r>
          </w:p>
        </w:tc>
        <w:tc>
          <w:tcPr>
            <w:tcW w:w="703" w:type="dxa"/>
            <w:vAlign w:val="top"/>
          </w:tcPr>
          <w:p>
            <w:pPr>
              <w:pStyle w:val="22"/>
              <w:ind w:firstLine="0" w:firstLineChars="0"/>
              <w:jc w:val="center"/>
              <w:rPr>
                <w:rFonts w:hint="eastAsia" w:hAnsi="宋体" w:eastAsia="宋体" w:cs="宋体"/>
                <w:color w:val="000000"/>
                <w:sz w:val="21"/>
                <w:szCs w:val="21"/>
                <w:lang w:val="en-US" w:eastAsia="zh-CN"/>
              </w:rPr>
            </w:pPr>
            <w:r>
              <w:rPr>
                <w:rFonts w:hint="eastAsia" w:hAnsi="宋体" w:cs="宋体"/>
                <w:color w:val="000000"/>
                <w:sz w:val="21"/>
                <w:szCs w:val="21"/>
                <w:lang w:val="en-US" w:eastAsia="zh-CN"/>
              </w:rPr>
              <w:t>合格</w:t>
            </w:r>
          </w:p>
        </w:tc>
        <w:tc>
          <w:tcPr>
            <w:tcW w:w="677" w:type="dxa"/>
            <w:vAlign w:val="top"/>
          </w:tcPr>
          <w:p>
            <w:pPr>
              <w:pStyle w:val="22"/>
              <w:ind w:firstLine="0" w:firstLineChars="0"/>
              <w:jc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优级</w:t>
            </w:r>
          </w:p>
        </w:tc>
        <w:tc>
          <w:tcPr>
            <w:tcW w:w="677" w:type="dxa"/>
            <w:vAlign w:val="top"/>
          </w:tcPr>
          <w:p>
            <w:pPr>
              <w:pStyle w:val="22"/>
              <w:ind w:firstLine="0" w:firstLineChars="0"/>
              <w:jc w:val="center"/>
              <w:rPr>
                <w:rFonts w:hAnsi="宋体" w:cs="宋体"/>
                <w:color w:val="000000"/>
                <w:sz w:val="21"/>
                <w:szCs w:val="21"/>
              </w:rPr>
            </w:pPr>
            <w:r>
              <w:rPr>
                <w:rFonts w:hAnsi="宋体" w:cs="宋体"/>
                <w:color w:val="000000"/>
                <w:sz w:val="21"/>
                <w:szCs w:val="21"/>
              </w:rPr>
              <w:t>合格</w:t>
            </w:r>
          </w:p>
        </w:tc>
        <w:tc>
          <w:tcPr>
            <w:tcW w:w="780" w:type="dxa"/>
            <w:vAlign w:val="top"/>
          </w:tcPr>
          <w:p>
            <w:pPr>
              <w:pStyle w:val="22"/>
              <w:ind w:firstLine="0" w:firstLineChars="0"/>
              <w:jc w:val="center"/>
              <w:rPr>
                <w:rFonts w:hint="eastAsia" w:hAnsi="宋体" w:eastAsia="宋体" w:cs="宋体"/>
                <w:color w:val="000000"/>
                <w:sz w:val="21"/>
                <w:szCs w:val="21"/>
                <w:lang w:eastAsia="zh-CN"/>
              </w:rPr>
            </w:pPr>
            <w:r>
              <w:rPr>
                <w:rFonts w:hAnsi="宋体" w:cs="宋体"/>
                <w:color w:val="000000"/>
                <w:sz w:val="21"/>
                <w:szCs w:val="21"/>
              </w:rPr>
              <w:t>优</w:t>
            </w:r>
            <w:r>
              <w:rPr>
                <w:rFonts w:hint="eastAsia" w:hAnsi="宋体" w:cs="宋体"/>
                <w:color w:val="000000"/>
                <w:sz w:val="21"/>
                <w:szCs w:val="21"/>
                <w:lang w:val="en-US" w:eastAsia="zh-CN"/>
              </w:rPr>
              <w:t>级</w:t>
            </w:r>
          </w:p>
        </w:tc>
        <w:tc>
          <w:tcPr>
            <w:tcW w:w="694" w:type="dxa"/>
            <w:vAlign w:val="top"/>
          </w:tcPr>
          <w:p>
            <w:pPr>
              <w:pStyle w:val="22"/>
              <w:ind w:firstLine="0" w:firstLineChars="0"/>
              <w:jc w:val="center"/>
              <w:rPr>
                <w:rFonts w:hAnsi="宋体" w:cs="宋体"/>
                <w:color w:val="000000"/>
                <w:sz w:val="21"/>
                <w:szCs w:val="21"/>
              </w:rPr>
            </w:pPr>
            <w:r>
              <w:rPr>
                <w:rFonts w:hAnsi="宋体" w:cs="宋体"/>
                <w:color w:val="000000"/>
                <w:sz w:val="21"/>
                <w:szCs w:val="21"/>
              </w:rPr>
              <w:t>合格</w:t>
            </w:r>
          </w:p>
        </w:tc>
        <w:tc>
          <w:tcPr>
            <w:tcW w:w="651" w:type="dxa"/>
            <w:vAlign w:val="top"/>
          </w:tcPr>
          <w:p>
            <w:pPr>
              <w:pStyle w:val="22"/>
              <w:ind w:firstLine="0" w:firstLineChars="0"/>
              <w:jc w:val="center"/>
              <w:rPr>
                <w:rFonts w:hint="eastAsia" w:hAnsi="宋体" w:eastAsia="宋体" w:cs="宋体"/>
                <w:color w:val="000000"/>
                <w:sz w:val="21"/>
                <w:szCs w:val="21"/>
                <w:lang w:eastAsia="zh-CN"/>
              </w:rPr>
            </w:pPr>
            <w:r>
              <w:rPr>
                <w:rFonts w:hAnsi="宋体" w:cs="宋体"/>
                <w:color w:val="000000"/>
                <w:sz w:val="21"/>
                <w:szCs w:val="21"/>
              </w:rPr>
              <w:t>优</w:t>
            </w:r>
            <w:r>
              <w:rPr>
                <w:rFonts w:hint="eastAsia" w:hAnsi="宋体" w:cs="宋体"/>
                <w:color w:val="000000"/>
                <w:sz w:val="21"/>
                <w:szCs w:val="21"/>
                <w:lang w:val="en-US" w:eastAsia="zh-CN"/>
              </w:rPr>
              <w:t>级</w:t>
            </w:r>
          </w:p>
        </w:tc>
        <w:tc>
          <w:tcPr>
            <w:tcW w:w="853" w:type="dxa"/>
            <w:vAlign w:val="top"/>
          </w:tcPr>
          <w:p>
            <w:pPr>
              <w:pStyle w:val="22"/>
              <w:ind w:firstLine="0" w:firstLineChars="0"/>
              <w:jc w:val="center"/>
              <w:rPr>
                <w:rFonts w:hAnsi="宋体" w:cs="宋体"/>
                <w:color w:val="000000"/>
                <w:sz w:val="21"/>
                <w:szCs w:val="21"/>
              </w:rPr>
            </w:pPr>
            <w:r>
              <w:rPr>
                <w:rFonts w:hAnsi="宋体" w:cs="宋体"/>
                <w:color w:val="00000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116" w:type="dxa"/>
            <w:vAlign w:val="top"/>
          </w:tcPr>
          <w:p>
            <w:pPr>
              <w:pStyle w:val="22"/>
              <w:ind w:firstLine="0" w:firstLineChars="0"/>
              <w:rPr>
                <w:rFonts w:hAnsi="宋体" w:cs="宋体"/>
                <w:color w:val="000000"/>
                <w:sz w:val="21"/>
                <w:szCs w:val="21"/>
              </w:rPr>
            </w:pPr>
            <w:r>
              <w:rPr>
                <w:rFonts w:hint="eastAsia" w:hAnsi="宋体" w:cs="宋体"/>
                <w:color w:val="000000"/>
                <w:sz w:val="21"/>
                <w:szCs w:val="21"/>
              </w:rPr>
              <w:t xml:space="preserve">水分/(g/100 g)            ≤ </w:t>
            </w:r>
          </w:p>
        </w:tc>
        <w:tc>
          <w:tcPr>
            <w:tcW w:w="1509" w:type="dxa"/>
            <w:gridSpan w:val="2"/>
            <w:vAlign w:val="top"/>
          </w:tcPr>
          <w:p>
            <w:pPr>
              <w:pStyle w:val="22"/>
              <w:ind w:firstLine="0" w:firstLineChars="0"/>
              <w:jc w:val="center"/>
              <w:rPr>
                <w:rFonts w:hint="default" w:hAnsi="宋体" w:cs="宋体"/>
                <w:color w:val="000000"/>
                <w:sz w:val="21"/>
                <w:szCs w:val="21"/>
                <w:lang w:val="en-US" w:eastAsia="zh-CN"/>
              </w:rPr>
            </w:pPr>
            <w:r>
              <w:rPr>
                <w:rFonts w:hint="eastAsia" w:hAnsi="宋体" w:cs="宋体"/>
                <w:color w:val="000000"/>
                <w:sz w:val="21"/>
                <w:szCs w:val="21"/>
                <w:lang w:val="en-US" w:eastAsia="zh-CN"/>
              </w:rPr>
              <w:t>75</w:t>
            </w:r>
          </w:p>
        </w:tc>
        <w:tc>
          <w:tcPr>
            <w:tcW w:w="1354" w:type="dxa"/>
            <w:gridSpan w:val="2"/>
            <w:vAlign w:val="top"/>
          </w:tcPr>
          <w:p>
            <w:pPr>
              <w:pStyle w:val="22"/>
              <w:ind w:firstLine="0" w:firstLineChars="0"/>
              <w:jc w:val="center"/>
              <w:rPr>
                <w:rFonts w:hint="default" w:hAnsi="宋体" w:cs="宋体"/>
                <w:color w:val="000000"/>
                <w:sz w:val="21"/>
                <w:szCs w:val="21"/>
                <w:lang w:val="en-US" w:eastAsia="zh-CN"/>
              </w:rPr>
            </w:pPr>
            <w:r>
              <w:rPr>
                <w:rFonts w:hint="eastAsia" w:hAnsi="宋体" w:cs="宋体"/>
                <w:color w:val="000000"/>
                <w:sz w:val="21"/>
                <w:szCs w:val="21"/>
                <w:lang w:val="en-US" w:eastAsia="zh-CN"/>
              </w:rPr>
              <w:t>40</w:t>
            </w:r>
          </w:p>
        </w:tc>
        <w:tc>
          <w:tcPr>
            <w:tcW w:w="1474" w:type="dxa"/>
            <w:gridSpan w:val="2"/>
            <w:vAlign w:val="top"/>
          </w:tcPr>
          <w:p>
            <w:pPr>
              <w:pStyle w:val="22"/>
              <w:ind w:firstLine="0" w:firstLineChars="0"/>
              <w:jc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40</w:t>
            </w:r>
          </w:p>
        </w:tc>
        <w:tc>
          <w:tcPr>
            <w:tcW w:w="1504" w:type="dxa"/>
            <w:gridSpan w:val="2"/>
            <w:vAlign w:val="top"/>
          </w:tcPr>
          <w:p>
            <w:pPr>
              <w:pStyle w:val="22"/>
              <w:ind w:firstLine="0" w:firstLineChars="0"/>
              <w:jc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6" w:type="dxa"/>
            <w:vAlign w:val="top"/>
          </w:tcPr>
          <w:p>
            <w:pPr>
              <w:pStyle w:val="22"/>
              <w:ind w:firstLine="0" w:firstLineChars="0"/>
              <w:rPr>
                <w:rFonts w:hAnsi="宋体" w:cs="宋体"/>
                <w:color w:val="000000"/>
                <w:sz w:val="21"/>
                <w:szCs w:val="21"/>
              </w:rPr>
            </w:pPr>
            <w:r>
              <w:rPr>
                <w:rFonts w:hint="eastAsia" w:hAnsi="宋体" w:cs="宋体"/>
                <w:color w:val="000000"/>
                <w:sz w:val="21"/>
                <w:szCs w:val="21"/>
              </w:rPr>
              <w:t xml:space="preserve">蛋白质/(g/100 g)          ≥ </w:t>
            </w:r>
          </w:p>
        </w:tc>
        <w:tc>
          <w:tcPr>
            <w:tcW w:w="806" w:type="dxa"/>
            <w:vAlign w:val="top"/>
          </w:tcPr>
          <w:p>
            <w:pPr>
              <w:pStyle w:val="22"/>
              <w:ind w:firstLine="0" w:firstLineChars="0"/>
              <w:jc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20</w:t>
            </w:r>
          </w:p>
        </w:tc>
        <w:tc>
          <w:tcPr>
            <w:tcW w:w="703" w:type="dxa"/>
            <w:vAlign w:val="top"/>
          </w:tcPr>
          <w:p>
            <w:pPr>
              <w:pStyle w:val="22"/>
              <w:ind w:firstLine="0" w:firstLineChars="0"/>
              <w:jc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15</w:t>
            </w:r>
          </w:p>
        </w:tc>
        <w:tc>
          <w:tcPr>
            <w:tcW w:w="677" w:type="dxa"/>
            <w:vAlign w:val="top"/>
          </w:tcPr>
          <w:p>
            <w:pPr>
              <w:pStyle w:val="22"/>
              <w:ind w:firstLine="0" w:firstLineChars="0"/>
              <w:jc w:val="center"/>
              <w:rPr>
                <w:rFonts w:hint="default" w:hAnsi="宋体" w:cs="宋体"/>
                <w:color w:val="000000"/>
                <w:sz w:val="21"/>
                <w:szCs w:val="21"/>
                <w:lang w:val="en-US" w:eastAsia="zh-CN"/>
              </w:rPr>
            </w:pPr>
            <w:r>
              <w:rPr>
                <w:rFonts w:hint="eastAsia" w:hAnsi="宋体" w:cs="宋体"/>
                <w:color w:val="000000"/>
                <w:sz w:val="21"/>
                <w:szCs w:val="21"/>
                <w:lang w:val="en-US" w:eastAsia="zh-CN"/>
              </w:rPr>
              <w:t>25</w:t>
            </w:r>
          </w:p>
        </w:tc>
        <w:tc>
          <w:tcPr>
            <w:tcW w:w="677" w:type="dxa"/>
            <w:vAlign w:val="top"/>
          </w:tcPr>
          <w:p>
            <w:pPr>
              <w:pStyle w:val="22"/>
              <w:ind w:firstLine="0" w:firstLineChars="0"/>
              <w:jc w:val="center"/>
              <w:rPr>
                <w:rFonts w:hint="default" w:hAnsi="宋体" w:cs="宋体"/>
                <w:color w:val="000000"/>
                <w:sz w:val="21"/>
                <w:szCs w:val="21"/>
                <w:lang w:val="en-US" w:eastAsia="zh-CN"/>
              </w:rPr>
            </w:pPr>
            <w:r>
              <w:rPr>
                <w:rFonts w:hint="eastAsia" w:hAnsi="宋体" w:cs="宋体"/>
                <w:color w:val="000000"/>
                <w:sz w:val="21"/>
                <w:szCs w:val="21"/>
                <w:lang w:val="en-US" w:eastAsia="zh-CN"/>
              </w:rPr>
              <w:t>20</w:t>
            </w:r>
          </w:p>
        </w:tc>
        <w:tc>
          <w:tcPr>
            <w:tcW w:w="780" w:type="dxa"/>
            <w:vAlign w:val="top"/>
          </w:tcPr>
          <w:p>
            <w:pPr>
              <w:pStyle w:val="22"/>
              <w:ind w:firstLine="0" w:firstLineChars="0"/>
              <w:jc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25</w:t>
            </w:r>
          </w:p>
        </w:tc>
        <w:tc>
          <w:tcPr>
            <w:tcW w:w="694" w:type="dxa"/>
            <w:vAlign w:val="top"/>
          </w:tcPr>
          <w:p>
            <w:pPr>
              <w:pStyle w:val="22"/>
              <w:ind w:firstLine="0" w:firstLineChars="0"/>
              <w:jc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20</w:t>
            </w:r>
          </w:p>
        </w:tc>
        <w:tc>
          <w:tcPr>
            <w:tcW w:w="651" w:type="dxa"/>
            <w:vAlign w:val="top"/>
          </w:tcPr>
          <w:p>
            <w:pPr>
              <w:pStyle w:val="22"/>
              <w:ind w:firstLine="0" w:firstLineChars="0"/>
              <w:jc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25</w:t>
            </w:r>
          </w:p>
        </w:tc>
        <w:tc>
          <w:tcPr>
            <w:tcW w:w="853" w:type="dxa"/>
            <w:vAlign w:val="top"/>
          </w:tcPr>
          <w:p>
            <w:pPr>
              <w:pStyle w:val="22"/>
              <w:ind w:firstLine="0" w:firstLineChars="0"/>
              <w:jc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6" w:type="dxa"/>
            <w:vAlign w:val="top"/>
          </w:tcPr>
          <w:p>
            <w:pPr>
              <w:pStyle w:val="22"/>
              <w:ind w:firstLine="0" w:firstLineChars="0"/>
              <w:rPr>
                <w:rFonts w:hint="eastAsia" w:hAnsi="宋体" w:cs="宋体"/>
                <w:color w:val="000000"/>
                <w:sz w:val="21"/>
                <w:szCs w:val="21"/>
              </w:rPr>
            </w:pPr>
            <w:r>
              <w:rPr>
                <w:rFonts w:hint="eastAsia" w:hAnsi="宋体" w:cs="宋体"/>
                <w:color w:val="000000"/>
                <w:sz w:val="21"/>
                <w:szCs w:val="21"/>
              </w:rPr>
              <w:t>食盐（以NaCl计）/(g/100 g) ≤</w:t>
            </w:r>
          </w:p>
        </w:tc>
        <w:tc>
          <w:tcPr>
            <w:tcW w:w="5841" w:type="dxa"/>
            <w:gridSpan w:val="8"/>
            <w:vAlign w:val="top"/>
          </w:tcPr>
          <w:p>
            <w:pPr>
              <w:pStyle w:val="22"/>
              <w:ind w:firstLine="0" w:firstLineChars="0"/>
              <w:jc w:val="center"/>
              <w:rPr>
                <w:rFonts w:hAnsi="宋体" w:cs="宋体"/>
                <w:color w:val="000000"/>
                <w:sz w:val="21"/>
                <w:szCs w:val="21"/>
              </w:rPr>
            </w:pPr>
            <w:r>
              <w:rPr>
                <w:rFonts w:hint="eastAsia" w:hAnsi="宋体" w:cs="宋体"/>
                <w:color w:val="000000"/>
                <w:sz w:val="21"/>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16" w:type="dxa"/>
            <w:vAlign w:val="top"/>
          </w:tcPr>
          <w:p>
            <w:pPr>
              <w:pStyle w:val="22"/>
              <w:ind w:firstLine="0" w:firstLineChars="0"/>
              <w:rPr>
                <w:rFonts w:hAnsi="宋体" w:cs="宋体"/>
                <w:color w:val="000000"/>
                <w:sz w:val="21"/>
                <w:szCs w:val="21"/>
              </w:rPr>
            </w:pPr>
            <w:r>
              <w:rPr>
                <w:rFonts w:hint="eastAsia" w:hAnsi="宋体" w:cs="宋体"/>
                <w:color w:val="000000"/>
                <w:sz w:val="21"/>
                <w:szCs w:val="21"/>
              </w:rPr>
              <w:t xml:space="preserve">铅（以Pb计）/(mg/kg)     </w:t>
            </w:r>
            <w:r>
              <w:rPr>
                <w:rFonts w:hint="eastAsia" w:hAnsi="宋体" w:cs="宋体"/>
                <w:color w:val="000000"/>
                <w:sz w:val="21"/>
                <w:szCs w:val="21"/>
                <w:lang w:val="en-US" w:eastAsia="zh-CN"/>
              </w:rPr>
              <w:t xml:space="preserve"> </w:t>
            </w:r>
            <w:r>
              <w:rPr>
                <w:rFonts w:hint="eastAsia" w:hAnsi="宋体" w:cs="宋体"/>
                <w:color w:val="000000"/>
                <w:sz w:val="21"/>
                <w:szCs w:val="21"/>
              </w:rPr>
              <w:t xml:space="preserve">≤ </w:t>
            </w:r>
          </w:p>
        </w:tc>
        <w:tc>
          <w:tcPr>
            <w:tcW w:w="5841" w:type="dxa"/>
            <w:gridSpan w:val="8"/>
            <w:vAlign w:val="top"/>
          </w:tcPr>
          <w:p>
            <w:pPr>
              <w:pStyle w:val="22"/>
              <w:ind w:firstLine="0" w:firstLineChars="0"/>
              <w:jc w:val="center"/>
              <w:rPr>
                <w:rFonts w:hAnsi="宋体" w:cs="宋体"/>
                <w:color w:val="000000"/>
                <w:sz w:val="21"/>
                <w:szCs w:val="21"/>
              </w:rPr>
            </w:pPr>
            <w:r>
              <w:rPr>
                <w:rFonts w:hint="eastAsia" w:hAnsi="宋体" w:cs="宋体"/>
                <w:color w:val="000000"/>
                <w:sz w:val="21"/>
                <w:szCs w:val="21"/>
              </w:rPr>
              <w:t>0.5</w:t>
            </w:r>
          </w:p>
        </w:tc>
      </w:tr>
    </w:tbl>
    <w:p>
      <w:pPr>
        <w:pStyle w:val="39"/>
        <w:spacing w:before="156" w:after="156"/>
        <w:ind w:left="0"/>
        <w:rPr>
          <w:color w:val="000000"/>
        </w:rPr>
      </w:pPr>
      <w:r>
        <w:rPr>
          <w:rFonts w:hint="eastAsia"/>
          <w:color w:val="000000"/>
        </w:rPr>
        <w:t>微生物</w:t>
      </w:r>
      <w:r>
        <w:rPr>
          <w:color w:val="000000"/>
        </w:rPr>
        <w:t>限量</w:t>
      </w:r>
    </w:p>
    <w:p>
      <w:pPr>
        <w:pStyle w:val="60"/>
        <w:bidi w:val="0"/>
        <w:rPr>
          <w:rFonts w:hint="eastAsia"/>
          <w:lang w:val="en-US" w:eastAsia="zh-CN"/>
        </w:rPr>
      </w:pPr>
      <w:r>
        <w:rPr>
          <w:rFonts w:hint="eastAsia"/>
          <w:lang w:val="en-US" w:eastAsia="zh-CN"/>
        </w:rPr>
        <w:t>微生物限量应符合表 3 的规定。</w:t>
      </w:r>
    </w:p>
    <w:p>
      <w:pPr>
        <w:rPr>
          <w:rFonts w:hint="eastAsia"/>
          <w:lang w:val="en-US" w:eastAsia="zh-CN"/>
        </w:rPr>
      </w:pPr>
      <w:r>
        <w:rPr>
          <w:rFonts w:hint="eastAsia"/>
          <w:lang w:val="en-US" w:eastAsia="zh-CN"/>
        </w:rPr>
        <w:br w:type="page"/>
      </w:r>
    </w:p>
    <w:p>
      <w:pPr>
        <w:pStyle w:val="22"/>
        <w:spacing w:before="156" w:beforeLines="50" w:after="156" w:afterLines="50"/>
        <w:ind w:firstLine="0" w:firstLineChars="0"/>
        <w:jc w:val="center"/>
        <w:rPr>
          <w:rFonts w:hint="default" w:ascii="黑体" w:hAnsi="黑体" w:eastAsia="黑体"/>
          <w:color w:val="000000"/>
          <w:szCs w:val="22"/>
          <w:lang w:val="en-US" w:eastAsia="zh-CN"/>
        </w:rPr>
      </w:pPr>
      <w:r>
        <w:rPr>
          <w:rFonts w:hint="eastAsia" w:ascii="黑体" w:hAnsi="黑体" w:eastAsia="黑体"/>
          <w:color w:val="000000"/>
          <w:szCs w:val="22"/>
          <w:lang w:val="en-US" w:eastAsia="zh-CN"/>
        </w:rPr>
        <w:t>表3 微生物限量</w:t>
      </w:r>
    </w:p>
    <w:tbl>
      <w:tblPr>
        <w:tblStyle w:val="32"/>
        <w:tblW w:w="895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57"/>
        <w:gridCol w:w="1394"/>
        <w:gridCol w:w="1329"/>
        <w:gridCol w:w="1366"/>
        <w:gridCol w:w="13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3557" w:type="dxa"/>
            <w:vMerge w:val="restart"/>
            <w:vAlign w:val="center"/>
          </w:tcPr>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color w:val="000000"/>
                <w:szCs w:val="18"/>
                <w:vertAlign w:val="baseline"/>
                <w:lang w:val="en-US" w:eastAsia="zh-CN"/>
              </w:rPr>
            </w:pPr>
            <w:r>
              <w:rPr>
                <w:rFonts w:hint="eastAsia"/>
                <w:color w:val="000000"/>
                <w:szCs w:val="18"/>
                <w:vertAlign w:val="baseline"/>
                <w:lang w:val="en-US" w:eastAsia="zh-CN"/>
              </w:rPr>
              <w:t>项目</w:t>
            </w:r>
          </w:p>
        </w:tc>
        <w:tc>
          <w:tcPr>
            <w:tcW w:w="5400" w:type="dxa"/>
            <w:gridSpan w:val="4"/>
            <w:vAlign w:val="top"/>
          </w:tcPr>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color w:val="000000"/>
                <w:szCs w:val="18"/>
                <w:vertAlign w:val="baseline"/>
                <w:lang w:val="en-US" w:eastAsia="zh-CN"/>
              </w:rPr>
            </w:pPr>
            <w:r>
              <w:rPr>
                <w:rFonts w:hint="eastAsia"/>
                <w:color w:val="000000"/>
                <w:szCs w:val="18"/>
                <w:vertAlign w:val="baseline"/>
                <w:lang w:val="en-US" w:eastAsia="zh-CN"/>
              </w:rPr>
              <w:t>采样方案</w:t>
            </w:r>
            <w:r>
              <w:rPr>
                <w:rFonts w:hint="eastAsia"/>
                <w:color w:val="000000"/>
                <w:szCs w:val="18"/>
                <w:vertAlign w:val="superscript"/>
                <w:lang w:val="en-US" w:eastAsia="zh-CN"/>
              </w:rPr>
              <w:t>a</w:t>
            </w:r>
            <w:r>
              <w:rPr>
                <w:rFonts w:hint="eastAsia"/>
                <w:color w:val="000000"/>
                <w:szCs w:val="18"/>
                <w:vertAlign w:val="baseline"/>
                <w:lang w:val="en-US" w:eastAsia="zh-CN"/>
              </w:rPr>
              <w:t>及限量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3557" w:type="dxa"/>
            <w:vMerge w:val="continue"/>
            <w:vAlign w:val="top"/>
          </w:tcPr>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szCs w:val="18"/>
              </w:rPr>
            </w:pPr>
          </w:p>
        </w:tc>
        <w:tc>
          <w:tcPr>
            <w:tcW w:w="1394" w:type="dxa"/>
            <w:vAlign w:val="top"/>
          </w:tcPr>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eastAsia="宋体"/>
                <w:szCs w:val="18"/>
                <w:lang w:val="en-US" w:eastAsia="zh-CN"/>
              </w:rPr>
            </w:pPr>
            <w:r>
              <w:rPr>
                <w:rFonts w:hint="eastAsia"/>
                <w:szCs w:val="18"/>
                <w:lang w:val="en-US" w:eastAsia="zh-CN"/>
              </w:rPr>
              <w:t>n</w:t>
            </w:r>
          </w:p>
        </w:tc>
        <w:tc>
          <w:tcPr>
            <w:tcW w:w="1329" w:type="dxa"/>
            <w:vAlign w:val="top"/>
          </w:tcPr>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eastAsia="宋体"/>
                <w:szCs w:val="18"/>
                <w:lang w:val="en-US" w:eastAsia="zh-CN"/>
              </w:rPr>
            </w:pPr>
            <w:r>
              <w:rPr>
                <w:rFonts w:hint="eastAsia"/>
                <w:szCs w:val="18"/>
                <w:lang w:val="en-US" w:eastAsia="zh-CN"/>
              </w:rPr>
              <w:t>c</w:t>
            </w:r>
          </w:p>
        </w:tc>
        <w:tc>
          <w:tcPr>
            <w:tcW w:w="1366" w:type="dxa"/>
            <w:vAlign w:val="top"/>
          </w:tcPr>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eastAsia="宋体"/>
                <w:szCs w:val="18"/>
                <w:lang w:val="en-US" w:eastAsia="zh-CN"/>
              </w:rPr>
            </w:pPr>
            <w:r>
              <w:rPr>
                <w:rFonts w:hint="eastAsia"/>
                <w:szCs w:val="18"/>
                <w:lang w:val="en-US" w:eastAsia="zh-CN"/>
              </w:rPr>
              <w:t>m</w:t>
            </w:r>
          </w:p>
        </w:tc>
        <w:tc>
          <w:tcPr>
            <w:tcW w:w="1311" w:type="dxa"/>
            <w:vAlign w:val="top"/>
          </w:tcPr>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color w:val="000000"/>
                <w:szCs w:val="18"/>
                <w:vertAlign w:val="baseline"/>
                <w:lang w:val="en-US" w:eastAsia="zh-CN"/>
              </w:rPr>
            </w:pPr>
            <w:r>
              <w:rPr>
                <w:rFonts w:hint="eastAsia"/>
                <w:color w:val="000000"/>
                <w:szCs w:val="18"/>
                <w:vertAlign w:val="baseline"/>
                <w:lang w:val="en-US" w:eastAsia="zh-CN"/>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557" w:type="dxa"/>
            <w:vAlign w:val="top"/>
          </w:tcPr>
          <w:p>
            <w:pPr>
              <w:pStyle w:val="22"/>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color w:val="000000"/>
                <w:szCs w:val="18"/>
                <w:vertAlign w:val="baseline"/>
                <w:lang w:val="en-US" w:eastAsia="zh-CN"/>
              </w:rPr>
            </w:pPr>
            <w:r>
              <w:rPr>
                <w:rFonts w:hint="eastAsia"/>
                <w:color w:val="000000"/>
                <w:szCs w:val="18"/>
                <w:vertAlign w:val="baseline"/>
                <w:lang w:val="en-US" w:eastAsia="zh-CN"/>
              </w:rPr>
              <w:t>大肠菌群/（CFU/g或CFU/mL）</w:t>
            </w:r>
          </w:p>
        </w:tc>
        <w:tc>
          <w:tcPr>
            <w:tcW w:w="1394" w:type="dxa"/>
            <w:vAlign w:val="top"/>
          </w:tcPr>
          <w:p>
            <w:pPr>
              <w:pStyle w:val="22"/>
              <w:ind w:left="0" w:leftChars="0" w:firstLine="0" w:firstLineChars="0"/>
              <w:jc w:val="center"/>
              <w:rPr>
                <w:rFonts w:hint="default"/>
                <w:color w:val="000000"/>
                <w:szCs w:val="18"/>
                <w:vertAlign w:val="baseline"/>
                <w:lang w:val="en-US" w:eastAsia="zh-CN"/>
              </w:rPr>
            </w:pPr>
            <w:r>
              <w:rPr>
                <w:rFonts w:hint="eastAsia"/>
                <w:color w:val="000000"/>
                <w:szCs w:val="18"/>
                <w:vertAlign w:val="baseline"/>
                <w:lang w:val="en-US" w:eastAsia="zh-CN"/>
              </w:rPr>
              <w:t>5</w:t>
            </w:r>
          </w:p>
        </w:tc>
        <w:tc>
          <w:tcPr>
            <w:tcW w:w="1329" w:type="dxa"/>
            <w:vAlign w:val="top"/>
          </w:tcPr>
          <w:p>
            <w:pPr>
              <w:pStyle w:val="22"/>
              <w:ind w:left="0" w:leftChars="0" w:firstLine="0" w:firstLineChars="0"/>
              <w:jc w:val="center"/>
              <w:rPr>
                <w:rFonts w:hint="default"/>
                <w:color w:val="000000"/>
                <w:szCs w:val="18"/>
                <w:vertAlign w:val="baseline"/>
                <w:lang w:val="en-US" w:eastAsia="zh-CN"/>
              </w:rPr>
            </w:pPr>
            <w:r>
              <w:rPr>
                <w:rFonts w:hint="eastAsia"/>
                <w:color w:val="000000"/>
                <w:szCs w:val="18"/>
                <w:vertAlign w:val="baseline"/>
                <w:lang w:val="en-US" w:eastAsia="zh-CN"/>
              </w:rPr>
              <w:t>2</w:t>
            </w:r>
          </w:p>
        </w:tc>
        <w:tc>
          <w:tcPr>
            <w:tcW w:w="1366" w:type="dxa"/>
            <w:vAlign w:val="top"/>
          </w:tcPr>
          <w:p>
            <w:pPr>
              <w:pStyle w:val="22"/>
              <w:ind w:left="0" w:leftChars="0" w:firstLine="0" w:firstLineChars="0"/>
              <w:jc w:val="center"/>
              <w:rPr>
                <w:rFonts w:hint="default"/>
                <w:color w:val="000000"/>
                <w:szCs w:val="18"/>
                <w:vertAlign w:val="baseline"/>
                <w:lang w:val="en-US" w:eastAsia="zh-CN"/>
              </w:rPr>
            </w:pPr>
            <w:r>
              <w:rPr>
                <w:rFonts w:hint="eastAsia"/>
                <w:color w:val="000000"/>
                <w:szCs w:val="18"/>
                <w:vertAlign w:val="baseline"/>
                <w:lang w:val="en-US" w:eastAsia="zh-CN"/>
              </w:rPr>
              <w:t>10</w:t>
            </w:r>
            <w:r>
              <w:rPr>
                <w:rFonts w:hint="eastAsia"/>
                <w:color w:val="000000"/>
                <w:szCs w:val="18"/>
                <w:vertAlign w:val="superscript"/>
                <w:lang w:val="en-US" w:eastAsia="zh-CN"/>
              </w:rPr>
              <w:t>2</w:t>
            </w:r>
          </w:p>
        </w:tc>
        <w:tc>
          <w:tcPr>
            <w:tcW w:w="1311" w:type="dxa"/>
            <w:vAlign w:val="top"/>
          </w:tcPr>
          <w:p>
            <w:pPr>
              <w:pStyle w:val="22"/>
              <w:ind w:left="0" w:leftChars="0" w:firstLine="0" w:firstLineChars="0"/>
              <w:jc w:val="center"/>
              <w:rPr>
                <w:rFonts w:hint="default"/>
                <w:color w:val="000000"/>
                <w:szCs w:val="18"/>
                <w:vertAlign w:val="baseline"/>
                <w:lang w:val="en-US" w:eastAsia="zh-CN"/>
              </w:rPr>
            </w:pPr>
            <w:r>
              <w:rPr>
                <w:rFonts w:hint="eastAsia"/>
                <w:color w:val="000000"/>
                <w:szCs w:val="18"/>
                <w:vertAlign w:val="baseline"/>
                <w:lang w:val="en-US" w:eastAsia="zh-CN"/>
              </w:rPr>
              <w:t>10</w:t>
            </w:r>
            <w:r>
              <w:rPr>
                <w:rFonts w:hint="eastAsia"/>
                <w:color w:val="000000"/>
                <w:szCs w:val="18"/>
                <w:vertAlign w:val="superscript"/>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557" w:type="dxa"/>
            <w:vAlign w:val="top"/>
          </w:tcPr>
          <w:p>
            <w:pPr>
              <w:pStyle w:val="22"/>
              <w:ind w:left="0" w:leftChars="0" w:firstLine="0" w:firstLineChars="0"/>
              <w:rPr>
                <w:rFonts w:hint="default"/>
                <w:color w:val="000000"/>
                <w:szCs w:val="18"/>
                <w:vertAlign w:val="baseline"/>
                <w:lang w:val="en-US" w:eastAsia="zh-CN"/>
              </w:rPr>
            </w:pPr>
            <w:r>
              <w:rPr>
                <w:rFonts w:hint="default"/>
                <w:color w:val="000000"/>
                <w:szCs w:val="18"/>
                <w:vertAlign w:val="baseline"/>
                <w:lang w:val="en-US" w:eastAsia="zh-CN"/>
              </w:rPr>
              <w:t>沙门氏菌</w:t>
            </w:r>
            <w:r>
              <w:rPr>
                <w:rFonts w:hint="eastAsia"/>
                <w:color w:val="000000"/>
                <w:szCs w:val="18"/>
                <w:vertAlign w:val="baseline"/>
                <w:lang w:val="en-US" w:eastAsia="zh-CN"/>
              </w:rPr>
              <w:t>/（CFU/g或CFU/mL）</w:t>
            </w:r>
          </w:p>
        </w:tc>
        <w:tc>
          <w:tcPr>
            <w:tcW w:w="1394" w:type="dxa"/>
            <w:vAlign w:val="top"/>
          </w:tcPr>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color w:val="000000"/>
                <w:szCs w:val="18"/>
                <w:vertAlign w:val="baseline"/>
                <w:lang w:val="en-US" w:eastAsia="zh-CN"/>
              </w:rPr>
            </w:pPr>
            <w:r>
              <w:rPr>
                <w:rFonts w:hint="eastAsia"/>
                <w:color w:val="000000"/>
                <w:szCs w:val="18"/>
                <w:vertAlign w:val="baseline"/>
                <w:lang w:val="en-US" w:eastAsia="zh-CN"/>
              </w:rPr>
              <w:t>5</w:t>
            </w:r>
          </w:p>
        </w:tc>
        <w:tc>
          <w:tcPr>
            <w:tcW w:w="1329" w:type="dxa"/>
            <w:vAlign w:val="top"/>
          </w:tcPr>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color w:val="000000"/>
                <w:szCs w:val="18"/>
                <w:vertAlign w:val="baseline"/>
                <w:lang w:val="en-US" w:eastAsia="zh-CN"/>
              </w:rPr>
            </w:pPr>
            <w:r>
              <w:rPr>
                <w:rFonts w:hint="eastAsia"/>
                <w:color w:val="000000"/>
                <w:szCs w:val="18"/>
                <w:vertAlign w:val="baseline"/>
                <w:lang w:val="en-US" w:eastAsia="zh-CN"/>
              </w:rPr>
              <w:t>0</w:t>
            </w:r>
          </w:p>
        </w:tc>
        <w:tc>
          <w:tcPr>
            <w:tcW w:w="1366" w:type="dxa"/>
            <w:vAlign w:val="top"/>
          </w:tcPr>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color w:val="000000"/>
                <w:szCs w:val="18"/>
                <w:vertAlign w:val="baseline"/>
                <w:lang w:val="en-US" w:eastAsia="zh-CN"/>
              </w:rPr>
            </w:pPr>
            <w:r>
              <w:rPr>
                <w:rFonts w:hint="eastAsia"/>
                <w:color w:val="000000"/>
                <w:szCs w:val="18"/>
                <w:vertAlign w:val="baseline"/>
                <w:lang w:val="en-US" w:eastAsia="zh-CN"/>
              </w:rPr>
              <w:t>0</w:t>
            </w:r>
          </w:p>
        </w:tc>
        <w:tc>
          <w:tcPr>
            <w:tcW w:w="1311" w:type="dxa"/>
            <w:vAlign w:val="top"/>
          </w:tcPr>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color w:val="000000"/>
                <w:szCs w:val="18"/>
                <w:vertAlign w:val="baseline"/>
                <w:lang w:val="en-US" w:eastAsia="zh-CN"/>
              </w:rPr>
            </w:pPr>
            <w:r>
              <w:rPr>
                <w:rFonts w:hint="eastAsia"/>
                <w:color w:val="000000"/>
                <w:szCs w:val="18"/>
                <w:vertAlign w:val="baseli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557" w:type="dxa"/>
            <w:vAlign w:val="top"/>
          </w:tcPr>
          <w:p>
            <w:pPr>
              <w:pStyle w:val="22"/>
              <w:ind w:left="0" w:leftChars="0" w:firstLine="0" w:firstLineChars="0"/>
              <w:rPr>
                <w:rFonts w:hint="eastAsia"/>
                <w:color w:val="000000"/>
                <w:sz w:val="18"/>
                <w:szCs w:val="18"/>
                <w:vertAlign w:val="superscript"/>
                <w:lang w:val="en-US" w:eastAsia="zh-CN"/>
              </w:rPr>
            </w:pPr>
            <w:r>
              <w:rPr>
                <w:rFonts w:hint="eastAsia"/>
                <w:color w:val="000000"/>
                <w:szCs w:val="22"/>
                <w:vertAlign w:val="baseline"/>
                <w:lang w:val="en-US" w:eastAsia="zh-CN"/>
              </w:rPr>
              <w:t>金黄色葡萄球菌/</w:t>
            </w:r>
            <w:r>
              <w:rPr>
                <w:rFonts w:hint="eastAsia"/>
                <w:color w:val="000000"/>
                <w:szCs w:val="18"/>
                <w:vertAlign w:val="baseline"/>
                <w:lang w:val="en-US" w:eastAsia="zh-CN"/>
              </w:rPr>
              <w:t>（CFU/g或CFU/mL）</w:t>
            </w:r>
          </w:p>
        </w:tc>
        <w:tc>
          <w:tcPr>
            <w:tcW w:w="1394" w:type="dxa"/>
            <w:vAlign w:val="top"/>
          </w:tcPr>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color w:val="000000"/>
                <w:szCs w:val="22"/>
                <w:vertAlign w:val="baseline"/>
                <w:lang w:val="en-US" w:eastAsia="zh-CN"/>
              </w:rPr>
            </w:pPr>
            <w:r>
              <w:rPr>
                <w:rFonts w:hint="eastAsia"/>
                <w:color w:val="000000"/>
                <w:szCs w:val="22"/>
                <w:vertAlign w:val="baseline"/>
                <w:lang w:val="en-US" w:eastAsia="zh-CN"/>
              </w:rPr>
              <w:t>5</w:t>
            </w:r>
          </w:p>
        </w:tc>
        <w:tc>
          <w:tcPr>
            <w:tcW w:w="1329" w:type="dxa"/>
            <w:vAlign w:val="top"/>
          </w:tcPr>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color w:val="000000"/>
                <w:szCs w:val="22"/>
                <w:vertAlign w:val="baseline"/>
                <w:lang w:val="en-US" w:eastAsia="zh-CN"/>
              </w:rPr>
            </w:pPr>
            <w:r>
              <w:rPr>
                <w:rFonts w:hint="eastAsia"/>
                <w:color w:val="000000"/>
                <w:szCs w:val="22"/>
                <w:vertAlign w:val="baseline"/>
                <w:lang w:val="en-US" w:eastAsia="zh-CN"/>
              </w:rPr>
              <w:t>1</w:t>
            </w:r>
          </w:p>
        </w:tc>
        <w:tc>
          <w:tcPr>
            <w:tcW w:w="1366" w:type="dxa"/>
            <w:vAlign w:val="top"/>
          </w:tcPr>
          <w:p>
            <w:pPr>
              <w:pStyle w:val="22"/>
              <w:rPr>
                <w:rFonts w:hint="eastAsia"/>
                <w:color w:val="000000"/>
                <w:sz w:val="18"/>
                <w:szCs w:val="18"/>
                <w:vertAlign w:val="superscript"/>
                <w:lang w:val="en-US" w:eastAsia="zh-CN"/>
              </w:rPr>
            </w:pPr>
            <w:r>
              <w:rPr>
                <w:rFonts w:hint="eastAsia"/>
                <w:color w:val="000000"/>
                <w:szCs w:val="18"/>
                <w:vertAlign w:val="baseline"/>
                <w:lang w:val="en-US" w:eastAsia="zh-CN"/>
              </w:rPr>
              <w:t>10</w:t>
            </w:r>
            <w:r>
              <w:rPr>
                <w:rFonts w:hint="eastAsia"/>
                <w:color w:val="000000"/>
                <w:szCs w:val="18"/>
                <w:vertAlign w:val="superscript"/>
                <w:lang w:val="en-US" w:eastAsia="zh-CN"/>
              </w:rPr>
              <w:t>2</w:t>
            </w:r>
          </w:p>
        </w:tc>
        <w:tc>
          <w:tcPr>
            <w:tcW w:w="1311" w:type="dxa"/>
            <w:vAlign w:val="top"/>
          </w:tcPr>
          <w:p>
            <w:pPr>
              <w:pStyle w:val="22"/>
              <w:rPr>
                <w:rFonts w:hint="eastAsia"/>
                <w:color w:val="000000"/>
                <w:sz w:val="18"/>
                <w:szCs w:val="18"/>
                <w:vertAlign w:val="superscript"/>
                <w:lang w:val="en-US" w:eastAsia="zh-CN"/>
              </w:rPr>
            </w:pPr>
            <w:r>
              <w:rPr>
                <w:rFonts w:hint="eastAsia"/>
                <w:color w:val="000000"/>
                <w:szCs w:val="18"/>
                <w:vertAlign w:val="baseline"/>
                <w:lang w:val="en-US" w:eastAsia="zh-CN"/>
              </w:rPr>
              <w:t>10</w:t>
            </w:r>
            <w:r>
              <w:rPr>
                <w:rFonts w:hint="eastAsia"/>
                <w:color w:val="000000"/>
                <w:szCs w:val="18"/>
                <w:vertAlign w:val="superscript"/>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57" w:type="dxa"/>
            <w:gridSpan w:val="5"/>
            <w:vAlign w:val="top"/>
          </w:tcPr>
          <w:p>
            <w:pPr>
              <w:pStyle w:val="54"/>
              <w:keepNext w:val="0"/>
              <w:keepLines w:val="0"/>
              <w:pageBreakBefore w:val="0"/>
              <w:widowControl w:val="0"/>
              <w:numPr>
                <w:ilvl w:val="0"/>
                <w:numId w:val="0"/>
              </w:numPr>
              <w:kinsoku/>
              <w:wordWrap/>
              <w:overflowPunct/>
              <w:topLinePunct w:val="0"/>
              <w:autoSpaceDE w:val="0"/>
              <w:autoSpaceDN w:val="0"/>
              <w:bidi w:val="0"/>
              <w:adjustRightInd/>
              <w:snapToGrid/>
              <w:ind w:firstLine="360" w:firstLineChars="200"/>
              <w:textAlignment w:val="auto"/>
              <w:rPr>
                <w:rFonts w:hint="eastAsia"/>
                <w:lang w:val="en-US" w:eastAsia="zh-CN"/>
              </w:rPr>
            </w:pPr>
            <w:r>
              <w:rPr>
                <w:rFonts w:hint="eastAsia"/>
                <w:vertAlign w:val="superscript"/>
                <w:lang w:val="en-US" w:eastAsia="zh-CN"/>
              </w:rPr>
              <w:t>a</w:t>
            </w:r>
            <w:r>
              <w:rPr>
                <w:rFonts w:hint="eastAsia"/>
                <w:lang w:val="en-US" w:eastAsia="zh-CN"/>
              </w:rPr>
              <w:t>样品的采样及处理按GB 4789.1 执行</w:t>
            </w:r>
          </w:p>
        </w:tc>
      </w:tr>
    </w:tbl>
    <w:p>
      <w:pPr>
        <w:pStyle w:val="60"/>
        <w:bidi w:val="0"/>
        <w:rPr>
          <w:rFonts w:hint="default"/>
          <w:lang w:val="en-US" w:eastAsia="zh-CN"/>
        </w:rPr>
      </w:pPr>
      <w:r>
        <w:rPr>
          <w:rFonts w:hint="eastAsia"/>
          <w:lang w:val="en-US" w:eastAsia="zh-CN"/>
        </w:rPr>
        <w:t>商业无菌工艺的产品微生物限量应符合</w:t>
      </w:r>
      <w:r>
        <w:rPr>
          <w:rFonts w:hint="eastAsia"/>
        </w:rPr>
        <w:t>GB 7098</w:t>
      </w:r>
      <w:r>
        <w:rPr>
          <w:rFonts w:hint="eastAsia"/>
          <w:lang w:val="en-US" w:eastAsia="zh-CN"/>
        </w:rPr>
        <w:t>的规定。</w:t>
      </w:r>
    </w:p>
    <w:p>
      <w:pPr>
        <w:pStyle w:val="39"/>
        <w:spacing w:before="156" w:after="156"/>
        <w:ind w:left="0"/>
        <w:rPr>
          <w:color w:val="000000"/>
        </w:rPr>
      </w:pPr>
      <w:r>
        <w:rPr>
          <w:rFonts w:hint="eastAsia"/>
          <w:color w:val="000000"/>
        </w:rPr>
        <w:t>食品添加剂</w:t>
      </w:r>
      <w:r>
        <w:rPr>
          <w:rFonts w:hint="eastAsia"/>
          <w:color w:val="000000"/>
          <w:lang w:val="en-US" w:eastAsia="zh-CN"/>
        </w:rPr>
        <w:t>和食品营养强化剂</w:t>
      </w:r>
    </w:p>
    <w:p>
      <w:pPr>
        <w:pStyle w:val="60"/>
        <w:bidi w:val="0"/>
        <w:rPr>
          <w:rFonts w:hAnsi="宋体"/>
          <w:color w:val="000000"/>
        </w:rPr>
      </w:pPr>
      <w:r>
        <w:rPr>
          <w:rFonts w:hint="eastAsia" w:hAnsi="宋体"/>
          <w:color w:val="000000"/>
          <w:lang w:val="en-US" w:eastAsia="zh-CN"/>
        </w:rPr>
        <w:t>食品添加剂的使用</w:t>
      </w:r>
      <w:r>
        <w:rPr>
          <w:rFonts w:hint="eastAsia" w:hAnsi="宋体"/>
          <w:color w:val="000000"/>
        </w:rPr>
        <w:t>应符合GB 2760的规定。</w:t>
      </w:r>
    </w:p>
    <w:p>
      <w:pPr>
        <w:pStyle w:val="60"/>
        <w:bidi w:val="0"/>
        <w:rPr>
          <w:rFonts w:hAnsi="宋体"/>
          <w:color w:val="000000"/>
        </w:rPr>
      </w:pPr>
      <w:r>
        <w:rPr>
          <w:rFonts w:hint="eastAsia" w:hAnsi="宋体"/>
          <w:color w:val="000000"/>
          <w:lang w:val="en-US" w:eastAsia="zh-CN"/>
        </w:rPr>
        <w:t>食品营养强化剂的使用应符合GB 14880的规定。</w:t>
      </w:r>
    </w:p>
    <w:p>
      <w:pPr>
        <w:pStyle w:val="39"/>
        <w:spacing w:before="156" w:after="156"/>
        <w:ind w:left="0"/>
        <w:rPr>
          <w:color w:val="000000"/>
        </w:rPr>
      </w:pPr>
      <w:r>
        <w:rPr>
          <w:rFonts w:hint="eastAsia"/>
          <w:color w:val="000000"/>
        </w:rPr>
        <w:t>净含量</w:t>
      </w:r>
    </w:p>
    <w:p>
      <w:pPr>
        <w:pStyle w:val="22"/>
        <w:spacing w:before="156" w:beforeLines="50" w:after="156" w:afterLines="50"/>
        <w:rPr>
          <w:rFonts w:hint="eastAsia" w:hAnsi="宋体" w:cs="宋体"/>
          <w:color w:val="000000"/>
          <w:kern w:val="2"/>
          <w:szCs w:val="21"/>
        </w:rPr>
      </w:pPr>
      <w:r>
        <w:rPr>
          <w:rFonts w:hint="eastAsia" w:hAnsi="宋体" w:cs="宋体"/>
          <w:color w:val="000000"/>
          <w:kern w:val="2"/>
          <w:szCs w:val="21"/>
          <w:lang w:val="en-US" w:eastAsia="zh-CN"/>
        </w:rPr>
        <w:t>净含量</w:t>
      </w:r>
      <w:r>
        <w:rPr>
          <w:rFonts w:hint="eastAsia" w:hAnsi="宋体" w:cs="宋体"/>
          <w:color w:val="000000"/>
          <w:kern w:val="2"/>
          <w:szCs w:val="21"/>
        </w:rPr>
        <w:t>应符合《定量包装商品计量监督管理办法》的</w:t>
      </w:r>
      <w:r>
        <w:rPr>
          <w:rFonts w:hint="eastAsia" w:hAnsi="宋体" w:cs="宋体"/>
          <w:color w:val="000000"/>
          <w:kern w:val="2"/>
          <w:szCs w:val="21"/>
          <w:lang w:val="en-US" w:eastAsia="zh-CN"/>
        </w:rPr>
        <w:t>有关</w:t>
      </w:r>
      <w:r>
        <w:rPr>
          <w:rFonts w:hint="eastAsia" w:hAnsi="宋体" w:cs="宋体"/>
          <w:color w:val="000000"/>
          <w:kern w:val="2"/>
          <w:szCs w:val="21"/>
        </w:rPr>
        <w:t>规定。</w:t>
      </w:r>
    </w:p>
    <w:p>
      <w:pPr>
        <w:pStyle w:val="42"/>
        <w:spacing w:before="312" w:after="312"/>
        <w:rPr>
          <w:color w:val="000000"/>
          <w:szCs w:val="22"/>
        </w:rPr>
      </w:pPr>
      <w:bookmarkStart w:id="43" w:name="_Toc20593"/>
      <w:r>
        <w:rPr>
          <w:rFonts w:hint="eastAsia"/>
          <w:color w:val="000000"/>
          <w:szCs w:val="22"/>
        </w:rPr>
        <w:t>生产加工</w:t>
      </w:r>
      <w:r>
        <w:rPr>
          <w:rFonts w:hint="eastAsia"/>
          <w:color w:val="000000"/>
          <w:szCs w:val="22"/>
          <w:lang w:val="en-US" w:eastAsia="zh-CN"/>
        </w:rPr>
        <w:t>过程</w:t>
      </w:r>
      <w:r>
        <w:rPr>
          <w:rFonts w:hint="eastAsia"/>
          <w:color w:val="000000"/>
          <w:szCs w:val="22"/>
        </w:rPr>
        <w:t>卫生要求</w:t>
      </w:r>
      <w:bookmarkEnd w:id="43"/>
    </w:p>
    <w:p>
      <w:pPr>
        <w:pStyle w:val="22"/>
        <w:spacing w:before="156" w:beforeLines="50" w:after="156" w:afterLines="50"/>
        <w:rPr>
          <w:rFonts w:hint="eastAsia"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lang w:val="en-US" w:eastAsia="zh-CN"/>
          <w14:textFill>
            <w14:solidFill>
              <w14:schemeClr w14:val="tx1"/>
            </w14:solidFill>
          </w14:textFill>
        </w:rPr>
        <w:t>生产加工过程卫生要求</w:t>
      </w:r>
      <w:r>
        <w:rPr>
          <w:rFonts w:hint="eastAsia" w:hAnsi="宋体" w:cs="宋体"/>
          <w:color w:val="000000" w:themeColor="text1"/>
          <w:kern w:val="2"/>
          <w:szCs w:val="21"/>
          <w14:textFill>
            <w14:solidFill>
              <w14:schemeClr w14:val="tx1"/>
            </w14:solidFill>
          </w14:textFill>
        </w:rPr>
        <w:t>应符合GB 14881</w:t>
      </w:r>
      <w:r>
        <w:rPr>
          <w:rFonts w:hint="eastAsia" w:hAnsi="宋体" w:cs="宋体"/>
          <w:color w:val="000000" w:themeColor="text1"/>
          <w:kern w:val="2"/>
          <w:szCs w:val="21"/>
          <w:lang w:val="en-US" w:eastAsia="zh-CN"/>
          <w14:textFill>
            <w14:solidFill>
              <w14:schemeClr w14:val="tx1"/>
            </w14:solidFill>
          </w14:textFill>
        </w:rPr>
        <w:t>的</w:t>
      </w:r>
      <w:r>
        <w:rPr>
          <w:rFonts w:hint="eastAsia" w:hAnsi="宋体" w:cs="宋体"/>
          <w:color w:val="000000" w:themeColor="text1"/>
          <w:kern w:val="2"/>
          <w:szCs w:val="21"/>
          <w14:textFill>
            <w14:solidFill>
              <w14:schemeClr w14:val="tx1"/>
            </w14:solidFill>
          </w14:textFill>
        </w:rPr>
        <w:t>规定。</w:t>
      </w:r>
    </w:p>
    <w:p>
      <w:pPr>
        <w:pStyle w:val="42"/>
        <w:spacing w:before="312" w:after="312"/>
        <w:rPr>
          <w:color w:val="000000"/>
          <w:szCs w:val="22"/>
        </w:rPr>
      </w:pPr>
      <w:bookmarkStart w:id="44" w:name="_Toc43899016"/>
      <w:bookmarkStart w:id="45" w:name="_Toc13696"/>
      <w:bookmarkStart w:id="46" w:name="_Toc4212"/>
      <w:r>
        <w:rPr>
          <w:rFonts w:hint="eastAsia"/>
          <w:color w:val="000000"/>
          <w:szCs w:val="22"/>
          <w:lang w:val="en-US" w:eastAsia="zh-CN"/>
        </w:rPr>
        <w:t>试验</w:t>
      </w:r>
      <w:r>
        <w:rPr>
          <w:rFonts w:hint="eastAsia"/>
          <w:color w:val="000000"/>
          <w:szCs w:val="22"/>
        </w:rPr>
        <w:t>方法</w:t>
      </w:r>
      <w:bookmarkEnd w:id="44"/>
      <w:bookmarkEnd w:id="45"/>
      <w:bookmarkEnd w:id="46"/>
    </w:p>
    <w:p>
      <w:pPr>
        <w:pStyle w:val="39"/>
        <w:spacing w:before="156" w:after="156"/>
        <w:ind w:left="0"/>
        <w:rPr>
          <w:rFonts w:hint="default"/>
          <w:color w:val="000000"/>
          <w:lang w:val="en-US"/>
        </w:rPr>
      </w:pPr>
      <w:r>
        <w:rPr>
          <w:rFonts w:hint="eastAsia"/>
          <w:color w:val="000000"/>
        </w:rPr>
        <w:t>感官</w:t>
      </w:r>
      <w:r>
        <w:rPr>
          <w:rFonts w:hint="eastAsia"/>
          <w:color w:val="000000"/>
          <w:lang w:val="en-US" w:eastAsia="zh-CN"/>
        </w:rPr>
        <w:t>要求</w:t>
      </w:r>
    </w:p>
    <w:p>
      <w:pPr>
        <w:pStyle w:val="22"/>
        <w:bidi w:val="0"/>
        <w:ind w:firstLine="420" w:firstLineChars="200"/>
        <w:rPr>
          <w:rFonts w:hint="eastAsia" w:eastAsia="宋体"/>
          <w:lang w:eastAsia="zh-CN"/>
        </w:rPr>
      </w:pPr>
      <w:r>
        <w:rPr>
          <w:rFonts w:hint="eastAsia"/>
        </w:rPr>
        <w:t>取适量</w:t>
      </w:r>
      <w:r>
        <w:rPr>
          <w:rFonts w:hint="eastAsia"/>
          <w:lang w:val="en-US" w:eastAsia="zh-CN"/>
        </w:rPr>
        <w:t>样品</w:t>
      </w:r>
      <w:r>
        <w:rPr>
          <w:rFonts w:hint="eastAsia"/>
        </w:rPr>
        <w:t>置于白色瓷盘中</w:t>
      </w:r>
      <w:r>
        <w:rPr>
          <w:rFonts w:hint="eastAsia"/>
          <w:lang w:eastAsia="zh-CN"/>
        </w:rPr>
        <w:t>，</w:t>
      </w:r>
      <w:r>
        <w:rPr>
          <w:rFonts w:hint="eastAsia"/>
        </w:rPr>
        <w:t>在自然光下观察</w:t>
      </w:r>
      <w:r>
        <w:rPr>
          <w:rFonts w:hint="eastAsia"/>
          <w:lang w:val="en-US" w:eastAsia="zh-CN"/>
        </w:rPr>
        <w:t>其</w:t>
      </w:r>
      <w:r>
        <w:rPr>
          <w:rFonts w:hint="eastAsia"/>
        </w:rPr>
        <w:t>色泽</w:t>
      </w:r>
      <w:r>
        <w:rPr>
          <w:rFonts w:hint="eastAsia"/>
          <w:lang w:eastAsia="zh-CN"/>
        </w:rPr>
        <w:t>；</w:t>
      </w:r>
      <w:r>
        <w:rPr>
          <w:rFonts w:hint="eastAsia"/>
          <w:lang w:val="en-US" w:eastAsia="zh-CN"/>
        </w:rPr>
        <w:t>用刀剖开后观察其组织形态和杂质；然后</w:t>
      </w:r>
      <w:r>
        <w:rPr>
          <w:rFonts w:hint="eastAsia"/>
        </w:rPr>
        <w:t>用</w:t>
      </w:r>
      <w:r>
        <w:rPr>
          <w:rFonts w:hint="eastAsia"/>
          <w:lang w:val="en-US" w:eastAsia="zh-CN"/>
        </w:rPr>
        <w:t>鼻嗅其气味；用</w:t>
      </w:r>
      <w:r>
        <w:rPr>
          <w:rFonts w:hint="eastAsia"/>
        </w:rPr>
        <w:t>温开水漱口</w:t>
      </w:r>
      <w:r>
        <w:rPr>
          <w:rFonts w:hint="eastAsia"/>
          <w:lang w:val="en-US" w:eastAsia="zh-CN"/>
        </w:rPr>
        <w:t>后，</w:t>
      </w:r>
      <w:r>
        <w:rPr>
          <w:rFonts w:hint="eastAsia"/>
        </w:rPr>
        <w:t>品其滋味</w:t>
      </w:r>
      <w:r>
        <w:rPr>
          <w:rFonts w:hint="eastAsia"/>
          <w:lang w:eastAsia="zh-CN"/>
        </w:rPr>
        <w:t>。</w:t>
      </w:r>
    </w:p>
    <w:p>
      <w:pPr>
        <w:pStyle w:val="39"/>
        <w:spacing w:before="156" w:after="156"/>
        <w:ind w:left="0"/>
        <w:rPr>
          <w:rFonts w:ascii="宋体" w:hAnsi="宋体" w:eastAsia="宋体" w:cs="宋体"/>
          <w:color w:val="000000"/>
        </w:rPr>
      </w:pPr>
      <w:r>
        <w:rPr>
          <w:rFonts w:hint="eastAsia"/>
          <w:color w:val="000000"/>
        </w:rPr>
        <w:t>理化</w:t>
      </w:r>
      <w:r>
        <w:rPr>
          <w:rFonts w:hint="eastAsia" w:ascii="宋体" w:hAnsi="宋体" w:cs="宋体"/>
          <w:color w:val="000000"/>
        </w:rPr>
        <w:t>指标</w:t>
      </w:r>
    </w:p>
    <w:p>
      <w:pPr>
        <w:pStyle w:val="43"/>
        <w:spacing w:before="156" w:after="156"/>
        <w:rPr>
          <w:color w:val="000000"/>
        </w:rPr>
      </w:pPr>
      <w:r>
        <w:rPr>
          <w:rFonts w:hint="eastAsia"/>
          <w:color w:val="000000"/>
        </w:rPr>
        <w:t>水分</w:t>
      </w:r>
    </w:p>
    <w:p>
      <w:pPr>
        <w:autoSpaceDE w:val="0"/>
        <w:autoSpaceDN w:val="0"/>
        <w:ind w:firstLine="420" w:firstLineChars="200"/>
        <w:jc w:val="left"/>
        <w:rPr>
          <w:rFonts w:ascii="宋体" w:hAnsi="宋体" w:cs="宋体"/>
          <w:color w:val="000000"/>
          <w:kern w:val="0"/>
          <w:szCs w:val="21"/>
        </w:rPr>
      </w:pPr>
      <w:r>
        <w:rPr>
          <w:rFonts w:hint="eastAsia" w:ascii="宋体" w:hAnsi="宋体" w:cs="宋体"/>
          <w:color w:val="000000"/>
          <w:kern w:val="0"/>
          <w:szCs w:val="21"/>
        </w:rPr>
        <w:t>按</w:t>
      </w:r>
      <w:r>
        <w:rPr>
          <w:rFonts w:ascii="宋体" w:hAnsi="宋体" w:cs="宋体"/>
          <w:color w:val="000000"/>
          <w:kern w:val="0"/>
          <w:szCs w:val="21"/>
        </w:rPr>
        <w:t>GB</w:t>
      </w:r>
      <w:r>
        <w:rPr>
          <w:rFonts w:hint="eastAsia" w:ascii="宋体" w:hAnsi="宋体" w:cs="宋体"/>
          <w:color w:val="000000"/>
          <w:kern w:val="0"/>
          <w:szCs w:val="21"/>
        </w:rPr>
        <w:t xml:space="preserve"> </w:t>
      </w:r>
      <w:r>
        <w:rPr>
          <w:rFonts w:ascii="宋体" w:hAnsi="宋体" w:cs="宋体"/>
          <w:color w:val="000000"/>
          <w:kern w:val="0"/>
          <w:szCs w:val="21"/>
        </w:rPr>
        <w:t>5009</w:t>
      </w:r>
      <w:r>
        <w:rPr>
          <w:rFonts w:hint="eastAsia" w:ascii="宋体" w:hAnsi="宋体" w:cs="宋体"/>
          <w:color w:val="000000"/>
          <w:kern w:val="0"/>
          <w:szCs w:val="21"/>
        </w:rPr>
        <w:t>.3</w:t>
      </w:r>
      <w:r>
        <w:rPr>
          <w:rFonts w:hint="eastAsia" w:ascii="宋体" w:hAnsi="宋体" w:cs="宋体"/>
          <w:color w:val="000000"/>
          <w:kern w:val="0"/>
          <w:szCs w:val="21"/>
          <w:lang w:val="en-US" w:eastAsia="zh-CN"/>
        </w:rPr>
        <w:t>规定</w:t>
      </w:r>
      <w:r>
        <w:rPr>
          <w:rFonts w:hint="eastAsia" w:ascii="宋体" w:hAnsi="宋体" w:cs="宋体"/>
          <w:color w:val="000000"/>
          <w:kern w:val="0"/>
          <w:szCs w:val="21"/>
        </w:rPr>
        <w:t>的方法</w:t>
      </w:r>
      <w:r>
        <w:rPr>
          <w:rFonts w:hint="eastAsia" w:ascii="宋体" w:hAnsi="宋体" w:cs="宋体"/>
          <w:color w:val="000000"/>
          <w:kern w:val="0"/>
          <w:szCs w:val="21"/>
          <w:lang w:val="en-US" w:eastAsia="zh-CN"/>
        </w:rPr>
        <w:t>测定</w:t>
      </w:r>
      <w:r>
        <w:rPr>
          <w:rFonts w:hint="eastAsia" w:ascii="宋体" w:hAnsi="宋体" w:cs="宋体"/>
          <w:color w:val="000000"/>
          <w:kern w:val="0"/>
          <w:szCs w:val="21"/>
        </w:rPr>
        <w:t>。</w:t>
      </w:r>
    </w:p>
    <w:p>
      <w:pPr>
        <w:pStyle w:val="43"/>
        <w:spacing w:before="156" w:after="156"/>
        <w:rPr>
          <w:color w:val="000000"/>
        </w:rPr>
      </w:pPr>
      <w:r>
        <w:rPr>
          <w:rFonts w:hint="eastAsia"/>
          <w:color w:val="000000"/>
        </w:rPr>
        <w:t>蛋白质</w:t>
      </w:r>
    </w:p>
    <w:p>
      <w:pPr>
        <w:autoSpaceDE w:val="0"/>
        <w:autoSpaceDN w:val="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按</w:t>
      </w:r>
      <w:r>
        <w:rPr>
          <w:rFonts w:ascii="宋体" w:hAnsi="宋体" w:cs="宋体"/>
          <w:color w:val="000000"/>
          <w:kern w:val="0"/>
          <w:szCs w:val="21"/>
        </w:rPr>
        <w:t>GB 5009</w:t>
      </w:r>
      <w:r>
        <w:rPr>
          <w:rFonts w:hint="eastAsia" w:ascii="宋体" w:hAnsi="宋体" w:cs="宋体"/>
          <w:color w:val="000000"/>
          <w:kern w:val="0"/>
          <w:szCs w:val="21"/>
        </w:rPr>
        <w:t>.5</w:t>
      </w:r>
      <w:r>
        <w:rPr>
          <w:rFonts w:hint="eastAsia" w:ascii="宋体" w:hAnsi="宋体" w:cs="宋体"/>
          <w:color w:val="000000"/>
          <w:kern w:val="0"/>
          <w:szCs w:val="21"/>
          <w:lang w:val="en-US" w:eastAsia="zh-CN"/>
        </w:rPr>
        <w:t>规定</w:t>
      </w:r>
      <w:r>
        <w:rPr>
          <w:rFonts w:hint="eastAsia" w:ascii="宋体" w:hAnsi="宋体" w:cs="宋体"/>
          <w:color w:val="000000"/>
          <w:kern w:val="0"/>
          <w:szCs w:val="21"/>
        </w:rPr>
        <w:t>的方法测定，换算系数按5.71计。</w:t>
      </w:r>
    </w:p>
    <w:p>
      <w:pPr>
        <w:pStyle w:val="43"/>
        <w:spacing w:before="156" w:after="156"/>
        <w:rPr>
          <w:rFonts w:hint="eastAsia" w:ascii="宋体" w:hAnsi="宋体" w:cs="宋体"/>
          <w:color w:val="000000"/>
        </w:rPr>
      </w:pPr>
      <w:r>
        <w:rPr>
          <w:rFonts w:hint="eastAsia" w:ascii="宋体" w:hAnsi="宋体" w:cs="宋体"/>
          <w:color w:val="000000"/>
        </w:rPr>
        <w:t>食盐</w:t>
      </w:r>
    </w:p>
    <w:p>
      <w:pPr>
        <w:autoSpaceDE w:val="0"/>
        <w:autoSpaceDN w:val="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按GB 5009.44规定的方法测定。</w:t>
      </w:r>
    </w:p>
    <w:p>
      <w:pPr>
        <w:pStyle w:val="43"/>
        <w:spacing w:before="156" w:after="156"/>
        <w:rPr>
          <w:rFonts w:ascii="宋体" w:hAnsi="宋体" w:cs="宋体"/>
          <w:color w:val="000000"/>
        </w:rPr>
      </w:pPr>
      <w:r>
        <w:rPr>
          <w:rFonts w:hint="eastAsia"/>
          <w:color w:val="000000"/>
        </w:rPr>
        <w:t>铅</w:t>
      </w:r>
    </w:p>
    <w:p>
      <w:pPr>
        <w:autoSpaceDE w:val="0"/>
        <w:autoSpaceDN w:val="0"/>
        <w:ind w:firstLine="420" w:firstLineChars="200"/>
        <w:jc w:val="left"/>
        <w:rPr>
          <w:rFonts w:ascii="宋体" w:hAnsi="宋体" w:cs="宋体"/>
          <w:color w:val="000000"/>
          <w:kern w:val="0"/>
          <w:szCs w:val="21"/>
        </w:rPr>
      </w:pPr>
      <w:r>
        <w:rPr>
          <w:rFonts w:hint="eastAsia" w:ascii="宋体" w:hAnsi="宋体" w:cs="宋体"/>
          <w:color w:val="000000"/>
          <w:kern w:val="0"/>
          <w:szCs w:val="21"/>
        </w:rPr>
        <w:t>按GB 5009.12</w:t>
      </w:r>
      <w:r>
        <w:rPr>
          <w:rFonts w:hint="eastAsia" w:ascii="宋体" w:hAnsi="宋体" w:cs="宋体"/>
          <w:color w:val="000000"/>
          <w:kern w:val="0"/>
          <w:szCs w:val="21"/>
          <w:lang w:val="en-US" w:eastAsia="zh-CN"/>
        </w:rPr>
        <w:t>规定</w:t>
      </w:r>
      <w:r>
        <w:rPr>
          <w:rFonts w:hint="eastAsia" w:ascii="宋体" w:hAnsi="宋体" w:cs="宋体"/>
          <w:color w:val="000000"/>
          <w:kern w:val="0"/>
          <w:szCs w:val="21"/>
        </w:rPr>
        <w:t>的方法测定。</w:t>
      </w:r>
    </w:p>
    <w:p>
      <w:pPr>
        <w:pStyle w:val="39"/>
        <w:spacing w:before="156" w:after="156"/>
        <w:ind w:left="0"/>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微生物限量</w:t>
      </w:r>
    </w:p>
    <w:p>
      <w:pPr>
        <w:pStyle w:val="43"/>
        <w:spacing w:before="156" w:after="156"/>
        <w:rPr>
          <w:rFonts w:hint="eastAsia" w:ascii="宋体" w:hAnsi="宋体" w:cs="宋体"/>
          <w:color w:val="000000"/>
        </w:rPr>
      </w:pPr>
      <w:r>
        <w:rPr>
          <w:rFonts w:hint="eastAsia" w:ascii="宋体" w:hAnsi="宋体" w:cs="宋体"/>
          <w:color w:val="000000"/>
        </w:rPr>
        <w:t>大肠菌群</w:t>
      </w:r>
    </w:p>
    <w:p>
      <w:pPr>
        <w:pStyle w:val="22"/>
        <w:bidi w:val="0"/>
        <w:rPr>
          <w:rFonts w:hint="eastAsia"/>
        </w:rPr>
      </w:pPr>
      <w:r>
        <w:rPr>
          <w:rFonts w:hint="eastAsia"/>
          <w:lang w:val="en-US" w:eastAsia="zh-CN"/>
        </w:rPr>
        <w:t>按</w:t>
      </w:r>
      <w:r>
        <w:rPr>
          <w:rFonts w:hint="eastAsia"/>
        </w:rPr>
        <w:t>GB 4789.3平板计数法</w:t>
      </w:r>
      <w:r>
        <w:rPr>
          <w:rFonts w:hint="eastAsia"/>
          <w:lang w:val="en-US" w:eastAsia="zh-CN"/>
        </w:rPr>
        <w:t>规定的方法测定。</w:t>
      </w:r>
    </w:p>
    <w:p>
      <w:pPr>
        <w:pStyle w:val="43"/>
        <w:spacing w:before="156" w:after="156"/>
        <w:rPr>
          <w:rFonts w:hint="eastAsia" w:ascii="宋体" w:hAnsi="宋体" w:cs="宋体"/>
          <w:color w:val="000000"/>
        </w:rPr>
      </w:pPr>
      <w:r>
        <w:rPr>
          <w:rFonts w:hint="eastAsia" w:ascii="宋体" w:hAnsi="宋体" w:cs="宋体"/>
          <w:color w:val="000000"/>
          <w:lang w:val="en-US" w:eastAsia="zh-CN"/>
        </w:rPr>
        <w:t>沙门氏菌</w:t>
      </w:r>
    </w:p>
    <w:p>
      <w:pPr>
        <w:pStyle w:val="22"/>
        <w:bidi w:val="0"/>
        <w:rPr>
          <w:rFonts w:hint="eastAsia"/>
          <w:szCs w:val="22"/>
          <w:lang w:val="en-US" w:eastAsia="zh-CN"/>
        </w:rPr>
      </w:pPr>
      <w:r>
        <w:rPr>
          <w:rFonts w:hint="eastAsia"/>
          <w:szCs w:val="22"/>
          <w:lang w:val="en-US" w:eastAsia="zh-CN"/>
        </w:rPr>
        <w:t>按GB 4789.4规定的方法测定。</w:t>
      </w:r>
    </w:p>
    <w:p>
      <w:pPr>
        <w:pStyle w:val="43"/>
        <w:spacing w:before="156" w:after="156"/>
        <w:rPr>
          <w:rFonts w:hint="eastAsia" w:ascii="宋体" w:hAnsi="宋体" w:cs="宋体"/>
          <w:color w:val="000000"/>
          <w:lang w:val="en-US" w:eastAsia="zh-CN"/>
        </w:rPr>
      </w:pPr>
      <w:r>
        <w:rPr>
          <w:rFonts w:hint="eastAsia" w:ascii="宋体" w:hAnsi="宋体" w:cs="宋体"/>
          <w:color w:val="000000"/>
          <w:lang w:val="en-US" w:eastAsia="zh-CN"/>
        </w:rPr>
        <w:t>金黄色葡萄球菌</w:t>
      </w:r>
    </w:p>
    <w:p>
      <w:pPr>
        <w:pStyle w:val="22"/>
        <w:bidi w:val="0"/>
        <w:rPr>
          <w:rFonts w:hint="eastAsia"/>
          <w:szCs w:val="22"/>
          <w:lang w:val="en-US" w:eastAsia="zh-CN"/>
        </w:rPr>
      </w:pPr>
      <w:r>
        <w:rPr>
          <w:rFonts w:hint="eastAsia"/>
          <w:szCs w:val="22"/>
          <w:lang w:val="en-US" w:eastAsia="zh-CN"/>
        </w:rPr>
        <w:t>按GB 4789.10第二法规定的方法测定。</w:t>
      </w:r>
    </w:p>
    <w:p>
      <w:pPr>
        <w:pStyle w:val="43"/>
        <w:spacing w:before="156" w:after="156"/>
        <w:rPr>
          <w:rFonts w:hint="eastAsia" w:ascii="宋体" w:hAnsi="宋体" w:cs="宋体"/>
          <w:color w:val="000000"/>
          <w:lang w:val="en-US" w:eastAsia="zh-CN"/>
        </w:rPr>
      </w:pPr>
      <w:r>
        <w:rPr>
          <w:rFonts w:hint="eastAsia" w:ascii="宋体" w:hAnsi="宋体" w:cs="宋体"/>
          <w:color w:val="000000"/>
          <w:lang w:val="en-US" w:eastAsia="zh-CN"/>
        </w:rPr>
        <w:t>商业无菌</w:t>
      </w:r>
    </w:p>
    <w:p>
      <w:pPr>
        <w:pStyle w:val="22"/>
        <w:bidi w:val="0"/>
        <w:rPr>
          <w:rFonts w:hint="eastAsia"/>
          <w:szCs w:val="22"/>
          <w:lang w:val="en-US" w:eastAsia="zh-CN"/>
        </w:rPr>
      </w:pPr>
      <w:r>
        <w:rPr>
          <w:rFonts w:hint="eastAsia"/>
          <w:szCs w:val="22"/>
          <w:lang w:val="en-US" w:eastAsia="zh-CN"/>
        </w:rPr>
        <w:t>按GB 4789.26规定的方法测定。</w:t>
      </w:r>
    </w:p>
    <w:p>
      <w:pPr>
        <w:pStyle w:val="39"/>
        <w:spacing w:before="156" w:after="156"/>
        <w:ind w:left="0"/>
        <w:rPr>
          <w:color w:val="000000"/>
        </w:rPr>
      </w:pPr>
      <w:r>
        <w:rPr>
          <w:rFonts w:hint="eastAsia"/>
          <w:color w:val="000000"/>
        </w:rPr>
        <w:t>净含量</w:t>
      </w:r>
    </w:p>
    <w:p>
      <w:pPr>
        <w:pStyle w:val="60"/>
        <w:numPr>
          <w:ilvl w:val="2"/>
          <w:numId w:val="0"/>
        </w:numPr>
        <w:bidi w:val="0"/>
        <w:ind w:leftChars="0" w:firstLine="420" w:firstLineChars="200"/>
        <w:rPr>
          <w:color w:val="000000"/>
        </w:rPr>
      </w:pPr>
      <w:r>
        <w:rPr>
          <w:rFonts w:hint="eastAsia"/>
          <w:color w:val="000000"/>
        </w:rPr>
        <w:t>按JJF 1070规定</w:t>
      </w:r>
      <w:r>
        <w:rPr>
          <w:rFonts w:hint="eastAsia"/>
          <w:color w:val="000000"/>
          <w:lang w:val="en-US" w:eastAsia="zh-CN"/>
        </w:rPr>
        <w:t>的方法测定</w:t>
      </w:r>
      <w:r>
        <w:rPr>
          <w:rFonts w:hint="eastAsia"/>
          <w:color w:val="000000"/>
        </w:rPr>
        <w:t>。</w:t>
      </w:r>
    </w:p>
    <w:p>
      <w:pPr>
        <w:pStyle w:val="42"/>
        <w:spacing w:before="312" w:after="312"/>
        <w:rPr>
          <w:color w:val="000000"/>
          <w:szCs w:val="22"/>
        </w:rPr>
      </w:pPr>
      <w:bookmarkStart w:id="47" w:name="_Toc25677"/>
      <w:bookmarkStart w:id="48" w:name="_Toc43899017"/>
      <w:bookmarkStart w:id="49" w:name="_Toc14254"/>
      <w:r>
        <w:rPr>
          <w:rFonts w:hint="eastAsia"/>
          <w:color w:val="000000"/>
          <w:szCs w:val="22"/>
        </w:rPr>
        <w:t>检验规则</w:t>
      </w:r>
      <w:bookmarkEnd w:id="47"/>
      <w:bookmarkEnd w:id="48"/>
      <w:bookmarkEnd w:id="49"/>
    </w:p>
    <w:p>
      <w:pPr>
        <w:pStyle w:val="39"/>
        <w:spacing w:before="156" w:after="156"/>
        <w:ind w:left="0"/>
        <w:rPr>
          <w:rFonts w:hint="eastAsia" w:eastAsia="宋体"/>
          <w:lang w:val="en-US" w:eastAsia="zh-CN"/>
        </w:rPr>
      </w:pPr>
      <w:r>
        <w:rPr>
          <w:rFonts w:hint="eastAsia"/>
          <w:color w:val="000000"/>
          <w:szCs w:val="22"/>
          <w:lang w:val="en-US" w:eastAsia="zh-CN"/>
        </w:rPr>
        <w:t>组批</w:t>
      </w:r>
    </w:p>
    <w:p>
      <w:pPr>
        <w:pStyle w:val="22"/>
        <w:rPr>
          <w:rFonts w:hint="default"/>
          <w:lang w:val="en-US" w:eastAsia="zh-CN"/>
        </w:rPr>
      </w:pPr>
      <w:r>
        <w:rPr>
          <w:rFonts w:hint="eastAsia"/>
          <w:color w:val="000000"/>
          <w:szCs w:val="22"/>
          <w:lang w:val="en-US" w:eastAsia="zh-CN"/>
        </w:rPr>
        <w:t>同一班次、同一品种、同一工艺的产品为一批。</w:t>
      </w:r>
    </w:p>
    <w:p>
      <w:pPr>
        <w:pStyle w:val="39"/>
        <w:spacing w:before="156" w:after="156"/>
        <w:ind w:left="0"/>
        <w:rPr>
          <w:rFonts w:hint="default"/>
          <w:lang w:val="en-US" w:eastAsia="zh-CN"/>
        </w:rPr>
      </w:pPr>
      <w:r>
        <w:rPr>
          <w:rFonts w:hint="eastAsia"/>
          <w:color w:val="000000"/>
          <w:szCs w:val="22"/>
          <w:lang w:val="en-US" w:eastAsia="zh-CN"/>
        </w:rPr>
        <w:t>抽样</w:t>
      </w:r>
    </w:p>
    <w:p>
      <w:pPr>
        <w:pStyle w:val="22"/>
        <w:bidi w:val="0"/>
      </w:pPr>
      <w:r>
        <w:rPr>
          <w:rFonts w:hint="eastAsia"/>
        </w:rPr>
        <w:t>抽样基数不少于20kg，每批次抽样样品量为4kg，分成2份，1份检验，1份备查。</w:t>
      </w:r>
      <w:r>
        <w:rPr>
          <w:rFonts w:hint="eastAsia"/>
          <w:lang w:val="en-US" w:eastAsia="zh-CN"/>
        </w:rPr>
        <w:t>数量满足检验项目的要求。</w:t>
      </w:r>
    </w:p>
    <w:p>
      <w:pPr>
        <w:pStyle w:val="39"/>
        <w:spacing w:before="156" w:after="156"/>
        <w:ind w:left="0"/>
        <w:rPr>
          <w:color w:val="000000"/>
        </w:rPr>
      </w:pPr>
      <w:r>
        <w:rPr>
          <w:rFonts w:hint="eastAsia"/>
          <w:color w:val="000000"/>
        </w:rPr>
        <w:t>出厂检验</w:t>
      </w:r>
    </w:p>
    <w:p>
      <w:pPr>
        <w:pStyle w:val="43"/>
        <w:spacing w:before="156" w:after="156"/>
        <w:rPr>
          <w:rFonts w:hint="eastAsia" w:eastAsia="宋体"/>
          <w:color w:val="000000"/>
          <w:lang w:eastAsia="zh-CN"/>
        </w:rPr>
      </w:pPr>
      <w:r>
        <w:rPr>
          <w:rFonts w:hint="eastAsia"/>
          <w:color w:val="000000"/>
          <w:lang w:val="en-US" w:eastAsia="zh-CN"/>
        </w:rPr>
        <w:t>出厂检验</w:t>
      </w:r>
      <w:r>
        <w:rPr>
          <w:rFonts w:hint="eastAsia"/>
          <w:color w:val="000000"/>
        </w:rPr>
        <w:t>项目</w:t>
      </w:r>
    </w:p>
    <w:p>
      <w:pPr>
        <w:pStyle w:val="108"/>
        <w:bidi w:val="0"/>
        <w:rPr>
          <w:rFonts w:hint="eastAsia"/>
          <w:lang w:val="en-US" w:eastAsia="zh-CN"/>
        </w:rPr>
      </w:pPr>
      <w:r>
        <w:rPr>
          <w:rFonts w:hint="eastAsia"/>
          <w:lang w:val="en-US" w:eastAsia="zh-CN"/>
        </w:rPr>
        <w:t>出厂检验项目包括感官要求、净含量、水分、大肠菌群。</w:t>
      </w:r>
    </w:p>
    <w:p>
      <w:pPr>
        <w:pStyle w:val="108"/>
        <w:bidi w:val="0"/>
        <w:rPr>
          <w:rFonts w:hint="eastAsia"/>
          <w:lang w:val="en-US" w:eastAsia="zh-CN"/>
        </w:rPr>
      </w:pPr>
      <w:r>
        <w:rPr>
          <w:rFonts w:hint="eastAsia"/>
          <w:lang w:val="en-US" w:eastAsia="zh-CN"/>
        </w:rPr>
        <w:t>优级产品出厂检验项目包括感官要求、净含量、水分、蛋白质、大肠菌群。</w:t>
      </w:r>
    </w:p>
    <w:p>
      <w:pPr>
        <w:pStyle w:val="108"/>
        <w:bidi w:val="0"/>
        <w:rPr>
          <w:rFonts w:hint="default"/>
          <w:lang w:val="en-US" w:eastAsia="zh-CN"/>
        </w:rPr>
      </w:pPr>
      <w:r>
        <w:rPr>
          <w:rFonts w:hint="eastAsia" w:cs="Times New Roman"/>
          <w:sz w:val="21"/>
          <w:szCs w:val="22"/>
          <w:lang w:val="en-US" w:eastAsia="zh-CN" w:bidi="ar-SA"/>
        </w:rPr>
        <w:t>商业无菌生产的产品出</w:t>
      </w:r>
      <w:r>
        <w:rPr>
          <w:rFonts w:hint="eastAsia" w:ascii="宋体" w:eastAsia="宋体" w:cs="Times New Roman"/>
          <w:sz w:val="21"/>
          <w:szCs w:val="22"/>
          <w:lang w:val="en-US" w:eastAsia="zh-CN" w:bidi="ar-SA"/>
        </w:rPr>
        <w:t>厂检验项目</w:t>
      </w:r>
      <w:r>
        <w:rPr>
          <w:rFonts w:hint="eastAsia" w:ascii="宋体" w:hAnsi="Times New Roman" w:eastAsia="宋体" w:cs="Times New Roman"/>
          <w:sz w:val="21"/>
          <w:szCs w:val="22"/>
          <w:lang w:val="en-US" w:eastAsia="zh-CN" w:bidi="ar-SA"/>
        </w:rPr>
        <w:t>包括感官要求、净含量、水分</w:t>
      </w:r>
      <w:r>
        <w:rPr>
          <w:rFonts w:hint="eastAsia" w:ascii="宋体" w:eastAsia="宋体" w:cs="Times New Roman"/>
          <w:sz w:val="21"/>
          <w:szCs w:val="22"/>
          <w:lang w:val="en-US" w:eastAsia="zh-CN" w:bidi="ar-SA"/>
        </w:rPr>
        <w:t>、</w:t>
      </w:r>
      <w:r>
        <w:rPr>
          <w:rFonts w:hint="eastAsia" w:cs="Times New Roman"/>
          <w:sz w:val="21"/>
          <w:szCs w:val="22"/>
          <w:lang w:val="en-US" w:eastAsia="zh-CN" w:bidi="ar-SA"/>
        </w:rPr>
        <w:t>商业无菌。</w:t>
      </w:r>
    </w:p>
    <w:p>
      <w:pPr>
        <w:pStyle w:val="43"/>
        <w:spacing w:before="156" w:after="156"/>
        <w:rPr>
          <w:color w:val="000000"/>
        </w:rPr>
      </w:pPr>
      <w:r>
        <w:rPr>
          <w:rFonts w:hint="eastAsia"/>
          <w:color w:val="000000"/>
        </w:rPr>
        <w:t>判定</w:t>
      </w:r>
    </w:p>
    <w:p>
      <w:pPr>
        <w:pStyle w:val="22"/>
        <w:rPr>
          <w:color w:val="000000"/>
        </w:rPr>
      </w:pPr>
      <w:r>
        <w:rPr>
          <w:rFonts w:hint="eastAsia"/>
          <w:color w:val="000000"/>
        </w:rPr>
        <w:t>出厂检验项目全部符合本文件要求时，该批产品判定为合格或优</w:t>
      </w:r>
      <w:r>
        <w:rPr>
          <w:rFonts w:hint="eastAsia" w:ascii="Times New Roman" w:eastAsia="宋体"/>
          <w:color w:val="000000"/>
          <w:lang w:val="en-US" w:eastAsia="zh-CN"/>
        </w:rPr>
        <w:t>级</w:t>
      </w:r>
      <w:r>
        <w:rPr>
          <w:rFonts w:hint="eastAsia" w:ascii="Times New Roman"/>
          <w:color w:val="000000"/>
          <w:lang w:val="en-US" w:eastAsia="zh-CN"/>
        </w:rPr>
        <w:t>；</w:t>
      </w:r>
      <w:r>
        <w:rPr>
          <w:rFonts w:hint="eastAsia"/>
          <w:color w:val="000000"/>
        </w:rPr>
        <w:t>检验</w:t>
      </w:r>
      <w:r>
        <w:rPr>
          <w:rFonts w:hint="eastAsia"/>
          <w:color w:val="000000"/>
          <w:lang w:val="en-US" w:eastAsia="zh-CN"/>
        </w:rPr>
        <w:t>结果</w:t>
      </w:r>
      <w:r>
        <w:rPr>
          <w:rFonts w:hint="eastAsia"/>
          <w:color w:val="000000"/>
        </w:rPr>
        <w:t>不符合本文件要求时，可在抽样批次中加倍抽样复检（微生物指标不合格时不得复检)</w:t>
      </w:r>
      <w:r>
        <w:rPr>
          <w:rFonts w:hint="eastAsia"/>
          <w:color w:val="000000"/>
          <w:lang w:eastAsia="zh-CN"/>
        </w:rPr>
        <w:t>，</w:t>
      </w:r>
      <w:r>
        <w:rPr>
          <w:rFonts w:hint="eastAsia"/>
          <w:color w:val="000000"/>
          <w:lang w:val="en-US" w:eastAsia="zh-CN"/>
        </w:rPr>
        <w:t>复检</w:t>
      </w:r>
      <w:r>
        <w:rPr>
          <w:rFonts w:hint="eastAsia"/>
          <w:color w:val="000000"/>
        </w:rPr>
        <w:t>结果符合本文件要求</w:t>
      </w:r>
      <w:r>
        <w:rPr>
          <w:rFonts w:hint="eastAsia"/>
          <w:color w:val="000000"/>
          <w:lang w:eastAsia="zh-CN"/>
        </w:rPr>
        <w:t>，</w:t>
      </w:r>
      <w:r>
        <w:rPr>
          <w:rFonts w:hint="eastAsia"/>
          <w:color w:val="000000"/>
        </w:rPr>
        <w:t>该批产品</w:t>
      </w:r>
      <w:r>
        <w:rPr>
          <w:rFonts w:hint="eastAsia"/>
          <w:color w:val="000000"/>
          <w:lang w:val="en-US" w:eastAsia="zh-CN"/>
        </w:rPr>
        <w:t>判定</w:t>
      </w:r>
      <w:r>
        <w:rPr>
          <w:rFonts w:hint="eastAsia"/>
          <w:color w:val="000000"/>
        </w:rPr>
        <w:t>为合格或优</w:t>
      </w:r>
      <w:r>
        <w:rPr>
          <w:rFonts w:hint="eastAsia"/>
          <w:color w:val="000000"/>
          <w:lang w:val="en-US" w:eastAsia="zh-CN"/>
        </w:rPr>
        <w:t>级</w:t>
      </w:r>
      <w:r>
        <w:rPr>
          <w:rFonts w:hint="eastAsia"/>
          <w:color w:val="000000"/>
        </w:rPr>
        <w:t>，如复验结果仍有1项不合格，则该批产品</w:t>
      </w:r>
      <w:r>
        <w:rPr>
          <w:rFonts w:hint="eastAsia"/>
          <w:color w:val="000000"/>
          <w:lang w:val="en-US" w:eastAsia="zh-CN"/>
        </w:rPr>
        <w:t>判定</w:t>
      </w:r>
      <w:r>
        <w:rPr>
          <w:rFonts w:hint="eastAsia"/>
          <w:color w:val="000000"/>
        </w:rPr>
        <w:t>为不合格。</w:t>
      </w:r>
    </w:p>
    <w:p>
      <w:pPr>
        <w:pStyle w:val="39"/>
        <w:spacing w:before="156" w:after="156"/>
        <w:ind w:left="0"/>
        <w:rPr>
          <w:color w:val="000000"/>
        </w:rPr>
      </w:pPr>
      <w:r>
        <w:rPr>
          <w:rFonts w:hint="eastAsia"/>
          <w:color w:val="000000"/>
        </w:rPr>
        <w:t>型式检验</w:t>
      </w:r>
    </w:p>
    <w:p>
      <w:pPr>
        <w:pStyle w:val="60"/>
      </w:pPr>
      <w:r>
        <w:rPr>
          <w:rFonts w:hint="eastAsia"/>
        </w:rPr>
        <w:t>正常生产时应每6个月进行一次型式检验；此外有下列情况之一时，亦应进行型式检验：</w:t>
      </w:r>
    </w:p>
    <w:p>
      <w:pPr>
        <w:pStyle w:val="56"/>
      </w:pPr>
      <w:r>
        <w:rPr>
          <w:rFonts w:hint="eastAsia"/>
        </w:rPr>
        <w:t>新产品试制鉴定时；</w:t>
      </w:r>
    </w:p>
    <w:p>
      <w:pPr>
        <w:pStyle w:val="56"/>
      </w:pPr>
      <w:r>
        <w:rPr>
          <w:rFonts w:hint="eastAsia"/>
        </w:rPr>
        <w:t>原料、生产工艺有较大改变，可能影响产品质量时；</w:t>
      </w:r>
    </w:p>
    <w:p>
      <w:pPr>
        <w:pStyle w:val="56"/>
      </w:pPr>
      <w:r>
        <w:rPr>
          <w:rFonts w:hint="eastAsia"/>
        </w:rPr>
        <w:t>产品停产半年以上，恢复生产时；</w:t>
      </w:r>
    </w:p>
    <w:p>
      <w:pPr>
        <w:pStyle w:val="56"/>
      </w:pPr>
      <w:r>
        <w:rPr>
          <w:rFonts w:hint="eastAsia"/>
        </w:rPr>
        <w:t>出厂检验结果与上一次型式检验结果有较大差异时；</w:t>
      </w:r>
    </w:p>
    <w:p>
      <w:pPr>
        <w:pStyle w:val="56"/>
      </w:pPr>
      <w:r>
        <w:rPr>
          <w:rFonts w:hint="eastAsia"/>
        </w:rPr>
        <w:t>国家质量监督机构提出要求时。</w:t>
      </w:r>
    </w:p>
    <w:p>
      <w:pPr>
        <w:pStyle w:val="43"/>
        <w:spacing w:before="156" w:after="156"/>
        <w:rPr>
          <w:color w:val="000000"/>
        </w:rPr>
      </w:pPr>
      <w:r>
        <w:rPr>
          <w:rFonts w:hint="eastAsia"/>
          <w:color w:val="000000"/>
        </w:rPr>
        <w:t>型式检验项目</w:t>
      </w:r>
      <w:r>
        <w:rPr>
          <w:rFonts w:hint="eastAsia"/>
          <w:color w:val="000000"/>
          <w:lang w:val="en-US" w:eastAsia="zh-CN"/>
        </w:rPr>
        <w:t xml:space="preserve"> </w:t>
      </w:r>
    </w:p>
    <w:p>
      <w:pPr>
        <w:pStyle w:val="22"/>
        <w:rPr>
          <w:color w:val="000000"/>
        </w:rPr>
      </w:pPr>
      <w:r>
        <w:rPr>
          <w:rFonts w:hint="eastAsia"/>
          <w:color w:val="000000"/>
          <w:lang w:val="en-US" w:eastAsia="zh-CN"/>
        </w:rPr>
        <w:t>型式检验项目</w:t>
      </w:r>
      <w:r>
        <w:rPr>
          <w:rFonts w:hint="eastAsia"/>
          <w:color w:val="000000"/>
        </w:rPr>
        <w:t>包括本文件</w:t>
      </w:r>
      <w:r>
        <w:rPr>
          <w:rFonts w:hint="eastAsia" w:hAnsi="宋体" w:cs="宋体"/>
          <w:color w:val="000000"/>
          <w:lang w:val="en-US" w:eastAsia="zh-CN"/>
        </w:rPr>
        <w:t>4</w:t>
      </w:r>
      <w:r>
        <w:rPr>
          <w:rFonts w:hint="eastAsia" w:ascii="宋体" w:hAnsi="宋体" w:eastAsia="宋体" w:cs="宋体"/>
          <w:color w:val="000000"/>
          <w:lang w:val="en-US" w:eastAsia="zh-CN"/>
        </w:rPr>
        <w:t>.2-</w:t>
      </w:r>
      <w:r>
        <w:rPr>
          <w:rFonts w:hint="eastAsia" w:hAnsi="宋体" w:cs="宋体"/>
          <w:color w:val="000000"/>
          <w:lang w:val="en-US" w:eastAsia="zh-CN"/>
        </w:rPr>
        <w:t>4</w:t>
      </w:r>
      <w:r>
        <w:rPr>
          <w:rFonts w:hint="eastAsia" w:ascii="宋体" w:hAnsi="宋体" w:eastAsia="宋体" w:cs="宋体"/>
          <w:color w:val="000000"/>
          <w:lang w:val="en-US" w:eastAsia="zh-CN"/>
        </w:rPr>
        <w:t>.6</w:t>
      </w:r>
      <w:r>
        <w:rPr>
          <w:rFonts w:hint="eastAsia"/>
          <w:color w:val="000000"/>
        </w:rPr>
        <w:t>中相应产品类型的</w:t>
      </w:r>
      <w:r>
        <w:rPr>
          <w:rFonts w:hint="eastAsia"/>
          <w:color w:val="000000"/>
          <w:lang w:val="en-US" w:eastAsia="zh-CN"/>
        </w:rPr>
        <w:t>全部</w:t>
      </w:r>
      <w:r>
        <w:rPr>
          <w:rFonts w:hint="eastAsia"/>
          <w:color w:val="000000"/>
        </w:rPr>
        <w:t>要求。</w:t>
      </w:r>
    </w:p>
    <w:p>
      <w:pPr>
        <w:pStyle w:val="43"/>
        <w:spacing w:before="156" w:after="156"/>
        <w:rPr>
          <w:color w:val="000000"/>
        </w:rPr>
      </w:pPr>
      <w:r>
        <w:rPr>
          <w:rFonts w:hint="eastAsia"/>
          <w:color w:val="000000"/>
        </w:rPr>
        <w:t>判定</w:t>
      </w:r>
    </w:p>
    <w:p>
      <w:pPr>
        <w:pStyle w:val="22"/>
        <w:rPr>
          <w:color w:val="000000"/>
        </w:rPr>
      </w:pPr>
      <w:r>
        <w:rPr>
          <w:rFonts w:hint="eastAsia"/>
          <w:color w:val="000000"/>
          <w:lang w:val="en-US" w:eastAsia="zh-CN"/>
        </w:rPr>
        <w:t>型式</w:t>
      </w:r>
      <w:r>
        <w:rPr>
          <w:rFonts w:hint="eastAsia"/>
          <w:color w:val="000000"/>
        </w:rPr>
        <w:t>检验项目全部符合本文件要求时，该批产品判定为合格或优</w:t>
      </w:r>
      <w:r>
        <w:rPr>
          <w:rFonts w:hint="eastAsia" w:ascii="Times New Roman" w:eastAsia="宋体"/>
          <w:color w:val="000000"/>
          <w:lang w:val="en-US" w:eastAsia="zh-CN"/>
        </w:rPr>
        <w:t>级</w:t>
      </w:r>
      <w:r>
        <w:rPr>
          <w:rFonts w:hint="eastAsia" w:ascii="Times New Roman"/>
          <w:color w:val="000000"/>
          <w:lang w:val="en-US" w:eastAsia="zh-CN"/>
        </w:rPr>
        <w:t>；</w:t>
      </w:r>
      <w:r>
        <w:rPr>
          <w:rFonts w:hint="eastAsia"/>
          <w:color w:val="000000"/>
        </w:rPr>
        <w:t>检验</w:t>
      </w:r>
      <w:r>
        <w:rPr>
          <w:rFonts w:hint="eastAsia"/>
          <w:color w:val="000000"/>
          <w:lang w:val="en-US" w:eastAsia="zh-CN"/>
        </w:rPr>
        <w:t>结果</w:t>
      </w:r>
      <w:r>
        <w:rPr>
          <w:rFonts w:hint="eastAsia"/>
          <w:color w:val="000000"/>
        </w:rPr>
        <w:t>不符合本文件要求时，可在抽样批次中加倍抽样复检（微生物指标不合格时不得复检)</w:t>
      </w:r>
      <w:r>
        <w:rPr>
          <w:rFonts w:hint="eastAsia"/>
          <w:color w:val="000000"/>
          <w:lang w:eastAsia="zh-CN"/>
        </w:rPr>
        <w:t>，</w:t>
      </w:r>
      <w:r>
        <w:rPr>
          <w:rFonts w:hint="eastAsia"/>
          <w:color w:val="000000"/>
          <w:lang w:val="en-US" w:eastAsia="zh-CN"/>
        </w:rPr>
        <w:t>复检</w:t>
      </w:r>
      <w:r>
        <w:rPr>
          <w:rFonts w:hint="eastAsia"/>
          <w:color w:val="000000"/>
        </w:rPr>
        <w:t>结果符合本文件要求</w:t>
      </w:r>
      <w:r>
        <w:rPr>
          <w:rFonts w:hint="eastAsia"/>
          <w:color w:val="000000"/>
          <w:lang w:eastAsia="zh-CN"/>
        </w:rPr>
        <w:t>，</w:t>
      </w:r>
      <w:r>
        <w:rPr>
          <w:rFonts w:hint="eastAsia"/>
          <w:color w:val="000000"/>
        </w:rPr>
        <w:t>该批产品</w:t>
      </w:r>
      <w:r>
        <w:rPr>
          <w:rFonts w:hint="eastAsia"/>
          <w:color w:val="000000"/>
          <w:lang w:val="en-US" w:eastAsia="zh-CN"/>
        </w:rPr>
        <w:t>判定</w:t>
      </w:r>
      <w:r>
        <w:rPr>
          <w:rFonts w:hint="eastAsia"/>
          <w:color w:val="000000"/>
        </w:rPr>
        <w:t>为合格或优</w:t>
      </w:r>
      <w:r>
        <w:rPr>
          <w:rFonts w:hint="eastAsia"/>
          <w:color w:val="000000"/>
          <w:lang w:val="en-US" w:eastAsia="zh-CN"/>
        </w:rPr>
        <w:t>级</w:t>
      </w:r>
      <w:r>
        <w:rPr>
          <w:rFonts w:hint="eastAsia"/>
          <w:color w:val="000000"/>
        </w:rPr>
        <w:t>，如复验结果仍有1项不合格，则该批产品</w:t>
      </w:r>
      <w:r>
        <w:rPr>
          <w:rFonts w:hint="eastAsia"/>
          <w:color w:val="000000"/>
          <w:lang w:val="en-US" w:eastAsia="zh-CN"/>
        </w:rPr>
        <w:t>判定</w:t>
      </w:r>
      <w:r>
        <w:rPr>
          <w:rFonts w:hint="eastAsia"/>
          <w:color w:val="000000"/>
        </w:rPr>
        <w:t>为不合格。</w:t>
      </w:r>
    </w:p>
    <w:p>
      <w:pPr>
        <w:pStyle w:val="42"/>
        <w:spacing w:before="312" w:after="312"/>
        <w:rPr>
          <w:color w:val="000000"/>
          <w:szCs w:val="22"/>
        </w:rPr>
      </w:pPr>
      <w:bookmarkStart w:id="50" w:name="_Toc43899018"/>
      <w:bookmarkStart w:id="51" w:name="_Toc30725"/>
      <w:bookmarkStart w:id="52" w:name="_Toc20680"/>
      <w:r>
        <w:rPr>
          <w:rFonts w:hint="eastAsia"/>
          <w:color w:val="000000"/>
          <w:szCs w:val="22"/>
        </w:rPr>
        <w:t>包装</w:t>
      </w:r>
      <w:r>
        <w:rPr>
          <w:rFonts w:hint="eastAsia"/>
          <w:color w:val="000000"/>
          <w:szCs w:val="22"/>
          <w:lang w:eastAsia="zh-CN"/>
        </w:rPr>
        <w:t>、</w:t>
      </w:r>
      <w:r>
        <w:rPr>
          <w:rFonts w:hint="eastAsia"/>
          <w:color w:val="000000"/>
          <w:szCs w:val="22"/>
        </w:rPr>
        <w:t>标签</w:t>
      </w:r>
      <w:bookmarkEnd w:id="50"/>
      <w:bookmarkEnd w:id="51"/>
      <w:r>
        <w:rPr>
          <w:rFonts w:hint="eastAsia"/>
          <w:color w:val="000000"/>
          <w:szCs w:val="22"/>
          <w:lang w:val="en-US" w:eastAsia="zh-CN"/>
        </w:rPr>
        <w:t>和标志</w:t>
      </w:r>
      <w:bookmarkEnd w:id="52"/>
    </w:p>
    <w:p>
      <w:pPr>
        <w:pStyle w:val="39"/>
        <w:spacing w:before="156" w:after="156"/>
        <w:ind w:left="0"/>
        <w:rPr>
          <w:color w:val="000000"/>
        </w:rPr>
      </w:pPr>
      <w:r>
        <w:rPr>
          <w:rFonts w:hint="eastAsia"/>
          <w:color w:val="000000"/>
        </w:rPr>
        <w:t>包装</w:t>
      </w:r>
    </w:p>
    <w:p>
      <w:pPr>
        <w:pStyle w:val="2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使用复合包装材料应符合</w:t>
      </w:r>
      <w:r>
        <w:rPr>
          <w:rFonts w:hint="eastAsia"/>
          <w:color w:val="000000" w:themeColor="text1"/>
          <w:shd w:val="clear" w:color="auto" w:fill="auto"/>
          <w:lang w:val="en-US" w:eastAsia="zh-CN"/>
          <w14:textFill>
            <w14:solidFill>
              <w14:schemeClr w14:val="tx1"/>
            </w14:solidFill>
          </w14:textFill>
        </w:rPr>
        <w:t>GB/T 10004或GB 4806.7的</w:t>
      </w:r>
      <w:r>
        <w:rPr>
          <w:rFonts w:hint="eastAsia"/>
          <w:color w:val="000000" w:themeColor="text1"/>
          <w:lang w:val="en-US" w:eastAsia="zh-CN"/>
          <w14:textFill>
            <w14:solidFill>
              <w14:schemeClr w14:val="tx1"/>
            </w14:solidFill>
          </w14:textFill>
        </w:rPr>
        <w:t>规定。其他包装材料和容器必须符合相应国家标准和有关规定。</w:t>
      </w:r>
    </w:p>
    <w:p>
      <w:pPr>
        <w:pStyle w:val="39"/>
        <w:spacing w:before="156" w:after="156"/>
        <w:ind w:left="0"/>
        <w:rPr>
          <w:color w:val="000000"/>
        </w:rPr>
      </w:pPr>
      <w:r>
        <w:rPr>
          <w:rFonts w:hint="eastAsia"/>
          <w:color w:val="000000"/>
        </w:rPr>
        <w:t>标签</w:t>
      </w:r>
      <w:r>
        <w:rPr>
          <w:rFonts w:hint="eastAsia"/>
          <w:color w:val="000000"/>
          <w:lang w:val="en-US" w:eastAsia="zh-CN"/>
        </w:rPr>
        <w:t>和标志</w:t>
      </w:r>
    </w:p>
    <w:p>
      <w:pPr>
        <w:pStyle w:val="60"/>
        <w:bidi w:val="0"/>
        <w:rPr>
          <w:rFonts w:hint="eastAsia"/>
          <w:lang w:val="en-US" w:eastAsia="zh-CN"/>
        </w:rPr>
      </w:pPr>
      <w:r>
        <w:rPr>
          <w:rFonts w:hint="eastAsia"/>
          <w:lang w:val="en-US" w:eastAsia="zh-CN"/>
        </w:rPr>
        <w:t>标签应符合GB 7718和GB 28050的规定。分级产品标签上还应注明产品等级。</w:t>
      </w:r>
    </w:p>
    <w:p>
      <w:pPr>
        <w:pStyle w:val="60"/>
        <w:bidi w:val="0"/>
        <w:rPr>
          <w:rFonts w:hint="default"/>
          <w:lang w:val="en-US" w:eastAsia="zh-CN"/>
        </w:rPr>
      </w:pPr>
      <w:r>
        <w:rPr>
          <w:rFonts w:hint="eastAsia"/>
          <w:lang w:val="en-US" w:eastAsia="zh-CN"/>
        </w:rPr>
        <w:t>包装运输标志应符合GB/T 191的规定。</w:t>
      </w:r>
    </w:p>
    <w:p>
      <w:pPr>
        <w:pStyle w:val="42"/>
        <w:spacing w:before="312" w:after="312"/>
        <w:rPr>
          <w:color w:val="000000"/>
        </w:rPr>
      </w:pPr>
      <w:bookmarkStart w:id="53" w:name="_Toc19325"/>
      <w:r>
        <w:rPr>
          <w:rFonts w:hint="eastAsia"/>
          <w:color w:val="000000"/>
          <w:szCs w:val="22"/>
        </w:rPr>
        <w:t>运输</w:t>
      </w:r>
      <w:r>
        <w:rPr>
          <w:rFonts w:hint="eastAsia"/>
          <w:color w:val="000000"/>
          <w:szCs w:val="22"/>
          <w:lang w:val="en-US" w:eastAsia="zh-CN"/>
        </w:rPr>
        <w:t>和</w:t>
      </w:r>
      <w:r>
        <w:rPr>
          <w:rFonts w:hint="eastAsia"/>
          <w:color w:val="000000"/>
          <w:szCs w:val="22"/>
        </w:rPr>
        <w:t>贮存</w:t>
      </w:r>
      <w:bookmarkEnd w:id="53"/>
    </w:p>
    <w:p>
      <w:pPr>
        <w:pStyle w:val="39"/>
        <w:spacing w:before="156" w:after="156"/>
        <w:ind w:left="0"/>
        <w:rPr>
          <w:color w:val="000000"/>
        </w:rPr>
      </w:pPr>
      <w:r>
        <w:rPr>
          <w:rFonts w:hint="eastAsia"/>
          <w:color w:val="000000"/>
        </w:rPr>
        <w:t>运输</w:t>
      </w:r>
    </w:p>
    <w:p>
      <w:pPr>
        <w:pStyle w:val="60"/>
        <w:bidi w:val="0"/>
        <w:rPr>
          <w:rFonts w:hint="eastAsia"/>
        </w:rPr>
      </w:pPr>
      <w:r>
        <w:rPr>
          <w:rFonts w:hint="eastAsia"/>
          <w:lang w:val="en-US" w:eastAsia="zh-CN"/>
        </w:rPr>
        <w:t>应使用符合卫生要求的专用工具和容器运输成品。</w:t>
      </w:r>
    </w:p>
    <w:p>
      <w:pPr>
        <w:pStyle w:val="60"/>
        <w:bidi w:val="0"/>
        <w:rPr>
          <w:rFonts w:hint="eastAsia"/>
        </w:rPr>
      </w:pPr>
      <w:r>
        <w:rPr>
          <w:rFonts w:hint="eastAsia"/>
        </w:rPr>
        <w:t>产品运输应避免日晒、雨淋，不得与有碍、有害、有异味的物品混装运输。</w:t>
      </w:r>
    </w:p>
    <w:p>
      <w:pPr>
        <w:pStyle w:val="39"/>
        <w:spacing w:before="156" w:after="156"/>
        <w:ind w:left="0"/>
        <w:rPr>
          <w:rFonts w:hint="eastAsia" w:ascii="黑体" w:hAnsi="黑体" w:eastAsia="黑体" w:cs="黑体"/>
          <w:color w:val="000000"/>
        </w:rPr>
      </w:pPr>
      <w:r>
        <w:rPr>
          <w:rFonts w:hint="eastAsia" w:ascii="黑体" w:hAnsi="黑体" w:eastAsia="黑体" w:cs="黑体"/>
          <w:color w:val="000000"/>
        </w:rPr>
        <w:t>贮存</w:t>
      </w:r>
    </w:p>
    <w:p>
      <w:pPr>
        <w:pStyle w:val="60"/>
        <w:bidi w:val="0"/>
      </w:pPr>
      <w:r>
        <w:rPr>
          <w:rFonts w:hint="eastAsia"/>
        </w:rPr>
        <w:t>应贮存在消洁、干燥、通风良好的场所。不得与有毒、有害、有异味的物品同处贮存。</w:t>
      </w:r>
    </w:p>
    <w:p>
      <w:pPr>
        <w:pStyle w:val="60"/>
        <w:bidi w:val="0"/>
      </w:pPr>
      <w:r>
        <w:rPr>
          <w:rFonts w:hint="eastAsia"/>
          <w:lang w:val="en-US" w:eastAsia="zh-CN"/>
        </w:rPr>
        <w:t>贮存时成品应离地面、墙面15cm以上。</w:t>
      </w:r>
    </w:p>
    <w:p>
      <w:pPr>
        <w:pStyle w:val="42"/>
        <w:spacing w:before="312" w:after="312"/>
        <w:rPr>
          <w:rFonts w:hint="eastAsia"/>
        </w:rPr>
      </w:pPr>
      <w:bookmarkStart w:id="54" w:name="_Toc23173"/>
      <w:r>
        <w:rPr>
          <w:rFonts w:hint="eastAsia" w:ascii="黑体" w:hAnsi="黑体" w:eastAsia="黑体" w:cs="黑体"/>
          <w:color w:val="000000"/>
          <w:lang w:val="en-US" w:eastAsia="zh-CN"/>
        </w:rPr>
        <w:t>销售</w:t>
      </w:r>
      <w:bookmarkEnd w:id="54"/>
    </w:p>
    <w:p>
      <w:pPr>
        <w:pStyle w:val="119"/>
        <w:keepNext w:val="0"/>
        <w:keepLines w:val="0"/>
        <w:pageBreakBefore w:val="0"/>
        <w:widowControl/>
        <w:kinsoku/>
        <w:wordWrap/>
        <w:overflowPunct/>
        <w:topLinePunct w:val="0"/>
        <w:autoSpaceDE/>
        <w:autoSpaceDN/>
        <w:bidi w:val="0"/>
        <w:adjustRightInd/>
        <w:snapToGrid/>
        <w:ind w:left="0"/>
        <w:textAlignment w:val="auto"/>
        <w:rPr>
          <w:rFonts w:hint="default"/>
          <w:color w:val="000000"/>
          <w:szCs w:val="22"/>
          <w:lang w:val="en-US" w:eastAsia="zh-CN"/>
        </w:rPr>
      </w:pPr>
      <w:bookmarkStart w:id="55" w:name="_Toc31845"/>
      <w:r>
        <w:rPr>
          <w:rFonts w:hint="eastAsia"/>
          <w:szCs w:val="22"/>
          <w:lang w:val="en-US" w:eastAsia="zh-CN"/>
        </w:rPr>
        <w:t>应具有与经营食品品种、规模相适应的销售场所。销售场所应布局合理，食品经营区域与非食品经营区域分开设置 防止交叉污染。</w:t>
      </w:r>
    </w:p>
    <w:p>
      <w:pPr>
        <w:pStyle w:val="119"/>
        <w:keepNext w:val="0"/>
        <w:keepLines w:val="0"/>
        <w:pageBreakBefore w:val="0"/>
        <w:widowControl/>
        <w:kinsoku/>
        <w:wordWrap/>
        <w:overflowPunct/>
        <w:topLinePunct w:val="0"/>
        <w:autoSpaceDE/>
        <w:autoSpaceDN/>
        <w:bidi w:val="0"/>
        <w:adjustRightInd/>
        <w:snapToGrid/>
        <w:ind w:left="0"/>
        <w:textAlignment w:val="auto"/>
        <w:rPr>
          <w:rFonts w:hint="default"/>
          <w:color w:val="000000"/>
          <w:szCs w:val="22"/>
          <w:lang w:val="en-US" w:eastAsia="zh-CN"/>
        </w:rPr>
      </w:pPr>
      <w:r>
        <w:rPr>
          <w:rFonts w:hint="default"/>
          <w:color w:val="000000"/>
          <w:szCs w:val="22"/>
          <w:lang w:val="en-US" w:eastAsia="zh-CN"/>
        </w:rPr>
        <w:t>应具有与经营食品品种</w:t>
      </w:r>
      <w:r>
        <w:rPr>
          <w:rFonts w:hint="eastAsia"/>
          <w:color w:val="000000"/>
          <w:szCs w:val="22"/>
          <w:lang w:val="en-US" w:eastAsia="zh-CN"/>
        </w:rPr>
        <w:t>、</w:t>
      </w:r>
      <w:r>
        <w:rPr>
          <w:rFonts w:hint="default"/>
          <w:color w:val="000000"/>
          <w:szCs w:val="22"/>
          <w:lang w:val="en-US" w:eastAsia="zh-CN"/>
        </w:rPr>
        <w:t>规模相适应的销售设施和设备</w:t>
      </w:r>
      <w:r>
        <w:rPr>
          <w:rFonts w:hint="eastAsia"/>
          <w:color w:val="000000"/>
          <w:szCs w:val="22"/>
          <w:lang w:val="en-US" w:eastAsia="zh-CN"/>
        </w:rPr>
        <w:t>。</w:t>
      </w:r>
      <w:r>
        <w:rPr>
          <w:rFonts w:hint="default"/>
          <w:color w:val="000000"/>
          <w:szCs w:val="22"/>
          <w:lang w:val="en-US" w:eastAsia="zh-CN"/>
        </w:rPr>
        <w:t>与食品表面接触的设备</w:t>
      </w:r>
      <w:r>
        <w:rPr>
          <w:rFonts w:hint="eastAsia"/>
          <w:color w:val="000000"/>
          <w:szCs w:val="22"/>
          <w:lang w:val="en-US" w:eastAsia="zh-CN"/>
        </w:rPr>
        <w:t>、</w:t>
      </w:r>
      <w:r>
        <w:rPr>
          <w:rFonts w:hint="default"/>
          <w:color w:val="000000"/>
          <w:szCs w:val="22"/>
          <w:lang w:val="en-US" w:eastAsia="zh-CN"/>
        </w:rPr>
        <w:t>工具和容器</w:t>
      </w:r>
      <w:r>
        <w:rPr>
          <w:rFonts w:hint="eastAsia"/>
          <w:color w:val="000000"/>
          <w:szCs w:val="22"/>
          <w:lang w:val="en-US" w:eastAsia="zh-CN"/>
        </w:rPr>
        <w:t>，</w:t>
      </w:r>
      <w:r>
        <w:rPr>
          <w:rFonts w:hint="default"/>
          <w:color w:val="000000"/>
          <w:szCs w:val="22"/>
          <w:lang w:val="en-US" w:eastAsia="zh-CN"/>
        </w:rPr>
        <w:t>应使用安全</w:t>
      </w:r>
      <w:r>
        <w:rPr>
          <w:rFonts w:hint="eastAsia"/>
          <w:color w:val="000000"/>
          <w:szCs w:val="22"/>
          <w:lang w:val="en-US" w:eastAsia="zh-CN"/>
        </w:rPr>
        <w:t>、</w:t>
      </w:r>
      <w:r>
        <w:rPr>
          <w:rFonts w:hint="default"/>
          <w:color w:val="000000"/>
          <w:szCs w:val="22"/>
          <w:lang w:val="en-US" w:eastAsia="zh-CN"/>
        </w:rPr>
        <w:t>无毒</w:t>
      </w:r>
      <w:r>
        <w:rPr>
          <w:rFonts w:hint="eastAsia"/>
          <w:color w:val="000000"/>
          <w:szCs w:val="22"/>
          <w:lang w:val="en-US" w:eastAsia="zh-CN"/>
        </w:rPr>
        <w:t>、</w:t>
      </w:r>
      <w:r>
        <w:rPr>
          <w:rFonts w:hint="default"/>
          <w:color w:val="000000"/>
          <w:szCs w:val="22"/>
          <w:lang w:val="en-US" w:eastAsia="zh-CN"/>
        </w:rPr>
        <w:t>无异味</w:t>
      </w:r>
      <w:r>
        <w:rPr>
          <w:rFonts w:hint="eastAsia"/>
          <w:color w:val="000000"/>
          <w:szCs w:val="22"/>
          <w:lang w:val="en-US" w:eastAsia="zh-CN"/>
        </w:rPr>
        <w:t>、</w:t>
      </w:r>
      <w:r>
        <w:rPr>
          <w:rFonts w:hint="default"/>
          <w:color w:val="000000"/>
          <w:szCs w:val="22"/>
          <w:lang w:val="en-US" w:eastAsia="zh-CN"/>
        </w:rPr>
        <w:t>防吸收</w:t>
      </w:r>
      <w:r>
        <w:rPr>
          <w:rFonts w:hint="eastAsia"/>
          <w:color w:val="000000"/>
          <w:szCs w:val="22"/>
          <w:lang w:val="en-US" w:eastAsia="zh-CN"/>
        </w:rPr>
        <w:t>、</w:t>
      </w:r>
      <w:r>
        <w:rPr>
          <w:rFonts w:hint="default"/>
          <w:color w:val="000000"/>
          <w:szCs w:val="22"/>
          <w:lang w:val="en-US" w:eastAsia="zh-CN"/>
        </w:rPr>
        <w:t>耐腐蚀且可承受反复清洗和消毒的材料制作</w:t>
      </w:r>
      <w:r>
        <w:rPr>
          <w:rFonts w:hint="eastAsia"/>
          <w:color w:val="000000"/>
          <w:szCs w:val="22"/>
          <w:lang w:val="en-US" w:eastAsia="zh-CN"/>
        </w:rPr>
        <w:t>，</w:t>
      </w:r>
      <w:r>
        <w:rPr>
          <w:rFonts w:hint="default"/>
          <w:color w:val="000000"/>
          <w:szCs w:val="22"/>
          <w:lang w:val="en-US" w:eastAsia="zh-CN"/>
        </w:rPr>
        <w:t>易于清洁和保养</w:t>
      </w:r>
      <w:r>
        <w:rPr>
          <w:rFonts w:hint="eastAsia"/>
          <w:color w:val="000000"/>
          <w:szCs w:val="22"/>
          <w:lang w:val="en-US" w:eastAsia="zh-CN"/>
        </w:rPr>
        <w:t>。</w:t>
      </w:r>
    </w:p>
    <w:p>
      <w:pPr>
        <w:pStyle w:val="119"/>
        <w:keepNext w:val="0"/>
        <w:keepLines w:val="0"/>
        <w:pageBreakBefore w:val="0"/>
        <w:widowControl/>
        <w:kinsoku/>
        <w:wordWrap/>
        <w:overflowPunct/>
        <w:topLinePunct w:val="0"/>
        <w:autoSpaceDE/>
        <w:autoSpaceDN/>
        <w:bidi w:val="0"/>
        <w:adjustRightInd/>
        <w:snapToGrid/>
        <w:ind w:left="0"/>
        <w:textAlignment w:val="auto"/>
        <w:rPr>
          <w:rFonts w:hint="default"/>
          <w:color w:val="000000"/>
          <w:szCs w:val="22"/>
          <w:lang w:val="en-US" w:eastAsia="zh-CN"/>
        </w:rPr>
      </w:pPr>
      <w:r>
        <w:rPr>
          <w:rFonts w:hint="default"/>
          <w:color w:val="000000"/>
          <w:szCs w:val="22"/>
          <w:lang w:val="en-US" w:eastAsia="zh-CN"/>
        </w:rPr>
        <w:t>应配备设计合理</w:t>
      </w:r>
      <w:r>
        <w:rPr>
          <w:rFonts w:hint="eastAsia"/>
          <w:color w:val="000000"/>
          <w:szCs w:val="22"/>
          <w:lang w:val="en-US" w:eastAsia="zh-CN"/>
        </w:rPr>
        <w:t>、</w:t>
      </w:r>
      <w:r>
        <w:rPr>
          <w:rFonts w:hint="default"/>
          <w:color w:val="000000"/>
          <w:szCs w:val="22"/>
          <w:lang w:val="en-US" w:eastAsia="zh-CN"/>
        </w:rPr>
        <w:t>防止渗漏</w:t>
      </w:r>
      <w:r>
        <w:rPr>
          <w:rFonts w:hint="eastAsia"/>
          <w:color w:val="000000"/>
          <w:szCs w:val="22"/>
          <w:lang w:val="en-US" w:eastAsia="zh-CN"/>
        </w:rPr>
        <w:t>、</w:t>
      </w:r>
      <w:r>
        <w:rPr>
          <w:rFonts w:hint="default"/>
          <w:color w:val="000000"/>
          <w:szCs w:val="22"/>
          <w:lang w:val="en-US" w:eastAsia="zh-CN"/>
        </w:rPr>
        <w:t>易于清洁的废弃物存放专用设施</w:t>
      </w:r>
      <w:r>
        <w:rPr>
          <w:rFonts w:hint="eastAsia"/>
          <w:color w:val="000000"/>
          <w:szCs w:val="22"/>
          <w:lang w:val="en-US" w:eastAsia="zh-CN"/>
        </w:rPr>
        <w:t>，</w:t>
      </w:r>
      <w:r>
        <w:rPr>
          <w:rFonts w:hint="default"/>
          <w:color w:val="000000"/>
          <w:szCs w:val="22"/>
          <w:lang w:val="en-US" w:eastAsia="zh-CN"/>
        </w:rPr>
        <w:t>必要时应在适当地点设置废弃物临时存放设施</w:t>
      </w:r>
      <w:r>
        <w:rPr>
          <w:rFonts w:hint="eastAsia"/>
          <w:color w:val="000000"/>
          <w:szCs w:val="22"/>
          <w:lang w:val="en-US" w:eastAsia="zh-CN"/>
        </w:rPr>
        <w:t>，</w:t>
      </w:r>
      <w:r>
        <w:rPr>
          <w:rFonts w:hint="default"/>
          <w:color w:val="000000"/>
          <w:szCs w:val="22"/>
          <w:lang w:val="en-US" w:eastAsia="zh-CN"/>
        </w:rPr>
        <w:t>废弃物存放设施和容器应标识清晰并及时处理</w:t>
      </w:r>
      <w:r>
        <w:rPr>
          <w:rFonts w:hint="eastAsia"/>
          <w:color w:val="000000"/>
          <w:szCs w:val="22"/>
          <w:lang w:val="en-US" w:eastAsia="zh-CN"/>
        </w:rPr>
        <w:t>。</w:t>
      </w:r>
    </w:p>
    <w:p>
      <w:pPr>
        <w:pStyle w:val="42"/>
        <w:spacing w:before="312" w:after="312"/>
        <w:rPr>
          <w:rFonts w:hint="default"/>
          <w:color w:val="000000"/>
          <w:szCs w:val="22"/>
          <w:lang w:val="en-US" w:eastAsia="zh-CN"/>
        </w:rPr>
      </w:pPr>
      <w:r>
        <w:rPr>
          <w:rFonts w:hint="eastAsia" w:ascii="黑体" w:hAnsi="黑体" w:eastAsia="黑体" w:cs="黑体"/>
          <w:color w:val="000000"/>
          <w:szCs w:val="22"/>
          <w:lang w:val="en-US" w:eastAsia="zh-CN"/>
        </w:rPr>
        <w:t>召回</w:t>
      </w:r>
      <w:bookmarkEnd w:id="55"/>
    </w:p>
    <w:p>
      <w:pPr>
        <w:pStyle w:val="119"/>
        <w:keepNext w:val="0"/>
        <w:keepLines w:val="0"/>
        <w:pageBreakBefore w:val="0"/>
        <w:widowControl/>
        <w:kinsoku/>
        <w:wordWrap/>
        <w:overflowPunct/>
        <w:topLinePunct w:val="0"/>
        <w:autoSpaceDE/>
        <w:autoSpaceDN/>
        <w:bidi w:val="0"/>
        <w:adjustRightInd/>
        <w:snapToGrid/>
        <w:ind w:left="0"/>
        <w:textAlignment w:val="auto"/>
        <w:rPr>
          <w:rFonts w:hint="default"/>
          <w:lang w:val="en-US" w:eastAsia="zh-CN"/>
        </w:rPr>
      </w:pPr>
      <w:r>
        <w:rPr>
          <w:rFonts w:hint="default"/>
          <w:lang w:val="en-US" w:eastAsia="zh-CN"/>
        </w:rPr>
        <w:t>发现其生产的食品不符合食品安全标准或者有证据证明可能危害人体健康的，应立即停止生产</w:t>
      </w:r>
      <w:r>
        <w:rPr>
          <w:rFonts w:hint="eastAsia"/>
          <w:lang w:val="en-US" w:eastAsia="zh-CN"/>
        </w:rPr>
        <w:t>，</w:t>
      </w:r>
      <w:r>
        <w:rPr>
          <w:rFonts w:hint="default"/>
          <w:lang w:val="en-US" w:eastAsia="zh-CN"/>
        </w:rPr>
        <w:t>召回已经上市销售的食品，通知相关生产经营者和消费者，并记录召回和通知情况。</w:t>
      </w:r>
    </w:p>
    <w:p>
      <w:pPr>
        <w:pStyle w:val="123"/>
        <w:keepNext w:val="0"/>
        <w:keepLines w:val="0"/>
        <w:pageBreakBefore w:val="0"/>
        <w:framePr w:w="3658" w:vAnchor="text" w:hAnchor="page" w:x="4190" w:y="1218"/>
        <w:widowControl w:val="0"/>
        <w:kinsoku/>
        <w:wordWrap/>
        <w:overflowPunct/>
        <w:topLinePunct w:val="0"/>
        <w:autoSpaceDE/>
        <w:autoSpaceDN/>
        <w:bidi w:val="0"/>
        <w:adjustRightInd/>
        <w:snapToGrid/>
        <w:jc w:val="center"/>
        <w:textAlignment w:val="auto"/>
        <w:rPr>
          <w:color w:val="000000"/>
        </w:rPr>
      </w:pPr>
      <w:r>
        <w:rPr>
          <w:color w:val="000000"/>
        </w:rPr>
        <w:t>_________________________________</w:t>
      </w:r>
    </w:p>
    <w:p>
      <w:pPr>
        <w:pStyle w:val="119"/>
        <w:keepNext w:val="0"/>
        <w:keepLines w:val="0"/>
        <w:pageBreakBefore w:val="0"/>
        <w:widowControl/>
        <w:kinsoku/>
        <w:wordWrap/>
        <w:overflowPunct/>
        <w:topLinePunct w:val="0"/>
        <w:autoSpaceDE/>
        <w:autoSpaceDN/>
        <w:bidi w:val="0"/>
        <w:adjustRightInd/>
        <w:snapToGrid/>
        <w:ind w:left="0"/>
        <w:textAlignment w:val="auto"/>
      </w:pPr>
      <w:r>
        <w:rPr>
          <w:rFonts w:hint="eastAsia" w:ascii="宋体" w:hAnsi="Times New Roman" w:eastAsia="宋体" w:cs="Times New Roman"/>
          <w:sz w:val="21"/>
          <w:szCs w:val="21"/>
          <w:lang w:val="en-US" w:eastAsia="zh-CN" w:bidi="ar-SA"/>
        </w:rPr>
        <w:t>应将食品召回和处理情况向所在地县级市场监督管理部门报告</w:t>
      </w:r>
      <w:r>
        <w:rPr>
          <w:rFonts w:hint="eastAsia" w:cs="Times New Roman"/>
          <w:sz w:val="21"/>
          <w:szCs w:val="21"/>
          <w:lang w:val="en-US" w:eastAsia="zh-CN" w:bidi="ar-SA"/>
        </w:rPr>
        <w:t>；</w:t>
      </w:r>
      <w:r>
        <w:rPr>
          <w:rFonts w:hint="eastAsia" w:ascii="宋体" w:hAnsi="Times New Roman" w:eastAsia="宋体" w:cs="Times New Roman"/>
          <w:sz w:val="21"/>
          <w:szCs w:val="21"/>
          <w:lang w:val="en-US" w:eastAsia="zh-CN" w:bidi="ar-SA"/>
        </w:rPr>
        <w:t>需要对召回的食品进行无害化处理、销毁的，应提前报告时间、地点。</w:t>
      </w:r>
      <w:r>
        <w:rPr>
          <w:rFonts w:hint="eastAsia" w:cs="Times New Roman"/>
          <w:sz w:val="21"/>
          <w:szCs w:val="21"/>
          <w:lang w:val="en-US" w:eastAsia="zh-CN" w:bidi="ar-SA"/>
        </w:rPr>
        <w:t>县级</w:t>
      </w:r>
      <w:r>
        <w:rPr>
          <w:rFonts w:hint="eastAsia" w:ascii="宋体" w:hAnsi="Times New Roman" w:eastAsia="宋体" w:cs="Times New Roman"/>
          <w:sz w:val="21"/>
          <w:szCs w:val="21"/>
          <w:lang w:val="en-US" w:eastAsia="zh-CN" w:bidi="ar-SA"/>
        </w:rPr>
        <w:t>市场监督管理部门认为必要的，</w:t>
      </w:r>
      <w:r>
        <w:rPr>
          <w:rFonts w:hint="eastAsia" w:cs="Times New Roman"/>
          <w:sz w:val="21"/>
          <w:szCs w:val="21"/>
          <w:lang w:val="en-US" w:eastAsia="zh-CN" w:bidi="ar-SA"/>
        </w:rPr>
        <w:t>企业应配合其</w:t>
      </w:r>
      <w:r>
        <w:rPr>
          <w:rFonts w:hint="eastAsia" w:ascii="宋体" w:hAnsi="Times New Roman" w:eastAsia="宋体" w:cs="Times New Roman"/>
          <w:sz w:val="21"/>
          <w:szCs w:val="21"/>
          <w:lang w:val="en-US" w:eastAsia="zh-CN" w:bidi="ar-SA"/>
        </w:rPr>
        <w:t>实施现场监督。</w:t>
      </w:r>
      <w:bookmarkStart w:id="56" w:name="_GoBack"/>
      <w:bookmarkEnd w:id="56"/>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altName w:val="PMingLiU-ExtB"/>
    <w:panose1 w:val="02010609000101010101"/>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h="307" w:wrap="around" w:vAnchor="margin" w:hAnchor="text" w:yAlign="top"/>
      <w:spacing w:before="0" w:after="220" w:line="240" w:lineRule="auto"/>
      <w:jc w:val="left"/>
      <w:rPr>
        <w:rFonts w:hAnsi="黑体"/>
        <w:sz w:val="21"/>
        <w:szCs w:val="21"/>
      </w:rPr>
    </w:pPr>
  </w:p>
  <w:p>
    <w:pPr>
      <w:pStyle w:val="44"/>
      <w:framePr w:h="307" w:wrap="around" w:vAnchor="margin" w:hAnchor="text" w:yAlign="top"/>
      <w:spacing w:before="0" w:after="220" w:line="240" w:lineRule="auto"/>
      <w:jc w:val="left"/>
      <w:rPr>
        <w:rFonts w:hAnsi="黑体"/>
        <w:sz w:val="21"/>
        <w:szCs w:val="21"/>
      </w:rPr>
    </w:pPr>
    <w:r>
      <w:rPr>
        <w:rFonts w:hAnsi="黑体"/>
        <w:sz w:val="21"/>
        <w:szCs w:val="21"/>
      </w:rPr>
      <w:t xml:space="preserve">T/ZFS </w:t>
    </w:r>
    <w:r>
      <w:rPr>
        <w:rFonts w:hint="eastAsia" w:hAnsi="黑体"/>
        <w:sz w:val="21"/>
        <w:szCs w:val="21"/>
        <w:lang w:val="en-US" w:eastAsia="zh-CN"/>
      </w:rPr>
      <w:t>XX</w:t>
    </w:r>
    <w:r>
      <w:rPr>
        <w:rFonts w:hAnsi="黑体"/>
        <w:sz w:val="21"/>
        <w:szCs w:val="21"/>
      </w:rPr>
      <w:t>XX—2020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2"/>
      <w:suff w:val="nothing"/>
      <w:lvlText w:val="注%1："/>
      <w:lvlJc w:val="left"/>
      <w:pPr>
        <w:ind w:left="811" w:hanging="448"/>
      </w:pPr>
      <w:rPr>
        <w:rFonts w:hint="eastAsia" w:ascii="黑体" w:eastAsia="黑体"/>
        <w:b w:val="0"/>
        <w:i w:val="0"/>
        <w:sz w:val="18"/>
        <w:szCs w:val="18"/>
      </w:rPr>
    </w:lvl>
    <w:lvl w:ilvl="1" w:tentative="0">
      <w:start w:val="1"/>
      <w:numFmt w:val="lowerLetter"/>
      <w:lvlText w:val="%2)"/>
      <w:lvlJc w:val="left"/>
      <w:pPr>
        <w:tabs>
          <w:tab w:val="left" w:pos="180"/>
        </w:tabs>
        <w:ind w:left="1172" w:hanging="629"/>
      </w:pPr>
      <w:rPr>
        <w:rFonts w:hint="eastAsia"/>
      </w:rPr>
    </w:lvl>
    <w:lvl w:ilvl="2" w:tentative="0">
      <w:start w:val="1"/>
      <w:numFmt w:val="lowerRoman"/>
      <w:lvlText w:val="%3."/>
      <w:lvlJc w:val="right"/>
      <w:pPr>
        <w:tabs>
          <w:tab w:val="left" w:pos="180"/>
        </w:tabs>
        <w:ind w:left="1172" w:hanging="629"/>
      </w:pPr>
      <w:rPr>
        <w:rFonts w:hint="eastAsia"/>
      </w:rPr>
    </w:lvl>
    <w:lvl w:ilvl="3" w:tentative="0">
      <w:start w:val="1"/>
      <w:numFmt w:val="decimal"/>
      <w:lvlText w:val="%4."/>
      <w:lvlJc w:val="left"/>
      <w:pPr>
        <w:tabs>
          <w:tab w:val="left" w:pos="180"/>
        </w:tabs>
        <w:ind w:left="1172" w:hanging="629"/>
      </w:pPr>
      <w:rPr>
        <w:rFonts w:hint="eastAsia"/>
      </w:rPr>
    </w:lvl>
    <w:lvl w:ilvl="4" w:tentative="0">
      <w:start w:val="1"/>
      <w:numFmt w:val="lowerLetter"/>
      <w:lvlText w:val="%5)"/>
      <w:lvlJc w:val="left"/>
      <w:pPr>
        <w:tabs>
          <w:tab w:val="left" w:pos="180"/>
        </w:tabs>
        <w:ind w:left="1172" w:hanging="629"/>
      </w:pPr>
      <w:rPr>
        <w:rFonts w:hint="eastAsia"/>
      </w:rPr>
    </w:lvl>
    <w:lvl w:ilvl="5" w:tentative="0">
      <w:start w:val="1"/>
      <w:numFmt w:val="lowerRoman"/>
      <w:lvlText w:val="%6."/>
      <w:lvlJc w:val="right"/>
      <w:pPr>
        <w:tabs>
          <w:tab w:val="left" w:pos="180"/>
        </w:tabs>
        <w:ind w:left="1172" w:hanging="629"/>
      </w:pPr>
      <w:rPr>
        <w:rFonts w:hint="eastAsia"/>
      </w:rPr>
    </w:lvl>
    <w:lvl w:ilvl="6" w:tentative="0">
      <w:start w:val="1"/>
      <w:numFmt w:val="decimal"/>
      <w:lvlText w:val="%7."/>
      <w:lvlJc w:val="left"/>
      <w:pPr>
        <w:tabs>
          <w:tab w:val="left" w:pos="180"/>
        </w:tabs>
        <w:ind w:left="1172" w:hanging="629"/>
      </w:pPr>
      <w:rPr>
        <w:rFonts w:hint="eastAsia"/>
      </w:rPr>
    </w:lvl>
    <w:lvl w:ilvl="7" w:tentative="0">
      <w:start w:val="1"/>
      <w:numFmt w:val="lowerLetter"/>
      <w:lvlText w:val="%8)"/>
      <w:lvlJc w:val="left"/>
      <w:pPr>
        <w:tabs>
          <w:tab w:val="left" w:pos="180"/>
        </w:tabs>
        <w:ind w:left="1172" w:hanging="629"/>
      </w:pPr>
      <w:rPr>
        <w:rFonts w:hint="eastAsia"/>
      </w:rPr>
    </w:lvl>
    <w:lvl w:ilvl="8" w:tentative="0">
      <w:start w:val="1"/>
      <w:numFmt w:val="lowerRoman"/>
      <w:lvlText w:val="%9."/>
      <w:lvlJc w:val="right"/>
      <w:pPr>
        <w:tabs>
          <w:tab w:val="left" w:pos="180"/>
        </w:tabs>
        <w:ind w:left="1172" w:hanging="629"/>
      </w:pPr>
      <w:rPr>
        <w:rFonts w:hint="eastAsia"/>
      </w:rPr>
    </w:lvl>
  </w:abstractNum>
  <w:abstractNum w:abstractNumId="5">
    <w:nsid w:val="1FC91163"/>
    <w:multiLevelType w:val="multilevel"/>
    <w:tmpl w:val="1FC91163"/>
    <w:lvl w:ilvl="0" w:tentative="0">
      <w:start w:val="1"/>
      <w:numFmt w:val="decimal"/>
      <w:pStyle w:val="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spacing w:val="0"/>
        <w:kern w:val="0"/>
        <w:position w:val="0"/>
        <w:sz w:val="21"/>
        <w:szCs w:val="21"/>
        <w:u w:val="none"/>
      </w:rPr>
    </w:lvl>
    <w:lvl w:ilvl="2" w:tentative="0">
      <w:start w:val="1"/>
      <w:numFmt w:val="decimal"/>
      <w:pStyle w:val="43"/>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3"/>
      <w:suff w:val="space"/>
      <w:lvlText w:val="%1"/>
      <w:lvlJc w:val="left"/>
      <w:pPr>
        <w:ind w:left="623" w:hanging="425"/>
      </w:pPr>
      <w:rPr>
        <w:rFonts w:hint="eastAsia"/>
      </w:rPr>
    </w:lvl>
    <w:lvl w:ilvl="1" w:tentative="0">
      <w:start w:val="1"/>
      <w:numFmt w:val="decimal"/>
      <w:pStyle w:val="9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5"/>
      <w:suff w:val="nothing"/>
      <w:lvlText w:val="%1——"/>
      <w:lvlJc w:val="left"/>
      <w:pPr>
        <w:ind w:left="833" w:hanging="408"/>
      </w:pPr>
      <w:rPr>
        <w:rFonts w:hint="eastAsia"/>
      </w:rPr>
    </w:lvl>
    <w:lvl w:ilvl="1" w:tentative="0">
      <w:start w:val="1"/>
      <w:numFmt w:val="bullet"/>
      <w:pStyle w:val="46"/>
      <w:lvlText w:val=""/>
      <w:lvlJc w:val="left"/>
      <w:pPr>
        <w:tabs>
          <w:tab w:val="left" w:pos="760"/>
        </w:tabs>
        <w:ind w:left="1264" w:hanging="413"/>
      </w:pPr>
      <w:rPr>
        <w:rFonts w:hint="default" w:ascii="Symbol" w:hAnsi="Symbol"/>
        <w:color w:val="auto"/>
      </w:rPr>
    </w:lvl>
    <w:lvl w:ilvl="2" w:tentative="0">
      <w:start w:val="1"/>
      <w:numFmt w:val="bullet"/>
      <w:pStyle w:val="5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1"/>
      <w:lvlText w:val="%2)"/>
      <w:lvlJc w:val="left"/>
      <w:pPr>
        <w:tabs>
          <w:tab w:val="left" w:pos="1260"/>
        </w:tabs>
        <w:ind w:left="1259" w:hanging="419"/>
      </w:pPr>
      <w:rPr>
        <w:rFonts w:hint="eastAsia"/>
      </w:rPr>
    </w:lvl>
    <w:lvl w:ilvl="2" w:tentative="0">
      <w:start w:val="1"/>
      <w:numFmt w:val="decimal"/>
      <w:pStyle w:val="5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59"/>
      <w:suff w:val="nothing"/>
      <w:lvlText w:val="示例%1："/>
      <w:lvlJc w:val="left"/>
      <w:pPr>
        <w:ind w:left="0" w:firstLine="363"/>
      </w:pPr>
      <w:rPr>
        <w:rFonts w:hint="eastAsia" w:ascii="黑体" w:hAnsi="Times New Roman" w:eastAsia="黑体"/>
        <w:b w:val="0"/>
        <w:i w:val="0"/>
        <w:sz w:val="18"/>
        <w:szCs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557C2AF5"/>
    <w:multiLevelType w:val="multilevel"/>
    <w:tmpl w:val="557C2AF5"/>
    <w:lvl w:ilvl="0" w:tentative="0">
      <w:start w:val="1"/>
      <w:numFmt w:val="decimal"/>
      <w:pStyle w:val="12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7"/>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98"/>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9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0"/>
      <w:lvlText w:val="%1)"/>
      <w:lvlJc w:val="left"/>
      <w:pPr>
        <w:tabs>
          <w:tab w:val="left" w:pos="839"/>
        </w:tabs>
        <w:ind w:left="839" w:hanging="419"/>
      </w:pPr>
      <w:rPr>
        <w:rFonts w:hint="eastAsia" w:ascii="宋体" w:eastAsia="宋体"/>
        <w:b w:val="0"/>
        <w:i w:val="0"/>
        <w:sz w:val="21"/>
      </w:rPr>
    </w:lvl>
    <w:lvl w:ilvl="1" w:tentative="0">
      <w:start w:val="1"/>
      <w:numFmt w:val="decimal"/>
      <w:pStyle w:val="9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06F97"/>
    <w:rsid w:val="00013D86"/>
    <w:rsid w:val="00013E02"/>
    <w:rsid w:val="0002143C"/>
    <w:rsid w:val="00025A65"/>
    <w:rsid w:val="00026C31"/>
    <w:rsid w:val="00026C3E"/>
    <w:rsid w:val="00027155"/>
    <w:rsid w:val="00027280"/>
    <w:rsid w:val="000320A7"/>
    <w:rsid w:val="00032310"/>
    <w:rsid w:val="00035925"/>
    <w:rsid w:val="000477BB"/>
    <w:rsid w:val="00051F06"/>
    <w:rsid w:val="00060430"/>
    <w:rsid w:val="00067288"/>
    <w:rsid w:val="00067CDF"/>
    <w:rsid w:val="00067D87"/>
    <w:rsid w:val="00074FBE"/>
    <w:rsid w:val="00083A09"/>
    <w:rsid w:val="0009005E"/>
    <w:rsid w:val="000921C1"/>
    <w:rsid w:val="00092857"/>
    <w:rsid w:val="00096F57"/>
    <w:rsid w:val="000A20A9"/>
    <w:rsid w:val="000A48B1"/>
    <w:rsid w:val="000B3143"/>
    <w:rsid w:val="000B5142"/>
    <w:rsid w:val="000B572F"/>
    <w:rsid w:val="000C6B05"/>
    <w:rsid w:val="000C6DD6"/>
    <w:rsid w:val="000C73D4"/>
    <w:rsid w:val="000D3D4C"/>
    <w:rsid w:val="000D4F51"/>
    <w:rsid w:val="000D718B"/>
    <w:rsid w:val="000E0C46"/>
    <w:rsid w:val="000F030C"/>
    <w:rsid w:val="000F129C"/>
    <w:rsid w:val="001024A1"/>
    <w:rsid w:val="0010562B"/>
    <w:rsid w:val="001056DE"/>
    <w:rsid w:val="001124C0"/>
    <w:rsid w:val="00114FE7"/>
    <w:rsid w:val="00121FAD"/>
    <w:rsid w:val="00122069"/>
    <w:rsid w:val="00122AB0"/>
    <w:rsid w:val="0013175F"/>
    <w:rsid w:val="00131E96"/>
    <w:rsid w:val="00132D85"/>
    <w:rsid w:val="001330D0"/>
    <w:rsid w:val="00142329"/>
    <w:rsid w:val="00143E3E"/>
    <w:rsid w:val="0014698F"/>
    <w:rsid w:val="001512B4"/>
    <w:rsid w:val="00154B3E"/>
    <w:rsid w:val="001620A5"/>
    <w:rsid w:val="00163263"/>
    <w:rsid w:val="001638D4"/>
    <w:rsid w:val="001649C8"/>
    <w:rsid w:val="00164E53"/>
    <w:rsid w:val="0016699D"/>
    <w:rsid w:val="001713B4"/>
    <w:rsid w:val="00175159"/>
    <w:rsid w:val="00176208"/>
    <w:rsid w:val="0018211B"/>
    <w:rsid w:val="00183703"/>
    <w:rsid w:val="001840D3"/>
    <w:rsid w:val="00184AAE"/>
    <w:rsid w:val="00185DFE"/>
    <w:rsid w:val="001900F8"/>
    <w:rsid w:val="0019049A"/>
    <w:rsid w:val="00191258"/>
    <w:rsid w:val="00192680"/>
    <w:rsid w:val="00193037"/>
    <w:rsid w:val="00193A2C"/>
    <w:rsid w:val="00194EE2"/>
    <w:rsid w:val="001A288E"/>
    <w:rsid w:val="001B6DC2"/>
    <w:rsid w:val="001C149C"/>
    <w:rsid w:val="001C21AC"/>
    <w:rsid w:val="001C47BA"/>
    <w:rsid w:val="001C4AC9"/>
    <w:rsid w:val="001C59EA"/>
    <w:rsid w:val="001C6EDE"/>
    <w:rsid w:val="001D406C"/>
    <w:rsid w:val="001D41EE"/>
    <w:rsid w:val="001E0380"/>
    <w:rsid w:val="001E13B1"/>
    <w:rsid w:val="001E3543"/>
    <w:rsid w:val="001F3A19"/>
    <w:rsid w:val="001F5729"/>
    <w:rsid w:val="00206E3E"/>
    <w:rsid w:val="00214CA9"/>
    <w:rsid w:val="00217A9A"/>
    <w:rsid w:val="00224E42"/>
    <w:rsid w:val="00234467"/>
    <w:rsid w:val="0023453A"/>
    <w:rsid w:val="00237D8D"/>
    <w:rsid w:val="00241DA2"/>
    <w:rsid w:val="0024277B"/>
    <w:rsid w:val="00247FEE"/>
    <w:rsid w:val="00250E7D"/>
    <w:rsid w:val="0025292A"/>
    <w:rsid w:val="00255251"/>
    <w:rsid w:val="002565D5"/>
    <w:rsid w:val="0025773E"/>
    <w:rsid w:val="0026063E"/>
    <w:rsid w:val="002622C0"/>
    <w:rsid w:val="002717F9"/>
    <w:rsid w:val="002778AE"/>
    <w:rsid w:val="00277CF3"/>
    <w:rsid w:val="0028269A"/>
    <w:rsid w:val="00283590"/>
    <w:rsid w:val="00286973"/>
    <w:rsid w:val="00294E70"/>
    <w:rsid w:val="00297183"/>
    <w:rsid w:val="00297C2B"/>
    <w:rsid w:val="00297E44"/>
    <w:rsid w:val="002A1924"/>
    <w:rsid w:val="002A1B52"/>
    <w:rsid w:val="002A43FD"/>
    <w:rsid w:val="002A7420"/>
    <w:rsid w:val="002B0F12"/>
    <w:rsid w:val="002B1308"/>
    <w:rsid w:val="002B4554"/>
    <w:rsid w:val="002B5DC2"/>
    <w:rsid w:val="002C72D8"/>
    <w:rsid w:val="002D11FA"/>
    <w:rsid w:val="002D3849"/>
    <w:rsid w:val="002D44AD"/>
    <w:rsid w:val="002E0DDF"/>
    <w:rsid w:val="002E1E34"/>
    <w:rsid w:val="002E240B"/>
    <w:rsid w:val="002E2906"/>
    <w:rsid w:val="002E39A5"/>
    <w:rsid w:val="002E5635"/>
    <w:rsid w:val="002E64C3"/>
    <w:rsid w:val="002E6A2C"/>
    <w:rsid w:val="002E7B2D"/>
    <w:rsid w:val="002F1D8C"/>
    <w:rsid w:val="002F2137"/>
    <w:rsid w:val="002F21DA"/>
    <w:rsid w:val="00301F39"/>
    <w:rsid w:val="00306D5A"/>
    <w:rsid w:val="00312980"/>
    <w:rsid w:val="00325926"/>
    <w:rsid w:val="00327A8A"/>
    <w:rsid w:val="00336610"/>
    <w:rsid w:val="00337B8F"/>
    <w:rsid w:val="00342904"/>
    <w:rsid w:val="00343F73"/>
    <w:rsid w:val="00345060"/>
    <w:rsid w:val="0035323B"/>
    <w:rsid w:val="003551AD"/>
    <w:rsid w:val="003609D2"/>
    <w:rsid w:val="00361E3E"/>
    <w:rsid w:val="00363F22"/>
    <w:rsid w:val="003666F0"/>
    <w:rsid w:val="00367058"/>
    <w:rsid w:val="00370C63"/>
    <w:rsid w:val="00375564"/>
    <w:rsid w:val="00383191"/>
    <w:rsid w:val="00384F02"/>
    <w:rsid w:val="00386DED"/>
    <w:rsid w:val="003912E7"/>
    <w:rsid w:val="00393947"/>
    <w:rsid w:val="003A049E"/>
    <w:rsid w:val="003A2275"/>
    <w:rsid w:val="003A47C0"/>
    <w:rsid w:val="003A6A4F"/>
    <w:rsid w:val="003A7088"/>
    <w:rsid w:val="003B00DF"/>
    <w:rsid w:val="003B09A0"/>
    <w:rsid w:val="003B1275"/>
    <w:rsid w:val="003B1778"/>
    <w:rsid w:val="003B4738"/>
    <w:rsid w:val="003C11CB"/>
    <w:rsid w:val="003C6312"/>
    <w:rsid w:val="003C75F3"/>
    <w:rsid w:val="003C78A3"/>
    <w:rsid w:val="003C7C66"/>
    <w:rsid w:val="003D227D"/>
    <w:rsid w:val="003D290F"/>
    <w:rsid w:val="003D4E29"/>
    <w:rsid w:val="003D62DE"/>
    <w:rsid w:val="003E1867"/>
    <w:rsid w:val="003E1E24"/>
    <w:rsid w:val="003E5729"/>
    <w:rsid w:val="003F198C"/>
    <w:rsid w:val="003F4EE0"/>
    <w:rsid w:val="00402153"/>
    <w:rsid w:val="00402FC1"/>
    <w:rsid w:val="00403ECC"/>
    <w:rsid w:val="00413AE4"/>
    <w:rsid w:val="0041659E"/>
    <w:rsid w:val="004208FC"/>
    <w:rsid w:val="00425082"/>
    <w:rsid w:val="00425EB9"/>
    <w:rsid w:val="004263BB"/>
    <w:rsid w:val="004264BC"/>
    <w:rsid w:val="00431DEB"/>
    <w:rsid w:val="0043620B"/>
    <w:rsid w:val="00446B29"/>
    <w:rsid w:val="00447FC3"/>
    <w:rsid w:val="00453F9A"/>
    <w:rsid w:val="004630E3"/>
    <w:rsid w:val="004653F9"/>
    <w:rsid w:val="00471E91"/>
    <w:rsid w:val="00474675"/>
    <w:rsid w:val="0047470C"/>
    <w:rsid w:val="00475A73"/>
    <w:rsid w:val="00475B89"/>
    <w:rsid w:val="004803C0"/>
    <w:rsid w:val="0048356B"/>
    <w:rsid w:val="00485A50"/>
    <w:rsid w:val="00491203"/>
    <w:rsid w:val="004929DD"/>
    <w:rsid w:val="004A06C6"/>
    <w:rsid w:val="004A1EAF"/>
    <w:rsid w:val="004A2602"/>
    <w:rsid w:val="004A35F9"/>
    <w:rsid w:val="004A4644"/>
    <w:rsid w:val="004B21FC"/>
    <w:rsid w:val="004B24C1"/>
    <w:rsid w:val="004B4872"/>
    <w:rsid w:val="004B4B12"/>
    <w:rsid w:val="004C292F"/>
    <w:rsid w:val="004C620D"/>
    <w:rsid w:val="004D5685"/>
    <w:rsid w:val="004F00C6"/>
    <w:rsid w:val="004F24D3"/>
    <w:rsid w:val="004F7563"/>
    <w:rsid w:val="00502514"/>
    <w:rsid w:val="00503053"/>
    <w:rsid w:val="00510280"/>
    <w:rsid w:val="00513D73"/>
    <w:rsid w:val="00514A43"/>
    <w:rsid w:val="005174E5"/>
    <w:rsid w:val="0051796D"/>
    <w:rsid w:val="00517BFE"/>
    <w:rsid w:val="005207C1"/>
    <w:rsid w:val="00522393"/>
    <w:rsid w:val="00522620"/>
    <w:rsid w:val="00525656"/>
    <w:rsid w:val="00533009"/>
    <w:rsid w:val="00534C02"/>
    <w:rsid w:val="005408FE"/>
    <w:rsid w:val="0054264B"/>
    <w:rsid w:val="0054375C"/>
    <w:rsid w:val="00543786"/>
    <w:rsid w:val="00543C33"/>
    <w:rsid w:val="005533D7"/>
    <w:rsid w:val="00553498"/>
    <w:rsid w:val="005703DE"/>
    <w:rsid w:val="00570A1D"/>
    <w:rsid w:val="0058464E"/>
    <w:rsid w:val="0058479E"/>
    <w:rsid w:val="005A01CB"/>
    <w:rsid w:val="005A2256"/>
    <w:rsid w:val="005A58FF"/>
    <w:rsid w:val="005A5EAF"/>
    <w:rsid w:val="005A64C0"/>
    <w:rsid w:val="005B3C11"/>
    <w:rsid w:val="005B669B"/>
    <w:rsid w:val="005B69CE"/>
    <w:rsid w:val="005B7BC9"/>
    <w:rsid w:val="005C1C28"/>
    <w:rsid w:val="005C6DB5"/>
    <w:rsid w:val="005D2C93"/>
    <w:rsid w:val="005D71DA"/>
    <w:rsid w:val="005E19E7"/>
    <w:rsid w:val="005F1457"/>
    <w:rsid w:val="005F5391"/>
    <w:rsid w:val="005F564E"/>
    <w:rsid w:val="005F6E7A"/>
    <w:rsid w:val="005F7DEA"/>
    <w:rsid w:val="00601D69"/>
    <w:rsid w:val="00612CDA"/>
    <w:rsid w:val="0061716C"/>
    <w:rsid w:val="006224C6"/>
    <w:rsid w:val="006243A1"/>
    <w:rsid w:val="00632E56"/>
    <w:rsid w:val="00634048"/>
    <w:rsid w:val="00634C5E"/>
    <w:rsid w:val="006359A0"/>
    <w:rsid w:val="00635CBA"/>
    <w:rsid w:val="0064338B"/>
    <w:rsid w:val="00646542"/>
    <w:rsid w:val="006504F4"/>
    <w:rsid w:val="0065321C"/>
    <w:rsid w:val="00654BC9"/>
    <w:rsid w:val="006552FD"/>
    <w:rsid w:val="0065768A"/>
    <w:rsid w:val="006600AD"/>
    <w:rsid w:val="00663AF3"/>
    <w:rsid w:val="00666548"/>
    <w:rsid w:val="00666B6C"/>
    <w:rsid w:val="00673E5A"/>
    <w:rsid w:val="0067541F"/>
    <w:rsid w:val="00676C85"/>
    <w:rsid w:val="00680F97"/>
    <w:rsid w:val="00682682"/>
    <w:rsid w:val="00682702"/>
    <w:rsid w:val="00682EA7"/>
    <w:rsid w:val="006863E9"/>
    <w:rsid w:val="00692368"/>
    <w:rsid w:val="0069237E"/>
    <w:rsid w:val="00696DDD"/>
    <w:rsid w:val="006A2EBC"/>
    <w:rsid w:val="006A479C"/>
    <w:rsid w:val="006A5EA0"/>
    <w:rsid w:val="006A71A2"/>
    <w:rsid w:val="006A783B"/>
    <w:rsid w:val="006A7B33"/>
    <w:rsid w:val="006B4E13"/>
    <w:rsid w:val="006B72BC"/>
    <w:rsid w:val="006B75DD"/>
    <w:rsid w:val="006C0FCE"/>
    <w:rsid w:val="006C35C2"/>
    <w:rsid w:val="006C6749"/>
    <w:rsid w:val="006C67E0"/>
    <w:rsid w:val="006C7ABA"/>
    <w:rsid w:val="006D0D60"/>
    <w:rsid w:val="006D1122"/>
    <w:rsid w:val="006D2B21"/>
    <w:rsid w:val="006D3C00"/>
    <w:rsid w:val="006E3675"/>
    <w:rsid w:val="006E4A7F"/>
    <w:rsid w:val="006F1094"/>
    <w:rsid w:val="006F7BCB"/>
    <w:rsid w:val="00701857"/>
    <w:rsid w:val="00704DF6"/>
    <w:rsid w:val="0070651C"/>
    <w:rsid w:val="007132A3"/>
    <w:rsid w:val="00713463"/>
    <w:rsid w:val="00715030"/>
    <w:rsid w:val="00716421"/>
    <w:rsid w:val="007202D3"/>
    <w:rsid w:val="00723742"/>
    <w:rsid w:val="00724EFB"/>
    <w:rsid w:val="0072519C"/>
    <w:rsid w:val="00732762"/>
    <w:rsid w:val="00735395"/>
    <w:rsid w:val="007419C3"/>
    <w:rsid w:val="00743254"/>
    <w:rsid w:val="00743332"/>
    <w:rsid w:val="007467A7"/>
    <w:rsid w:val="007469DD"/>
    <w:rsid w:val="0074741B"/>
    <w:rsid w:val="0074759E"/>
    <w:rsid w:val="007478EA"/>
    <w:rsid w:val="0075411A"/>
    <w:rsid w:val="0075415C"/>
    <w:rsid w:val="00755F79"/>
    <w:rsid w:val="00763502"/>
    <w:rsid w:val="00780D84"/>
    <w:rsid w:val="007913AB"/>
    <w:rsid w:val="007914F7"/>
    <w:rsid w:val="00793DDC"/>
    <w:rsid w:val="00796F1C"/>
    <w:rsid w:val="007A07E4"/>
    <w:rsid w:val="007B1625"/>
    <w:rsid w:val="007B706E"/>
    <w:rsid w:val="007B71EB"/>
    <w:rsid w:val="007C6205"/>
    <w:rsid w:val="007C686A"/>
    <w:rsid w:val="007C728E"/>
    <w:rsid w:val="007D2C53"/>
    <w:rsid w:val="007D3D60"/>
    <w:rsid w:val="007D49D8"/>
    <w:rsid w:val="007D5A3D"/>
    <w:rsid w:val="007D7F70"/>
    <w:rsid w:val="007E1980"/>
    <w:rsid w:val="007E3D2A"/>
    <w:rsid w:val="007E4B76"/>
    <w:rsid w:val="007E5EA8"/>
    <w:rsid w:val="007E7DA1"/>
    <w:rsid w:val="007F0CF1"/>
    <w:rsid w:val="007F12A5"/>
    <w:rsid w:val="007F4CF1"/>
    <w:rsid w:val="007F758D"/>
    <w:rsid w:val="007F7D52"/>
    <w:rsid w:val="008042A4"/>
    <w:rsid w:val="0080654C"/>
    <w:rsid w:val="008071C6"/>
    <w:rsid w:val="0081116B"/>
    <w:rsid w:val="00817A00"/>
    <w:rsid w:val="00817E36"/>
    <w:rsid w:val="00820EC5"/>
    <w:rsid w:val="00831018"/>
    <w:rsid w:val="00835DB3"/>
    <w:rsid w:val="0083617B"/>
    <w:rsid w:val="008371BD"/>
    <w:rsid w:val="00837DEB"/>
    <w:rsid w:val="00840D7D"/>
    <w:rsid w:val="00846FFB"/>
    <w:rsid w:val="008504A8"/>
    <w:rsid w:val="0085282E"/>
    <w:rsid w:val="00852A8A"/>
    <w:rsid w:val="00856BDB"/>
    <w:rsid w:val="00863B41"/>
    <w:rsid w:val="00865902"/>
    <w:rsid w:val="0086649F"/>
    <w:rsid w:val="00867E9C"/>
    <w:rsid w:val="008706CA"/>
    <w:rsid w:val="0087198C"/>
    <w:rsid w:val="00872C1F"/>
    <w:rsid w:val="00873B42"/>
    <w:rsid w:val="00877725"/>
    <w:rsid w:val="008856D8"/>
    <w:rsid w:val="00892E82"/>
    <w:rsid w:val="008961AC"/>
    <w:rsid w:val="008A1116"/>
    <w:rsid w:val="008B144C"/>
    <w:rsid w:val="008B7EFF"/>
    <w:rsid w:val="008C1B58"/>
    <w:rsid w:val="008C1F11"/>
    <w:rsid w:val="008C39AE"/>
    <w:rsid w:val="008C431F"/>
    <w:rsid w:val="008C590D"/>
    <w:rsid w:val="008D449A"/>
    <w:rsid w:val="008E031B"/>
    <w:rsid w:val="008E3030"/>
    <w:rsid w:val="008E7029"/>
    <w:rsid w:val="008E7EF6"/>
    <w:rsid w:val="008F1236"/>
    <w:rsid w:val="008F1F98"/>
    <w:rsid w:val="008F567B"/>
    <w:rsid w:val="008F6758"/>
    <w:rsid w:val="009023DE"/>
    <w:rsid w:val="009040DD"/>
    <w:rsid w:val="00905B47"/>
    <w:rsid w:val="00905D07"/>
    <w:rsid w:val="009070A0"/>
    <w:rsid w:val="0091331C"/>
    <w:rsid w:val="00916E17"/>
    <w:rsid w:val="00917526"/>
    <w:rsid w:val="00917C4D"/>
    <w:rsid w:val="00920596"/>
    <w:rsid w:val="00920AB8"/>
    <w:rsid w:val="009213E0"/>
    <w:rsid w:val="00924085"/>
    <w:rsid w:val="009279DE"/>
    <w:rsid w:val="00930116"/>
    <w:rsid w:val="009352EE"/>
    <w:rsid w:val="0093678E"/>
    <w:rsid w:val="00937826"/>
    <w:rsid w:val="0094212C"/>
    <w:rsid w:val="00942D07"/>
    <w:rsid w:val="00954689"/>
    <w:rsid w:val="009552D8"/>
    <w:rsid w:val="009604BF"/>
    <w:rsid w:val="00960636"/>
    <w:rsid w:val="009617C9"/>
    <w:rsid w:val="00961C93"/>
    <w:rsid w:val="00962F1B"/>
    <w:rsid w:val="00963004"/>
    <w:rsid w:val="00965324"/>
    <w:rsid w:val="009673C3"/>
    <w:rsid w:val="00967716"/>
    <w:rsid w:val="0097091E"/>
    <w:rsid w:val="00975D0E"/>
    <w:rsid w:val="009760D3"/>
    <w:rsid w:val="00977132"/>
    <w:rsid w:val="00981A4B"/>
    <w:rsid w:val="00982501"/>
    <w:rsid w:val="0098408D"/>
    <w:rsid w:val="0098573A"/>
    <w:rsid w:val="009877D3"/>
    <w:rsid w:val="0099046B"/>
    <w:rsid w:val="00994E8F"/>
    <w:rsid w:val="009951DC"/>
    <w:rsid w:val="009959BB"/>
    <w:rsid w:val="00997158"/>
    <w:rsid w:val="009A3A7C"/>
    <w:rsid w:val="009B2ADB"/>
    <w:rsid w:val="009B603A"/>
    <w:rsid w:val="009B787B"/>
    <w:rsid w:val="009C0284"/>
    <w:rsid w:val="009C2D0E"/>
    <w:rsid w:val="009C3DAC"/>
    <w:rsid w:val="009C421D"/>
    <w:rsid w:val="009C42E0"/>
    <w:rsid w:val="009C79D6"/>
    <w:rsid w:val="009D2283"/>
    <w:rsid w:val="009D2AAF"/>
    <w:rsid w:val="009D5362"/>
    <w:rsid w:val="009E1415"/>
    <w:rsid w:val="009E5909"/>
    <w:rsid w:val="009E6116"/>
    <w:rsid w:val="009F4BC8"/>
    <w:rsid w:val="00A00A6C"/>
    <w:rsid w:val="00A02E43"/>
    <w:rsid w:val="00A065F9"/>
    <w:rsid w:val="00A07F34"/>
    <w:rsid w:val="00A1013E"/>
    <w:rsid w:val="00A10F0E"/>
    <w:rsid w:val="00A17D4E"/>
    <w:rsid w:val="00A22154"/>
    <w:rsid w:val="00A23290"/>
    <w:rsid w:val="00A25C38"/>
    <w:rsid w:val="00A36BBE"/>
    <w:rsid w:val="00A37E92"/>
    <w:rsid w:val="00A406AA"/>
    <w:rsid w:val="00A4307A"/>
    <w:rsid w:val="00A47EBB"/>
    <w:rsid w:val="00A505D0"/>
    <w:rsid w:val="00A51CDD"/>
    <w:rsid w:val="00A57EDC"/>
    <w:rsid w:val="00A6161D"/>
    <w:rsid w:val="00A628A6"/>
    <w:rsid w:val="00A6304A"/>
    <w:rsid w:val="00A65C4E"/>
    <w:rsid w:val="00A65E32"/>
    <w:rsid w:val="00A6730D"/>
    <w:rsid w:val="00A71625"/>
    <w:rsid w:val="00A71B9B"/>
    <w:rsid w:val="00A751C7"/>
    <w:rsid w:val="00A82006"/>
    <w:rsid w:val="00A86B4A"/>
    <w:rsid w:val="00A87844"/>
    <w:rsid w:val="00A9083A"/>
    <w:rsid w:val="00A912A4"/>
    <w:rsid w:val="00AA038C"/>
    <w:rsid w:val="00AA20CE"/>
    <w:rsid w:val="00AA7A09"/>
    <w:rsid w:val="00AB3B50"/>
    <w:rsid w:val="00AB67DD"/>
    <w:rsid w:val="00AC05B1"/>
    <w:rsid w:val="00AC1038"/>
    <w:rsid w:val="00AC7FC3"/>
    <w:rsid w:val="00AD168E"/>
    <w:rsid w:val="00AD356C"/>
    <w:rsid w:val="00AE2914"/>
    <w:rsid w:val="00AE6D15"/>
    <w:rsid w:val="00AF0422"/>
    <w:rsid w:val="00B0046E"/>
    <w:rsid w:val="00B036AE"/>
    <w:rsid w:val="00B04182"/>
    <w:rsid w:val="00B07AE3"/>
    <w:rsid w:val="00B11430"/>
    <w:rsid w:val="00B17459"/>
    <w:rsid w:val="00B21FC4"/>
    <w:rsid w:val="00B30705"/>
    <w:rsid w:val="00B30F2D"/>
    <w:rsid w:val="00B353EB"/>
    <w:rsid w:val="00B439AB"/>
    <w:rsid w:val="00B439C4"/>
    <w:rsid w:val="00B43CCC"/>
    <w:rsid w:val="00B4535E"/>
    <w:rsid w:val="00B50E11"/>
    <w:rsid w:val="00B51A33"/>
    <w:rsid w:val="00B528DF"/>
    <w:rsid w:val="00B52A8C"/>
    <w:rsid w:val="00B531EE"/>
    <w:rsid w:val="00B636A8"/>
    <w:rsid w:val="00B65991"/>
    <w:rsid w:val="00B65C91"/>
    <w:rsid w:val="00B665C6"/>
    <w:rsid w:val="00B73CD5"/>
    <w:rsid w:val="00B805AF"/>
    <w:rsid w:val="00B824F3"/>
    <w:rsid w:val="00B83EF5"/>
    <w:rsid w:val="00B869EC"/>
    <w:rsid w:val="00B90EDF"/>
    <w:rsid w:val="00B9397A"/>
    <w:rsid w:val="00B9633D"/>
    <w:rsid w:val="00BA2EBE"/>
    <w:rsid w:val="00BB0F28"/>
    <w:rsid w:val="00BB1332"/>
    <w:rsid w:val="00BB3479"/>
    <w:rsid w:val="00BB377A"/>
    <w:rsid w:val="00BB458A"/>
    <w:rsid w:val="00BB5582"/>
    <w:rsid w:val="00BB71AF"/>
    <w:rsid w:val="00BC0D9F"/>
    <w:rsid w:val="00BC1781"/>
    <w:rsid w:val="00BC58F4"/>
    <w:rsid w:val="00BC6824"/>
    <w:rsid w:val="00BD00D3"/>
    <w:rsid w:val="00BD1659"/>
    <w:rsid w:val="00BD3AA9"/>
    <w:rsid w:val="00BD4A18"/>
    <w:rsid w:val="00BD6DB2"/>
    <w:rsid w:val="00BD6E67"/>
    <w:rsid w:val="00BE11A5"/>
    <w:rsid w:val="00BE11CF"/>
    <w:rsid w:val="00BE21AB"/>
    <w:rsid w:val="00BE55CB"/>
    <w:rsid w:val="00BF0ED2"/>
    <w:rsid w:val="00BF100C"/>
    <w:rsid w:val="00BF1588"/>
    <w:rsid w:val="00BF3800"/>
    <w:rsid w:val="00BF617A"/>
    <w:rsid w:val="00C00092"/>
    <w:rsid w:val="00C01411"/>
    <w:rsid w:val="00C03330"/>
    <w:rsid w:val="00C0379D"/>
    <w:rsid w:val="00C03931"/>
    <w:rsid w:val="00C05FE3"/>
    <w:rsid w:val="00C21003"/>
    <w:rsid w:val="00C2136D"/>
    <w:rsid w:val="00C214EE"/>
    <w:rsid w:val="00C2309C"/>
    <w:rsid w:val="00C2314B"/>
    <w:rsid w:val="00C24971"/>
    <w:rsid w:val="00C257EF"/>
    <w:rsid w:val="00C269D8"/>
    <w:rsid w:val="00C26BE5"/>
    <w:rsid w:val="00C26E4D"/>
    <w:rsid w:val="00C27909"/>
    <w:rsid w:val="00C27B03"/>
    <w:rsid w:val="00C314E1"/>
    <w:rsid w:val="00C34397"/>
    <w:rsid w:val="00C365C6"/>
    <w:rsid w:val="00C37F23"/>
    <w:rsid w:val="00C4095D"/>
    <w:rsid w:val="00C437C6"/>
    <w:rsid w:val="00C44203"/>
    <w:rsid w:val="00C50F1A"/>
    <w:rsid w:val="00C601D2"/>
    <w:rsid w:val="00C62698"/>
    <w:rsid w:val="00C657AB"/>
    <w:rsid w:val="00C65BCC"/>
    <w:rsid w:val="00C66970"/>
    <w:rsid w:val="00C77894"/>
    <w:rsid w:val="00C8691C"/>
    <w:rsid w:val="00C920BB"/>
    <w:rsid w:val="00CA168A"/>
    <w:rsid w:val="00CA2AB4"/>
    <w:rsid w:val="00CA357E"/>
    <w:rsid w:val="00CA44F9"/>
    <w:rsid w:val="00CA4A69"/>
    <w:rsid w:val="00CA5C47"/>
    <w:rsid w:val="00CB1C05"/>
    <w:rsid w:val="00CB6161"/>
    <w:rsid w:val="00CC3E0C"/>
    <w:rsid w:val="00CC58D3"/>
    <w:rsid w:val="00CC784D"/>
    <w:rsid w:val="00CD28E4"/>
    <w:rsid w:val="00CD3331"/>
    <w:rsid w:val="00CD48B1"/>
    <w:rsid w:val="00CE673F"/>
    <w:rsid w:val="00CF3F8F"/>
    <w:rsid w:val="00D0337B"/>
    <w:rsid w:val="00D07990"/>
    <w:rsid w:val="00D079B2"/>
    <w:rsid w:val="00D114E9"/>
    <w:rsid w:val="00D11E3B"/>
    <w:rsid w:val="00D11F0A"/>
    <w:rsid w:val="00D175E8"/>
    <w:rsid w:val="00D235E8"/>
    <w:rsid w:val="00D31F2E"/>
    <w:rsid w:val="00D32DD9"/>
    <w:rsid w:val="00D338E2"/>
    <w:rsid w:val="00D35371"/>
    <w:rsid w:val="00D412FB"/>
    <w:rsid w:val="00D429C6"/>
    <w:rsid w:val="00D45289"/>
    <w:rsid w:val="00D47748"/>
    <w:rsid w:val="00D51545"/>
    <w:rsid w:val="00D53AA1"/>
    <w:rsid w:val="00D54CC3"/>
    <w:rsid w:val="00D5735A"/>
    <w:rsid w:val="00D6041A"/>
    <w:rsid w:val="00D61149"/>
    <w:rsid w:val="00D61B74"/>
    <w:rsid w:val="00D62248"/>
    <w:rsid w:val="00D6225F"/>
    <w:rsid w:val="00D633EB"/>
    <w:rsid w:val="00D75194"/>
    <w:rsid w:val="00D82939"/>
    <w:rsid w:val="00D82FF7"/>
    <w:rsid w:val="00D847FE"/>
    <w:rsid w:val="00D858BF"/>
    <w:rsid w:val="00D85D7E"/>
    <w:rsid w:val="00D87177"/>
    <w:rsid w:val="00D877D9"/>
    <w:rsid w:val="00D87F72"/>
    <w:rsid w:val="00D91986"/>
    <w:rsid w:val="00D95DBF"/>
    <w:rsid w:val="00D964EA"/>
    <w:rsid w:val="00D966D0"/>
    <w:rsid w:val="00DA0C59"/>
    <w:rsid w:val="00DA2593"/>
    <w:rsid w:val="00DA3991"/>
    <w:rsid w:val="00DB01D2"/>
    <w:rsid w:val="00DB1D39"/>
    <w:rsid w:val="00DB7E6C"/>
    <w:rsid w:val="00DC650A"/>
    <w:rsid w:val="00DD108D"/>
    <w:rsid w:val="00DD13B8"/>
    <w:rsid w:val="00DD5A29"/>
    <w:rsid w:val="00DD5D9D"/>
    <w:rsid w:val="00DD7DD4"/>
    <w:rsid w:val="00DE1A46"/>
    <w:rsid w:val="00DE35CB"/>
    <w:rsid w:val="00DF067D"/>
    <w:rsid w:val="00DF2107"/>
    <w:rsid w:val="00DF21E9"/>
    <w:rsid w:val="00DF2F9A"/>
    <w:rsid w:val="00DF3ECA"/>
    <w:rsid w:val="00E00325"/>
    <w:rsid w:val="00E00684"/>
    <w:rsid w:val="00E00F14"/>
    <w:rsid w:val="00E06386"/>
    <w:rsid w:val="00E11943"/>
    <w:rsid w:val="00E1217C"/>
    <w:rsid w:val="00E16540"/>
    <w:rsid w:val="00E17EAB"/>
    <w:rsid w:val="00E208AD"/>
    <w:rsid w:val="00E21912"/>
    <w:rsid w:val="00E24EB4"/>
    <w:rsid w:val="00E31395"/>
    <w:rsid w:val="00E320ED"/>
    <w:rsid w:val="00E3270B"/>
    <w:rsid w:val="00E33AFB"/>
    <w:rsid w:val="00E34218"/>
    <w:rsid w:val="00E3476E"/>
    <w:rsid w:val="00E46282"/>
    <w:rsid w:val="00E5216E"/>
    <w:rsid w:val="00E61E6B"/>
    <w:rsid w:val="00E62448"/>
    <w:rsid w:val="00E717C6"/>
    <w:rsid w:val="00E75432"/>
    <w:rsid w:val="00E81F6F"/>
    <w:rsid w:val="00E82344"/>
    <w:rsid w:val="00E84C82"/>
    <w:rsid w:val="00E84D64"/>
    <w:rsid w:val="00E85CF2"/>
    <w:rsid w:val="00E8638F"/>
    <w:rsid w:val="00E87408"/>
    <w:rsid w:val="00E914C4"/>
    <w:rsid w:val="00E934F5"/>
    <w:rsid w:val="00E95024"/>
    <w:rsid w:val="00E96961"/>
    <w:rsid w:val="00EA3FB3"/>
    <w:rsid w:val="00EA72EC"/>
    <w:rsid w:val="00EB11CB"/>
    <w:rsid w:val="00EB275A"/>
    <w:rsid w:val="00EB786A"/>
    <w:rsid w:val="00EC1578"/>
    <w:rsid w:val="00EC1C72"/>
    <w:rsid w:val="00EC3CC9"/>
    <w:rsid w:val="00EC680A"/>
    <w:rsid w:val="00EC6E0A"/>
    <w:rsid w:val="00ED3C58"/>
    <w:rsid w:val="00EE0B44"/>
    <w:rsid w:val="00EE2BED"/>
    <w:rsid w:val="00EE374B"/>
    <w:rsid w:val="00EE3B5E"/>
    <w:rsid w:val="00EF69B1"/>
    <w:rsid w:val="00EF7E90"/>
    <w:rsid w:val="00F005D2"/>
    <w:rsid w:val="00F11BB5"/>
    <w:rsid w:val="00F1417B"/>
    <w:rsid w:val="00F21272"/>
    <w:rsid w:val="00F216CB"/>
    <w:rsid w:val="00F34B99"/>
    <w:rsid w:val="00F35D8B"/>
    <w:rsid w:val="00F52DAB"/>
    <w:rsid w:val="00F543F0"/>
    <w:rsid w:val="00F5448A"/>
    <w:rsid w:val="00F6004E"/>
    <w:rsid w:val="00F704D7"/>
    <w:rsid w:val="00F7649B"/>
    <w:rsid w:val="00F7776E"/>
    <w:rsid w:val="00F81D29"/>
    <w:rsid w:val="00F8294E"/>
    <w:rsid w:val="00F8512B"/>
    <w:rsid w:val="00F8585D"/>
    <w:rsid w:val="00F861CF"/>
    <w:rsid w:val="00F86F7A"/>
    <w:rsid w:val="00F91C4D"/>
    <w:rsid w:val="00F92FD9"/>
    <w:rsid w:val="00FA6684"/>
    <w:rsid w:val="00FA731E"/>
    <w:rsid w:val="00FA75C4"/>
    <w:rsid w:val="00FB2B38"/>
    <w:rsid w:val="00FB6804"/>
    <w:rsid w:val="00FC6358"/>
    <w:rsid w:val="00FD28AD"/>
    <w:rsid w:val="00FD320D"/>
    <w:rsid w:val="00FD7613"/>
    <w:rsid w:val="00FD7F04"/>
    <w:rsid w:val="00FE23DE"/>
    <w:rsid w:val="00FF3977"/>
    <w:rsid w:val="00FF4AB6"/>
    <w:rsid w:val="018B08E4"/>
    <w:rsid w:val="019F3337"/>
    <w:rsid w:val="01CD02DC"/>
    <w:rsid w:val="021A3B9E"/>
    <w:rsid w:val="02250DC7"/>
    <w:rsid w:val="025C0736"/>
    <w:rsid w:val="02B70580"/>
    <w:rsid w:val="02F70BDF"/>
    <w:rsid w:val="03957F6E"/>
    <w:rsid w:val="039935FE"/>
    <w:rsid w:val="03AE722D"/>
    <w:rsid w:val="03E06D69"/>
    <w:rsid w:val="04305BEE"/>
    <w:rsid w:val="044D2B0A"/>
    <w:rsid w:val="045C70F6"/>
    <w:rsid w:val="046208FC"/>
    <w:rsid w:val="046864AB"/>
    <w:rsid w:val="04B17EAD"/>
    <w:rsid w:val="04B77B9A"/>
    <w:rsid w:val="04E15D82"/>
    <w:rsid w:val="05430396"/>
    <w:rsid w:val="054B0B23"/>
    <w:rsid w:val="05590B54"/>
    <w:rsid w:val="059C71FD"/>
    <w:rsid w:val="05E53FBB"/>
    <w:rsid w:val="05EC2871"/>
    <w:rsid w:val="05F43090"/>
    <w:rsid w:val="060F556E"/>
    <w:rsid w:val="061D5BDA"/>
    <w:rsid w:val="061E541A"/>
    <w:rsid w:val="069607FE"/>
    <w:rsid w:val="06D03238"/>
    <w:rsid w:val="06E124C0"/>
    <w:rsid w:val="06FE2E14"/>
    <w:rsid w:val="070B3D9D"/>
    <w:rsid w:val="074B6D96"/>
    <w:rsid w:val="075D2C53"/>
    <w:rsid w:val="076171D0"/>
    <w:rsid w:val="0794670A"/>
    <w:rsid w:val="07CB007D"/>
    <w:rsid w:val="07F8491F"/>
    <w:rsid w:val="07FC3326"/>
    <w:rsid w:val="08290ED4"/>
    <w:rsid w:val="08446DA9"/>
    <w:rsid w:val="086D0162"/>
    <w:rsid w:val="0870523C"/>
    <w:rsid w:val="08793CCE"/>
    <w:rsid w:val="089C250D"/>
    <w:rsid w:val="08B01ED0"/>
    <w:rsid w:val="08B050F0"/>
    <w:rsid w:val="08DF5A85"/>
    <w:rsid w:val="0904335A"/>
    <w:rsid w:val="09430542"/>
    <w:rsid w:val="099A29F6"/>
    <w:rsid w:val="09B27034"/>
    <w:rsid w:val="09E612D6"/>
    <w:rsid w:val="0A133D15"/>
    <w:rsid w:val="0A280437"/>
    <w:rsid w:val="0A516830"/>
    <w:rsid w:val="0AA83A9B"/>
    <w:rsid w:val="0AC10B29"/>
    <w:rsid w:val="0AC246F9"/>
    <w:rsid w:val="0ADA18E3"/>
    <w:rsid w:val="0AFA0790"/>
    <w:rsid w:val="0B0260F6"/>
    <w:rsid w:val="0B1A6AC6"/>
    <w:rsid w:val="0B226674"/>
    <w:rsid w:val="0B3C5C17"/>
    <w:rsid w:val="0B5D68CC"/>
    <w:rsid w:val="0B696AF9"/>
    <w:rsid w:val="0B8D585A"/>
    <w:rsid w:val="0B925026"/>
    <w:rsid w:val="0BE521AA"/>
    <w:rsid w:val="0C3A1424"/>
    <w:rsid w:val="0C3E38BA"/>
    <w:rsid w:val="0C567516"/>
    <w:rsid w:val="0C717078"/>
    <w:rsid w:val="0C754E18"/>
    <w:rsid w:val="0CC72005"/>
    <w:rsid w:val="0CE60201"/>
    <w:rsid w:val="0CEC5348"/>
    <w:rsid w:val="0D076890"/>
    <w:rsid w:val="0D132F82"/>
    <w:rsid w:val="0D320E7D"/>
    <w:rsid w:val="0D4944DD"/>
    <w:rsid w:val="0D5F1193"/>
    <w:rsid w:val="0D7964B7"/>
    <w:rsid w:val="0D820F1E"/>
    <w:rsid w:val="0DF00AED"/>
    <w:rsid w:val="0E1A6CEA"/>
    <w:rsid w:val="0E1A7928"/>
    <w:rsid w:val="0E1D4FFE"/>
    <w:rsid w:val="0E523934"/>
    <w:rsid w:val="0E56729D"/>
    <w:rsid w:val="0E8E3B6F"/>
    <w:rsid w:val="0E982412"/>
    <w:rsid w:val="0F310C25"/>
    <w:rsid w:val="0F830271"/>
    <w:rsid w:val="0F89508C"/>
    <w:rsid w:val="0FCB2B79"/>
    <w:rsid w:val="0FE5639A"/>
    <w:rsid w:val="102A1392"/>
    <w:rsid w:val="10345524"/>
    <w:rsid w:val="10574D2A"/>
    <w:rsid w:val="10942FBF"/>
    <w:rsid w:val="10BD05F7"/>
    <w:rsid w:val="10E961B5"/>
    <w:rsid w:val="110E079E"/>
    <w:rsid w:val="112210C8"/>
    <w:rsid w:val="1152537E"/>
    <w:rsid w:val="115472D1"/>
    <w:rsid w:val="11635C16"/>
    <w:rsid w:val="11781551"/>
    <w:rsid w:val="118A08D2"/>
    <w:rsid w:val="11E21C0E"/>
    <w:rsid w:val="11F74F49"/>
    <w:rsid w:val="120549C3"/>
    <w:rsid w:val="12574288"/>
    <w:rsid w:val="12745A53"/>
    <w:rsid w:val="1278694B"/>
    <w:rsid w:val="12E85A12"/>
    <w:rsid w:val="130D7468"/>
    <w:rsid w:val="13270DC8"/>
    <w:rsid w:val="1332207D"/>
    <w:rsid w:val="13422C29"/>
    <w:rsid w:val="13BF0E2F"/>
    <w:rsid w:val="13E65B16"/>
    <w:rsid w:val="141F3511"/>
    <w:rsid w:val="14FF49B9"/>
    <w:rsid w:val="153F014D"/>
    <w:rsid w:val="154A6D7F"/>
    <w:rsid w:val="154C6501"/>
    <w:rsid w:val="1550607B"/>
    <w:rsid w:val="15564C40"/>
    <w:rsid w:val="158217B4"/>
    <w:rsid w:val="158D360F"/>
    <w:rsid w:val="15A17D74"/>
    <w:rsid w:val="15A3521E"/>
    <w:rsid w:val="15CF1C62"/>
    <w:rsid w:val="16057EAE"/>
    <w:rsid w:val="160C3BA8"/>
    <w:rsid w:val="164D02A2"/>
    <w:rsid w:val="167509CC"/>
    <w:rsid w:val="167539E5"/>
    <w:rsid w:val="172468F9"/>
    <w:rsid w:val="17A056D1"/>
    <w:rsid w:val="17DB07F9"/>
    <w:rsid w:val="18034895"/>
    <w:rsid w:val="18153FE0"/>
    <w:rsid w:val="18157552"/>
    <w:rsid w:val="184F49C1"/>
    <w:rsid w:val="185041F0"/>
    <w:rsid w:val="185C17D0"/>
    <w:rsid w:val="18633210"/>
    <w:rsid w:val="18955720"/>
    <w:rsid w:val="18AC5409"/>
    <w:rsid w:val="18F858A2"/>
    <w:rsid w:val="19340F79"/>
    <w:rsid w:val="197C5EDB"/>
    <w:rsid w:val="197E62E3"/>
    <w:rsid w:val="1A015EDC"/>
    <w:rsid w:val="1A032FF7"/>
    <w:rsid w:val="1A145C09"/>
    <w:rsid w:val="1A261960"/>
    <w:rsid w:val="1A4B52AF"/>
    <w:rsid w:val="1A652110"/>
    <w:rsid w:val="1A8D3468"/>
    <w:rsid w:val="1A9E11AF"/>
    <w:rsid w:val="1AA21541"/>
    <w:rsid w:val="1AB37DDA"/>
    <w:rsid w:val="1AB674D7"/>
    <w:rsid w:val="1B0A3D15"/>
    <w:rsid w:val="1B0F15F6"/>
    <w:rsid w:val="1B1A0286"/>
    <w:rsid w:val="1B5E76F6"/>
    <w:rsid w:val="1B7A042C"/>
    <w:rsid w:val="1BC726A0"/>
    <w:rsid w:val="1BE63839"/>
    <w:rsid w:val="1C0B30A6"/>
    <w:rsid w:val="1C1E4BB2"/>
    <w:rsid w:val="1C2B4A2D"/>
    <w:rsid w:val="1C3877A2"/>
    <w:rsid w:val="1C3F2267"/>
    <w:rsid w:val="1C7D283A"/>
    <w:rsid w:val="1C962C76"/>
    <w:rsid w:val="1D7338D3"/>
    <w:rsid w:val="1D897FB8"/>
    <w:rsid w:val="1D9041D7"/>
    <w:rsid w:val="1DA340AC"/>
    <w:rsid w:val="1DB96250"/>
    <w:rsid w:val="1DC26B60"/>
    <w:rsid w:val="1DDA4C27"/>
    <w:rsid w:val="1E2E5E69"/>
    <w:rsid w:val="1E356E9F"/>
    <w:rsid w:val="1E46342F"/>
    <w:rsid w:val="1E697DA9"/>
    <w:rsid w:val="1E7D5094"/>
    <w:rsid w:val="1F061DAF"/>
    <w:rsid w:val="1F5B297C"/>
    <w:rsid w:val="1F6C25E9"/>
    <w:rsid w:val="1F897547"/>
    <w:rsid w:val="1FC44DFD"/>
    <w:rsid w:val="1FE830F1"/>
    <w:rsid w:val="200E717F"/>
    <w:rsid w:val="2054682E"/>
    <w:rsid w:val="205B1662"/>
    <w:rsid w:val="205D5FC8"/>
    <w:rsid w:val="208763A2"/>
    <w:rsid w:val="20877E55"/>
    <w:rsid w:val="20C3325D"/>
    <w:rsid w:val="214D18DE"/>
    <w:rsid w:val="219F2A59"/>
    <w:rsid w:val="21F90AFD"/>
    <w:rsid w:val="225D5D12"/>
    <w:rsid w:val="22AE4694"/>
    <w:rsid w:val="22BD3B54"/>
    <w:rsid w:val="22DB6D66"/>
    <w:rsid w:val="2303547D"/>
    <w:rsid w:val="23166212"/>
    <w:rsid w:val="23174D88"/>
    <w:rsid w:val="232C2435"/>
    <w:rsid w:val="23710F71"/>
    <w:rsid w:val="23813B4D"/>
    <w:rsid w:val="23AD0390"/>
    <w:rsid w:val="23B0469D"/>
    <w:rsid w:val="23C76881"/>
    <w:rsid w:val="23C93B1E"/>
    <w:rsid w:val="23F53B0C"/>
    <w:rsid w:val="24033E4C"/>
    <w:rsid w:val="241566E1"/>
    <w:rsid w:val="242511B4"/>
    <w:rsid w:val="244F427E"/>
    <w:rsid w:val="244F54A0"/>
    <w:rsid w:val="246912FD"/>
    <w:rsid w:val="24776664"/>
    <w:rsid w:val="24CD1531"/>
    <w:rsid w:val="24D60EC4"/>
    <w:rsid w:val="25355A9C"/>
    <w:rsid w:val="255A4E5B"/>
    <w:rsid w:val="257E230E"/>
    <w:rsid w:val="261D2218"/>
    <w:rsid w:val="262E6CB1"/>
    <w:rsid w:val="26563727"/>
    <w:rsid w:val="265F56A9"/>
    <w:rsid w:val="269311B9"/>
    <w:rsid w:val="26E44520"/>
    <w:rsid w:val="2744511B"/>
    <w:rsid w:val="27543E6D"/>
    <w:rsid w:val="27547152"/>
    <w:rsid w:val="27B60CB4"/>
    <w:rsid w:val="27BE218E"/>
    <w:rsid w:val="28135809"/>
    <w:rsid w:val="286D5B95"/>
    <w:rsid w:val="287A20CE"/>
    <w:rsid w:val="287E1BB8"/>
    <w:rsid w:val="28A46CAE"/>
    <w:rsid w:val="28FE5C63"/>
    <w:rsid w:val="296341F3"/>
    <w:rsid w:val="29A72727"/>
    <w:rsid w:val="29CB34BB"/>
    <w:rsid w:val="2A4312E2"/>
    <w:rsid w:val="2A95387B"/>
    <w:rsid w:val="2AE70DA7"/>
    <w:rsid w:val="2B5E1422"/>
    <w:rsid w:val="2BCD6BEB"/>
    <w:rsid w:val="2C290F58"/>
    <w:rsid w:val="2C417840"/>
    <w:rsid w:val="2C57746D"/>
    <w:rsid w:val="2CD42934"/>
    <w:rsid w:val="2CE15094"/>
    <w:rsid w:val="2CED4AC4"/>
    <w:rsid w:val="2D201DB0"/>
    <w:rsid w:val="2D6F19BE"/>
    <w:rsid w:val="2D920FE2"/>
    <w:rsid w:val="2DA35DB8"/>
    <w:rsid w:val="2DA67F07"/>
    <w:rsid w:val="2DD30C23"/>
    <w:rsid w:val="2DFA397D"/>
    <w:rsid w:val="2E097B06"/>
    <w:rsid w:val="2E111139"/>
    <w:rsid w:val="2E2F2656"/>
    <w:rsid w:val="2E930678"/>
    <w:rsid w:val="2EA92741"/>
    <w:rsid w:val="2EE05C8B"/>
    <w:rsid w:val="2F0B703D"/>
    <w:rsid w:val="2F214157"/>
    <w:rsid w:val="2F526E11"/>
    <w:rsid w:val="2F582328"/>
    <w:rsid w:val="2F660650"/>
    <w:rsid w:val="2F6828B1"/>
    <w:rsid w:val="2F9A3429"/>
    <w:rsid w:val="2FCB3BF8"/>
    <w:rsid w:val="2FE3129F"/>
    <w:rsid w:val="301A722B"/>
    <w:rsid w:val="302A1A1B"/>
    <w:rsid w:val="302E43FE"/>
    <w:rsid w:val="30497AED"/>
    <w:rsid w:val="305763C7"/>
    <w:rsid w:val="307B5FA3"/>
    <w:rsid w:val="308519FC"/>
    <w:rsid w:val="30B54141"/>
    <w:rsid w:val="30C12E8B"/>
    <w:rsid w:val="30C4211E"/>
    <w:rsid w:val="312A03B1"/>
    <w:rsid w:val="31334237"/>
    <w:rsid w:val="313E3C95"/>
    <w:rsid w:val="31653999"/>
    <w:rsid w:val="317D6811"/>
    <w:rsid w:val="31907A5B"/>
    <w:rsid w:val="31B42E4A"/>
    <w:rsid w:val="31B45E06"/>
    <w:rsid w:val="320913E1"/>
    <w:rsid w:val="321A338D"/>
    <w:rsid w:val="321B7C44"/>
    <w:rsid w:val="32560D23"/>
    <w:rsid w:val="32640B3D"/>
    <w:rsid w:val="32CD4B1D"/>
    <w:rsid w:val="32E7030E"/>
    <w:rsid w:val="32E86B4B"/>
    <w:rsid w:val="330111BC"/>
    <w:rsid w:val="33225332"/>
    <w:rsid w:val="334709F2"/>
    <w:rsid w:val="334B5ACD"/>
    <w:rsid w:val="336665AB"/>
    <w:rsid w:val="338D2F41"/>
    <w:rsid w:val="338E12C1"/>
    <w:rsid w:val="34322226"/>
    <w:rsid w:val="345D3677"/>
    <w:rsid w:val="348B5DE1"/>
    <w:rsid w:val="34917D72"/>
    <w:rsid w:val="34C72A87"/>
    <w:rsid w:val="34C7447B"/>
    <w:rsid w:val="35367785"/>
    <w:rsid w:val="353D7EFE"/>
    <w:rsid w:val="354B0F31"/>
    <w:rsid w:val="3575179B"/>
    <w:rsid w:val="35AD4019"/>
    <w:rsid w:val="35B05892"/>
    <w:rsid w:val="360062A6"/>
    <w:rsid w:val="3607632B"/>
    <w:rsid w:val="362941CA"/>
    <w:rsid w:val="36393513"/>
    <w:rsid w:val="363A254B"/>
    <w:rsid w:val="36453517"/>
    <w:rsid w:val="36B03936"/>
    <w:rsid w:val="36B24B86"/>
    <w:rsid w:val="36B979D6"/>
    <w:rsid w:val="36EB4FAA"/>
    <w:rsid w:val="370137E2"/>
    <w:rsid w:val="371F3E65"/>
    <w:rsid w:val="372E2A2E"/>
    <w:rsid w:val="37770419"/>
    <w:rsid w:val="381E2607"/>
    <w:rsid w:val="38255C55"/>
    <w:rsid w:val="383A7521"/>
    <w:rsid w:val="386E76A4"/>
    <w:rsid w:val="38827290"/>
    <w:rsid w:val="38864D4B"/>
    <w:rsid w:val="38AC3118"/>
    <w:rsid w:val="38E91666"/>
    <w:rsid w:val="39043021"/>
    <w:rsid w:val="39163803"/>
    <w:rsid w:val="39787B56"/>
    <w:rsid w:val="3A4F7A22"/>
    <w:rsid w:val="3A596B48"/>
    <w:rsid w:val="3A705B70"/>
    <w:rsid w:val="3A825A8A"/>
    <w:rsid w:val="3AE8744D"/>
    <w:rsid w:val="3AFF301A"/>
    <w:rsid w:val="3B3D166C"/>
    <w:rsid w:val="3B587F3C"/>
    <w:rsid w:val="3B986E75"/>
    <w:rsid w:val="3B9F29DF"/>
    <w:rsid w:val="3BA371E7"/>
    <w:rsid w:val="3BAB0FFC"/>
    <w:rsid w:val="3BED055F"/>
    <w:rsid w:val="3BF024C5"/>
    <w:rsid w:val="3BF45CEC"/>
    <w:rsid w:val="3C050185"/>
    <w:rsid w:val="3C141098"/>
    <w:rsid w:val="3C2F46D2"/>
    <w:rsid w:val="3C366B4D"/>
    <w:rsid w:val="3C7E15B7"/>
    <w:rsid w:val="3D105B64"/>
    <w:rsid w:val="3DAA2E50"/>
    <w:rsid w:val="3E8E6A36"/>
    <w:rsid w:val="3EC60C1A"/>
    <w:rsid w:val="3ED3718D"/>
    <w:rsid w:val="3EED0ECD"/>
    <w:rsid w:val="3F250ED3"/>
    <w:rsid w:val="3F4730A6"/>
    <w:rsid w:val="3F5522C5"/>
    <w:rsid w:val="3F593920"/>
    <w:rsid w:val="3F5A09FF"/>
    <w:rsid w:val="3F9F33A6"/>
    <w:rsid w:val="3F9F7446"/>
    <w:rsid w:val="3FD46D4D"/>
    <w:rsid w:val="3FFD0594"/>
    <w:rsid w:val="409D5390"/>
    <w:rsid w:val="40BA7BF4"/>
    <w:rsid w:val="41773AA2"/>
    <w:rsid w:val="417E5507"/>
    <w:rsid w:val="41852442"/>
    <w:rsid w:val="41867299"/>
    <w:rsid w:val="41D07BC6"/>
    <w:rsid w:val="42244C13"/>
    <w:rsid w:val="426D16E0"/>
    <w:rsid w:val="42E47671"/>
    <w:rsid w:val="42F44801"/>
    <w:rsid w:val="4309483B"/>
    <w:rsid w:val="4317479F"/>
    <w:rsid w:val="432B5A86"/>
    <w:rsid w:val="433554B4"/>
    <w:rsid w:val="434807F2"/>
    <w:rsid w:val="436B41BE"/>
    <w:rsid w:val="43B12042"/>
    <w:rsid w:val="43B4209F"/>
    <w:rsid w:val="43BB655C"/>
    <w:rsid w:val="43E57D8A"/>
    <w:rsid w:val="450D0FFA"/>
    <w:rsid w:val="45387C9D"/>
    <w:rsid w:val="454A15DC"/>
    <w:rsid w:val="454E2A3C"/>
    <w:rsid w:val="45A74781"/>
    <w:rsid w:val="45B52580"/>
    <w:rsid w:val="45B5636D"/>
    <w:rsid w:val="45C00E7A"/>
    <w:rsid w:val="45CD2C2E"/>
    <w:rsid w:val="45E93D99"/>
    <w:rsid w:val="460F2F04"/>
    <w:rsid w:val="462908AA"/>
    <w:rsid w:val="467212AD"/>
    <w:rsid w:val="46977C2A"/>
    <w:rsid w:val="46BB77CE"/>
    <w:rsid w:val="46BC589A"/>
    <w:rsid w:val="46CA27EB"/>
    <w:rsid w:val="46F46C3E"/>
    <w:rsid w:val="47354494"/>
    <w:rsid w:val="478E39F4"/>
    <w:rsid w:val="47BF05B6"/>
    <w:rsid w:val="47CB0A1D"/>
    <w:rsid w:val="48185B57"/>
    <w:rsid w:val="48607122"/>
    <w:rsid w:val="496E7C4F"/>
    <w:rsid w:val="4984276F"/>
    <w:rsid w:val="49854995"/>
    <w:rsid w:val="49AE366E"/>
    <w:rsid w:val="49E509DA"/>
    <w:rsid w:val="49E53BAB"/>
    <w:rsid w:val="49FD1697"/>
    <w:rsid w:val="4A0449BA"/>
    <w:rsid w:val="4A125911"/>
    <w:rsid w:val="4A3E00A9"/>
    <w:rsid w:val="4A5F5FFF"/>
    <w:rsid w:val="4A9B239A"/>
    <w:rsid w:val="4ACB167C"/>
    <w:rsid w:val="4ADE4831"/>
    <w:rsid w:val="4B396642"/>
    <w:rsid w:val="4B430A19"/>
    <w:rsid w:val="4B591234"/>
    <w:rsid w:val="4B5C1A6B"/>
    <w:rsid w:val="4B5F55B3"/>
    <w:rsid w:val="4B7B0767"/>
    <w:rsid w:val="4BBD2743"/>
    <w:rsid w:val="4BE86309"/>
    <w:rsid w:val="4C090B30"/>
    <w:rsid w:val="4C1D0DA2"/>
    <w:rsid w:val="4C62195E"/>
    <w:rsid w:val="4C6810BD"/>
    <w:rsid w:val="4C84172F"/>
    <w:rsid w:val="4C8A58BD"/>
    <w:rsid w:val="4C9359B0"/>
    <w:rsid w:val="4CA723F0"/>
    <w:rsid w:val="4CA9022C"/>
    <w:rsid w:val="4CF20A95"/>
    <w:rsid w:val="4CF259CA"/>
    <w:rsid w:val="4D0F7988"/>
    <w:rsid w:val="4DBC002C"/>
    <w:rsid w:val="4DE4203D"/>
    <w:rsid w:val="4DE72DDF"/>
    <w:rsid w:val="4E1727B6"/>
    <w:rsid w:val="4E295A47"/>
    <w:rsid w:val="4E5D1152"/>
    <w:rsid w:val="4E6D5116"/>
    <w:rsid w:val="4E7B0F0F"/>
    <w:rsid w:val="4EC549CB"/>
    <w:rsid w:val="4EE10025"/>
    <w:rsid w:val="4EEF5810"/>
    <w:rsid w:val="4F00432A"/>
    <w:rsid w:val="4F27285C"/>
    <w:rsid w:val="4F3B332B"/>
    <w:rsid w:val="4F5A2A1B"/>
    <w:rsid w:val="4F8F11E5"/>
    <w:rsid w:val="4F975A7F"/>
    <w:rsid w:val="50193FF8"/>
    <w:rsid w:val="501E0480"/>
    <w:rsid w:val="50336141"/>
    <w:rsid w:val="505A7235"/>
    <w:rsid w:val="507E0CFE"/>
    <w:rsid w:val="508A55B1"/>
    <w:rsid w:val="508F66B6"/>
    <w:rsid w:val="50A4615B"/>
    <w:rsid w:val="50C17C89"/>
    <w:rsid w:val="50EA68CF"/>
    <w:rsid w:val="512878CD"/>
    <w:rsid w:val="513A1323"/>
    <w:rsid w:val="514C16D6"/>
    <w:rsid w:val="515C1FCB"/>
    <w:rsid w:val="51632CF8"/>
    <w:rsid w:val="518666E1"/>
    <w:rsid w:val="51963F6D"/>
    <w:rsid w:val="51A34CF5"/>
    <w:rsid w:val="51D75253"/>
    <w:rsid w:val="51F30DE4"/>
    <w:rsid w:val="522D49A5"/>
    <w:rsid w:val="523B21C4"/>
    <w:rsid w:val="524E6AE8"/>
    <w:rsid w:val="528643C7"/>
    <w:rsid w:val="52AC5C00"/>
    <w:rsid w:val="52AD06D8"/>
    <w:rsid w:val="531C512C"/>
    <w:rsid w:val="53242159"/>
    <w:rsid w:val="53E0645D"/>
    <w:rsid w:val="53F36818"/>
    <w:rsid w:val="54204F87"/>
    <w:rsid w:val="54D371BA"/>
    <w:rsid w:val="54E54E8B"/>
    <w:rsid w:val="55557ED8"/>
    <w:rsid w:val="55735A18"/>
    <w:rsid w:val="56523200"/>
    <w:rsid w:val="567265E5"/>
    <w:rsid w:val="567422F1"/>
    <w:rsid w:val="569D4227"/>
    <w:rsid w:val="57166665"/>
    <w:rsid w:val="57314D6B"/>
    <w:rsid w:val="5774104E"/>
    <w:rsid w:val="57792E41"/>
    <w:rsid w:val="57823776"/>
    <w:rsid w:val="57B91B67"/>
    <w:rsid w:val="57D503AA"/>
    <w:rsid w:val="581E3D58"/>
    <w:rsid w:val="58533CC1"/>
    <w:rsid w:val="58902C10"/>
    <w:rsid w:val="58FB2562"/>
    <w:rsid w:val="59032DE6"/>
    <w:rsid w:val="59687BBD"/>
    <w:rsid w:val="59815DA0"/>
    <w:rsid w:val="599157AB"/>
    <w:rsid w:val="59967408"/>
    <w:rsid w:val="599F2183"/>
    <w:rsid w:val="59D75801"/>
    <w:rsid w:val="59FA16AA"/>
    <w:rsid w:val="5A066874"/>
    <w:rsid w:val="5A176A5C"/>
    <w:rsid w:val="5A3340EB"/>
    <w:rsid w:val="5A345E4A"/>
    <w:rsid w:val="5A4F2439"/>
    <w:rsid w:val="5A507EBB"/>
    <w:rsid w:val="5A7E6003"/>
    <w:rsid w:val="5AAC3F52"/>
    <w:rsid w:val="5B244C2B"/>
    <w:rsid w:val="5B3E5FD1"/>
    <w:rsid w:val="5B410F5A"/>
    <w:rsid w:val="5B546620"/>
    <w:rsid w:val="5B635F33"/>
    <w:rsid w:val="5B6D08D6"/>
    <w:rsid w:val="5B9D1A00"/>
    <w:rsid w:val="5BBE3CD7"/>
    <w:rsid w:val="5C037501"/>
    <w:rsid w:val="5C5B39BC"/>
    <w:rsid w:val="5C6F7EB5"/>
    <w:rsid w:val="5C840268"/>
    <w:rsid w:val="5C8B0010"/>
    <w:rsid w:val="5CE964FA"/>
    <w:rsid w:val="5CF71093"/>
    <w:rsid w:val="5D0721F5"/>
    <w:rsid w:val="5D127383"/>
    <w:rsid w:val="5D1F4F35"/>
    <w:rsid w:val="5D372F5E"/>
    <w:rsid w:val="5D392152"/>
    <w:rsid w:val="5D557DFB"/>
    <w:rsid w:val="5D592238"/>
    <w:rsid w:val="5DB5274B"/>
    <w:rsid w:val="5DB72BE5"/>
    <w:rsid w:val="5DC36A9D"/>
    <w:rsid w:val="5DE721C6"/>
    <w:rsid w:val="5E831ABC"/>
    <w:rsid w:val="5EA26B50"/>
    <w:rsid w:val="5EBA7FA0"/>
    <w:rsid w:val="5EE353BB"/>
    <w:rsid w:val="5F2900F8"/>
    <w:rsid w:val="5F7239A5"/>
    <w:rsid w:val="5F911963"/>
    <w:rsid w:val="5FC15874"/>
    <w:rsid w:val="5FC943B4"/>
    <w:rsid w:val="5FCC27B6"/>
    <w:rsid w:val="5FE96A45"/>
    <w:rsid w:val="60161510"/>
    <w:rsid w:val="601D2CE5"/>
    <w:rsid w:val="605F012B"/>
    <w:rsid w:val="6190090D"/>
    <w:rsid w:val="61A705F7"/>
    <w:rsid w:val="61BC55A0"/>
    <w:rsid w:val="6219297F"/>
    <w:rsid w:val="62230D10"/>
    <w:rsid w:val="62261C95"/>
    <w:rsid w:val="62364EF5"/>
    <w:rsid w:val="62633AC9"/>
    <w:rsid w:val="62634DF9"/>
    <w:rsid w:val="62845571"/>
    <w:rsid w:val="62D97AB9"/>
    <w:rsid w:val="63120E4F"/>
    <w:rsid w:val="631C34A7"/>
    <w:rsid w:val="632F46C6"/>
    <w:rsid w:val="63320ECD"/>
    <w:rsid w:val="63B0528C"/>
    <w:rsid w:val="63B578BF"/>
    <w:rsid w:val="63BE56E8"/>
    <w:rsid w:val="63E57795"/>
    <w:rsid w:val="641B0E4B"/>
    <w:rsid w:val="64214172"/>
    <w:rsid w:val="642E7E1E"/>
    <w:rsid w:val="64310B06"/>
    <w:rsid w:val="6443678C"/>
    <w:rsid w:val="64561F2A"/>
    <w:rsid w:val="64717CD7"/>
    <w:rsid w:val="64884AA7"/>
    <w:rsid w:val="64B629B8"/>
    <w:rsid w:val="64D645D9"/>
    <w:rsid w:val="64E27CD9"/>
    <w:rsid w:val="64FE09D2"/>
    <w:rsid w:val="6505684A"/>
    <w:rsid w:val="654D10DC"/>
    <w:rsid w:val="65612DD5"/>
    <w:rsid w:val="6561679F"/>
    <w:rsid w:val="65723D2D"/>
    <w:rsid w:val="65881EE3"/>
    <w:rsid w:val="65DB4BD5"/>
    <w:rsid w:val="65DB6031"/>
    <w:rsid w:val="661A0911"/>
    <w:rsid w:val="66252C21"/>
    <w:rsid w:val="6637095E"/>
    <w:rsid w:val="66680C23"/>
    <w:rsid w:val="66DE723B"/>
    <w:rsid w:val="66E028EB"/>
    <w:rsid w:val="670B1D8D"/>
    <w:rsid w:val="670F7961"/>
    <w:rsid w:val="673335DC"/>
    <w:rsid w:val="67936250"/>
    <w:rsid w:val="67E844E4"/>
    <w:rsid w:val="68416F1A"/>
    <w:rsid w:val="68757C13"/>
    <w:rsid w:val="68AA5747"/>
    <w:rsid w:val="68B55CD6"/>
    <w:rsid w:val="68CF3421"/>
    <w:rsid w:val="68E15234"/>
    <w:rsid w:val="69162D84"/>
    <w:rsid w:val="69185D7B"/>
    <w:rsid w:val="693343A6"/>
    <w:rsid w:val="69406230"/>
    <w:rsid w:val="696C0ACD"/>
    <w:rsid w:val="698B450F"/>
    <w:rsid w:val="69907B51"/>
    <w:rsid w:val="699356C4"/>
    <w:rsid w:val="69960847"/>
    <w:rsid w:val="69D739D0"/>
    <w:rsid w:val="6A21622D"/>
    <w:rsid w:val="6A402B50"/>
    <w:rsid w:val="6A6143DE"/>
    <w:rsid w:val="6A6766B4"/>
    <w:rsid w:val="6A6F494A"/>
    <w:rsid w:val="6A95456F"/>
    <w:rsid w:val="6AA83F36"/>
    <w:rsid w:val="6AB71B26"/>
    <w:rsid w:val="6AF95D67"/>
    <w:rsid w:val="6B167032"/>
    <w:rsid w:val="6B6555BF"/>
    <w:rsid w:val="6B693461"/>
    <w:rsid w:val="6B8564AB"/>
    <w:rsid w:val="6B8D6287"/>
    <w:rsid w:val="6BAC203C"/>
    <w:rsid w:val="6BC5035D"/>
    <w:rsid w:val="6BFC06FA"/>
    <w:rsid w:val="6C402E93"/>
    <w:rsid w:val="6C4E4CD9"/>
    <w:rsid w:val="6C4F07B5"/>
    <w:rsid w:val="6C500A40"/>
    <w:rsid w:val="6C543706"/>
    <w:rsid w:val="6C693C6E"/>
    <w:rsid w:val="6C9C67C6"/>
    <w:rsid w:val="6CDA09A4"/>
    <w:rsid w:val="6CF07876"/>
    <w:rsid w:val="6CFD43DC"/>
    <w:rsid w:val="6D3E5404"/>
    <w:rsid w:val="6DC129B0"/>
    <w:rsid w:val="6DD7327F"/>
    <w:rsid w:val="6DDE6F4D"/>
    <w:rsid w:val="6DE71F4A"/>
    <w:rsid w:val="6DFA3CB1"/>
    <w:rsid w:val="6E29486C"/>
    <w:rsid w:val="6E3C7073"/>
    <w:rsid w:val="6ED40266"/>
    <w:rsid w:val="6EF92440"/>
    <w:rsid w:val="6F7D69F9"/>
    <w:rsid w:val="6F89280C"/>
    <w:rsid w:val="6F9E2AA6"/>
    <w:rsid w:val="6FCF6F3C"/>
    <w:rsid w:val="703A535A"/>
    <w:rsid w:val="703D799F"/>
    <w:rsid w:val="703E1036"/>
    <w:rsid w:val="704214A2"/>
    <w:rsid w:val="70421E62"/>
    <w:rsid w:val="704B28CA"/>
    <w:rsid w:val="71521156"/>
    <w:rsid w:val="717C2C3C"/>
    <w:rsid w:val="71CD3B62"/>
    <w:rsid w:val="71D06A77"/>
    <w:rsid w:val="71D20BEA"/>
    <w:rsid w:val="722F417D"/>
    <w:rsid w:val="727D3AE3"/>
    <w:rsid w:val="72984B5E"/>
    <w:rsid w:val="7345252E"/>
    <w:rsid w:val="73931214"/>
    <w:rsid w:val="73F03E3F"/>
    <w:rsid w:val="74362116"/>
    <w:rsid w:val="743800A6"/>
    <w:rsid w:val="744D04DB"/>
    <w:rsid w:val="748A0E6B"/>
    <w:rsid w:val="749173D4"/>
    <w:rsid w:val="749F02E6"/>
    <w:rsid w:val="74B3360F"/>
    <w:rsid w:val="751D277B"/>
    <w:rsid w:val="754119E9"/>
    <w:rsid w:val="7550353E"/>
    <w:rsid w:val="755A2552"/>
    <w:rsid w:val="756B2EB1"/>
    <w:rsid w:val="757068BE"/>
    <w:rsid w:val="75772547"/>
    <w:rsid w:val="7583253F"/>
    <w:rsid w:val="759B5BFF"/>
    <w:rsid w:val="75B90A32"/>
    <w:rsid w:val="75C60D98"/>
    <w:rsid w:val="763B5B08"/>
    <w:rsid w:val="766F7B65"/>
    <w:rsid w:val="76855B92"/>
    <w:rsid w:val="768F3F9E"/>
    <w:rsid w:val="76A10D30"/>
    <w:rsid w:val="76C778EB"/>
    <w:rsid w:val="76DA7C87"/>
    <w:rsid w:val="77203967"/>
    <w:rsid w:val="776276EA"/>
    <w:rsid w:val="77AE39A5"/>
    <w:rsid w:val="77B72A76"/>
    <w:rsid w:val="77CF1A40"/>
    <w:rsid w:val="77DB54CA"/>
    <w:rsid w:val="77E635C6"/>
    <w:rsid w:val="77F0569A"/>
    <w:rsid w:val="784056B9"/>
    <w:rsid w:val="78671DD5"/>
    <w:rsid w:val="787E03F0"/>
    <w:rsid w:val="788E2ADA"/>
    <w:rsid w:val="789B436E"/>
    <w:rsid w:val="78A648FD"/>
    <w:rsid w:val="78B72619"/>
    <w:rsid w:val="78D30DAB"/>
    <w:rsid w:val="790C7B25"/>
    <w:rsid w:val="791A26BE"/>
    <w:rsid w:val="79395171"/>
    <w:rsid w:val="79714C5B"/>
    <w:rsid w:val="798E3BDF"/>
    <w:rsid w:val="79943B7B"/>
    <w:rsid w:val="79A54C48"/>
    <w:rsid w:val="79D31AEC"/>
    <w:rsid w:val="79EF7123"/>
    <w:rsid w:val="79F67485"/>
    <w:rsid w:val="7A22766D"/>
    <w:rsid w:val="7A263AF5"/>
    <w:rsid w:val="7A473982"/>
    <w:rsid w:val="7A8B129B"/>
    <w:rsid w:val="7AA00A5A"/>
    <w:rsid w:val="7AF64450"/>
    <w:rsid w:val="7B035A61"/>
    <w:rsid w:val="7B1E245D"/>
    <w:rsid w:val="7B2851B8"/>
    <w:rsid w:val="7B3F5D02"/>
    <w:rsid w:val="7BCB4EE2"/>
    <w:rsid w:val="7BE40B3D"/>
    <w:rsid w:val="7BF72B46"/>
    <w:rsid w:val="7BF85BD7"/>
    <w:rsid w:val="7C2309D3"/>
    <w:rsid w:val="7C4F7C82"/>
    <w:rsid w:val="7C932BC7"/>
    <w:rsid w:val="7C9838F9"/>
    <w:rsid w:val="7CB37A90"/>
    <w:rsid w:val="7CCA2159"/>
    <w:rsid w:val="7CCD0F46"/>
    <w:rsid w:val="7D032928"/>
    <w:rsid w:val="7D064741"/>
    <w:rsid w:val="7D080FDC"/>
    <w:rsid w:val="7D122C47"/>
    <w:rsid w:val="7D271EE3"/>
    <w:rsid w:val="7D356C83"/>
    <w:rsid w:val="7D364F16"/>
    <w:rsid w:val="7D3E1E10"/>
    <w:rsid w:val="7D582AC0"/>
    <w:rsid w:val="7D806A4B"/>
    <w:rsid w:val="7DBC5454"/>
    <w:rsid w:val="7E292D8B"/>
    <w:rsid w:val="7E387BEC"/>
    <w:rsid w:val="7EFA1C66"/>
    <w:rsid w:val="7F4B4EF0"/>
    <w:rsid w:val="7F5470CA"/>
    <w:rsid w:val="7F597AC2"/>
    <w:rsid w:val="7F695915"/>
    <w:rsid w:val="7F6C042C"/>
    <w:rsid w:val="7F977A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semiHidden="0" w:name="toc 5"/>
    <w:lsdException w:qFormat="1" w:unhideWhenUsed="0" w:uiPriority="0" w:name="toc 6"/>
    <w:lsdException w:qFormat="1" w:unhideWhenUsed="0" w:uiPriority="0" w:name="toc 7"/>
    <w:lsdException w:qFormat="1" w:unhideWhenUsed="0" w:uiPriority="0" w:semiHidden="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3">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4">
    <w:name w:val="toc 7"/>
    <w:basedOn w:val="1"/>
    <w:next w:val="1"/>
    <w:semiHidden/>
    <w:qFormat/>
    <w:uiPriority w:val="0"/>
    <w:pPr>
      <w:ind w:left="2520" w:leftChars="1200"/>
    </w:p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qFormat/>
    <w:uiPriority w:val="0"/>
    <w:pPr>
      <w:ind w:left="1680" w:leftChars="800"/>
    </w:pPr>
  </w:style>
  <w:style w:type="paragraph" w:styleId="12">
    <w:name w:val="toc 3"/>
    <w:basedOn w:val="1"/>
    <w:next w:val="1"/>
    <w:qFormat/>
    <w:uiPriority w:val="39"/>
    <w:pPr>
      <w:ind w:left="840" w:leftChars="400"/>
    </w:pPr>
  </w:style>
  <w:style w:type="paragraph" w:styleId="13">
    <w:name w:val="toc 8"/>
    <w:basedOn w:val="1"/>
    <w:next w:val="1"/>
    <w:qFormat/>
    <w:uiPriority w:val="0"/>
    <w:pPr>
      <w:ind w:left="2940" w:leftChars="1400"/>
    </w:p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style>
  <w:style w:type="paragraph" w:styleId="19">
    <w:name w:val="toc 4"/>
    <w:basedOn w:val="1"/>
    <w:next w:val="1"/>
    <w:semiHidden/>
    <w:qFormat/>
    <w:uiPriority w:val="0"/>
    <w:pPr>
      <w:ind w:left="1260" w:leftChars="600"/>
    </w:p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1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ind w:left="2100" w:leftChars="1000"/>
    </w:p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qFormat/>
    <w:uiPriority w:val="39"/>
    <w:pPr>
      <w:ind w:left="420" w:leftChars="200"/>
    </w:pPr>
  </w:style>
  <w:style w:type="paragraph" w:styleId="28">
    <w:name w:val="toc 9"/>
    <w:basedOn w:val="1"/>
    <w:next w:val="1"/>
    <w:semiHidden/>
    <w:qFormat/>
    <w:uiPriority w:val="0"/>
    <w:pPr>
      <w:ind w:left="3360" w:leftChars="1600"/>
    </w:p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0">
    <w:name w:val="index 2"/>
    <w:basedOn w:val="1"/>
    <w:next w:val="1"/>
    <w:qFormat/>
    <w:uiPriority w:val="0"/>
    <w:pPr>
      <w:ind w:left="420" w:hanging="210"/>
      <w:jc w:val="left"/>
    </w:pPr>
    <w:rPr>
      <w:rFonts w:ascii="Calibri" w:hAnsi="Calibri"/>
      <w:sz w:val="20"/>
      <w:szCs w:val="20"/>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footnote reference"/>
    <w:semiHidden/>
    <w:qFormat/>
    <w:uiPriority w:val="0"/>
    <w:rPr>
      <w:vertAlign w:val="superscript"/>
    </w:rPr>
  </w:style>
  <w:style w:type="paragraph" w:customStyle="1" w:styleId="39">
    <w:name w:val="一级条标题"/>
    <w:next w:val="22"/>
    <w:link w:val="138"/>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2">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3">
    <w:name w:val="二级条标题"/>
    <w:basedOn w:val="39"/>
    <w:next w:val="22"/>
    <w:qFormat/>
    <w:uiPriority w:val="0"/>
    <w:pPr>
      <w:numPr>
        <w:ilvl w:val="2"/>
        <w:numId w:val="2"/>
      </w:numPr>
      <w:spacing w:before="50" w:after="50"/>
      <w:outlineLvl w:val="3"/>
    </w:pPr>
  </w:style>
  <w:style w:type="paragraph" w:customStyle="1" w:styleId="44">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4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7">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8">
    <w:name w:val="三级条标题"/>
    <w:basedOn w:val="43"/>
    <w:next w:val="22"/>
    <w:qFormat/>
    <w:uiPriority w:val="0"/>
    <w:pPr>
      <w:numPr>
        <w:ilvl w:val="3"/>
        <w:numId w:val="2"/>
      </w:numPr>
      <w:outlineLvl w:val="4"/>
    </w:pPr>
  </w:style>
  <w:style w:type="paragraph" w:customStyle="1" w:styleId="49">
    <w:name w:val="示例"/>
    <w:next w:val="5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1">
    <w:name w:val="数字编号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52">
    <w:name w:val="四级条标题"/>
    <w:basedOn w:val="48"/>
    <w:next w:val="22"/>
    <w:qFormat/>
    <w:uiPriority w:val="0"/>
    <w:pPr>
      <w:numPr>
        <w:ilvl w:val="4"/>
        <w:numId w:val="2"/>
      </w:numPr>
      <w:outlineLvl w:val="5"/>
    </w:pPr>
  </w:style>
  <w:style w:type="paragraph" w:customStyle="1" w:styleId="53">
    <w:name w:val="五级条标题"/>
    <w:basedOn w:val="52"/>
    <w:next w:val="22"/>
    <w:qFormat/>
    <w:uiPriority w:val="0"/>
    <w:pPr>
      <w:numPr>
        <w:ilvl w:val="5"/>
        <w:numId w:val="2"/>
      </w:numPr>
      <w:outlineLvl w:val="6"/>
    </w:pPr>
  </w:style>
  <w:style w:type="paragraph" w:customStyle="1" w:styleId="54">
    <w:name w:val="注："/>
    <w:next w:val="22"/>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5">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7">
    <w:name w:val="列项◆（三级）"/>
    <w:basedOn w:val="1"/>
    <w:qFormat/>
    <w:uiPriority w:val="0"/>
    <w:pPr>
      <w:numPr>
        <w:ilvl w:val="2"/>
        <w:numId w:val="3"/>
      </w:numPr>
    </w:pPr>
    <w:rPr>
      <w:rFonts w:ascii="宋体"/>
      <w:szCs w:val="21"/>
    </w:rPr>
  </w:style>
  <w:style w:type="paragraph" w:customStyle="1" w:styleId="58">
    <w:name w:val="编号列项（三级）"/>
    <w:qFormat/>
    <w:uiPriority w:val="0"/>
    <w:pPr>
      <w:numPr>
        <w:ilvl w:val="2"/>
        <w:numId w:val="5"/>
      </w:numPr>
      <w:tabs>
        <w:tab w:val="left" w:pos="840"/>
      </w:tabs>
    </w:pPr>
    <w:rPr>
      <w:rFonts w:ascii="宋体" w:hAnsi="Times New Roman" w:eastAsia="宋体" w:cs="Times New Roman"/>
      <w:sz w:val="21"/>
      <w:lang w:val="en-US" w:eastAsia="zh-CN" w:bidi="ar-SA"/>
    </w:rPr>
  </w:style>
  <w:style w:type="paragraph" w:customStyle="1" w:styleId="59">
    <w:name w:val="示例×："/>
    <w:basedOn w:val="42"/>
    <w:qFormat/>
    <w:uiPriority w:val="0"/>
    <w:pPr>
      <w:numPr>
        <w:ilvl w:val="0"/>
        <w:numId w:val="8"/>
      </w:numPr>
      <w:spacing w:beforeLines="0" w:afterLines="0"/>
      <w:outlineLvl w:val="9"/>
    </w:pPr>
    <w:rPr>
      <w:rFonts w:ascii="宋体" w:eastAsia="宋体"/>
      <w:sz w:val="18"/>
      <w:szCs w:val="18"/>
    </w:rPr>
  </w:style>
  <w:style w:type="paragraph" w:customStyle="1" w:styleId="60">
    <w:name w:val="二级无"/>
    <w:basedOn w:val="43"/>
    <w:link w:val="140"/>
    <w:qFormat/>
    <w:uiPriority w:val="0"/>
    <w:pPr>
      <w:spacing w:beforeLines="0" w:afterLines="0"/>
    </w:pPr>
    <w:rPr>
      <w:rFonts w:ascii="宋体" w:eastAsia="宋体"/>
    </w:rPr>
  </w:style>
  <w:style w:type="paragraph" w:customStyle="1" w:styleId="61">
    <w:name w:val="注：（正文）"/>
    <w:basedOn w:val="54"/>
    <w:next w:val="22"/>
    <w:qFormat/>
    <w:uiPriority w:val="0"/>
  </w:style>
  <w:style w:type="paragraph" w:customStyle="1" w:styleId="62">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6">
    <w:name w:val="标准书眉_偶数页"/>
    <w:basedOn w:val="41"/>
    <w:next w:val="1"/>
    <w:qFormat/>
    <w:uiPriority w:val="0"/>
    <w:pPr>
      <w:jc w:val="left"/>
    </w:pPr>
  </w:style>
  <w:style w:type="paragraph" w:customStyle="1" w:styleId="67">
    <w:name w:val="标准书眉一"/>
    <w:qFormat/>
    <w:uiPriority w:val="0"/>
    <w:pPr>
      <w:jc w:val="both"/>
    </w:pPr>
    <w:rPr>
      <w:rFonts w:ascii="Times New Roman" w:hAnsi="Times New Roman" w:eastAsia="宋体" w:cs="Times New Roman"/>
      <w:lang w:val="en-US" w:eastAsia="zh-CN" w:bidi="ar-SA"/>
    </w:rPr>
  </w:style>
  <w:style w:type="paragraph" w:customStyle="1" w:styleId="68">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0">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qFormat/>
    <w:uiPriority w:val="0"/>
    <w:rPr>
      <w:rFonts w:ascii="Times New Roman" w:hAnsi="Times New Roman" w:eastAsia="黑体" w:cs="Times New Roman"/>
      <w:sz w:val="28"/>
      <w:lang w:val="en-US" w:eastAsia="zh-CN" w:bidi="ar-SA"/>
    </w:rPr>
  </w:style>
  <w:style w:type="paragraph" w:customStyle="1" w:styleId="72">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qFormat/>
    <w:uiPriority w:val="0"/>
    <w:pPr>
      <w:spacing w:before="370" w:line="400" w:lineRule="exact"/>
    </w:pPr>
    <w:rPr>
      <w:rFonts w:ascii="Times New Roman"/>
      <w:sz w:val="28"/>
      <w:szCs w:val="28"/>
    </w:rPr>
  </w:style>
  <w:style w:type="paragraph" w:customStyle="1" w:styleId="76">
    <w:name w:val="封面一致性程度标识"/>
    <w:basedOn w:val="75"/>
    <w:qFormat/>
    <w:uiPriority w:val="0"/>
    <w:pPr>
      <w:spacing w:before="440"/>
    </w:pPr>
    <w:rPr>
      <w:rFonts w:ascii="宋体" w:eastAsia="宋体"/>
    </w:rPr>
  </w:style>
  <w:style w:type="paragraph" w:customStyle="1" w:styleId="77">
    <w:name w:val="封面标准文稿类别"/>
    <w:basedOn w:val="76"/>
    <w:qFormat/>
    <w:uiPriority w:val="0"/>
    <w:pPr>
      <w:spacing w:after="160" w:line="240" w:lineRule="auto"/>
    </w:pPr>
    <w:rPr>
      <w:sz w:val="24"/>
    </w:rPr>
  </w:style>
  <w:style w:type="paragraph" w:customStyle="1" w:styleId="78">
    <w:name w:val="封面标准文稿编辑信息"/>
    <w:basedOn w:val="77"/>
    <w:qFormat/>
    <w:uiPriority w:val="0"/>
    <w:pPr>
      <w:spacing w:before="180" w:line="180" w:lineRule="exact"/>
    </w:pPr>
    <w:rPr>
      <w:sz w:val="21"/>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2"/>
    <w:next w:val="22"/>
    <w:qFormat/>
    <w:uiPriority w:val="0"/>
    <w:pPr>
      <w:ind w:firstLine="0" w:firstLineChars="0"/>
      <w:jc w:val="center"/>
    </w:pPr>
    <w:rPr>
      <w:rFonts w:ascii="黑体" w:eastAsia="黑体"/>
    </w:rPr>
  </w:style>
  <w:style w:type="paragraph" w:customStyle="1" w:styleId="82">
    <w:name w:val="附录表标号"/>
    <w:basedOn w:val="1"/>
    <w:next w:val="22"/>
    <w:qFormat/>
    <w:uiPriority w:val="0"/>
    <w:pPr>
      <w:numPr>
        <w:ilvl w:val="0"/>
        <w:numId w:val="11"/>
      </w:numPr>
      <w:spacing w:line="14" w:lineRule="exact"/>
      <w:ind w:left="811" w:hanging="448"/>
      <w:jc w:val="center"/>
      <w:outlineLvl w:val="0"/>
    </w:pPr>
    <w:rPr>
      <w:color w:val="FFFFFF"/>
    </w:rPr>
  </w:style>
  <w:style w:type="paragraph" w:customStyle="1" w:styleId="83">
    <w:name w:val="附录表标题"/>
    <w:basedOn w:val="1"/>
    <w:next w:val="22"/>
    <w:qFormat/>
    <w:uiPriority w:val="0"/>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qFormat/>
    <w:uiPriority w:val="0"/>
    <w:pPr>
      <w:tabs>
        <w:tab w:val="clear" w:pos="360"/>
      </w:tabs>
      <w:spacing w:beforeLines="0" w:afterLines="0"/>
    </w:pPr>
    <w:rPr>
      <w:rFonts w:ascii="宋体" w:eastAsia="宋体"/>
      <w:szCs w:val="21"/>
    </w:rPr>
  </w:style>
  <w:style w:type="paragraph" w:customStyle="1" w:styleId="86">
    <w:name w:val="附录公式"/>
    <w:basedOn w:val="22"/>
    <w:next w:val="22"/>
    <w:link w:val="136"/>
    <w:qFormat/>
    <w:uiPriority w:val="0"/>
  </w:style>
  <w:style w:type="paragraph" w:customStyle="1" w:styleId="87">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88">
    <w:name w:val="附录三级条标题"/>
    <w:basedOn w:val="84"/>
    <w:next w:val="22"/>
    <w:qFormat/>
    <w:uiPriority w:val="0"/>
    <w:pPr>
      <w:numPr>
        <w:ilvl w:val="4"/>
        <w:numId w:val="10"/>
      </w:numPr>
      <w:outlineLvl w:val="4"/>
    </w:pPr>
  </w:style>
  <w:style w:type="paragraph" w:customStyle="1" w:styleId="89">
    <w:name w:val="附录三级无"/>
    <w:basedOn w:val="88"/>
    <w:qFormat/>
    <w:uiPriority w:val="0"/>
    <w:pPr>
      <w:tabs>
        <w:tab w:val="clear" w:pos="360"/>
      </w:tabs>
      <w:spacing w:beforeLines="0" w:afterLines="0"/>
    </w:pPr>
    <w:rPr>
      <w:rFonts w:ascii="宋体" w:eastAsia="宋体"/>
      <w:szCs w:val="21"/>
    </w:rPr>
  </w:style>
  <w:style w:type="paragraph" w:customStyle="1" w:styleId="90">
    <w:name w:val="附录数字编号列项（二级）"/>
    <w:qFormat/>
    <w:uiPriority w:val="0"/>
    <w:pPr>
      <w:numPr>
        <w:ilvl w:val="1"/>
        <w:numId w:val="12"/>
      </w:numPr>
      <w:tabs>
        <w:tab w:val="left" w:pos="839"/>
        <w:tab w:val="clear" w:pos="840"/>
      </w:tabs>
    </w:pPr>
    <w:rPr>
      <w:rFonts w:ascii="宋体" w:hAnsi="Times New Roman" w:eastAsia="宋体" w:cs="Times New Roman"/>
      <w:sz w:val="21"/>
      <w:lang w:val="en-US" w:eastAsia="zh-CN" w:bidi="ar-SA"/>
    </w:rPr>
  </w:style>
  <w:style w:type="paragraph" w:customStyle="1" w:styleId="91">
    <w:name w:val="附录四级条标题"/>
    <w:basedOn w:val="88"/>
    <w:next w:val="22"/>
    <w:qFormat/>
    <w:uiPriority w:val="0"/>
    <w:pPr>
      <w:numPr>
        <w:ilvl w:val="5"/>
        <w:numId w:val="10"/>
      </w:numPr>
      <w:outlineLvl w:val="5"/>
    </w:pPr>
  </w:style>
  <w:style w:type="paragraph" w:customStyle="1" w:styleId="92">
    <w:name w:val="附录四级无"/>
    <w:basedOn w:val="91"/>
    <w:qFormat/>
    <w:uiPriority w:val="0"/>
    <w:pPr>
      <w:spacing w:beforeLines="0" w:afterLines="0"/>
    </w:pPr>
    <w:rPr>
      <w:rFonts w:ascii="宋体" w:eastAsia="宋体"/>
      <w:szCs w:val="21"/>
    </w:rPr>
  </w:style>
  <w:style w:type="paragraph" w:customStyle="1" w:styleId="93">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4">
    <w:name w:val="附录图标题"/>
    <w:basedOn w:val="1"/>
    <w:next w:val="22"/>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5">
    <w:name w:val="附录五级条标题"/>
    <w:basedOn w:val="91"/>
    <w:next w:val="22"/>
    <w:qFormat/>
    <w:uiPriority w:val="0"/>
    <w:pPr>
      <w:numPr>
        <w:ilvl w:val="6"/>
        <w:numId w:val="10"/>
      </w:numPr>
      <w:outlineLvl w:val="6"/>
    </w:pPr>
  </w:style>
  <w:style w:type="paragraph" w:customStyle="1" w:styleId="96">
    <w:name w:val="附录五级无"/>
    <w:basedOn w:val="95"/>
    <w:qFormat/>
    <w:uiPriority w:val="0"/>
    <w:pPr>
      <w:spacing w:beforeLines="0" w:afterLines="0"/>
    </w:pPr>
    <w:rPr>
      <w:rFonts w:ascii="宋体" w:eastAsia="宋体"/>
      <w:szCs w:val="21"/>
    </w:rPr>
  </w:style>
  <w:style w:type="paragraph" w:customStyle="1" w:styleId="97">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附录一级条标题"/>
    <w:basedOn w:val="97"/>
    <w:next w:val="22"/>
    <w:qFormat/>
    <w:uiPriority w:val="0"/>
    <w:pPr>
      <w:numPr>
        <w:ilvl w:val="2"/>
        <w:numId w:val="10"/>
      </w:numPr>
      <w:autoSpaceDN w:val="0"/>
      <w:spacing w:beforeLines="50" w:afterLines="50"/>
      <w:outlineLvl w:val="2"/>
    </w:pPr>
  </w:style>
  <w:style w:type="paragraph" w:customStyle="1" w:styleId="99">
    <w:name w:val="附录一级无"/>
    <w:basedOn w:val="98"/>
    <w:qFormat/>
    <w:uiPriority w:val="0"/>
    <w:pPr>
      <w:tabs>
        <w:tab w:val="clear" w:pos="360"/>
      </w:tabs>
      <w:spacing w:beforeLines="0" w:afterLines="0"/>
    </w:pPr>
    <w:rPr>
      <w:rFonts w:ascii="宋体" w:eastAsia="宋体"/>
      <w:szCs w:val="21"/>
    </w:rPr>
  </w:style>
  <w:style w:type="paragraph" w:customStyle="1" w:styleId="100">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4">
    <w:name w:val="其他标准标志"/>
    <w:basedOn w:val="63"/>
    <w:qFormat/>
    <w:uiPriority w:val="0"/>
    <w:pPr>
      <w:framePr w:w="6101" w:vAnchor="page" w:hAnchor="page" w:x="4673" w:y="942"/>
    </w:pPr>
    <w:rPr>
      <w:w w:val="130"/>
    </w:rPr>
  </w:style>
  <w:style w:type="paragraph" w:customStyle="1" w:styleId="10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6">
    <w:name w:val="其他发布部门"/>
    <w:basedOn w:val="70"/>
    <w:qFormat/>
    <w:uiPriority w:val="0"/>
    <w:pPr>
      <w:framePr w:y="15310"/>
      <w:spacing w:line="0" w:lineRule="atLeast"/>
    </w:pPr>
    <w:rPr>
      <w:rFonts w:ascii="黑体" w:eastAsia="黑体"/>
      <w:b w:val="0"/>
    </w:rPr>
  </w:style>
  <w:style w:type="paragraph" w:customStyle="1" w:styleId="107">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8">
    <w:name w:val="三级无"/>
    <w:basedOn w:val="48"/>
    <w:qFormat/>
    <w:uiPriority w:val="0"/>
    <w:pPr>
      <w:spacing w:beforeLines="0" w:afterLines="0"/>
    </w:pPr>
    <w:rPr>
      <w:rFonts w:ascii="宋体" w:eastAsia="宋体"/>
    </w:rPr>
  </w:style>
  <w:style w:type="paragraph" w:customStyle="1" w:styleId="109">
    <w:name w:val="实施日期"/>
    <w:basedOn w:val="71"/>
    <w:qFormat/>
    <w:uiPriority w:val="0"/>
    <w:pPr>
      <w:framePr w:wrap="around" w:vAnchor="page" w:hAnchor="text" w:y="1"/>
      <w:jc w:val="right"/>
    </w:pPr>
  </w:style>
  <w:style w:type="paragraph" w:customStyle="1" w:styleId="110">
    <w:name w:val="示例后文字"/>
    <w:basedOn w:val="22"/>
    <w:next w:val="22"/>
    <w:qFormat/>
    <w:uiPriority w:val="0"/>
    <w:pPr>
      <w:ind w:firstLine="360"/>
    </w:pPr>
    <w:rPr>
      <w:sz w:val="18"/>
    </w:rPr>
  </w:style>
  <w:style w:type="paragraph" w:customStyle="1" w:styleId="111">
    <w:name w:val="首示例"/>
    <w:next w:val="22"/>
    <w:link w:val="137"/>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paragraph" w:customStyle="1" w:styleId="112">
    <w:name w:val="四级无"/>
    <w:basedOn w:val="52"/>
    <w:qFormat/>
    <w:uiPriority w:val="0"/>
    <w:pPr>
      <w:spacing w:beforeLines="0" w:afterLines="0"/>
    </w:pPr>
    <w:rPr>
      <w:rFonts w:ascii="宋体" w:eastAsia="宋体"/>
    </w:rPr>
  </w:style>
  <w:style w:type="paragraph" w:customStyle="1" w:styleId="113">
    <w:name w:val="条文脚注"/>
    <w:basedOn w:val="23"/>
    <w:qFormat/>
    <w:uiPriority w:val="0"/>
    <w:pPr>
      <w:numPr>
        <w:ilvl w:val="0"/>
        <w:numId w:val="0"/>
      </w:numPr>
      <w:jc w:val="both"/>
    </w:pPr>
  </w:style>
  <w:style w:type="paragraph" w:customStyle="1" w:styleId="114">
    <w:name w:val="图标脚注说明"/>
    <w:basedOn w:val="22"/>
    <w:qFormat/>
    <w:uiPriority w:val="0"/>
    <w:pPr>
      <w:ind w:left="840" w:hanging="420" w:firstLineChars="0"/>
    </w:pPr>
    <w:rPr>
      <w:sz w:val="18"/>
      <w:szCs w:val="18"/>
    </w:rPr>
  </w:style>
  <w:style w:type="paragraph" w:customStyle="1" w:styleId="115">
    <w:name w:val="图表脚注说明"/>
    <w:basedOn w:val="1"/>
    <w:qFormat/>
    <w:uiPriority w:val="0"/>
    <w:pPr>
      <w:numPr>
        <w:ilvl w:val="0"/>
        <w:numId w:val="15"/>
      </w:numPr>
    </w:pPr>
    <w:rPr>
      <w:rFonts w:ascii="宋体"/>
      <w:sz w:val="18"/>
      <w:szCs w:val="18"/>
    </w:rPr>
  </w:style>
  <w:style w:type="paragraph" w:customStyle="1" w:styleId="116">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7">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118">
    <w:name w:val="五级无"/>
    <w:basedOn w:val="53"/>
    <w:qFormat/>
    <w:uiPriority w:val="0"/>
    <w:pPr>
      <w:spacing w:beforeLines="0" w:afterLines="0"/>
    </w:pPr>
    <w:rPr>
      <w:rFonts w:ascii="宋体" w:eastAsia="宋体"/>
    </w:rPr>
  </w:style>
  <w:style w:type="paragraph" w:customStyle="1" w:styleId="119">
    <w:name w:val="一级无"/>
    <w:basedOn w:val="39"/>
    <w:qFormat/>
    <w:uiPriority w:val="0"/>
    <w:pPr>
      <w:spacing w:beforeLines="0" w:afterLines="0"/>
    </w:pPr>
    <w:rPr>
      <w:rFonts w:ascii="宋体" w:eastAsia="宋体"/>
    </w:rPr>
  </w:style>
  <w:style w:type="paragraph" w:customStyle="1" w:styleId="120">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1">
    <w:name w:val="正文公式编号制表符"/>
    <w:basedOn w:val="22"/>
    <w:next w:val="22"/>
    <w:qFormat/>
    <w:uiPriority w:val="0"/>
    <w:pPr>
      <w:ind w:firstLine="0" w:firstLineChars="0"/>
    </w:pPr>
  </w:style>
  <w:style w:type="paragraph" w:customStyle="1" w:styleId="122">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
    <w:name w:val="终结线"/>
    <w:basedOn w:val="1"/>
    <w:qFormat/>
    <w:uiPriority w:val="0"/>
    <w:pPr>
      <w:framePr w:hSpace="181" w:vSpace="181" w:wrap="around" w:vAnchor="text" w:hAnchor="margin" w:xAlign="center" w:y="285"/>
    </w:pPr>
  </w:style>
  <w:style w:type="paragraph" w:customStyle="1" w:styleId="124">
    <w:name w:val="其他发布日期"/>
    <w:basedOn w:val="71"/>
    <w:qFormat/>
    <w:uiPriority w:val="0"/>
    <w:pPr>
      <w:framePr w:wrap="around" w:vAnchor="page" w:hAnchor="text" w:x="1419" w:y="1"/>
    </w:pPr>
  </w:style>
  <w:style w:type="paragraph" w:customStyle="1" w:styleId="125">
    <w:name w:val="其他实施日期"/>
    <w:basedOn w:val="109"/>
    <w:qFormat/>
    <w:uiPriority w:val="0"/>
  </w:style>
  <w:style w:type="paragraph" w:customStyle="1" w:styleId="126">
    <w:name w:val="封面标准名称2"/>
    <w:basedOn w:val="74"/>
    <w:qFormat/>
    <w:uiPriority w:val="0"/>
    <w:pPr>
      <w:framePr w:wrap="around" w:vAnchor="margin" w:hAnchor="text" w:y="4469"/>
      <w:spacing w:beforeLines="630"/>
    </w:pPr>
  </w:style>
  <w:style w:type="paragraph" w:customStyle="1" w:styleId="127">
    <w:name w:val="封面标准英文名称2"/>
    <w:basedOn w:val="75"/>
    <w:qFormat/>
    <w:uiPriority w:val="0"/>
    <w:pPr>
      <w:framePr w:wrap="around" w:vAnchor="margin" w:hAnchor="text" w:y="4469"/>
    </w:pPr>
  </w:style>
  <w:style w:type="paragraph" w:customStyle="1" w:styleId="128">
    <w:name w:val="封面一致性程度标识2"/>
    <w:basedOn w:val="76"/>
    <w:qFormat/>
    <w:uiPriority w:val="0"/>
    <w:pPr>
      <w:framePr w:wrap="around" w:vAnchor="margin" w:hAnchor="text" w:y="4469"/>
    </w:pPr>
  </w:style>
  <w:style w:type="paragraph" w:customStyle="1" w:styleId="129">
    <w:name w:val="封面标准文稿类别2"/>
    <w:basedOn w:val="77"/>
    <w:qFormat/>
    <w:uiPriority w:val="0"/>
    <w:pPr>
      <w:framePr w:wrap="around" w:vAnchor="margin" w:hAnchor="text" w:y="4469"/>
    </w:pPr>
  </w:style>
  <w:style w:type="paragraph" w:customStyle="1" w:styleId="130">
    <w:name w:val="封面标准文稿编辑信息2"/>
    <w:basedOn w:val="78"/>
    <w:qFormat/>
    <w:uiPriority w:val="0"/>
    <w:pPr>
      <w:framePr w:wrap="around" w:vAnchor="margin" w:hAnchor="text" w:y="4469"/>
    </w:pPr>
  </w:style>
  <w:style w:type="paragraph" w:customStyle="1" w:styleId="131">
    <w:name w:val="Body text|1"/>
    <w:basedOn w:val="1"/>
    <w:qFormat/>
    <w:uiPriority w:val="0"/>
    <w:pPr>
      <w:spacing w:line="312" w:lineRule="auto"/>
    </w:pPr>
    <w:rPr>
      <w:rFonts w:ascii="MingLiU" w:hAnsi="MingLiU" w:eastAsia="MingLiU" w:cs="MingLiU"/>
      <w:sz w:val="20"/>
      <w:szCs w:val="20"/>
      <w:lang w:val="zh-TW" w:eastAsia="zh-TW" w:bidi="zh-TW"/>
    </w:rPr>
  </w:style>
  <w:style w:type="paragraph" w:customStyle="1" w:styleId="132">
    <w:name w:val="段(正文）"/>
    <w:qFormat/>
    <w:uiPriority w:val="0"/>
    <w:pPr>
      <w:autoSpaceDE w:val="0"/>
      <w:autoSpaceDN w:val="0"/>
      <w:ind w:firstLine="420"/>
      <w:jc w:val="both"/>
    </w:pPr>
    <w:rPr>
      <w:rFonts w:ascii="宋体" w:hAnsi="Calibri" w:eastAsia="宋体" w:cs="Times New Roman"/>
      <w:sz w:val="21"/>
      <w:lang w:val="en-US" w:eastAsia="zh-CN" w:bidi="ar-SA"/>
    </w:rPr>
  </w:style>
  <w:style w:type="paragraph" w:customStyle="1" w:styleId="133">
    <w:name w:val="列出段落1"/>
    <w:unhideWhenUsed/>
    <w:qFormat/>
    <w:uiPriority w:val="99"/>
    <w:pPr>
      <w:ind w:firstLine="420" w:firstLineChars="200"/>
    </w:pPr>
    <w:rPr>
      <w:rFonts w:ascii="Times New Roman" w:hAnsi="Times New Roman" w:eastAsia="宋体" w:cs="Times New Roman"/>
      <w:lang w:val="en-US" w:eastAsia="zh-CN" w:bidi="ar-SA"/>
    </w:rPr>
  </w:style>
  <w:style w:type="character" w:customStyle="1" w:styleId="134">
    <w:name w:val="段 Char"/>
    <w:link w:val="22"/>
    <w:qFormat/>
    <w:uiPriority w:val="0"/>
    <w:rPr>
      <w:rFonts w:ascii="宋体"/>
      <w:sz w:val="21"/>
      <w:lang w:val="en-US" w:eastAsia="zh-CN" w:bidi="ar-SA"/>
    </w:rPr>
  </w:style>
  <w:style w:type="character" w:customStyle="1" w:styleId="135">
    <w:name w:val="发布"/>
    <w:qFormat/>
    <w:uiPriority w:val="0"/>
    <w:rPr>
      <w:rFonts w:ascii="黑体" w:eastAsia="黑体"/>
      <w:spacing w:val="85"/>
      <w:w w:val="100"/>
      <w:position w:val="3"/>
      <w:sz w:val="28"/>
      <w:szCs w:val="28"/>
    </w:rPr>
  </w:style>
  <w:style w:type="character" w:customStyle="1" w:styleId="136">
    <w:name w:val="附录公式 Char"/>
    <w:link w:val="86"/>
    <w:qFormat/>
    <w:uiPriority w:val="0"/>
    <w:rPr>
      <w:rFonts w:ascii="宋体"/>
      <w:sz w:val="21"/>
      <w:lang w:val="en-US" w:eastAsia="zh-CN" w:bidi="ar-SA"/>
    </w:rPr>
  </w:style>
  <w:style w:type="character" w:customStyle="1" w:styleId="137">
    <w:name w:val="首示例 Char"/>
    <w:link w:val="111"/>
    <w:qFormat/>
    <w:uiPriority w:val="0"/>
    <w:rPr>
      <w:rFonts w:ascii="宋体" w:hAnsi="宋体"/>
      <w:kern w:val="2"/>
      <w:sz w:val="18"/>
      <w:szCs w:val="18"/>
      <w:lang w:val="en-US" w:eastAsia="zh-CN" w:bidi="ar-SA"/>
    </w:rPr>
  </w:style>
  <w:style w:type="character" w:customStyle="1" w:styleId="138">
    <w:name w:val="一级条标题 Char"/>
    <w:link w:val="39"/>
    <w:qFormat/>
    <w:uiPriority w:val="0"/>
    <w:rPr>
      <w:rFonts w:ascii="黑体" w:eastAsia="黑体"/>
      <w:sz w:val="21"/>
      <w:szCs w:val="21"/>
    </w:rPr>
  </w:style>
  <w:style w:type="character" w:customStyle="1" w:styleId="139">
    <w:name w:val="未处理的提及1"/>
    <w:unhideWhenUsed/>
    <w:qFormat/>
    <w:uiPriority w:val="99"/>
    <w:rPr>
      <w:color w:val="605E5C"/>
      <w:shd w:val="clear" w:color="auto" w:fill="E1DFDD"/>
    </w:rPr>
  </w:style>
  <w:style w:type="character" w:customStyle="1" w:styleId="140">
    <w:name w:val="二级无 Char"/>
    <w:link w:val="60"/>
    <w:qFormat/>
    <w:uiPriority w:val="0"/>
    <w:rPr>
      <w:rFonts w:ascii="宋体" w:eastAsia="宋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2887</Words>
  <Characters>3324</Characters>
  <Lines>36</Lines>
  <Paragraphs>10</Paragraphs>
  <TotalTime>0</TotalTime>
  <ScaleCrop>false</ScaleCrop>
  <LinksUpToDate>false</LinksUpToDate>
  <CharactersWithSpaces>3586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2020-03-02T10:09:00Z</dcterms:created>
  <cp:lastPrinted>2020-08-19T07:45:00Z</cp:lastPrinted>
  <dcterms:modified xsi:type="dcterms:W3CDTF">2020-09-03T10:30:20Z</dcterms:modified>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