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rPr>
          <w:rFonts w:hAnsi="黑体" w:cs="黑体"/>
        </w:rPr>
      </w:pPr>
      <w:r>
        <w:rPr>
          <w:rFonts w:hint="eastAsia" w:hAnsi="黑体" w:cs="黑体"/>
        </w:rPr>
        <w:t>ICS 67.120.20</w:t>
      </w:r>
    </w:p>
    <w:p>
      <w:pPr>
        <w:pStyle w:val="119"/>
      </w:pPr>
      <w:r>
        <w:rPr>
          <w:rFonts w:hint="eastAsia"/>
        </w:rPr>
        <w:t>C</w:t>
      </w:r>
      <w:r>
        <w:t>CS</w:t>
      </w:r>
      <w:r>
        <w:rPr>
          <w:rFonts w:hint="eastAsia"/>
        </w:rPr>
        <w:t xml:space="preserve"> </w:t>
      </w:r>
      <w:r>
        <w:t>X 1</w:t>
      </w:r>
      <w:r>
        <w:rPr>
          <w:rFonts w:hint="eastAsia"/>
        </w:rPr>
        <w:t>8</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9"/>
            </w:pPr>
          </w:p>
          <w:p>
            <w:pPr>
              <w:pStyle w:val="119"/>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v:fill on="t" focussize="0,0"/>
                      <v:stroke on="f"/>
                      <v:imagedata o:title=""/>
                      <o:lock v:ext="edit" aspectratio="f"/>
                      <v:textbox>
                        <w:txbxContent>
                          <w:p>
                            <w:pPr>
                              <w:jc w:val="center"/>
                            </w:pPr>
                          </w:p>
                        </w:txbxContent>
                      </v:textbox>
                    </v:rect>
                  </w:pict>
                </mc:Fallback>
              </mc:AlternateContent>
            </w:r>
          </w:p>
        </w:tc>
      </w:tr>
    </w:tbl>
    <w:p>
      <w:pPr>
        <w:pStyle w:val="63"/>
        <w:framePr w:w="0" w:hRule="auto"/>
      </w:pPr>
      <w:r>
        <w:rPr>
          <w:rFonts w:hint="eastAsia" w:ascii="黑体" w:hAnsi="黑体" w:eastAsia="黑体" w:cs="黑体"/>
        </w:rPr>
        <w:t>团体标准</w:t>
      </w:r>
    </w:p>
    <w:p>
      <w:pPr>
        <w:pStyle w:val="43"/>
        <w:rPr>
          <w:rFonts w:hAnsi="黑体"/>
        </w:rPr>
      </w:pPr>
      <w:r>
        <w:rPr>
          <w:rFonts w:hint="eastAsia" w:ascii="黑体" w:hAnsi="黑体" w:eastAsia="黑体" w:cs="黑体"/>
        </w:rPr>
        <w:t>T/ZFS XXXX—2020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bookmarkStart w:id="0" w:name="DT"/>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v:fill on="t" focussize="0,0"/>
                      <v:stroke on="f"/>
                      <v:imagedata o:title=""/>
                      <o:lock v:ext="edit" aspectratio="f"/>
                      <v:textbox>
                        <w:txbxContent>
                          <w:p>
                            <w:pPr>
                              <w:jc w:val="center"/>
                            </w:pPr>
                          </w:p>
                        </w:txbxContent>
                      </v:textbox>
                    </v:rect>
                  </w:pict>
                </mc:Fallback>
              </mc:AlternateContent>
            </w:r>
            <w:bookmarkEnd w:id="0"/>
          </w:p>
        </w:tc>
      </w:tr>
    </w:tbl>
    <w:p>
      <w:pPr>
        <w:pStyle w:val="43"/>
        <w:rPr>
          <w:rFonts w:hAnsi="黑体"/>
        </w:rPr>
      </w:pPr>
    </w:p>
    <w:p>
      <w:pPr>
        <w:pStyle w:val="43"/>
        <w:rPr>
          <w:rFonts w:hAnsi="黑体"/>
        </w:rPr>
      </w:pPr>
    </w:p>
    <w:p>
      <w:pPr>
        <w:pStyle w:val="74"/>
      </w:pPr>
      <w:r>
        <w:rPr>
          <w:rFonts w:hint="eastAsia"/>
        </w:rPr>
        <w:t>酱（卤）鹅</w:t>
      </w:r>
    </w:p>
    <w:p>
      <w:pPr>
        <w:pStyle w:val="75"/>
      </w:pPr>
      <w:r>
        <w:rPr>
          <w:rFonts w:hint="eastAsia"/>
          <w:kern w:val="2"/>
        </w:rPr>
        <w:t>Sauce</w:t>
      </w:r>
      <w:r>
        <w:rPr>
          <w:rFonts w:hint="eastAsia"/>
          <w:kern w:val="2"/>
          <w:lang w:val="en-US" w:eastAsia="zh-CN"/>
        </w:rPr>
        <w:t xml:space="preserve">d </w:t>
      </w:r>
      <w:r>
        <w:rPr>
          <w:kern w:val="2"/>
        </w:rPr>
        <w:t xml:space="preserve">goose </w:t>
      </w:r>
    </w:p>
    <w:p>
      <w:pPr>
        <w:pStyle w:val="76"/>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77"/>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v:fill on="t" focussize="0,0"/>
                      <v:stroke on="f"/>
                      <v:imagedata o:title=""/>
                      <o:lock v:ext="edit" aspectratio="f"/>
                      <v:textbox>
                        <w:txbxContent>
                          <w:p>
                            <w:pPr>
                              <w:jc w:val="center"/>
                            </w:pPr>
                          </w:p>
                        </w:txbxContent>
                      </v:textbox>
                    </v:rect>
                  </w:pict>
                </mc:Fallback>
              </mc:AlternateContent>
            </w:r>
            <w:r>
              <w:rPr>
                <w:rFonts w:hint="eastAsia"/>
              </w:rPr>
              <w:t>（</w:t>
            </w:r>
            <w:r>
              <w:rPr>
                <w:rFonts w:hint="eastAsia"/>
                <w:lang w:val="en-US" w:eastAsia="zh-CN"/>
              </w:rPr>
              <w:t>征求意见稿</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pPr>
          </w:p>
        </w:tc>
      </w:tr>
    </w:tbl>
    <w:p>
      <w:pPr>
        <w:pStyle w:val="126"/>
        <w:framePr w:hAnchor="page" w:x="1666" w:y="14131"/>
      </w:pPr>
      <w:bookmarkStart w:id="1"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5.35pt;margin-top:736.5pt;height:0pt;width:481.9pt;mso-position-vertical-relative:page;z-index:251655168;mso-width-relative:page;mso-height-relative:page;" filled="f" stroked="t" coordsize="21600,21600"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v:fill on="f" focussize="0,0"/>
                <v:stroke color="#000000" joinstyle="round"/>
                <v:imagedata o:title=""/>
                <o:lock v:ext="edit" aspectratio="f"/>
                <w10:anchorlock/>
              </v:line>
            </w:pict>
          </mc:Fallback>
        </mc:AlternateContent>
      </w:r>
    </w:p>
    <w:p>
      <w:pPr>
        <w:pStyle w:val="127"/>
        <w:framePr w:hAnchor="page" w:x="6736" w:y="14131"/>
      </w:pPr>
      <w:bookmarkStart w:id="3"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107"/>
      </w:pPr>
      <w:r>
        <w:rPr>
          <w:rFonts w:hint="eastAsia"/>
        </w:rPr>
        <w:t>浙江省食品学会</w:t>
      </w:r>
      <w:r>
        <w:rPr>
          <w:rFonts w:hAnsi="黑体"/>
        </w:rPr>
        <w:t>   </w:t>
      </w:r>
      <w:r>
        <w:rPr>
          <w:rStyle w:val="69"/>
          <w:rFonts w:hint="eastAsia"/>
        </w:rPr>
        <w:t>发布</w:t>
      </w:r>
    </w:p>
    <w:p>
      <w:pPr>
        <w:pStyle w:val="2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v:fill on="f" focussize="0,0"/>
                <v:stroke color="#000000" joinstyle="round"/>
                <v:imagedata o:title=""/>
                <o:lock v:ext="edit" aspectratio="f"/>
              </v:line>
            </w:pict>
          </mc:Fallback>
        </mc:AlternateContent>
      </w:r>
    </w:p>
    <w:p>
      <w:pPr>
        <w:pStyle w:val="46"/>
        <w:rPr>
          <w:color w:val="000000" w:themeColor="text1"/>
          <w14:textFill>
            <w14:solidFill>
              <w14:schemeClr w14:val="tx1"/>
            </w14:solidFill>
          </w14:textFill>
        </w:rPr>
      </w:pPr>
      <w:bookmarkStart w:id="6" w:name="_Toc34064616"/>
      <w:r>
        <w:rPr>
          <w:rFonts w:hint="eastAsia"/>
          <w:color w:val="000000" w:themeColor="text1"/>
          <w14:textFill>
            <w14:solidFill>
              <w14:schemeClr w14:val="tx1"/>
            </w14:solidFill>
          </w14:textFill>
        </w:rPr>
        <w:t>目</w:t>
      </w:r>
      <w:bookmarkStart w:id="7" w:name="BKML"/>
      <w:r>
        <w:rPr>
          <w:rFonts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次</w:t>
      </w:r>
      <w:bookmarkEnd w:id="7"/>
    </w:p>
    <w:p>
      <w:pPr>
        <w:pStyle w:val="16"/>
        <w:spacing w:before="78" w:after="78"/>
        <w:jc w:val="both"/>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TOC \h \z \t"前言、引言标题,1,参考文献、索引标题,1,章标题,1,参考文献,1,附录标识,1,一级条标题, 3" \* MERGEFORMAT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fldChar w:fldCharType="begin"/>
      </w:r>
      <w:r>
        <w:instrText xml:space="preserve"> HYPERLINK \l "_Toc34064674" </w:instrText>
      </w:r>
      <w:r>
        <w:fldChar w:fldCharType="separate"/>
      </w:r>
      <w:r>
        <w:rPr>
          <w:rStyle w:val="35"/>
          <w:rFonts w:hint="eastAsia"/>
          <w:color w:val="000000" w:themeColor="text1"/>
          <w14:textFill>
            <w14:solidFill>
              <w14:schemeClr w14:val="tx1"/>
            </w14:solidFill>
          </w14:textFill>
        </w:rPr>
        <w:t>前言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_Toc34064674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spacing w:before="78" w:after="78"/>
        <w:jc w:val="both"/>
        <w:rPr>
          <w:rFonts w:ascii="Calibri" w:hAnsi="Calibri"/>
          <w:color w:val="000000" w:themeColor="text1"/>
          <w:szCs w:val="22"/>
          <w14:textFill>
            <w14:solidFill>
              <w14:schemeClr w14:val="tx1"/>
            </w14:solidFill>
          </w14:textFill>
        </w:rPr>
      </w:pPr>
      <w:r>
        <w:fldChar w:fldCharType="begin"/>
      </w:r>
      <w:r>
        <w:instrText xml:space="preserve"> HYPERLINK \l "_Toc34064675" </w:instrText>
      </w:r>
      <w:r>
        <w:fldChar w:fldCharType="separate"/>
      </w:r>
      <w:r>
        <w:rPr>
          <w:rStyle w:val="35"/>
          <w:color w:val="000000" w:themeColor="text1"/>
          <w14:textFill>
            <w14:solidFill>
              <w14:schemeClr w14:val="tx1"/>
            </w14:solidFill>
          </w14:textFill>
        </w:rPr>
        <w:t>1</w:t>
      </w:r>
      <w:r>
        <w:rPr>
          <w:rStyle w:val="35"/>
          <w:rFonts w:hint="eastAsia"/>
          <w:color w:val="000000" w:themeColor="text1"/>
          <w14:textFill>
            <w14:solidFill>
              <w14:schemeClr w14:val="tx1"/>
            </w14:solidFill>
          </w14:textFill>
        </w:rPr>
        <w:t>　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_Toc34064675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spacing w:before="78" w:after="78"/>
        <w:jc w:val="both"/>
        <w:rPr>
          <w:color w:val="000000" w:themeColor="text1"/>
          <w14:textFill>
            <w14:solidFill>
              <w14:schemeClr w14:val="tx1"/>
            </w14:solidFill>
          </w14:textFill>
        </w:rPr>
      </w:pPr>
      <w:r>
        <w:fldChar w:fldCharType="begin"/>
      </w:r>
      <w:r>
        <w:instrText xml:space="preserve"> HYPERLINK \l "_Toc34064676" </w:instrText>
      </w:r>
      <w:r>
        <w:fldChar w:fldCharType="separate"/>
      </w:r>
      <w:r>
        <w:rPr>
          <w:rStyle w:val="35"/>
          <w:color w:val="000000" w:themeColor="text1"/>
          <w14:textFill>
            <w14:solidFill>
              <w14:schemeClr w14:val="tx1"/>
            </w14:solidFill>
          </w14:textFill>
        </w:rPr>
        <w:t>2</w:t>
      </w:r>
      <w:r>
        <w:rPr>
          <w:rStyle w:val="35"/>
          <w:rFonts w:hint="eastAsia"/>
          <w:color w:val="000000" w:themeColor="text1"/>
          <w14:textFill>
            <w14:solidFill>
              <w14:schemeClr w14:val="tx1"/>
            </w14:solidFill>
          </w14:textFill>
        </w:rPr>
        <w:t>　规范性引用文件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 PAGEREF _Toc34064676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spacing w:before="78" w:after="78"/>
        <w:jc w:val="both"/>
        <w:rPr>
          <w:color w:val="000000" w:themeColor="text1"/>
          <w14:textFill>
            <w14:solidFill>
              <w14:schemeClr w14:val="tx1"/>
            </w14:solidFill>
          </w14:textFill>
        </w:rPr>
      </w:pPr>
      <w:r>
        <w:fldChar w:fldCharType="begin"/>
      </w:r>
      <w:r>
        <w:instrText xml:space="preserve"> HYPERLINK \l "_Toc34064676" </w:instrText>
      </w:r>
      <w:r>
        <w:fldChar w:fldCharType="separate"/>
      </w:r>
      <w:r>
        <w:rPr>
          <w:rStyle w:val="35"/>
          <w:rFonts w:hint="eastAsia"/>
          <w:color w:val="000000" w:themeColor="text1"/>
          <w14:textFill>
            <w14:solidFill>
              <w14:schemeClr w14:val="tx1"/>
            </w14:solidFill>
          </w14:textFill>
        </w:rPr>
        <w:t>3　术语和定义</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p>
    <w:p>
      <w:pPr>
        <w:pStyle w:val="16"/>
        <w:spacing w:before="78" w:after="78"/>
        <w:jc w:val="both"/>
        <w:rPr>
          <w:color w:val="000000" w:themeColor="text1"/>
          <w14:textFill>
            <w14:solidFill>
              <w14:schemeClr w14:val="tx1"/>
            </w14:solidFill>
          </w14:textFill>
        </w:rPr>
      </w:pPr>
      <w:r>
        <w:fldChar w:fldCharType="begin"/>
      </w:r>
      <w:r>
        <w:instrText xml:space="preserve"> HYPERLINK \l "_Toc34064676" </w:instrText>
      </w:r>
      <w:r>
        <w:fldChar w:fldCharType="separate"/>
      </w:r>
      <w:r>
        <w:rPr>
          <w:rStyle w:val="35"/>
          <w:rFonts w:hint="eastAsia"/>
          <w:color w:val="000000" w:themeColor="text1"/>
          <w14:textFill>
            <w14:solidFill>
              <w14:schemeClr w14:val="tx1"/>
            </w14:solidFill>
          </w14:textFill>
        </w:rPr>
        <w:t>4　分类</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p>
    <w:p>
      <w:pPr>
        <w:pStyle w:val="16"/>
        <w:spacing w:before="78" w:after="78"/>
        <w:jc w:val="both"/>
        <w:rPr>
          <w:color w:val="000000" w:themeColor="text1"/>
          <w14:textFill>
            <w14:solidFill>
              <w14:schemeClr w14:val="tx1"/>
            </w14:solidFill>
          </w14:textFill>
        </w:rPr>
      </w:pPr>
      <w:r>
        <w:fldChar w:fldCharType="begin"/>
      </w:r>
      <w:r>
        <w:instrText xml:space="preserve"> HYPERLINK \l "_Toc34064698" </w:instrText>
      </w:r>
      <w:r>
        <w:fldChar w:fldCharType="separate"/>
      </w:r>
      <w:r>
        <w:rPr>
          <w:rStyle w:val="35"/>
          <w:rFonts w:hint="eastAsia"/>
          <w:color w:val="000000" w:themeColor="text1"/>
          <w14:textFill>
            <w14:solidFill>
              <w14:schemeClr w14:val="tx1"/>
            </w14:solidFill>
          </w14:textFill>
        </w:rPr>
        <w:t>5　要求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fldChar w:fldCharType="end"/>
      </w:r>
    </w:p>
    <w:p>
      <w:pPr>
        <w:pStyle w:val="16"/>
        <w:spacing w:before="78" w:after="78"/>
        <w:jc w:val="both"/>
        <w:rPr>
          <w:color w:val="000000" w:themeColor="text1"/>
          <w14:textFill>
            <w14:solidFill>
              <w14:schemeClr w14:val="tx1"/>
            </w14:solidFill>
          </w14:textFill>
        </w:rPr>
      </w:pPr>
      <w:r>
        <w:fldChar w:fldCharType="begin"/>
      </w:r>
      <w:r>
        <w:instrText xml:space="preserve"> HYPERLINK \l "_Toc34064712" </w:instrText>
      </w:r>
      <w:r>
        <w:fldChar w:fldCharType="separate"/>
      </w:r>
      <w:r>
        <w:rPr>
          <w:rFonts w:hint="eastAsia"/>
          <w:color w:val="000000" w:themeColor="text1"/>
          <w14:textFill>
            <w14:solidFill>
              <w14:schemeClr w14:val="tx1"/>
            </w14:solidFill>
          </w14:textFill>
        </w:rPr>
        <w:t>6</w:t>
      </w:r>
      <w:r>
        <w:rPr>
          <w:rStyle w:val="35"/>
          <w:rFonts w:hint="eastAsia"/>
          <w:color w:val="000000" w:themeColor="text1"/>
          <w:u w:val="none"/>
          <w14:textFill>
            <w14:solidFill>
              <w14:schemeClr w14:val="tx1"/>
            </w14:solidFill>
          </w14:textFill>
        </w:rPr>
        <w:t>　生产加工卫生要求</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p>
    <w:p>
      <w:pPr>
        <w:pStyle w:val="16"/>
        <w:spacing w:before="78" w:after="78"/>
        <w:jc w:val="both"/>
        <w:rPr>
          <w:rFonts w:ascii="Calibri" w:hAnsi="Calibri"/>
          <w:color w:val="000000" w:themeColor="text1"/>
          <w:szCs w:val="22"/>
          <w14:textFill>
            <w14:solidFill>
              <w14:schemeClr w14:val="tx1"/>
            </w14:solidFill>
          </w14:textFill>
        </w:rPr>
      </w:pPr>
      <w:r>
        <w:fldChar w:fldCharType="begin"/>
      </w:r>
      <w:r>
        <w:instrText xml:space="preserve"> HYPERLINK \l "_Toc34064704" </w:instrText>
      </w:r>
      <w:r>
        <w:fldChar w:fldCharType="separate"/>
      </w:r>
      <w:r>
        <w:rPr>
          <w:rStyle w:val="35"/>
          <w:rFonts w:hint="eastAsia"/>
          <w:color w:val="000000" w:themeColor="text1"/>
          <w14:textFill>
            <w14:solidFill>
              <w14:schemeClr w14:val="tx1"/>
            </w14:solidFill>
          </w14:textFill>
        </w:rPr>
        <w:t>7　</w:t>
      </w:r>
      <w:r>
        <w:rPr>
          <w:rFonts w:hint="eastAsia"/>
        </w:rPr>
        <w:t>试验</w:t>
      </w:r>
      <w:r>
        <w:rPr>
          <w:rStyle w:val="35"/>
          <w:rFonts w:hint="eastAsia"/>
          <w:color w:val="000000" w:themeColor="text1"/>
          <w14:textFill>
            <w14:solidFill>
              <w14:schemeClr w14:val="tx1"/>
            </w14:solidFill>
          </w14:textFill>
        </w:rPr>
        <w:t>方法</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fldChar w:fldCharType="end"/>
      </w:r>
    </w:p>
    <w:p>
      <w:pPr>
        <w:pStyle w:val="16"/>
        <w:spacing w:before="78" w:after="78"/>
        <w:jc w:val="both"/>
        <w:rPr>
          <w:rFonts w:ascii="Calibri" w:hAnsi="Calibri"/>
          <w:color w:val="000000" w:themeColor="text1"/>
          <w:szCs w:val="22"/>
          <w14:textFill>
            <w14:solidFill>
              <w14:schemeClr w14:val="tx1"/>
            </w14:solidFill>
          </w14:textFill>
        </w:rPr>
      </w:pPr>
      <w:r>
        <w:fldChar w:fldCharType="begin"/>
      </w:r>
      <w:r>
        <w:instrText xml:space="preserve"> HYPERLINK \l "_Toc34064708" </w:instrText>
      </w:r>
      <w:r>
        <w:fldChar w:fldCharType="separate"/>
      </w:r>
      <w:r>
        <w:rPr>
          <w:rStyle w:val="35"/>
          <w:rFonts w:hint="eastAsia"/>
          <w:color w:val="000000" w:themeColor="text1"/>
          <w14:textFill>
            <w14:solidFill>
              <w14:schemeClr w14:val="tx1"/>
            </w14:solidFill>
          </w14:textFill>
        </w:rPr>
        <w:t>8　检验规则</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16"/>
        <w:spacing w:before="78" w:after="78"/>
        <w:rPr>
          <w:color w:val="000000" w:themeColor="text1"/>
          <w14:textFill>
            <w14:solidFill>
              <w14:schemeClr w14:val="tx1"/>
            </w14:solidFill>
          </w14:textFill>
        </w:rPr>
      </w:pPr>
      <w:r>
        <w:rPr>
          <w:color w:val="000000" w:themeColor="text1"/>
          <w14:textFill>
            <w14:solidFill>
              <w14:schemeClr w14:val="tx1"/>
            </w14:solidFill>
          </w14:textFill>
        </w:rPr>
        <w:fldChar w:fldCharType="end"/>
      </w:r>
      <w:r>
        <w:fldChar w:fldCharType="begin"/>
      </w:r>
      <w:r>
        <w:instrText xml:space="preserve"> HYPERLINK \l "_Toc34064712" </w:instrText>
      </w:r>
      <w:r>
        <w:fldChar w:fldCharType="separate"/>
      </w:r>
      <w:r>
        <w:rPr>
          <w:rFonts w:hint="eastAsia"/>
          <w:color w:val="000000" w:themeColor="text1"/>
          <w14:textFill>
            <w14:solidFill>
              <w14:schemeClr w14:val="tx1"/>
            </w14:solidFill>
          </w14:textFill>
        </w:rPr>
        <w:t>9　标签、标志和包装</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16"/>
        <w:spacing w:before="78" w:after="78"/>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fldChar w:fldCharType="begin"/>
      </w:r>
      <w:r>
        <w:instrText xml:space="preserve"> HYPERLINK \l "_Toc34064712" </w:instrText>
      </w:r>
      <w:r>
        <w:fldChar w:fldCharType="separate"/>
      </w:r>
      <w:r>
        <w:rPr>
          <w:rFonts w:hint="eastAsia"/>
          <w:color w:val="000000" w:themeColor="text1"/>
          <w14:textFill>
            <w14:solidFill>
              <w14:schemeClr w14:val="tx1"/>
            </w14:solidFill>
          </w14:textFill>
        </w:rPr>
        <w:t>0　运输和贮存</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16"/>
        <w:spacing w:before="78" w:after="78"/>
        <w:rPr>
          <w:color w:val="000000" w:themeColor="text1"/>
          <w14:textFill>
            <w14:solidFill>
              <w14:schemeClr w14:val="tx1"/>
            </w14:solidFill>
          </w14:textFill>
        </w:rPr>
      </w:pPr>
      <w:r>
        <w:fldChar w:fldCharType="begin"/>
      </w:r>
      <w:r>
        <w:instrText xml:space="preserve"> HYPERLINK \l "_Toc34064712" </w:instrText>
      </w:r>
      <w:r>
        <w:fldChar w:fldCharType="separate"/>
      </w:r>
      <w:r>
        <w:rPr>
          <w:rFonts w:hint="eastAsia"/>
          <w:color w:val="000000" w:themeColor="text1"/>
          <w14:textFill>
            <w14:solidFill>
              <w14:schemeClr w14:val="tx1"/>
            </w14:solidFill>
          </w14:textFill>
        </w:rPr>
        <w:t>11　销售</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6"/>
        <w:spacing w:before="78" w:after="78"/>
        <w:rPr>
          <w:color w:val="FF0000"/>
        </w:rPr>
      </w:pPr>
      <w:r>
        <w:fldChar w:fldCharType="begin"/>
      </w:r>
      <w:r>
        <w:instrText xml:space="preserve"> HYPERLINK \l "_Toc34064712" </w:instrText>
      </w:r>
      <w:r>
        <w:fldChar w:fldCharType="separate"/>
      </w:r>
      <w:r>
        <w:rPr>
          <w:rFonts w:hint="eastAsia"/>
          <w:color w:val="000000" w:themeColor="text1"/>
          <w14:textFill>
            <w14:solidFill>
              <w14:schemeClr w14:val="tx1"/>
            </w14:solidFill>
          </w14:textFill>
        </w:rPr>
        <w:t>12　召回</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08"/>
      </w:pPr>
      <w:bookmarkStart w:id="8" w:name="_Toc34064674"/>
      <w:r>
        <w:rPr>
          <w:rFonts w:hint="eastAsia"/>
        </w:rPr>
        <w:t>前</w:t>
      </w:r>
      <w:bookmarkStart w:id="9" w:name="BKQY"/>
      <w:r>
        <w:rPr>
          <w:rFonts w:hAnsi="黑体"/>
        </w:rPr>
        <w:t>  </w:t>
      </w:r>
      <w:r>
        <w:rPr>
          <w:rFonts w:hint="eastAsia"/>
        </w:rPr>
        <w:t>言</w:t>
      </w:r>
      <w:bookmarkEnd w:id="6"/>
      <w:bookmarkEnd w:id="8"/>
      <w:bookmarkEnd w:id="9"/>
    </w:p>
    <w:p>
      <w:pPr>
        <w:pStyle w:val="134"/>
        <w:spacing w:line="313" w:lineRule="exact"/>
        <w:ind w:firstLine="420"/>
        <w:rPr>
          <w:rFonts w:hint="eastAsia" w:ascii="宋体" w:hAnsi="宋体" w:eastAsia="宋体"/>
          <w:color w:val="000000"/>
          <w:sz w:val="21"/>
          <w:szCs w:val="21"/>
          <w:lang w:val="en-US" w:eastAsia="zh-CN"/>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按照</w:t>
      </w:r>
      <w:r>
        <w:rPr>
          <w:rFonts w:ascii="宋体" w:hAnsi="宋体" w:eastAsia="宋体"/>
          <w:color w:val="000000"/>
          <w:sz w:val="21"/>
          <w:szCs w:val="21"/>
          <w:lang w:val="en-US" w:eastAsia="zh-CN"/>
        </w:rPr>
        <w:t>GB/T 1.1—20</w:t>
      </w:r>
      <w:r>
        <w:rPr>
          <w:rFonts w:hint="eastAsia" w:ascii="宋体" w:hAnsi="宋体" w:eastAsia="宋体"/>
          <w:color w:val="000000"/>
          <w:sz w:val="21"/>
          <w:szCs w:val="21"/>
          <w:lang w:val="en-US" w:eastAsia="zh-CN"/>
        </w:rPr>
        <w:t>20《标准化工作导则</w:t>
      </w:r>
      <w:r>
        <w:rPr>
          <w:rFonts w:ascii="宋体" w:hAnsi="宋体" w:eastAsia="宋体"/>
          <w:color w:val="000000"/>
          <w:sz w:val="21"/>
          <w:szCs w:val="21"/>
          <w:lang w:val="en-US" w:eastAsia="zh-CN"/>
        </w:rPr>
        <w:t xml:space="preserve"> </w:t>
      </w:r>
      <w:r>
        <w:rPr>
          <w:rFonts w:hint="eastAsia" w:ascii="宋体" w:hAnsi="宋体" w:eastAsia="宋体"/>
          <w:color w:val="000000"/>
          <w:sz w:val="21"/>
          <w:szCs w:val="21"/>
          <w:lang w:val="en-US" w:eastAsia="zh-CN"/>
        </w:rPr>
        <w:t>第1部分：标准化文件的结构和起草规则》的规定起草。</w:t>
      </w:r>
    </w:p>
    <w:p>
      <w:pPr>
        <w:pStyle w:val="134"/>
        <w:spacing w:line="313" w:lineRule="exact"/>
        <w:ind w:firstLine="420"/>
        <w:rPr>
          <w:rFonts w:hint="eastAsia" w:ascii="宋体" w:hAnsi="宋体" w:eastAsia="宋体"/>
          <w:color w:val="000000"/>
          <w:sz w:val="21"/>
          <w:szCs w:val="21"/>
          <w:lang w:val="en-US" w:eastAsia="zh-CN"/>
        </w:rPr>
      </w:pPr>
      <w:r>
        <w:rPr>
          <w:rFonts w:hint="eastAsia" w:ascii="宋体" w:hAnsi="宋体" w:eastAsia="宋体" w:cs="Arial"/>
          <w:color w:val="auto"/>
          <w:sz w:val="21"/>
          <w:szCs w:val="21"/>
          <w:lang w:val="en-US" w:eastAsia="zh-CN" w:bidi="en-US"/>
        </w:rPr>
        <w:t>请注意本文件的某些内容可能涉及专利。本文件的发布机构不承担识别专利的责任。</w:t>
      </w:r>
    </w:p>
    <w:p>
      <w:pPr>
        <w:pStyle w:val="134"/>
        <w:spacing w:line="313" w:lineRule="exact"/>
        <w:ind w:firstLine="420"/>
        <w:rPr>
          <w:rFonts w:ascii="宋体" w:hAnsi="宋体" w:eastAsia="宋体"/>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由</w:t>
      </w:r>
      <w:r>
        <w:rPr>
          <w:rFonts w:hint="eastAsia" w:ascii="宋体" w:hAnsi="宋体" w:eastAsia="宋体"/>
          <w:color w:val="000000"/>
          <w:sz w:val="21"/>
          <w:szCs w:val="21"/>
          <w:lang w:eastAsia="zh-CN"/>
        </w:rPr>
        <w:t>浙江省食品学会</w:t>
      </w:r>
      <w:r>
        <w:rPr>
          <w:rFonts w:ascii="宋体" w:hAnsi="宋体" w:eastAsia="宋体"/>
          <w:color w:val="000000"/>
          <w:sz w:val="21"/>
          <w:szCs w:val="21"/>
        </w:rPr>
        <w:t>提出</w:t>
      </w:r>
      <w:r>
        <w:rPr>
          <w:rFonts w:hint="eastAsia" w:ascii="宋体" w:hAnsi="宋体" w:eastAsia="宋体"/>
          <w:color w:val="000000"/>
          <w:sz w:val="21"/>
          <w:szCs w:val="21"/>
          <w:lang w:val="en-US" w:eastAsia="zh-CN"/>
        </w:rPr>
        <w:t>并归口</w:t>
      </w:r>
      <w:r>
        <w:rPr>
          <w:rFonts w:ascii="宋体" w:hAnsi="宋体" w:eastAsia="宋体"/>
          <w:color w:val="000000"/>
          <w:sz w:val="21"/>
          <w:szCs w:val="21"/>
        </w:rPr>
        <w:t>。</w:t>
      </w:r>
    </w:p>
    <w:p>
      <w:pPr>
        <w:pStyle w:val="134"/>
        <w:spacing w:line="313" w:lineRule="exact"/>
        <w:ind w:firstLine="420"/>
        <w:rPr>
          <w:rFonts w:ascii="宋体" w:hAnsi="宋体" w:eastAsia="宋体"/>
          <w:color w:val="000000"/>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起草单位:</w:t>
      </w:r>
      <w:r>
        <w:rPr>
          <w:rFonts w:hint="eastAsia" w:ascii="宋体" w:hAnsi="宋体" w:eastAsia="宋体"/>
          <w:color w:val="000000"/>
          <w:sz w:val="21"/>
          <w:szCs w:val="21"/>
          <w:lang w:val="en-US" w:eastAsia="zh-CN"/>
        </w:rPr>
        <w:t>XXXXX</w:t>
      </w:r>
      <w:r>
        <w:rPr>
          <w:rFonts w:ascii="宋体" w:hAnsi="宋体" w:eastAsia="宋体"/>
          <w:color w:val="000000"/>
          <w:sz w:val="21"/>
          <w:szCs w:val="21"/>
        </w:rPr>
        <w:t>、</w:t>
      </w:r>
      <w:r>
        <w:rPr>
          <w:rFonts w:hint="eastAsia" w:ascii="宋体" w:hAnsi="宋体" w:eastAsia="宋体"/>
          <w:color w:val="000000"/>
          <w:sz w:val="21"/>
          <w:szCs w:val="21"/>
          <w:lang w:val="en-US" w:eastAsia="zh-CN"/>
        </w:rPr>
        <w:t>XXXXX</w:t>
      </w:r>
      <w:r>
        <w:rPr>
          <w:rFonts w:ascii="宋体" w:hAnsi="宋体" w:eastAsia="宋体"/>
          <w:color w:val="000000"/>
          <w:sz w:val="21"/>
          <w:szCs w:val="21"/>
        </w:rPr>
        <w:t>、</w:t>
      </w:r>
      <w:r>
        <w:rPr>
          <w:rFonts w:hint="eastAsia" w:ascii="宋体" w:hAnsi="宋体" w:eastAsia="宋体"/>
          <w:color w:val="000000"/>
          <w:sz w:val="21"/>
          <w:szCs w:val="21"/>
          <w:lang w:val="en-US" w:eastAsia="zh-CN"/>
        </w:rPr>
        <w:t>XXXXX、XXXXX</w:t>
      </w:r>
      <w:r>
        <w:rPr>
          <w:rFonts w:ascii="宋体" w:hAnsi="宋体" w:eastAsia="宋体"/>
          <w:color w:val="000000"/>
          <w:sz w:val="21"/>
          <w:szCs w:val="21"/>
        </w:rPr>
        <w:t>。</w:t>
      </w:r>
    </w:p>
    <w:p>
      <w:pPr>
        <w:pStyle w:val="134"/>
        <w:spacing w:line="313" w:lineRule="exact"/>
        <w:ind w:firstLine="420"/>
        <w:rPr>
          <w:rFonts w:ascii="宋体" w:hAnsi="宋体" w:eastAsia="宋体"/>
          <w:color w:val="000000"/>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主要起草人:</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r>
        <w:rPr>
          <w:rFonts w:hint="eastAsia" w:ascii="宋体" w:hAnsi="宋体" w:eastAsia="宋体"/>
          <w:color w:val="000000"/>
          <w:sz w:val="21"/>
          <w:szCs w:val="21"/>
        </w:rPr>
        <w:t>XXX</w:t>
      </w:r>
      <w:r>
        <w:rPr>
          <w:rFonts w:ascii="宋体" w:hAnsi="宋体" w:eastAsia="宋体"/>
          <w:color w:val="000000"/>
          <w:sz w:val="21"/>
          <w:szCs w:val="21"/>
        </w:rPr>
        <w:t>。</w:t>
      </w:r>
    </w:p>
    <w:p>
      <w:pPr>
        <w:pStyle w:val="134"/>
        <w:spacing w:line="313" w:lineRule="exact"/>
        <w:ind w:firstLine="420"/>
        <w:rPr>
          <w:rFonts w:ascii="宋体" w:hAnsi="宋体" w:eastAsia="宋体"/>
          <w:color w:val="000000"/>
          <w:sz w:val="21"/>
          <w:szCs w:val="21"/>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1"/>
        <w:numPr>
          <w:ilvl w:val="0"/>
          <w:numId w:val="0"/>
        </w:numPr>
        <w:spacing w:before="312" w:after="312"/>
        <w:jc w:val="center"/>
        <w:rPr>
          <w:sz w:val="32"/>
        </w:rPr>
      </w:pPr>
      <w:bookmarkStart w:id="10" w:name="_Toc34064675"/>
      <w:bookmarkStart w:id="11" w:name="_Toc34064617"/>
      <w:r>
        <w:rPr>
          <w:rFonts w:hint="eastAsia"/>
          <w:sz w:val="32"/>
        </w:rPr>
        <w:t>酱（卤）鹅</w:t>
      </w:r>
    </w:p>
    <w:p>
      <w:pPr>
        <w:pStyle w:val="41"/>
        <w:spacing w:before="312" w:after="312"/>
      </w:pPr>
      <w:r>
        <w:rPr>
          <w:rFonts w:hint="eastAsia"/>
        </w:rPr>
        <w:t>范围</w:t>
      </w:r>
      <w:bookmarkEnd w:id="10"/>
      <w:bookmarkEnd w:id="11"/>
    </w:p>
    <w:p>
      <w:pPr>
        <w:pStyle w:val="20"/>
        <w:bidi w:val="0"/>
      </w:pPr>
      <w:r>
        <w:t>本</w:t>
      </w:r>
      <w:r>
        <w:rPr>
          <w:rFonts w:hint="eastAsia"/>
        </w:rPr>
        <w:t>文件</w:t>
      </w:r>
      <w:r>
        <w:t>规定了</w:t>
      </w:r>
      <w:r>
        <w:rPr>
          <w:rFonts w:hint="eastAsia"/>
        </w:rPr>
        <w:t>酱（卤）鹅</w:t>
      </w:r>
      <w:r>
        <w:t>的</w:t>
      </w:r>
      <w:r>
        <w:rPr>
          <w:rFonts w:hint="eastAsia"/>
        </w:rPr>
        <w:t>术语和定义、分类、要求、生产加工卫生要求、试验方法、检验规则、标签、标志和包装、运输和贮存、销售和召回</w:t>
      </w:r>
      <w:r>
        <w:t>方面的要求。</w:t>
      </w:r>
    </w:p>
    <w:p>
      <w:pPr>
        <w:pStyle w:val="20"/>
        <w:bidi w:val="0"/>
      </w:pPr>
      <w:r>
        <w:t>本</w:t>
      </w:r>
      <w:r>
        <w:rPr>
          <w:rFonts w:hint="eastAsia"/>
        </w:rPr>
        <w:t>文件</w:t>
      </w:r>
      <w:r>
        <w:t>适用于</w:t>
      </w:r>
      <w:r>
        <w:rPr>
          <w:rFonts w:hint="eastAsia"/>
        </w:rPr>
        <w:t>酱（卤）鹅的生产、检验和销售。</w:t>
      </w:r>
    </w:p>
    <w:p>
      <w:pPr>
        <w:pStyle w:val="41"/>
        <w:spacing w:before="312" w:after="312"/>
        <w:rPr>
          <w:color w:val="auto"/>
          <w:szCs w:val="22"/>
        </w:rPr>
      </w:pPr>
      <w:bookmarkStart w:id="12" w:name="_Toc34064618"/>
      <w:bookmarkStart w:id="13" w:name="_Toc34064676"/>
      <w:r>
        <w:rPr>
          <w:rFonts w:hint="eastAsia"/>
          <w:color w:val="auto"/>
          <w:szCs w:val="22"/>
        </w:rPr>
        <w:t>规范性引用文件</w:t>
      </w:r>
      <w:bookmarkEnd w:id="12"/>
      <w:bookmarkEnd w:id="13"/>
    </w:p>
    <w:p>
      <w:pPr>
        <w:pStyle w:val="20"/>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bidi w:val="0"/>
      </w:pPr>
      <w:bookmarkStart w:id="14" w:name="_Toc28158537"/>
      <w:bookmarkStart w:id="15" w:name="_Toc34064677"/>
      <w:bookmarkStart w:id="16" w:name="_Toc28093197"/>
      <w:bookmarkStart w:id="17" w:name="_Toc34064619"/>
      <w:bookmarkStart w:id="18" w:name="_Toc28096568"/>
      <w:r>
        <w:rPr>
          <w:rFonts w:hint="eastAsia"/>
        </w:rPr>
        <w:t>GB/T 191 包装储运图示标志</w:t>
      </w:r>
    </w:p>
    <w:p>
      <w:pPr>
        <w:pStyle w:val="20"/>
        <w:bidi w:val="0"/>
      </w:pPr>
      <w:r>
        <w:rPr>
          <w:rFonts w:hint="eastAsia"/>
        </w:rPr>
        <w:t xml:space="preserve">GB/T 317 白砂糖 </w:t>
      </w:r>
    </w:p>
    <w:p>
      <w:pPr>
        <w:pStyle w:val="20"/>
        <w:bidi w:val="0"/>
      </w:pPr>
      <w:r>
        <w:rPr>
          <w:rFonts w:hint="eastAsia"/>
        </w:rPr>
        <w:t xml:space="preserve">GB 2707 食品安全国家标准 鲜（冻）畜、禽产品 </w:t>
      </w:r>
    </w:p>
    <w:p>
      <w:pPr>
        <w:pStyle w:val="20"/>
        <w:bidi w:val="0"/>
      </w:pPr>
      <w:r>
        <w:rPr>
          <w:rFonts w:hint="eastAsia"/>
        </w:rPr>
        <w:t xml:space="preserve">GB 2717 食品安全国家标准 酱油 </w:t>
      </w:r>
    </w:p>
    <w:p>
      <w:pPr>
        <w:pStyle w:val="20"/>
        <w:bidi w:val="0"/>
      </w:pPr>
      <w:r>
        <w:rPr>
          <w:rFonts w:hint="eastAsia"/>
        </w:rPr>
        <w:t xml:space="preserve">GB 2726 食品安全国家标准 熟肉制品 </w:t>
      </w:r>
    </w:p>
    <w:p>
      <w:pPr>
        <w:pStyle w:val="20"/>
        <w:bidi w:val="0"/>
      </w:pPr>
      <w:r>
        <w:rPr>
          <w:rFonts w:hint="eastAsia"/>
        </w:rPr>
        <w:t xml:space="preserve">GB 2758 食品安全国家标准 发酵酒及其配制酒 </w:t>
      </w:r>
    </w:p>
    <w:p>
      <w:pPr>
        <w:pStyle w:val="20"/>
        <w:bidi w:val="0"/>
      </w:pPr>
      <w:r>
        <w:rPr>
          <w:rFonts w:hint="eastAsia"/>
        </w:rPr>
        <w:t xml:space="preserve">GB 2760 食品安全国家标准 食品添加剂使用标准 </w:t>
      </w:r>
    </w:p>
    <w:p>
      <w:pPr>
        <w:pStyle w:val="20"/>
        <w:bidi w:val="0"/>
        <w:rPr>
          <w:rFonts w:hint="eastAsia"/>
        </w:rPr>
      </w:pPr>
      <w:r>
        <w:rPr>
          <w:rFonts w:hint="eastAsia"/>
        </w:rPr>
        <w:t xml:space="preserve">GB 2762 食品安全国家标准 食品中污染物限量 </w:t>
      </w:r>
    </w:p>
    <w:p>
      <w:pPr>
        <w:pStyle w:val="20"/>
        <w:bidi w:val="0"/>
        <w:rPr>
          <w:rFonts w:hint="eastAsia"/>
        </w:rPr>
      </w:pPr>
      <w:r>
        <w:rPr>
          <w:rFonts w:hint="eastAsia"/>
        </w:rPr>
        <w:t xml:space="preserve">GB 4789.2 食品安全国家标准 食品微生物学检验 菌落总数测定 </w:t>
      </w:r>
    </w:p>
    <w:p>
      <w:pPr>
        <w:pStyle w:val="20"/>
        <w:bidi w:val="0"/>
      </w:pPr>
      <w:r>
        <w:rPr>
          <w:rFonts w:hint="eastAsia"/>
        </w:rPr>
        <w:t>GB 4789.3 食品安全国家标准 食品微生物学检验 大肠菌群计数</w:t>
      </w:r>
    </w:p>
    <w:p>
      <w:pPr>
        <w:pStyle w:val="20"/>
        <w:bidi w:val="0"/>
        <w:rPr>
          <w:rFonts w:hint="eastAsia"/>
        </w:rPr>
      </w:pPr>
      <w:r>
        <w:rPr>
          <w:rFonts w:hint="eastAsia"/>
        </w:rPr>
        <w:t>GB 4789.26</w:t>
      </w:r>
      <w:r>
        <w:rPr>
          <w:rFonts w:hint="eastAsia"/>
          <w:lang w:val="en-US" w:eastAsia="zh-CN"/>
        </w:rPr>
        <w:t xml:space="preserve"> </w:t>
      </w:r>
      <w:r>
        <w:rPr>
          <w:rFonts w:hint="eastAsia"/>
        </w:rPr>
        <w:t xml:space="preserve">食品安全国家标准 食品微生物学检验 商业无菌检验 </w:t>
      </w:r>
    </w:p>
    <w:p>
      <w:pPr>
        <w:pStyle w:val="20"/>
        <w:bidi w:val="0"/>
      </w:pPr>
      <w:r>
        <w:rPr>
          <w:rFonts w:hint="eastAsia"/>
        </w:rPr>
        <w:t>GB 4806.7 食品安全国家标准 食品接触用塑料材料及制品</w:t>
      </w:r>
    </w:p>
    <w:p>
      <w:pPr>
        <w:pStyle w:val="20"/>
        <w:bidi w:val="0"/>
      </w:pPr>
      <w:r>
        <w:rPr>
          <w:rFonts w:hint="eastAsia"/>
        </w:rPr>
        <w:t>GB 5009.3 食品安全国家标准 食品中水分的测定</w:t>
      </w:r>
    </w:p>
    <w:p>
      <w:pPr>
        <w:pStyle w:val="20"/>
        <w:bidi w:val="0"/>
      </w:pPr>
      <w:r>
        <w:rPr>
          <w:rFonts w:hint="eastAsia"/>
        </w:rPr>
        <w:t xml:space="preserve">GB 5009.5 食品安全国家标准 食品中蛋白质的测定 </w:t>
      </w:r>
    </w:p>
    <w:p>
      <w:pPr>
        <w:pStyle w:val="20"/>
        <w:bidi w:val="0"/>
      </w:pPr>
      <w:r>
        <w:rPr>
          <w:rFonts w:hint="eastAsia"/>
        </w:rPr>
        <w:t xml:space="preserve">GB 5009.44 食品安全国家标准 食品中氯化物的测定 </w:t>
      </w:r>
    </w:p>
    <w:p>
      <w:pPr>
        <w:pStyle w:val="20"/>
        <w:bidi w:val="0"/>
      </w:pPr>
      <w:r>
        <w:rPr>
          <w:rFonts w:hint="eastAsia"/>
        </w:rPr>
        <w:t xml:space="preserve">GB 5009.227 食品安全国家标准 食品中过氧化值的测定 </w:t>
      </w:r>
    </w:p>
    <w:p>
      <w:pPr>
        <w:pStyle w:val="20"/>
        <w:bidi w:val="0"/>
      </w:pPr>
      <w:r>
        <w:rPr>
          <w:rFonts w:hint="eastAsia"/>
        </w:rPr>
        <w:t xml:space="preserve">GB 5009.229 食品安全国家标准 食品中酸价的测定 </w:t>
      </w:r>
    </w:p>
    <w:p>
      <w:pPr>
        <w:pStyle w:val="20"/>
        <w:bidi w:val="0"/>
      </w:pPr>
      <w:r>
        <w:rPr>
          <w:rFonts w:hint="eastAsia"/>
        </w:rPr>
        <w:t>GB/T 5461 食用盐</w:t>
      </w:r>
    </w:p>
    <w:p>
      <w:pPr>
        <w:pStyle w:val="20"/>
        <w:bidi w:val="0"/>
        <w:rPr>
          <w:rFonts w:hint="eastAsia"/>
        </w:rPr>
      </w:pPr>
      <w:r>
        <w:rPr>
          <w:rFonts w:hint="eastAsia"/>
        </w:rPr>
        <w:t xml:space="preserve">GB 5749 生活饮用水卫生标准 </w:t>
      </w:r>
    </w:p>
    <w:p>
      <w:pPr>
        <w:pStyle w:val="20"/>
        <w:bidi w:val="0"/>
        <w:rPr>
          <w:rFonts w:hint="eastAsia"/>
        </w:rPr>
      </w:pPr>
      <w:r>
        <w:rPr>
          <w:rFonts w:hint="eastAsia"/>
        </w:rPr>
        <w:t xml:space="preserve">GB 7098 食品安全国家标准 罐头食品 </w:t>
      </w:r>
    </w:p>
    <w:p>
      <w:pPr>
        <w:pStyle w:val="20"/>
        <w:bidi w:val="0"/>
      </w:pPr>
      <w:r>
        <w:rPr>
          <w:rFonts w:hint="eastAsia"/>
        </w:rPr>
        <w:t xml:space="preserve">GB 7718 食品安全国家标准 预包装食品标签通则 </w:t>
      </w:r>
    </w:p>
    <w:p>
      <w:pPr>
        <w:pStyle w:val="20"/>
        <w:bidi w:val="0"/>
      </w:pPr>
      <w:r>
        <w:rPr>
          <w:rFonts w:hint="eastAsia"/>
        </w:rPr>
        <w:t>GB/T 10004 包装用塑料复合膜、袋 干法复合、挤出复合</w:t>
      </w:r>
    </w:p>
    <w:p>
      <w:pPr>
        <w:pStyle w:val="20"/>
        <w:bidi w:val="0"/>
      </w:pPr>
      <w:r>
        <w:rPr>
          <w:rFonts w:hint="eastAsia"/>
        </w:rPr>
        <w:t xml:space="preserve">GB/T 10786 罐头食品的检验方法 </w:t>
      </w:r>
    </w:p>
    <w:p>
      <w:pPr>
        <w:pStyle w:val="20"/>
        <w:bidi w:val="0"/>
        <w:rPr>
          <w:rFonts w:hint="eastAsia"/>
        </w:rPr>
      </w:pPr>
      <w:r>
        <w:rPr>
          <w:rFonts w:hint="eastAsia"/>
        </w:rPr>
        <w:t>GB/T 13662 黄酒</w:t>
      </w:r>
    </w:p>
    <w:p>
      <w:pPr>
        <w:pStyle w:val="20"/>
        <w:bidi w:val="0"/>
        <w:rPr>
          <w:rFonts w:hint="eastAsia"/>
        </w:rPr>
      </w:pPr>
      <w:r>
        <w:rPr>
          <w:rFonts w:hint="eastAsia"/>
        </w:rPr>
        <w:t>GB 14880</w:t>
      </w:r>
      <w:r>
        <w:rPr>
          <w:rFonts w:hint="eastAsia"/>
          <w:lang w:val="en-US" w:eastAsia="zh-CN"/>
        </w:rPr>
        <w:t xml:space="preserve"> </w:t>
      </w:r>
      <w:r>
        <w:rPr>
          <w:rFonts w:hint="eastAsia"/>
        </w:rPr>
        <w:t xml:space="preserve">食品安全国家标准 食品营养强化剂使用标准  </w:t>
      </w:r>
    </w:p>
    <w:p>
      <w:pPr>
        <w:pStyle w:val="20"/>
        <w:bidi w:val="0"/>
      </w:pPr>
      <w:r>
        <w:rPr>
          <w:rFonts w:hint="eastAsia"/>
        </w:rPr>
        <w:t xml:space="preserve">GB 14881 食品安全国家标准 食品生产通用卫生规范 </w:t>
      </w:r>
    </w:p>
    <w:p>
      <w:pPr>
        <w:pStyle w:val="20"/>
        <w:bidi w:val="0"/>
      </w:pPr>
      <w:r>
        <w:rPr>
          <w:rFonts w:hint="eastAsia"/>
        </w:rPr>
        <w:t xml:space="preserve">GB/T 15691 香辛料调味品通用技术条件 </w:t>
      </w:r>
    </w:p>
    <w:p>
      <w:pPr>
        <w:pStyle w:val="20"/>
        <w:bidi w:val="0"/>
      </w:pPr>
      <w:r>
        <w:rPr>
          <w:rFonts w:hint="eastAsia"/>
        </w:rPr>
        <w:t>GB 16869 鲜、冻禽产品</w:t>
      </w:r>
    </w:p>
    <w:p>
      <w:pPr>
        <w:pStyle w:val="20"/>
        <w:bidi w:val="0"/>
        <w:rPr>
          <w:rFonts w:hint="eastAsia"/>
        </w:rPr>
      </w:pPr>
      <w:r>
        <w:rPr>
          <w:rFonts w:hint="eastAsia"/>
        </w:rPr>
        <w:t xml:space="preserve">GB 19303 熟肉制品企业生产卫生规范  </w:t>
      </w:r>
    </w:p>
    <w:p>
      <w:pPr>
        <w:pStyle w:val="20"/>
        <w:bidi w:val="0"/>
        <w:rPr>
          <w:rFonts w:hint="eastAsia"/>
        </w:rPr>
      </w:pPr>
      <w:r>
        <w:rPr>
          <w:rFonts w:hint="eastAsia"/>
        </w:rPr>
        <w:t>GB 20799 食品安全国家标准 肉和肉制品经营卫生规范</w:t>
      </w:r>
    </w:p>
    <w:p>
      <w:pPr>
        <w:pStyle w:val="20"/>
        <w:bidi w:val="0"/>
      </w:pPr>
      <w:r>
        <w:rPr>
          <w:rFonts w:hint="eastAsia"/>
        </w:rPr>
        <w:t xml:space="preserve">GB 28050 食品安全国家标准 预包装食品营养标签通则 </w:t>
      </w:r>
    </w:p>
    <w:p>
      <w:pPr>
        <w:pStyle w:val="20"/>
        <w:bidi w:val="0"/>
      </w:pPr>
      <w:r>
        <w:rPr>
          <w:rFonts w:hint="eastAsia"/>
        </w:rPr>
        <w:t xml:space="preserve">JJF 1070 定量包装商品净含量计量检验规则 </w:t>
      </w:r>
    </w:p>
    <w:bookmarkEnd w:id="14"/>
    <w:bookmarkEnd w:id="15"/>
    <w:bookmarkEnd w:id="16"/>
    <w:bookmarkEnd w:id="17"/>
    <w:bookmarkEnd w:id="18"/>
    <w:p>
      <w:pPr>
        <w:pStyle w:val="20"/>
        <w:bidi w:val="0"/>
      </w:pPr>
      <w:r>
        <w:rPr>
          <w:rFonts w:hint="eastAsia"/>
        </w:rPr>
        <w:t xml:space="preserve">国家质量监督检验检疫总局令[2005]第75号 定量包装商品计量监督管理办法 </w:t>
      </w:r>
    </w:p>
    <w:p>
      <w:pPr>
        <w:pStyle w:val="41"/>
        <w:spacing w:before="312" w:after="312"/>
        <w:rPr>
          <w:szCs w:val="22"/>
        </w:rPr>
      </w:pPr>
      <w:r>
        <w:rPr>
          <w:rFonts w:hint="eastAsia"/>
          <w:szCs w:val="22"/>
        </w:rPr>
        <w:t>术语和定义</w:t>
      </w:r>
    </w:p>
    <w:p>
      <w:pPr>
        <w:pStyle w:val="20"/>
        <w:bidi w:val="0"/>
      </w:pPr>
      <w:bookmarkStart w:id="19" w:name="_Toc34064678"/>
      <w:bookmarkStart w:id="20" w:name="_Toc34064620"/>
      <w:r>
        <w:rPr>
          <w:rFonts w:hint="eastAsia"/>
        </w:rPr>
        <w:t>下列术语和定义适用于本文件。</w:t>
      </w:r>
      <w:bookmarkEnd w:id="19"/>
      <w:bookmarkEnd w:id="20"/>
    </w:p>
    <w:p>
      <w:pPr>
        <w:pStyle w:val="38"/>
        <w:spacing w:before="156" w:after="156"/>
      </w:pPr>
    </w:p>
    <w:p>
      <w:pPr>
        <w:pStyle w:val="38"/>
        <w:numPr>
          <w:ilvl w:val="1"/>
          <w:numId w:val="0"/>
        </w:numPr>
        <w:spacing w:before="156" w:after="156"/>
        <w:ind w:firstLine="420" w:firstLineChars="200"/>
      </w:pPr>
      <w:r>
        <w:rPr>
          <w:rFonts w:hint="eastAsia"/>
        </w:rPr>
        <w:t>酱（卤）鹅  Sau</w:t>
      </w:r>
      <w:r>
        <w:rPr>
          <w:rFonts w:hint="eastAsia"/>
          <w:lang w:val="en-US" w:eastAsia="zh-CN"/>
        </w:rPr>
        <w:t>c</w:t>
      </w:r>
      <w:r>
        <w:rPr>
          <w:rFonts w:hint="eastAsia"/>
        </w:rPr>
        <w:t>ed goose</w:t>
      </w:r>
    </w:p>
    <w:p>
      <w:pPr>
        <w:pStyle w:val="20"/>
        <w:bidi w:val="0"/>
      </w:pPr>
      <w:r>
        <w:rPr>
          <w:rFonts w:hint="eastAsia"/>
        </w:rPr>
        <w:t>以鲜（冻）鹅为原料</w:t>
      </w:r>
      <w:r>
        <w:rPr>
          <w:rFonts w:hint="eastAsia"/>
          <w:lang w:eastAsia="zh-CN"/>
        </w:rPr>
        <w:t>，</w:t>
      </w:r>
      <w:r>
        <w:rPr>
          <w:rFonts w:hint="eastAsia"/>
          <w:lang w:val="en-US" w:eastAsia="zh-CN"/>
        </w:rPr>
        <w:t>经解冻（或不解冻）</w:t>
      </w:r>
      <w:r>
        <w:rPr>
          <w:rFonts w:hint="eastAsia"/>
        </w:rPr>
        <w:t>放在加有食</w:t>
      </w:r>
      <w:r>
        <w:rPr>
          <w:rFonts w:hint="eastAsia"/>
          <w:lang w:val="en-US" w:eastAsia="zh-CN"/>
        </w:rPr>
        <w:t>用</w:t>
      </w:r>
      <w:r>
        <w:rPr>
          <w:rFonts w:hint="eastAsia"/>
        </w:rPr>
        <w:t>盐、酱油（或不加）、香辛料的水中，经预煮</w:t>
      </w:r>
      <w:r>
        <w:rPr>
          <w:rFonts w:hint="eastAsia"/>
          <w:lang w:eastAsia="zh-CN"/>
        </w:rPr>
        <w:t>（</w:t>
      </w:r>
      <w:r>
        <w:rPr>
          <w:rFonts w:hint="eastAsia"/>
          <w:lang w:val="en-US" w:eastAsia="zh-CN"/>
        </w:rPr>
        <w:t>或不</w:t>
      </w:r>
      <w:r>
        <w:rPr>
          <w:rFonts w:hint="eastAsia"/>
        </w:rPr>
        <w:t>预煮</w:t>
      </w:r>
      <w:r>
        <w:rPr>
          <w:rFonts w:hint="eastAsia"/>
          <w:lang w:eastAsia="zh-CN"/>
        </w:rPr>
        <w:t>）</w:t>
      </w:r>
      <w:r>
        <w:rPr>
          <w:rFonts w:hint="eastAsia"/>
        </w:rPr>
        <w:t>、浸泡</w:t>
      </w:r>
      <w:r>
        <w:rPr>
          <w:rFonts w:hint="eastAsia"/>
          <w:lang w:eastAsia="zh-CN"/>
        </w:rPr>
        <w:t>（</w:t>
      </w:r>
      <w:r>
        <w:rPr>
          <w:rFonts w:hint="eastAsia"/>
          <w:lang w:val="en-US" w:eastAsia="zh-CN"/>
        </w:rPr>
        <w:t>或不</w:t>
      </w:r>
      <w:r>
        <w:rPr>
          <w:rFonts w:hint="eastAsia"/>
        </w:rPr>
        <w:t>浸泡</w:t>
      </w:r>
      <w:r>
        <w:rPr>
          <w:rFonts w:hint="eastAsia"/>
          <w:lang w:eastAsia="zh-CN"/>
        </w:rPr>
        <w:t>）</w:t>
      </w:r>
      <w:r>
        <w:rPr>
          <w:rFonts w:hint="eastAsia"/>
        </w:rPr>
        <w:t>、烧煮</w:t>
      </w:r>
      <w:r>
        <w:rPr>
          <w:rFonts w:hint="eastAsia"/>
          <w:lang w:eastAsia="zh-CN"/>
        </w:rPr>
        <w:t>（</w:t>
      </w:r>
      <w:r>
        <w:rPr>
          <w:rFonts w:hint="eastAsia"/>
          <w:lang w:val="en-US" w:eastAsia="zh-CN"/>
        </w:rPr>
        <w:t>或不</w:t>
      </w:r>
      <w:r>
        <w:rPr>
          <w:rFonts w:hint="eastAsia"/>
        </w:rPr>
        <w:t>烧煮</w:t>
      </w:r>
      <w:r>
        <w:rPr>
          <w:rFonts w:hint="eastAsia"/>
          <w:lang w:eastAsia="zh-CN"/>
        </w:rPr>
        <w:t>）</w:t>
      </w:r>
      <w:r>
        <w:rPr>
          <w:rFonts w:hint="eastAsia"/>
        </w:rPr>
        <w:t>、酱制（卤制）</w:t>
      </w:r>
      <w:r>
        <w:rPr>
          <w:rFonts w:hint="eastAsia"/>
          <w:lang w:eastAsia="zh-CN"/>
        </w:rPr>
        <w:t>、</w:t>
      </w:r>
      <w:r>
        <w:rPr>
          <w:rFonts w:hint="eastAsia"/>
          <w:lang w:val="en-US" w:eastAsia="zh-CN"/>
        </w:rPr>
        <w:t>包装、灭菌或不灭菌</w:t>
      </w:r>
      <w:r>
        <w:rPr>
          <w:rFonts w:hint="eastAsia"/>
        </w:rPr>
        <w:t>等工艺加工而成的酱卤肉制品。</w:t>
      </w:r>
    </w:p>
    <w:p>
      <w:pPr>
        <w:pStyle w:val="41"/>
        <w:spacing w:before="312" w:after="312"/>
        <w:rPr>
          <w:color w:val="000000" w:themeColor="text1"/>
          <w:szCs w:val="22"/>
          <w14:textFill>
            <w14:solidFill>
              <w14:schemeClr w14:val="tx1"/>
            </w14:solidFill>
          </w14:textFill>
        </w:rPr>
      </w:pPr>
      <w:r>
        <w:rPr>
          <w:rFonts w:hint="eastAsia"/>
          <w:szCs w:val="22"/>
        </w:rPr>
        <w:t>分</w:t>
      </w:r>
      <w:r>
        <w:rPr>
          <w:rFonts w:hint="eastAsia"/>
          <w:color w:val="000000" w:themeColor="text1"/>
          <w:szCs w:val="22"/>
          <w14:textFill>
            <w14:solidFill>
              <w14:schemeClr w14:val="tx1"/>
            </w14:solidFill>
          </w14:textFill>
        </w:rPr>
        <w:t>类</w:t>
      </w:r>
    </w:p>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真空包装</w:t>
      </w:r>
      <w:r>
        <w:rPr>
          <w:rFonts w:hint="eastAsia"/>
          <w:color w:val="000000" w:themeColor="text1"/>
          <w:lang w:val="en-US" w:eastAsia="zh-CN"/>
          <w14:textFill>
            <w14:solidFill>
              <w14:schemeClr w14:val="tx1"/>
            </w14:solidFill>
          </w14:textFill>
        </w:rPr>
        <w:t>食品</w:t>
      </w:r>
    </w:p>
    <w:p>
      <w:pPr>
        <w:pStyle w:val="20"/>
        <w:bidi w:val="0"/>
        <w:rPr>
          <w:color w:val="000000" w:themeColor="text1"/>
          <w14:textFill>
            <w14:solidFill>
              <w14:schemeClr w14:val="tx1"/>
            </w14:solidFill>
          </w14:textFill>
        </w:rPr>
      </w:pPr>
      <w:r>
        <w:rPr>
          <w:color w:val="000000" w:themeColor="text1"/>
          <w14:textFill>
            <w14:solidFill>
              <w14:schemeClr w14:val="tx1"/>
            </w14:solidFill>
          </w14:textFill>
        </w:rPr>
        <w:t>指经真空包装和灭菌工艺处理并以真空包装方式贮存和销售的</w:t>
      </w:r>
      <w:r>
        <w:rPr>
          <w:rFonts w:hint="eastAsia"/>
          <w:color w:val="000000" w:themeColor="text1"/>
          <w14:textFill>
            <w14:solidFill>
              <w14:schemeClr w14:val="tx1"/>
            </w14:solidFill>
          </w14:textFill>
        </w:rPr>
        <w:t>产品</w:t>
      </w:r>
      <w:r>
        <w:rPr>
          <w:color w:val="000000" w:themeColor="text1"/>
          <w14:textFill>
            <w14:solidFill>
              <w14:schemeClr w14:val="tx1"/>
            </w14:solidFill>
          </w14:textFill>
        </w:rPr>
        <w:t>。</w:t>
      </w:r>
    </w:p>
    <w:p>
      <w:pPr>
        <w:pStyle w:val="38"/>
        <w:spacing w:before="156" w:after="156"/>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其它预包装食品</w:t>
      </w:r>
    </w:p>
    <w:p>
      <w:pPr>
        <w:pStyle w:val="20"/>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指预先定量包装或者制作在包装材料和容器中的食品，包括预先定量包装以及预先定量制作在包装材料和容器中并且在一定量限范围内具有统一的质量或体积标识的食品。</w:t>
      </w:r>
    </w:p>
    <w:p>
      <w:pPr>
        <w:pStyle w:val="41"/>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p>
      <w:pPr>
        <w:pStyle w:val="38"/>
        <w:spacing w:before="156" w:after="156"/>
      </w:pPr>
      <w:r>
        <w:rPr>
          <w:rFonts w:hint="eastAsia"/>
        </w:rPr>
        <w:t>原辅料要求</w:t>
      </w:r>
    </w:p>
    <w:p>
      <w:pPr>
        <w:pStyle w:val="59"/>
      </w:pPr>
      <w:r>
        <w:rPr>
          <w:rFonts w:hint="eastAsia"/>
        </w:rPr>
        <w:t>鲜（冻）鹅应符合 GB 2707、GB 16869规定的要求。</w:t>
      </w:r>
    </w:p>
    <w:p>
      <w:pPr>
        <w:pStyle w:val="59"/>
      </w:pPr>
      <w:r>
        <w:rPr>
          <w:rFonts w:hint="eastAsia"/>
        </w:rPr>
        <w:t>食用盐应符合 GB/T 5461规定的要求。</w:t>
      </w:r>
    </w:p>
    <w:p>
      <w:pPr>
        <w:pStyle w:val="59"/>
      </w:pPr>
      <w:r>
        <w:rPr>
          <w:rFonts w:hint="eastAsia"/>
        </w:rPr>
        <w:t>酱油应符合 GB 2717 规定的要求。</w:t>
      </w:r>
    </w:p>
    <w:p>
      <w:pPr>
        <w:pStyle w:val="59"/>
      </w:pPr>
      <w:r>
        <w:rPr>
          <w:rFonts w:hint="eastAsia"/>
        </w:rPr>
        <w:t>黄酒应符合 GB 2758、GB/T 13662规定的要求。</w:t>
      </w:r>
    </w:p>
    <w:p>
      <w:pPr>
        <w:pStyle w:val="59"/>
      </w:pPr>
      <w:r>
        <w:rPr>
          <w:rFonts w:hint="eastAsia"/>
        </w:rPr>
        <w:t>白砂糖应符合 GB/T 317 规定的要求。</w:t>
      </w:r>
    </w:p>
    <w:p>
      <w:pPr>
        <w:pStyle w:val="59"/>
      </w:pPr>
      <w:r>
        <w:rPr>
          <w:rFonts w:hint="eastAsia"/>
        </w:rPr>
        <w:t>香辛料应符合 GB/T 15691规定的要求。</w:t>
      </w:r>
    </w:p>
    <w:p>
      <w:pPr>
        <w:pStyle w:val="59"/>
      </w:pPr>
      <w:r>
        <w:rPr>
          <w:rFonts w:hint="eastAsia"/>
        </w:rPr>
        <w:t>饮用水应符合 GB 5749 规定的要求。</w:t>
      </w:r>
      <w:r>
        <w:rPr>
          <w:rFonts w:hint="eastAsia"/>
        </w:rPr>
        <w:tab/>
      </w:r>
    </w:p>
    <w:p>
      <w:pPr>
        <w:pStyle w:val="59"/>
      </w:pPr>
      <w:r>
        <w:rPr>
          <w:rFonts w:hint="eastAsia"/>
        </w:rPr>
        <w:t>其他原辅料应符合相关国家标准或行业标准的规定。</w:t>
      </w:r>
    </w:p>
    <w:p>
      <w:pPr>
        <w:pStyle w:val="38"/>
        <w:spacing w:before="156" w:after="156"/>
      </w:pPr>
      <w:r>
        <w:rPr>
          <w:rFonts w:hint="eastAsia"/>
        </w:rPr>
        <w:t>感官要求</w:t>
      </w:r>
    </w:p>
    <w:p>
      <w:pPr>
        <w:pStyle w:val="20"/>
        <w:bidi w:val="0"/>
        <w:rPr>
          <w:rFonts w:hint="eastAsia"/>
        </w:rPr>
      </w:pPr>
      <w:r>
        <w:rPr>
          <w:rFonts w:hint="eastAsia"/>
        </w:rPr>
        <w:t>感官要求应符合表1的规定。</w:t>
      </w:r>
    </w:p>
    <w:p>
      <w:pPr>
        <w:rPr>
          <w:rFonts w:hint="eastAsia"/>
        </w:rPr>
      </w:pPr>
      <w:r>
        <w:rPr>
          <w:rFonts w:hint="eastAsia"/>
        </w:rPr>
        <w:br w:type="page"/>
      </w:r>
    </w:p>
    <w:p>
      <w:pPr>
        <w:pStyle w:val="122"/>
        <w:spacing w:before="156" w:after="156"/>
      </w:pPr>
      <w:r>
        <w:rPr>
          <w:rFonts w:hint="eastAsia"/>
        </w:rPr>
        <w:t>感官要求</w:t>
      </w:r>
    </w:p>
    <w:tbl>
      <w:tblPr>
        <w:tblStyle w:val="29"/>
        <w:tblW w:w="96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804"/>
        <w:gridCol w:w="3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2013" w:type="dxa"/>
            <w:vMerge w:val="restart"/>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项  目</w:t>
            </w:r>
          </w:p>
        </w:tc>
        <w:tc>
          <w:tcPr>
            <w:tcW w:w="7609" w:type="dxa"/>
            <w:gridSpan w:val="2"/>
            <w:tcBorders>
              <w:tl2br w:val="nil"/>
              <w:tr2bl w:val="nil"/>
            </w:tcBorders>
          </w:tcPr>
          <w:p>
            <w:pPr>
              <w:pStyle w:val="20"/>
              <w:spacing w:line="340" w:lineRule="exact"/>
              <w:ind w:firstLine="0" w:firstLineChars="0"/>
              <w:jc w:val="center"/>
              <w:rPr>
                <w:rFonts w:hAnsi="宋体"/>
                <w:szCs w:val="21"/>
              </w:rPr>
            </w:pPr>
            <w:r>
              <w:rPr>
                <w:rFonts w:hint="eastAsia"/>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13" w:type="dxa"/>
            <w:vMerge w:val="continue"/>
            <w:tcBorders>
              <w:tl2br w:val="nil"/>
              <w:tr2bl w:val="nil"/>
            </w:tcBorders>
            <w:vAlign w:val="center"/>
          </w:tcPr>
          <w:p>
            <w:pPr>
              <w:pStyle w:val="20"/>
              <w:spacing w:line="340" w:lineRule="exact"/>
              <w:ind w:firstLine="0" w:firstLineChars="0"/>
              <w:jc w:val="center"/>
            </w:pPr>
          </w:p>
        </w:tc>
        <w:tc>
          <w:tcPr>
            <w:tcW w:w="3804" w:type="dxa"/>
            <w:tcBorders>
              <w:tl2br w:val="nil"/>
              <w:tr2bl w:val="nil"/>
            </w:tcBorders>
          </w:tcPr>
          <w:p>
            <w:pPr>
              <w:pStyle w:val="20"/>
              <w:spacing w:line="34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优级</w:t>
            </w:r>
          </w:p>
        </w:tc>
        <w:tc>
          <w:tcPr>
            <w:tcW w:w="3805" w:type="dxa"/>
            <w:tcBorders>
              <w:tl2br w:val="nil"/>
              <w:tr2bl w:val="nil"/>
            </w:tcBorders>
          </w:tcPr>
          <w:p>
            <w:pPr>
              <w:pStyle w:val="20"/>
              <w:spacing w:line="34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013" w:type="dxa"/>
            <w:tcBorders>
              <w:tl2br w:val="nil"/>
              <w:tr2bl w:val="nil"/>
            </w:tcBorders>
            <w:vAlign w:val="center"/>
          </w:tcPr>
          <w:p>
            <w:pPr>
              <w:pStyle w:val="20"/>
              <w:spacing w:line="340" w:lineRule="exact"/>
              <w:ind w:firstLine="0" w:firstLineChars="0"/>
              <w:jc w:val="center"/>
            </w:pPr>
            <w:r>
              <w:rPr>
                <w:rFonts w:hint="eastAsia"/>
              </w:rPr>
              <w:t>鹅皮完整程度</w:t>
            </w:r>
          </w:p>
        </w:tc>
        <w:tc>
          <w:tcPr>
            <w:tcW w:w="3804" w:type="dxa"/>
            <w:tcBorders>
              <w:tl2br w:val="nil"/>
              <w:tr2bl w:val="nil"/>
            </w:tcBorders>
          </w:tcPr>
          <w:p>
            <w:pPr>
              <w:pStyle w:val="20"/>
              <w:spacing w:line="34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有完整的鹅皮</w:t>
            </w:r>
          </w:p>
        </w:tc>
        <w:tc>
          <w:tcPr>
            <w:tcW w:w="3805" w:type="dxa"/>
            <w:tcBorders>
              <w:tl2br w:val="nil"/>
              <w:tr2bl w:val="nil"/>
            </w:tcBorders>
          </w:tcPr>
          <w:p>
            <w:pPr>
              <w:pStyle w:val="20"/>
              <w:spacing w:line="34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有较为完整的鹅皮，鹅皮少量脱落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13" w:type="dxa"/>
            <w:tcBorders>
              <w:tl2br w:val="nil"/>
              <w:tr2bl w:val="nil"/>
            </w:tcBorders>
            <w:vAlign w:val="center"/>
          </w:tcPr>
          <w:p>
            <w:pPr>
              <w:pStyle w:val="20"/>
              <w:spacing w:line="340" w:lineRule="exact"/>
              <w:ind w:firstLine="0" w:firstLineChars="0"/>
              <w:jc w:val="center"/>
            </w:pPr>
            <w:r>
              <w:rPr>
                <w:rFonts w:hint="eastAsia"/>
              </w:rPr>
              <w:t>去毛程度</w:t>
            </w:r>
          </w:p>
        </w:tc>
        <w:tc>
          <w:tcPr>
            <w:tcW w:w="3804" w:type="dxa"/>
            <w:tcBorders>
              <w:tl2br w:val="nil"/>
              <w:tr2bl w:val="nil"/>
            </w:tcBorders>
          </w:tcPr>
          <w:p>
            <w:pPr>
              <w:pStyle w:val="20"/>
              <w:spacing w:line="34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无毛</w:t>
            </w:r>
          </w:p>
        </w:tc>
        <w:tc>
          <w:tcPr>
            <w:tcW w:w="3805" w:type="dxa"/>
            <w:tcBorders>
              <w:tl2br w:val="nil"/>
              <w:tr2bl w:val="nil"/>
            </w:tcBorders>
          </w:tcPr>
          <w:p>
            <w:pPr>
              <w:pStyle w:val="20"/>
              <w:spacing w:line="34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有少量杂毛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13"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色  泽</w:t>
            </w:r>
          </w:p>
        </w:tc>
        <w:tc>
          <w:tcPr>
            <w:tcW w:w="7609"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具有酱卤肉制品应有色泽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3"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气味滋味</w:t>
            </w:r>
          </w:p>
        </w:tc>
        <w:tc>
          <w:tcPr>
            <w:tcW w:w="7609"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酱卤香味浓郁、应有产品的独特气味,鲜辣适口、无异味、无酸败味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3"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组织状态</w:t>
            </w:r>
          </w:p>
        </w:tc>
        <w:tc>
          <w:tcPr>
            <w:tcW w:w="7609"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形态完整、饱满、组织紧密、肉纤维清晰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013"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杂  质</w:t>
            </w:r>
          </w:p>
        </w:tc>
        <w:tc>
          <w:tcPr>
            <w:tcW w:w="7609"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无正常视力可见外来杂质</w:t>
            </w:r>
          </w:p>
        </w:tc>
      </w:tr>
    </w:tbl>
    <w:p>
      <w:pPr>
        <w:pStyle w:val="38"/>
        <w:spacing w:before="156" w:after="156"/>
      </w:pPr>
      <w:r>
        <w:rPr>
          <w:rFonts w:hint="eastAsia"/>
        </w:rPr>
        <w:t>理化指标</w:t>
      </w:r>
    </w:p>
    <w:p>
      <w:pPr>
        <w:pStyle w:val="20"/>
        <w:bidi w:val="0"/>
      </w:pPr>
      <w:r>
        <w:rPr>
          <w:rFonts w:hint="eastAsia"/>
        </w:rPr>
        <w:t>理化指标应符合表2的规定。</w:t>
      </w:r>
    </w:p>
    <w:p>
      <w:pPr>
        <w:pStyle w:val="122"/>
        <w:spacing w:before="156" w:after="156"/>
      </w:pPr>
      <w:r>
        <w:rPr>
          <w:rFonts w:hint="eastAsia"/>
        </w:rPr>
        <w:t>理化指标</w:t>
      </w:r>
    </w:p>
    <w:tbl>
      <w:tblPr>
        <w:tblStyle w:val="29"/>
        <w:tblW w:w="9622"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2949"/>
        <w:gridCol w:w="2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3724" w:type="dxa"/>
            <w:vMerge w:val="restart"/>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项  目</w:t>
            </w:r>
          </w:p>
        </w:tc>
        <w:tc>
          <w:tcPr>
            <w:tcW w:w="5898"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3724" w:type="dxa"/>
            <w:vMerge w:val="continue"/>
            <w:tcBorders>
              <w:tl2br w:val="nil"/>
              <w:tr2bl w:val="nil"/>
            </w:tcBorders>
            <w:vAlign w:val="center"/>
          </w:tcPr>
          <w:p>
            <w:pPr>
              <w:pStyle w:val="20"/>
              <w:spacing w:line="340" w:lineRule="exact"/>
              <w:ind w:firstLine="0" w:firstLineChars="0"/>
              <w:jc w:val="center"/>
            </w:pPr>
          </w:p>
        </w:tc>
        <w:tc>
          <w:tcPr>
            <w:tcW w:w="2949"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优级</w:t>
            </w:r>
          </w:p>
        </w:tc>
        <w:tc>
          <w:tcPr>
            <w:tcW w:w="2949"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3724" w:type="dxa"/>
            <w:tcBorders>
              <w:tl2br w:val="nil"/>
              <w:tr2bl w:val="nil"/>
            </w:tcBorders>
            <w:vAlign w:val="center"/>
          </w:tcPr>
          <w:p>
            <w:pPr>
              <w:pStyle w:val="20"/>
              <w:spacing w:line="340" w:lineRule="exact"/>
              <w:ind w:firstLine="0" w:firstLineChars="0"/>
              <w:jc w:val="left"/>
              <w:rPr>
                <w:rFonts w:hAnsi="宋体"/>
                <w:szCs w:val="21"/>
              </w:rPr>
            </w:pPr>
            <w:r>
              <w:rPr>
                <w:rFonts w:hint="eastAsia" w:hAnsi="宋体"/>
                <w:szCs w:val="21"/>
              </w:rPr>
              <w:t>酸价（以脂肪计）(KOH)（mg/g）</w:t>
            </w:r>
            <w:r>
              <w:rPr>
                <w:rFonts w:hint="eastAsia" w:hAnsi="宋体"/>
                <w:szCs w:val="21"/>
                <w:lang w:val="en-US" w:eastAsia="zh-CN"/>
              </w:rPr>
              <w:t xml:space="preserve"> </w:t>
            </w:r>
            <w:r>
              <w:rPr>
                <w:rFonts w:hint="eastAsia" w:hAnsi="宋体"/>
                <w:szCs w:val="21"/>
              </w:rPr>
              <w:t>≤</w:t>
            </w:r>
          </w:p>
        </w:tc>
        <w:tc>
          <w:tcPr>
            <w:tcW w:w="2949" w:type="dxa"/>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1.6</w:t>
            </w:r>
          </w:p>
        </w:tc>
        <w:tc>
          <w:tcPr>
            <w:tcW w:w="2949" w:type="dxa"/>
            <w:tcBorders>
              <w:tl2br w:val="nil"/>
              <w:tr2bl w:val="nil"/>
            </w:tcBorders>
            <w:vAlign w:val="center"/>
          </w:tcPr>
          <w:p>
            <w:pPr>
              <w:pStyle w:val="20"/>
              <w:spacing w:line="340" w:lineRule="exact"/>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3724" w:type="dxa"/>
            <w:tcBorders>
              <w:tl2br w:val="nil"/>
              <w:tr2bl w:val="nil"/>
            </w:tcBorders>
            <w:vAlign w:val="center"/>
          </w:tcPr>
          <w:p>
            <w:pPr>
              <w:pStyle w:val="20"/>
              <w:spacing w:line="340" w:lineRule="exact"/>
              <w:ind w:firstLine="0" w:firstLineChars="0"/>
              <w:jc w:val="left"/>
              <w:rPr>
                <w:rFonts w:hAnsi="宋体"/>
                <w:szCs w:val="21"/>
              </w:rPr>
            </w:pPr>
            <w:r>
              <w:rPr>
                <w:rFonts w:hint="eastAsia" w:hAnsi="宋体"/>
                <w:szCs w:val="21"/>
              </w:rPr>
              <w:t xml:space="preserve">过氧化值（以脂肪计）(g/100g) </w:t>
            </w:r>
            <w:r>
              <w:rPr>
                <w:rFonts w:hint="eastAsia" w:hAnsi="宋体"/>
                <w:szCs w:val="21"/>
                <w:lang w:val="en-US" w:eastAsia="zh-CN"/>
              </w:rPr>
              <w:t xml:space="preserve"> </w:t>
            </w:r>
            <w:r>
              <w:rPr>
                <w:rFonts w:hint="eastAsia" w:hAnsi="宋体"/>
                <w:szCs w:val="21"/>
              </w:rPr>
              <w:t>≤</w:t>
            </w:r>
          </w:p>
        </w:tc>
        <w:tc>
          <w:tcPr>
            <w:tcW w:w="2949" w:type="dxa"/>
            <w:tcBorders>
              <w:tl2br w:val="nil"/>
              <w:tr2bl w:val="nil"/>
            </w:tcBorders>
            <w:vAlign w:val="center"/>
          </w:tcPr>
          <w:p>
            <w:pPr>
              <w:pStyle w:val="20"/>
              <w:spacing w:line="340" w:lineRule="exact"/>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0.1</w:t>
            </w:r>
          </w:p>
        </w:tc>
        <w:tc>
          <w:tcPr>
            <w:tcW w:w="2949" w:type="dxa"/>
            <w:tcBorders>
              <w:tl2br w:val="nil"/>
              <w:tr2bl w:val="nil"/>
            </w:tcBorders>
            <w:vAlign w:val="center"/>
          </w:tcPr>
          <w:p>
            <w:pPr>
              <w:pStyle w:val="20"/>
              <w:spacing w:line="340" w:lineRule="exact"/>
              <w:ind w:firstLine="0" w:firstLineChars="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3724" w:type="dxa"/>
            <w:tcBorders>
              <w:tl2br w:val="nil"/>
              <w:tr2bl w:val="nil"/>
            </w:tcBorders>
            <w:vAlign w:val="center"/>
          </w:tcPr>
          <w:p>
            <w:pPr>
              <w:pStyle w:val="20"/>
              <w:spacing w:line="340" w:lineRule="exact"/>
              <w:ind w:firstLine="0" w:firstLineChars="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固形物含量</w:t>
            </w:r>
            <w:r>
              <w:rPr>
                <w:rFonts w:hint="eastAsia" w:hAnsi="宋体"/>
                <w:szCs w:val="21"/>
              </w:rPr>
              <w:t>(g/100g)</w:t>
            </w: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tc>
        <w:tc>
          <w:tcPr>
            <w:tcW w:w="5898" w:type="dxa"/>
            <w:gridSpan w:val="2"/>
            <w:tcBorders>
              <w:tl2br w:val="nil"/>
              <w:tr2bl w:val="nil"/>
            </w:tcBorders>
            <w:vAlign w:val="center"/>
          </w:tcPr>
          <w:p>
            <w:pPr>
              <w:pStyle w:val="20"/>
              <w:spacing w:line="340" w:lineRule="exact"/>
              <w:ind w:firstLine="0" w:firstLineChars="0"/>
              <w:jc w:val="center"/>
              <w:rPr>
                <w:rFonts w:hint="eastAsia"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8</w:t>
            </w:r>
            <w:r>
              <w:rPr>
                <w:rFonts w:hint="eastAsia" w:hAnsi="宋体"/>
                <w:color w:val="000000" w:themeColor="text1"/>
                <w:szCs w:val="21"/>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3724" w:type="dxa"/>
            <w:tcBorders>
              <w:tl2br w:val="nil"/>
              <w:tr2bl w:val="nil"/>
            </w:tcBorders>
            <w:vAlign w:val="center"/>
          </w:tcPr>
          <w:p>
            <w:pPr>
              <w:pStyle w:val="20"/>
              <w:spacing w:line="340" w:lineRule="exact"/>
              <w:ind w:firstLine="0" w:firstLineChars="0"/>
              <w:jc w:val="left"/>
              <w:rPr>
                <w:rFonts w:hAnsi="宋体"/>
                <w:szCs w:val="21"/>
              </w:rPr>
            </w:pPr>
            <w:r>
              <w:rPr>
                <w:rFonts w:hint="eastAsia" w:hAnsi="宋体"/>
                <w:szCs w:val="21"/>
              </w:rPr>
              <w:t xml:space="preserve">水分(g/100g)                </w:t>
            </w:r>
            <w:r>
              <w:rPr>
                <w:rFonts w:hint="eastAsia" w:hAnsi="宋体"/>
                <w:szCs w:val="21"/>
                <w:lang w:val="en-US" w:eastAsia="zh-CN"/>
              </w:rPr>
              <w:t xml:space="preserve"> </w:t>
            </w:r>
            <w:r>
              <w:rPr>
                <w:rFonts w:hint="eastAsia" w:hAnsi="宋体"/>
                <w:szCs w:val="21"/>
              </w:rPr>
              <w:t xml:space="preserve"> ≤</w:t>
            </w:r>
          </w:p>
        </w:tc>
        <w:tc>
          <w:tcPr>
            <w:tcW w:w="5898"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3724" w:type="dxa"/>
            <w:tcBorders>
              <w:tl2br w:val="nil"/>
              <w:tr2bl w:val="nil"/>
            </w:tcBorders>
            <w:vAlign w:val="center"/>
          </w:tcPr>
          <w:p>
            <w:pPr>
              <w:pStyle w:val="20"/>
              <w:spacing w:line="340" w:lineRule="exact"/>
              <w:ind w:firstLine="0" w:firstLineChars="0"/>
              <w:jc w:val="left"/>
              <w:rPr>
                <w:rFonts w:hAnsi="宋体"/>
                <w:szCs w:val="21"/>
              </w:rPr>
            </w:pPr>
            <w:r>
              <w:rPr>
                <w:rFonts w:hint="eastAsia" w:hAnsi="宋体"/>
                <w:szCs w:val="21"/>
              </w:rPr>
              <w:t xml:space="preserve">蛋白质(g/100g)               </w:t>
            </w:r>
            <w:r>
              <w:rPr>
                <w:rFonts w:hint="eastAsia" w:hAnsi="宋体"/>
                <w:szCs w:val="21"/>
                <w:lang w:val="en-US" w:eastAsia="zh-CN"/>
              </w:rPr>
              <w:t xml:space="preserve"> </w:t>
            </w:r>
            <w:r>
              <w:rPr>
                <w:rFonts w:hint="eastAsia" w:hAnsi="宋体"/>
                <w:szCs w:val="21"/>
              </w:rPr>
              <w:t>≥</w:t>
            </w:r>
          </w:p>
        </w:tc>
        <w:tc>
          <w:tcPr>
            <w:tcW w:w="5898"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724" w:type="dxa"/>
            <w:tcBorders>
              <w:tl2br w:val="nil"/>
              <w:tr2bl w:val="nil"/>
            </w:tcBorders>
            <w:vAlign w:val="center"/>
          </w:tcPr>
          <w:p>
            <w:pPr>
              <w:pStyle w:val="20"/>
              <w:spacing w:line="340" w:lineRule="exact"/>
              <w:ind w:firstLine="0" w:firstLineChars="0"/>
              <w:jc w:val="left"/>
              <w:rPr>
                <w:rFonts w:hAnsi="宋体"/>
                <w:szCs w:val="21"/>
              </w:rPr>
            </w:pPr>
            <w:r>
              <w:rPr>
                <w:rFonts w:hint="eastAsia" w:hAnsi="宋体"/>
                <w:szCs w:val="21"/>
              </w:rPr>
              <w:t>氯化物</w:t>
            </w:r>
            <w:r>
              <w:rPr>
                <w:rFonts w:hint="eastAsia" w:hAnsi="宋体"/>
                <w:szCs w:val="21"/>
                <w:lang w:eastAsia="zh-CN"/>
              </w:rPr>
              <w:t>（</w:t>
            </w:r>
            <w:r>
              <w:rPr>
                <w:rFonts w:hint="eastAsia" w:hAnsi="宋体"/>
                <w:szCs w:val="21"/>
                <w:lang w:val="en-US" w:eastAsia="zh-CN"/>
              </w:rPr>
              <w:t>以氯化钠计）</w:t>
            </w:r>
            <w:r>
              <w:rPr>
                <w:rFonts w:hint="eastAsia" w:hAnsi="宋体"/>
                <w:szCs w:val="21"/>
              </w:rPr>
              <w:t>（g/100g）≤</w:t>
            </w:r>
          </w:p>
        </w:tc>
        <w:tc>
          <w:tcPr>
            <w:tcW w:w="5898" w:type="dxa"/>
            <w:gridSpan w:val="2"/>
            <w:tcBorders>
              <w:tl2br w:val="nil"/>
              <w:tr2bl w:val="nil"/>
            </w:tcBorders>
            <w:vAlign w:val="center"/>
          </w:tcPr>
          <w:p>
            <w:pPr>
              <w:pStyle w:val="20"/>
              <w:spacing w:line="340" w:lineRule="exact"/>
              <w:ind w:firstLine="0" w:firstLineChars="0"/>
              <w:jc w:val="center"/>
              <w:rPr>
                <w:rFonts w:hAnsi="宋体"/>
                <w:szCs w:val="21"/>
              </w:rPr>
            </w:pPr>
            <w:r>
              <w:rPr>
                <w:rFonts w:hint="eastAsia" w:hAnsi="宋体"/>
                <w:szCs w:val="21"/>
              </w:rPr>
              <w:t>4.0</w:t>
            </w:r>
          </w:p>
        </w:tc>
      </w:tr>
    </w:tbl>
    <w:p>
      <w:pPr>
        <w:pStyle w:val="38"/>
        <w:spacing w:before="156" w:after="156"/>
      </w:pPr>
      <w:r>
        <w:rPr>
          <w:rFonts w:hint="eastAsia"/>
        </w:rPr>
        <w:t>微生物</w:t>
      </w:r>
      <w:r>
        <w:rPr>
          <w:rFonts w:hint="eastAsia"/>
          <w:lang w:val="en-US" w:eastAsia="zh-CN"/>
        </w:rPr>
        <w:t>限量</w:t>
      </w:r>
    </w:p>
    <w:p>
      <w:pPr>
        <w:pStyle w:val="20"/>
        <w:bidi w:val="0"/>
      </w:pPr>
      <w:r>
        <w:rPr>
          <w:rFonts w:hint="eastAsia"/>
          <w:lang w:val="en-US" w:eastAsia="zh-CN"/>
        </w:rPr>
        <w:t>其它预包装食品</w:t>
      </w:r>
      <w:r>
        <w:rPr>
          <w:rFonts w:hint="eastAsia"/>
        </w:rPr>
        <w:t>应符合GB 2726的规定；</w:t>
      </w:r>
      <w:r>
        <w:rPr>
          <w:rFonts w:hint="eastAsia"/>
          <w:lang w:val="en-US" w:eastAsia="zh-CN"/>
        </w:rPr>
        <w:t>商业无菌工艺生产的食品</w:t>
      </w:r>
      <w:r>
        <w:rPr>
          <w:rFonts w:hint="eastAsia"/>
        </w:rPr>
        <w:t>应符合</w:t>
      </w:r>
      <w:r>
        <w:rPr>
          <w:rFonts w:hint="eastAsia"/>
          <w:lang w:val="en-US" w:eastAsia="zh-CN"/>
        </w:rPr>
        <w:t>GB 7098</w:t>
      </w:r>
      <w:r>
        <w:t>的</w:t>
      </w:r>
      <w:r>
        <w:rPr>
          <w:rFonts w:hint="eastAsia"/>
          <w:lang w:val="en-US" w:eastAsia="zh-CN"/>
        </w:rPr>
        <w:t>规定</w:t>
      </w:r>
      <w:r>
        <w:rPr>
          <w:rFonts w:hint="eastAsia"/>
        </w:rPr>
        <w:t>。</w:t>
      </w:r>
    </w:p>
    <w:p>
      <w:pPr>
        <w:pStyle w:val="38"/>
        <w:spacing w:before="156" w:after="156"/>
      </w:pPr>
      <w:r>
        <w:rPr>
          <w:rFonts w:hint="eastAsia"/>
        </w:rPr>
        <w:t>污染物限量</w:t>
      </w:r>
    </w:p>
    <w:p>
      <w:pPr>
        <w:pStyle w:val="20"/>
        <w:bidi w:val="0"/>
      </w:pPr>
      <w:r>
        <w:rPr>
          <w:rFonts w:hint="eastAsia"/>
        </w:rPr>
        <w:t>污染物限量应符合GB 2762的规定。</w:t>
      </w:r>
    </w:p>
    <w:p>
      <w:pPr>
        <w:pStyle w:val="38"/>
        <w:spacing w:before="156" w:after="156"/>
      </w:pPr>
      <w:r>
        <w:rPr>
          <w:rFonts w:hint="eastAsia"/>
        </w:rPr>
        <w:t>食品添加剂</w:t>
      </w:r>
      <w:r>
        <w:rPr>
          <w:rFonts w:hint="eastAsia"/>
          <w:lang w:val="en-US" w:eastAsia="zh-CN"/>
        </w:rPr>
        <w:t>和食品营养强化剂限量</w:t>
      </w:r>
    </w:p>
    <w:p>
      <w:pPr>
        <w:pStyle w:val="20"/>
        <w:bidi w:val="0"/>
        <w:rPr>
          <w:rFonts w:hint="default" w:eastAsia="宋体"/>
          <w:lang w:val="en-US" w:eastAsia="zh-CN"/>
        </w:rPr>
      </w:pPr>
      <w:r>
        <w:rPr>
          <w:rFonts w:hint="eastAsia"/>
        </w:rPr>
        <w:t>食品添加剂的使用应符合GB 2760的规定</w:t>
      </w:r>
      <w:r>
        <w:rPr>
          <w:rFonts w:hint="eastAsia"/>
          <w:lang w:eastAsia="zh-CN"/>
        </w:rPr>
        <w:t>，</w:t>
      </w:r>
      <w:r>
        <w:rPr>
          <w:rFonts w:hint="eastAsia"/>
          <w:szCs w:val="22"/>
          <w:lang w:val="en-US" w:eastAsia="zh-CN"/>
        </w:rPr>
        <w:t>食品营养</w:t>
      </w:r>
      <w:r>
        <w:rPr>
          <w:rFonts w:hint="eastAsia"/>
          <w:lang w:val="en-US" w:eastAsia="zh-CN"/>
        </w:rPr>
        <w:t>强化剂的使用应符合GB 14880的规定。</w:t>
      </w:r>
    </w:p>
    <w:p>
      <w:pPr>
        <w:pStyle w:val="38"/>
        <w:spacing w:before="156" w:after="156"/>
      </w:pPr>
      <w:r>
        <w:rPr>
          <w:rFonts w:hint="eastAsia"/>
        </w:rPr>
        <w:t>净含量</w:t>
      </w:r>
    </w:p>
    <w:p>
      <w:pPr>
        <w:pStyle w:val="20"/>
        <w:bidi w:val="0"/>
      </w:pPr>
      <w:r>
        <w:rPr>
          <w:rFonts w:hint="eastAsia"/>
        </w:rPr>
        <w:t>净含量应符合《定量包装商品计量监督管理办法》的有关规定。</w:t>
      </w:r>
    </w:p>
    <w:p>
      <w:pPr>
        <w:pStyle w:val="41"/>
        <w:spacing w:before="312" w:after="312"/>
        <w:rPr>
          <w:szCs w:val="22"/>
        </w:rPr>
      </w:pPr>
      <w:r>
        <w:rPr>
          <w:rFonts w:hint="eastAsia"/>
          <w:szCs w:val="22"/>
        </w:rPr>
        <w:t>生产加工卫生要求</w:t>
      </w:r>
    </w:p>
    <w:p>
      <w:pPr>
        <w:pStyle w:val="20"/>
        <w:bidi w:val="0"/>
      </w:pPr>
      <w:r>
        <w:rPr>
          <w:rFonts w:hint="eastAsia"/>
        </w:rPr>
        <w:t>生产加工卫生要求应符合GB 14881和GB 19303的规定。</w:t>
      </w:r>
    </w:p>
    <w:p>
      <w:pPr>
        <w:pStyle w:val="41"/>
        <w:spacing w:before="312" w:after="312"/>
        <w:rPr>
          <w:szCs w:val="22"/>
        </w:rPr>
      </w:pPr>
      <w:r>
        <w:rPr>
          <w:rFonts w:hint="eastAsia"/>
        </w:rPr>
        <w:t>试验</w:t>
      </w:r>
      <w:r>
        <w:rPr>
          <w:rFonts w:hint="eastAsia"/>
          <w:szCs w:val="22"/>
        </w:rPr>
        <w:t>方法</w:t>
      </w:r>
    </w:p>
    <w:p>
      <w:pPr>
        <w:pStyle w:val="38"/>
        <w:spacing w:before="156" w:after="156"/>
        <w:rPr>
          <w:sz w:val="20"/>
          <w:szCs w:val="20"/>
        </w:rPr>
      </w:pPr>
      <w:r>
        <w:rPr>
          <w:rFonts w:hint="eastAsia"/>
        </w:rPr>
        <w:t>感官检验</w:t>
      </w:r>
    </w:p>
    <w:p>
      <w:pPr>
        <w:pStyle w:val="20"/>
        <w:bidi w:val="0"/>
      </w:pPr>
      <w:r>
        <w:rPr>
          <w:rFonts w:hint="eastAsia"/>
        </w:rPr>
        <w:t>取适量试样置于清洁的白瓷盘中，在自然光下观察色泽；用刀剖开观察其组织形态和杂质；闻其气味，用温水漱口后品其滋味。</w:t>
      </w:r>
    </w:p>
    <w:p>
      <w:pPr>
        <w:pStyle w:val="38"/>
        <w:spacing w:before="156" w:after="156"/>
      </w:pPr>
      <w:r>
        <w:rPr>
          <w:rFonts w:hint="eastAsia"/>
        </w:rPr>
        <w:t>理化指标</w:t>
      </w:r>
    </w:p>
    <w:p>
      <w:pPr>
        <w:pStyle w:val="42"/>
        <w:spacing w:before="156" w:after="156"/>
        <w:rPr>
          <w:rFonts w:hAnsi="黑体" w:cs="Arial"/>
          <w:lang w:bidi="en-US"/>
        </w:rPr>
      </w:pPr>
      <w:r>
        <w:rPr>
          <w:rFonts w:hint="eastAsia" w:hAnsi="黑体" w:cs="Arial"/>
          <w:lang w:bidi="en-US"/>
        </w:rPr>
        <w:t>酸价</w:t>
      </w:r>
    </w:p>
    <w:p>
      <w:pPr>
        <w:pStyle w:val="20"/>
        <w:bidi w:val="0"/>
      </w:pPr>
      <w:r>
        <w:rPr>
          <w:rFonts w:hint="eastAsia"/>
        </w:rPr>
        <w:t>按 GB 5009.229 规定的方法测定。</w:t>
      </w:r>
    </w:p>
    <w:p>
      <w:pPr>
        <w:pStyle w:val="42"/>
        <w:spacing w:before="156" w:after="156"/>
        <w:rPr>
          <w:rFonts w:hAnsi="黑体" w:cs="Arial"/>
          <w:lang w:bidi="en-US"/>
        </w:rPr>
      </w:pPr>
      <w:r>
        <w:rPr>
          <w:rFonts w:hint="eastAsia" w:hAnsi="黑体" w:cs="Arial"/>
          <w:lang w:bidi="en-US"/>
        </w:rPr>
        <w:t>过氧化值</w:t>
      </w:r>
    </w:p>
    <w:p>
      <w:pPr>
        <w:pStyle w:val="20"/>
        <w:bidi w:val="0"/>
      </w:pPr>
      <w:r>
        <w:rPr>
          <w:rFonts w:hint="eastAsia"/>
        </w:rPr>
        <w:t>按 GB 5009.227 规定的方法测定。</w:t>
      </w:r>
    </w:p>
    <w:p>
      <w:pPr>
        <w:pStyle w:val="42"/>
        <w:spacing w:before="156" w:after="156"/>
        <w:rPr>
          <w:rFonts w:hAnsi="黑体" w:cs="Arial"/>
          <w:lang w:bidi="en-US"/>
        </w:rPr>
      </w:pPr>
      <w:r>
        <w:rPr>
          <w:rFonts w:hint="eastAsia" w:hAnsi="黑体" w:cs="Arial"/>
          <w:lang w:bidi="en-US"/>
        </w:rPr>
        <w:t>固形物含量</w:t>
      </w:r>
    </w:p>
    <w:p>
      <w:pPr>
        <w:pStyle w:val="20"/>
        <w:bidi w:val="0"/>
      </w:pPr>
      <w:r>
        <w:rPr>
          <w:rFonts w:hint="eastAsia"/>
        </w:rPr>
        <w:t xml:space="preserve">按 </w:t>
      </w:r>
      <w:r>
        <w:t>GB/T 10786</w:t>
      </w:r>
      <w:r>
        <w:rPr>
          <w:rFonts w:hint="eastAsia"/>
          <w:lang w:val="en-US" w:eastAsia="zh-CN"/>
        </w:rPr>
        <w:t xml:space="preserve"> </w:t>
      </w:r>
      <w:r>
        <w:rPr>
          <w:rFonts w:hint="eastAsia"/>
        </w:rPr>
        <w:t>规定的</w:t>
      </w:r>
      <w:r>
        <w:t>方法</w:t>
      </w:r>
      <w:r>
        <w:rPr>
          <w:rFonts w:hint="eastAsia"/>
        </w:rPr>
        <w:t>测定。</w:t>
      </w:r>
    </w:p>
    <w:p>
      <w:pPr>
        <w:pStyle w:val="42"/>
        <w:spacing w:before="156" w:after="156"/>
        <w:rPr>
          <w:rFonts w:hAnsi="黑体" w:cs="Arial"/>
          <w:lang w:bidi="en-US"/>
        </w:rPr>
      </w:pPr>
      <w:r>
        <w:rPr>
          <w:rFonts w:hint="eastAsia" w:hAnsi="黑体" w:cs="Arial"/>
          <w:lang w:bidi="en-US"/>
        </w:rPr>
        <w:t>水分</w:t>
      </w:r>
    </w:p>
    <w:p>
      <w:pPr>
        <w:pStyle w:val="20"/>
        <w:bidi w:val="0"/>
      </w:pPr>
      <w:r>
        <w:rPr>
          <w:rFonts w:hint="eastAsia"/>
        </w:rPr>
        <w:t>按 GB 5009.3 规定的方法测定。</w:t>
      </w:r>
    </w:p>
    <w:p>
      <w:pPr>
        <w:pStyle w:val="42"/>
        <w:spacing w:before="156" w:after="156"/>
        <w:rPr>
          <w:rFonts w:hAnsi="黑体" w:cs="Arial"/>
          <w:lang w:bidi="en-US"/>
        </w:rPr>
      </w:pPr>
      <w:r>
        <w:rPr>
          <w:rFonts w:hint="eastAsia" w:hAnsi="黑体" w:cs="Arial"/>
          <w:lang w:bidi="en-US"/>
        </w:rPr>
        <w:t>蛋白质含量</w:t>
      </w:r>
    </w:p>
    <w:p>
      <w:pPr>
        <w:pStyle w:val="20"/>
        <w:bidi w:val="0"/>
      </w:pPr>
      <w:r>
        <w:rPr>
          <w:rFonts w:hint="eastAsia"/>
        </w:rPr>
        <w:t>按 GB 5009.5 规定的方法测定。</w:t>
      </w:r>
    </w:p>
    <w:p>
      <w:pPr>
        <w:pStyle w:val="42"/>
        <w:spacing w:before="156" w:after="156"/>
      </w:pPr>
      <w:r>
        <w:rPr>
          <w:rFonts w:hint="eastAsia"/>
        </w:rPr>
        <w:t>氯化物</w:t>
      </w:r>
    </w:p>
    <w:p>
      <w:pPr>
        <w:pStyle w:val="20"/>
        <w:bidi w:val="0"/>
        <w:rPr>
          <w:rFonts w:hint="eastAsia"/>
        </w:rPr>
      </w:pPr>
      <w:r>
        <w:rPr>
          <w:rFonts w:hint="eastAsia"/>
        </w:rPr>
        <w:t>按 GB 5009.44 规定的方法测定。</w:t>
      </w:r>
    </w:p>
    <w:p>
      <w:pPr>
        <w:pStyle w:val="38"/>
        <w:spacing w:before="156" w:after="156"/>
        <w:rPr>
          <w:rFonts w:hint="default"/>
          <w:lang w:val="en-US" w:eastAsia="zh-CN"/>
        </w:rPr>
      </w:pPr>
      <w:r>
        <w:rPr>
          <w:rFonts w:hint="eastAsia"/>
          <w:lang w:val="en-US" w:eastAsia="zh-CN"/>
        </w:rPr>
        <w:t>微生物限量</w:t>
      </w:r>
    </w:p>
    <w:p>
      <w:pPr>
        <w:pStyle w:val="42"/>
        <w:spacing w:before="156" w:after="15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菌落总数</w:t>
      </w:r>
    </w:p>
    <w:p>
      <w:pPr>
        <w:pStyle w:val="20"/>
        <w:bidi w:val="0"/>
        <w:rPr>
          <w:rFonts w:hint="eastAsia"/>
          <w:color w:val="000000" w:themeColor="text1"/>
          <w:szCs w:val="22"/>
          <w:lang w:val="en-US" w:eastAsia="zh-CN"/>
          <w14:textFill>
            <w14:solidFill>
              <w14:schemeClr w14:val="tx1"/>
            </w14:solidFill>
          </w14:textFill>
        </w:rPr>
      </w:pPr>
      <w:r>
        <w:rPr>
          <w:rFonts w:hint="eastAsia"/>
          <w:color w:val="000000" w:themeColor="text1"/>
          <w:szCs w:val="22"/>
          <w14:textFill>
            <w14:solidFill>
              <w14:schemeClr w14:val="tx1"/>
            </w14:solidFill>
          </w14:textFill>
        </w:rPr>
        <w:t>按</w:t>
      </w:r>
      <w:r>
        <w:rPr>
          <w:rFonts w:hint="eastAsia"/>
          <w:color w:val="000000" w:themeColor="text1"/>
          <w:szCs w:val="22"/>
          <w:lang w:val="en-US" w:eastAsia="zh-CN"/>
          <w14:textFill>
            <w14:solidFill>
              <w14:schemeClr w14:val="tx1"/>
            </w14:solidFill>
          </w14:textFill>
        </w:rPr>
        <w:t xml:space="preserve"> GB 4789.2 </w:t>
      </w:r>
      <w:r>
        <w:rPr>
          <w:rFonts w:hint="eastAsia"/>
        </w:rPr>
        <w:t>规定的方法测定。</w:t>
      </w:r>
    </w:p>
    <w:p>
      <w:pPr>
        <w:pStyle w:val="4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大肠菌群</w:t>
      </w:r>
    </w:p>
    <w:p>
      <w:pPr>
        <w:pStyle w:val="20"/>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按</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GB 4789.3 规定的</w:t>
      </w:r>
      <w:r>
        <w:rPr>
          <w:rFonts w:hint="eastAsia"/>
          <w:color w:val="000000" w:themeColor="text1"/>
          <w:lang w:val="en-US" w:eastAsia="zh-CN"/>
          <w14:textFill>
            <w14:solidFill>
              <w14:schemeClr w14:val="tx1"/>
            </w14:solidFill>
          </w14:textFill>
        </w:rPr>
        <w:t>平板计数法测定</w:t>
      </w:r>
      <w:r>
        <w:rPr>
          <w:rFonts w:hint="eastAsia"/>
          <w:color w:val="000000" w:themeColor="text1"/>
          <w14:textFill>
            <w14:solidFill>
              <w14:schemeClr w14:val="tx1"/>
            </w14:solidFill>
          </w14:textFill>
        </w:rPr>
        <w:t>。</w:t>
      </w:r>
    </w:p>
    <w:p>
      <w:pPr>
        <w:pStyle w:val="42"/>
        <w:spacing w:before="156" w:after="156"/>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商业无菌</w:t>
      </w:r>
    </w:p>
    <w:p>
      <w:pPr>
        <w:pStyle w:val="20"/>
        <w:rPr>
          <w:rFonts w:hint="default"/>
          <w:lang w:val="en-US" w:eastAsia="zh-CN"/>
        </w:rPr>
      </w:pPr>
      <w:r>
        <w:rPr>
          <w:rFonts w:hint="eastAsia"/>
          <w:color w:val="000000" w:themeColor="text1"/>
          <w14:textFill>
            <w14:solidFill>
              <w14:schemeClr w14:val="tx1"/>
            </w14:solidFill>
          </w14:textFill>
        </w:rPr>
        <w:t>按</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GB 4789.26</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规定的方法</w:t>
      </w:r>
      <w:r>
        <w:rPr>
          <w:rFonts w:hint="eastAsia"/>
          <w:color w:val="000000" w:themeColor="text1"/>
          <w:lang w:val="en-US" w:eastAsia="zh-CN"/>
          <w14:textFill>
            <w14:solidFill>
              <w14:schemeClr w14:val="tx1"/>
            </w14:solidFill>
          </w14:textFill>
        </w:rPr>
        <w:t>测定</w:t>
      </w:r>
      <w:r>
        <w:rPr>
          <w:rFonts w:hint="eastAsia"/>
          <w:color w:val="FF0000"/>
        </w:rPr>
        <w:t>。</w:t>
      </w:r>
    </w:p>
    <w:p>
      <w:pPr>
        <w:pStyle w:val="38"/>
        <w:spacing w:before="156" w:after="156"/>
      </w:pPr>
      <w:r>
        <w:rPr>
          <w:rFonts w:hint="eastAsia"/>
        </w:rPr>
        <w:t>净含量</w:t>
      </w:r>
    </w:p>
    <w:p>
      <w:pPr>
        <w:pStyle w:val="20"/>
        <w:bidi w:val="0"/>
      </w:pPr>
      <w:r>
        <w:rPr>
          <w:rFonts w:hint="eastAsia"/>
        </w:rPr>
        <w:t>按 JJF 1070 规定的方法测定。</w:t>
      </w:r>
    </w:p>
    <w:p>
      <w:pPr>
        <w:pStyle w:val="41"/>
        <w:spacing w:before="312" w:after="312"/>
        <w:rPr>
          <w:sz w:val="20"/>
        </w:rPr>
      </w:pPr>
      <w:r>
        <w:rPr>
          <w:rFonts w:hint="eastAsia"/>
          <w:szCs w:val="22"/>
        </w:rPr>
        <w:t>检验规则</w:t>
      </w:r>
    </w:p>
    <w:p>
      <w:pPr>
        <w:pStyle w:val="38"/>
        <w:spacing w:before="156" w:after="156"/>
      </w:pPr>
      <w:r>
        <w:rPr>
          <w:rFonts w:hint="eastAsia"/>
        </w:rPr>
        <w:t>组批</w:t>
      </w:r>
    </w:p>
    <w:p>
      <w:pPr>
        <w:pStyle w:val="20"/>
        <w:bidi w:val="0"/>
      </w:pPr>
      <w:r>
        <w:rPr>
          <w:rFonts w:hint="eastAsia"/>
        </w:rPr>
        <w:t>同一班次、同一品种和相同工艺的产品为一批。</w:t>
      </w:r>
    </w:p>
    <w:p>
      <w:pPr>
        <w:pStyle w:val="38"/>
        <w:spacing w:before="156" w:after="156"/>
      </w:pPr>
      <w:r>
        <w:rPr>
          <w:rFonts w:hint="eastAsia"/>
        </w:rPr>
        <w:t>抽样</w:t>
      </w:r>
    </w:p>
    <w:p>
      <w:pPr>
        <w:pStyle w:val="59"/>
      </w:pPr>
      <w:r>
        <w:rPr>
          <w:rFonts w:hint="eastAsia"/>
        </w:rPr>
        <w:t>在成品库内抽样，抽样单位以包（只）计。</w:t>
      </w:r>
    </w:p>
    <w:p>
      <w:pPr>
        <w:pStyle w:val="59"/>
        <w:rPr>
          <w:rFonts w:hint="default"/>
          <w:lang w:val="en-US" w:eastAsia="zh-CN"/>
        </w:rPr>
      </w:pPr>
      <w:r>
        <w:rPr>
          <w:rFonts w:hint="eastAsia"/>
          <w:lang w:val="en-US" w:eastAsia="zh-CN"/>
        </w:rPr>
        <w:t>每批随机抽取样品，数量满足检验和留样的需要。</w:t>
      </w:r>
      <w:r>
        <w:rPr>
          <w:rFonts w:hint="eastAsia"/>
          <w:color w:val="000000" w:themeColor="text1"/>
          <w:lang w:val="en-US" w:eastAsia="zh-CN"/>
          <w14:textFill>
            <w14:solidFill>
              <w14:schemeClr w14:val="tx1"/>
            </w14:solidFill>
          </w14:textFill>
        </w:rPr>
        <w:t>将样品平均分为2份，1份检验，1份备查。</w:t>
      </w:r>
    </w:p>
    <w:p>
      <w:pPr>
        <w:pStyle w:val="38"/>
        <w:spacing w:before="156" w:after="156"/>
      </w:pPr>
      <w:r>
        <w:rPr>
          <w:rFonts w:hint="eastAsia"/>
        </w:rPr>
        <w:t>出厂检验</w:t>
      </w:r>
    </w:p>
    <w:p>
      <w:pPr>
        <w:pStyle w:val="59"/>
      </w:pPr>
      <w:r>
        <w:rPr>
          <w:rFonts w:hint="eastAsia"/>
        </w:rPr>
        <w:t>产品应经逐批检验，合格后方可出厂。</w:t>
      </w:r>
    </w:p>
    <w:p>
      <w:pPr>
        <w:pStyle w:val="59"/>
        <w:rPr>
          <w:color w:val="auto"/>
        </w:rPr>
      </w:pPr>
      <w:r>
        <w:rPr>
          <w:rFonts w:hint="eastAsia"/>
          <w:color w:val="auto"/>
          <w:lang w:val="en-US" w:eastAsia="zh-CN"/>
        </w:rPr>
        <w:t>其它</w:t>
      </w:r>
      <w:r>
        <w:rPr>
          <w:rFonts w:hint="eastAsia"/>
          <w:color w:val="auto"/>
        </w:rPr>
        <w:t>预包装</w:t>
      </w:r>
      <w:r>
        <w:rPr>
          <w:rFonts w:hint="eastAsia"/>
          <w:color w:val="auto"/>
          <w:lang w:val="en-US" w:eastAsia="zh-CN"/>
        </w:rPr>
        <w:t>食品</w:t>
      </w:r>
      <w:r>
        <w:rPr>
          <w:rFonts w:hint="eastAsia"/>
          <w:color w:val="auto"/>
        </w:rPr>
        <w:t>出厂检验项目包括：感官</w:t>
      </w:r>
      <w:r>
        <w:rPr>
          <w:rFonts w:hint="eastAsia"/>
          <w:color w:val="auto"/>
          <w:lang w:val="en-US" w:eastAsia="zh-CN"/>
        </w:rPr>
        <w:t>要求</w:t>
      </w:r>
      <w:r>
        <w:rPr>
          <w:rFonts w:hint="eastAsia"/>
          <w:color w:val="auto"/>
        </w:rPr>
        <w:t>、水分、酸价、过氧化值</w:t>
      </w:r>
      <w:r>
        <w:rPr>
          <w:rFonts w:hint="eastAsia"/>
          <w:color w:val="auto"/>
          <w:lang w:eastAsia="zh-CN"/>
        </w:rPr>
        <w:t>、</w:t>
      </w:r>
      <w:r>
        <w:rPr>
          <w:rFonts w:hint="eastAsia"/>
          <w:color w:val="auto"/>
          <w:lang w:val="en-US" w:eastAsia="zh-CN"/>
        </w:rPr>
        <w:t>菌落总数、大肠菌群</w:t>
      </w:r>
      <w:r>
        <w:rPr>
          <w:rFonts w:hint="eastAsia"/>
          <w:color w:val="auto"/>
        </w:rPr>
        <w:t>和净含量。</w:t>
      </w:r>
      <w:r>
        <w:rPr>
          <w:rFonts w:hint="eastAsia"/>
          <w:lang w:val="en-US" w:eastAsia="zh-CN"/>
        </w:rPr>
        <w:t>商业无菌工艺生产的食品</w:t>
      </w:r>
      <w:r>
        <w:rPr>
          <w:rFonts w:hint="eastAsia"/>
          <w:color w:val="auto"/>
        </w:rPr>
        <w:t>出厂检验项目包括：感官</w:t>
      </w:r>
      <w:r>
        <w:rPr>
          <w:rFonts w:hint="eastAsia"/>
          <w:color w:val="auto"/>
          <w:lang w:val="en-US" w:eastAsia="zh-CN"/>
        </w:rPr>
        <w:t>要求</w:t>
      </w:r>
      <w:bookmarkStart w:id="21" w:name="_GoBack"/>
      <w:bookmarkEnd w:id="21"/>
      <w:r>
        <w:rPr>
          <w:rFonts w:hint="eastAsia"/>
          <w:color w:val="auto"/>
        </w:rPr>
        <w:t>、水分、酸价、过氧化值</w:t>
      </w:r>
      <w:r>
        <w:rPr>
          <w:rFonts w:hint="eastAsia"/>
          <w:color w:val="auto"/>
          <w:lang w:val="en-US" w:eastAsia="zh-CN"/>
        </w:rPr>
        <w:t>、</w:t>
      </w:r>
      <w:r>
        <w:rPr>
          <w:rFonts w:hint="eastAsia"/>
          <w:color w:val="auto"/>
        </w:rPr>
        <w:t>商业无菌和净含量。</w:t>
      </w:r>
    </w:p>
    <w:p>
      <w:pPr>
        <w:pStyle w:val="59"/>
      </w:pPr>
      <w:r>
        <w:rPr>
          <w:rFonts w:hint="eastAsia"/>
        </w:rPr>
        <w:t>出厂检验项目全部符合本标准要求时，该批产品判定为合格或优级；检验结果不符合本标准要求时，对不合格项目进行加倍抽样复检</w:t>
      </w:r>
      <w:r>
        <w:rPr>
          <w:rFonts w:hint="eastAsia"/>
          <w:color w:val="000000" w:themeColor="text1"/>
          <w14:textFill>
            <w14:solidFill>
              <w14:schemeClr w14:val="tx1"/>
            </w14:solidFill>
          </w14:textFill>
        </w:rPr>
        <w:t>（微生物指标不合格不得复检）,</w:t>
      </w:r>
      <w:r>
        <w:rPr>
          <w:rFonts w:hint="eastAsia"/>
        </w:rPr>
        <w:t>复检结果符合本标准要求时则该批产品判定为合格；如复检结果仍有1项不合格，则判该批产品为不合格品。</w:t>
      </w:r>
    </w:p>
    <w:p>
      <w:pPr>
        <w:pStyle w:val="38"/>
        <w:spacing w:before="156" w:after="156"/>
      </w:pPr>
      <w:r>
        <w:rPr>
          <w:rFonts w:hint="eastAsia"/>
        </w:rPr>
        <w:t>型式检验</w:t>
      </w:r>
    </w:p>
    <w:p>
      <w:pPr>
        <w:pStyle w:val="59"/>
      </w:pPr>
      <w:r>
        <w:rPr>
          <w:rFonts w:hint="eastAsia"/>
        </w:rPr>
        <w:t>正常生产时应每6个月进行一次型式检验；此外有下列情况之一时，亦应进行型式检验：</w:t>
      </w:r>
    </w:p>
    <w:p>
      <w:pPr>
        <w:pStyle w:val="55"/>
      </w:pPr>
      <w:r>
        <w:rPr>
          <w:rFonts w:hint="eastAsia"/>
        </w:rPr>
        <w:t>新产品试制鉴定时；</w:t>
      </w:r>
    </w:p>
    <w:p>
      <w:pPr>
        <w:pStyle w:val="55"/>
      </w:pPr>
      <w:r>
        <w:rPr>
          <w:rFonts w:hint="eastAsia"/>
        </w:rPr>
        <w:t>原料、生产工艺有较大改变，可能影响产品质量时；</w:t>
      </w:r>
    </w:p>
    <w:p>
      <w:pPr>
        <w:pStyle w:val="55"/>
      </w:pPr>
      <w:r>
        <w:rPr>
          <w:rFonts w:hint="eastAsia"/>
        </w:rPr>
        <w:t>产品停产半年以上，恢复生产时；</w:t>
      </w:r>
    </w:p>
    <w:p>
      <w:pPr>
        <w:pStyle w:val="55"/>
      </w:pPr>
      <w:r>
        <w:rPr>
          <w:rFonts w:hint="eastAsia"/>
        </w:rPr>
        <w:t>出厂检验结果与上一次型式检验结果有较大差异时；</w:t>
      </w:r>
    </w:p>
    <w:p>
      <w:pPr>
        <w:pStyle w:val="55"/>
      </w:pPr>
      <w:r>
        <w:rPr>
          <w:rFonts w:hint="eastAsia"/>
        </w:rPr>
        <w:t>国家质量监督机构提出要求时。</w:t>
      </w:r>
    </w:p>
    <w:p>
      <w:pPr>
        <w:pStyle w:val="59"/>
      </w:pPr>
      <w:r>
        <w:rPr>
          <w:rFonts w:hint="eastAsia"/>
        </w:rPr>
        <w:t>型式检验项目包括本文件5.2-5.7所规定的项目。</w:t>
      </w:r>
    </w:p>
    <w:p>
      <w:pPr>
        <w:pStyle w:val="59"/>
      </w:pPr>
      <w:r>
        <w:rPr>
          <w:rFonts w:hint="eastAsia"/>
        </w:rPr>
        <w:t>型式检验项目全部符合本标准要求时，该批产品判定为合格或优级；检验结果不符合本标准要求时，对不合格项目进行加倍抽样复检</w:t>
      </w:r>
      <w:r>
        <w:rPr>
          <w:rFonts w:hint="eastAsia"/>
          <w:color w:val="000000" w:themeColor="text1"/>
          <w14:textFill>
            <w14:solidFill>
              <w14:schemeClr w14:val="tx1"/>
            </w14:solidFill>
          </w14:textFill>
        </w:rPr>
        <w:t>（微生物指标不合格时不得复检）,复检</w:t>
      </w:r>
      <w:r>
        <w:rPr>
          <w:rFonts w:hint="eastAsia"/>
        </w:rPr>
        <w:t>结果符合本标准要求时则该批产品判定为合格；如复检结果仍有1项不合格，则该批产品判定为不合格。</w:t>
      </w:r>
    </w:p>
    <w:p>
      <w:pPr>
        <w:pStyle w:val="41"/>
        <w:spacing w:before="312" w:after="312"/>
      </w:pPr>
      <w:r>
        <w:t>标签、标志和包装</w:t>
      </w:r>
    </w:p>
    <w:p>
      <w:pPr>
        <w:pStyle w:val="38"/>
        <w:spacing w:before="156" w:after="156"/>
      </w:pPr>
      <w:r>
        <w:rPr>
          <w:rFonts w:hint="eastAsia"/>
        </w:rPr>
        <w:t>标签、标志</w:t>
      </w:r>
    </w:p>
    <w:p>
      <w:pPr>
        <w:pStyle w:val="20"/>
        <w:bidi w:val="0"/>
      </w:pPr>
      <w:r>
        <w:rPr>
          <w:rFonts w:hint="eastAsia"/>
        </w:rPr>
        <w:t>产品标签应符合GB 7718</w:t>
      </w:r>
      <w:r>
        <w:rPr>
          <w:rFonts w:hint="eastAsia"/>
          <w:lang w:val="en-US" w:eastAsia="zh-CN"/>
        </w:rPr>
        <w:t>和</w:t>
      </w:r>
      <w:r>
        <w:rPr>
          <w:rFonts w:hint="eastAsia"/>
        </w:rPr>
        <w:t>GB 28050的</w:t>
      </w:r>
      <w:r>
        <w:rPr>
          <w:rFonts w:hint="eastAsia"/>
          <w:color w:val="000000" w:themeColor="text1"/>
          <w14:textFill>
            <w14:solidFill>
              <w14:schemeClr w14:val="tx1"/>
            </w14:solidFill>
          </w14:textFill>
        </w:rPr>
        <w:t>规定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分级产品上还应注明产品等级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包</w:t>
      </w:r>
      <w:r>
        <w:rPr>
          <w:rFonts w:hint="eastAsia"/>
        </w:rPr>
        <w:t>装运输标志应符合GB/T 191的规定。</w:t>
      </w:r>
    </w:p>
    <w:p>
      <w:pPr>
        <w:pStyle w:val="38"/>
        <w:spacing w:before="156" w:after="156"/>
      </w:pPr>
      <w:r>
        <w:rPr>
          <w:rFonts w:hint="eastAsia"/>
        </w:rPr>
        <w:t>包装</w:t>
      </w:r>
    </w:p>
    <w:p>
      <w:pPr>
        <w:pStyle w:val="20"/>
        <w:bidi w:val="0"/>
      </w:pPr>
      <w:r>
        <w:rPr>
          <w:rFonts w:hint="eastAsia"/>
        </w:rPr>
        <w:t>使用复合包装材料应符合GB 4806.7</w:t>
      </w:r>
      <w:r>
        <w:rPr>
          <w:rFonts w:hint="eastAsia"/>
          <w:lang w:val="en-US" w:eastAsia="zh-CN"/>
        </w:rPr>
        <w:t>或</w:t>
      </w:r>
      <w:r>
        <w:rPr>
          <w:rFonts w:hint="eastAsia"/>
        </w:rPr>
        <w:t>GB/T 10004的规定，其他包装材料和容器必须符合相应国家标准和有关规定。</w:t>
      </w:r>
    </w:p>
    <w:p>
      <w:pPr>
        <w:pStyle w:val="41"/>
        <w:spacing w:before="312" w:after="312"/>
        <w:rPr>
          <w:rFonts w:hAnsi="黑体" w:cs="黑体"/>
          <w:szCs w:val="21"/>
        </w:rPr>
      </w:pPr>
      <w:r>
        <w:rPr>
          <w:rFonts w:hint="eastAsia" w:hAnsi="黑体" w:cs="黑体"/>
          <w:szCs w:val="21"/>
        </w:rPr>
        <w:t>运输和贮存</w:t>
      </w:r>
    </w:p>
    <w:p>
      <w:pPr>
        <w:pStyle w:val="38"/>
        <w:spacing w:before="156" w:after="156"/>
      </w:pPr>
      <w:r>
        <w:rPr>
          <w:rFonts w:hint="eastAsia"/>
        </w:rPr>
        <w:t>运输</w:t>
      </w:r>
    </w:p>
    <w:p>
      <w:pPr>
        <w:pStyle w:val="20"/>
        <w:bidi w:val="0"/>
        <w:rPr>
          <w:rFonts w:hint="eastAsia"/>
        </w:rPr>
      </w:pPr>
      <w:r>
        <w:rPr>
          <w:rFonts w:hint="eastAsia"/>
        </w:rPr>
        <w:t>运输产品时应避免日晒、雨淋。不得与有毒、有异味或影响产品质量的物品混装运输。运输工具应</w:t>
      </w:r>
      <w:r>
        <w:rPr>
          <w:rFonts w:hint="eastAsia"/>
          <w:lang w:val="en-US" w:eastAsia="zh-CN"/>
        </w:rPr>
        <w:t>符合相关标准</w:t>
      </w:r>
      <w:r>
        <w:rPr>
          <w:rFonts w:hint="eastAsia"/>
        </w:rPr>
        <w:t>。</w:t>
      </w:r>
    </w:p>
    <w:p>
      <w:pPr>
        <w:pStyle w:val="38"/>
        <w:spacing w:before="156" w:after="156"/>
        <w:rPr>
          <w:color w:val="000000" w:themeColor="text1"/>
          <w14:textFill>
            <w14:solidFill>
              <w14:schemeClr w14:val="tx1"/>
            </w14:solidFill>
          </w14:textFill>
        </w:rPr>
      </w:pPr>
      <w:r>
        <w:rPr>
          <w:rFonts w:hint="eastAsia"/>
        </w:rPr>
        <w:t>贮存</w:t>
      </w:r>
    </w:p>
    <w:p>
      <w:pPr>
        <w:pStyle w:val="59"/>
      </w:pPr>
      <w:r>
        <w:rPr>
          <w:rFonts w:hint="eastAsia"/>
          <w:lang w:val="en-US" w:eastAsia="zh-CN"/>
        </w:rPr>
        <w:t>产品</w:t>
      </w:r>
      <w:r>
        <w:rPr>
          <w:rFonts w:hint="eastAsia"/>
        </w:rPr>
        <w:t>应在常温</w:t>
      </w:r>
      <w:r>
        <w:rPr>
          <w:rFonts w:hint="eastAsia"/>
          <w:lang w:eastAsia="zh-CN"/>
        </w:rPr>
        <w:t>、</w:t>
      </w:r>
      <w:r>
        <w:rPr>
          <w:rFonts w:hint="eastAsia"/>
        </w:rPr>
        <w:t>干燥、通风处贮存；</w:t>
      </w:r>
      <w:r>
        <w:rPr>
          <w:rFonts w:hint="eastAsia"/>
          <w:lang w:val="en-US" w:eastAsia="zh-CN"/>
        </w:rPr>
        <w:t>需要低温冷藏的产品，应在</w:t>
      </w:r>
      <w:r>
        <w:rPr>
          <w:rFonts w:hint="eastAsia"/>
        </w:rPr>
        <w:t>0℃-4℃冷藏库内贮存</w:t>
      </w:r>
      <w:r>
        <w:rPr>
          <w:rFonts w:hint="eastAsia"/>
          <w:lang w:eastAsia="zh-CN"/>
        </w:rPr>
        <w:t>。</w:t>
      </w:r>
      <w:r>
        <w:rPr>
          <w:rFonts w:hint="eastAsia"/>
        </w:rPr>
        <w:t>库房应有防尘、防蝇、防鼠等设施。不得与有毒、有异味或影响产品质量的物品共存放。</w:t>
      </w:r>
    </w:p>
    <w:p>
      <w:pPr>
        <w:pStyle w:val="59"/>
      </w:pPr>
      <w:r>
        <w:rPr>
          <w:rFonts w:hint="eastAsia"/>
        </w:rPr>
        <w:t>产品贮存应离墙离地，防止虫害藏匿并利于空气流通。</w:t>
      </w:r>
    </w:p>
    <w:p>
      <w:pPr>
        <w:pStyle w:val="59"/>
      </w:pPr>
      <w:r>
        <w:rPr>
          <w:rFonts w:hint="eastAsia"/>
        </w:rPr>
        <w:t>产品应分类堆放，成品不得与半成品或生制品共同贮存。</w:t>
      </w:r>
    </w:p>
    <w:p>
      <w:pPr>
        <w:pStyle w:val="41"/>
        <w:spacing w:before="312" w:after="312"/>
        <w:rPr>
          <w:rFonts w:hAnsi="黑体" w:cs="黑体"/>
          <w:szCs w:val="21"/>
        </w:rPr>
      </w:pPr>
      <w:r>
        <w:rPr>
          <w:rFonts w:hint="eastAsia" w:hAnsi="黑体" w:cs="黑体"/>
          <w:szCs w:val="21"/>
        </w:rPr>
        <w:t>销售</w:t>
      </w:r>
    </w:p>
    <w:p>
      <w:pPr>
        <w:pStyle w:val="20"/>
        <w:bidi w:val="0"/>
      </w:pPr>
      <w:r>
        <w:rPr>
          <w:rFonts w:hint="eastAsia"/>
        </w:rPr>
        <w:t xml:space="preserve">销售应符合GB </w:t>
      </w:r>
      <w:r>
        <w:rPr>
          <w:rFonts w:hint="eastAsia"/>
          <w:lang w:val="en-US" w:eastAsia="zh-CN"/>
        </w:rPr>
        <w:t>20799</w:t>
      </w:r>
      <w:r>
        <w:rPr>
          <w:rFonts w:hint="eastAsia"/>
        </w:rPr>
        <w:t>相关的规定。</w:t>
      </w:r>
    </w:p>
    <w:p>
      <w:pPr>
        <w:pStyle w:val="41"/>
        <w:spacing w:before="312" w:after="312"/>
        <w:rPr>
          <w:rFonts w:hAnsi="黑体" w:cs="黑体"/>
          <w:szCs w:val="21"/>
        </w:rPr>
      </w:pPr>
      <w:r>
        <w:rPr>
          <w:rFonts w:hint="eastAsia" w:hAnsi="黑体" w:cs="黑体"/>
          <w:szCs w:val="21"/>
        </w:rPr>
        <w:t>召回</w:t>
      </w:r>
    </w:p>
    <w:p>
      <w:pPr>
        <w:pStyle w:val="121"/>
        <w:pBdr>
          <w:top w:val="none" w:color="auto" w:sz="0" w:space="0"/>
          <w:left w:val="none" w:color="auto" w:sz="0" w:space="0"/>
          <w:bottom w:val="none" w:color="auto" w:sz="0" w:space="0"/>
          <w:right w:val="none" w:color="auto" w:sz="0" w:space="0"/>
        </w:pBdr>
        <w:rPr>
          <w:color w:val="000000" w:themeColor="text1"/>
          <w14:textFill>
            <w14:solidFill>
              <w14:schemeClr w14:val="tx1"/>
            </w14:solidFill>
          </w14:textFill>
        </w:rPr>
      </w:pPr>
      <w:r>
        <w:rPr>
          <w:rFonts w:hint="eastAsia"/>
        </w:rPr>
        <w:t>发现其生产的食品不符合食品安全标准或者有证据证明可能危害人体健康的，</w:t>
      </w:r>
      <w:r>
        <w:rPr>
          <w:rFonts w:hint="eastAsia"/>
          <w:lang w:eastAsia="zh-CN"/>
        </w:rPr>
        <w:t>应</w:t>
      </w:r>
      <w:r>
        <w:rPr>
          <w:rFonts w:hint="eastAsia"/>
        </w:rPr>
        <w:t>立即停止生产，召回已经上市销售的食品</w:t>
      </w:r>
      <w:r>
        <w:rPr>
          <w:rFonts w:hint="eastAsia"/>
          <w:color w:val="000000" w:themeColor="text1"/>
          <w14:textFill>
            <w14:solidFill>
              <w14:schemeClr w14:val="tx1"/>
            </w14:solidFill>
          </w14:textFill>
        </w:rPr>
        <w:t>，通知相关生产经营者和消费者，并记录召回和通知情况。</w:t>
      </w:r>
    </w:p>
    <w:p>
      <w:pPr>
        <w:pStyle w:val="121"/>
        <w:pBdr>
          <w:top w:val="none" w:color="auto" w:sz="0" w:space="0"/>
          <w:left w:val="none" w:color="auto" w:sz="0" w:space="0"/>
          <w:bottom w:val="none" w:color="auto" w:sz="0" w:space="0"/>
          <w:right w:val="none" w:color="auto" w:sz="0" w:space="0"/>
        </w:pBdr>
      </w:pPr>
      <w:r>
        <w:rPr>
          <w:rFonts w:hint="eastAsia"/>
          <w:color w:val="000000" w:themeColor="text1"/>
          <w:lang w:eastAsia="zh-CN"/>
          <w14:textFill>
            <w14:solidFill>
              <w14:schemeClr w14:val="tx1"/>
            </w14:solidFill>
          </w14:textFill>
        </w:rPr>
        <w:t>应</w:t>
      </w:r>
      <w:r>
        <w:rPr>
          <w:rFonts w:hint="eastAsia"/>
          <w:color w:val="000000" w:themeColor="text1"/>
          <w14:textFill>
            <w14:solidFill>
              <w14:schemeClr w14:val="tx1"/>
            </w14:solidFill>
          </w14:textFill>
        </w:rPr>
        <w:t>将食品召回和处理情况向所在地县级</w:t>
      </w:r>
      <w:r>
        <w:rPr>
          <w:rFonts w:hint="eastAsia"/>
          <w:color w:val="000000" w:themeColor="text1"/>
          <w:lang w:val="en-US" w:eastAsia="zh-CN"/>
          <w14:textFill>
            <w14:solidFill>
              <w14:schemeClr w14:val="tx1"/>
            </w14:solidFill>
          </w14:textFill>
        </w:rPr>
        <w:t>市场</w:t>
      </w:r>
      <w:r>
        <w:rPr>
          <w:rFonts w:hint="eastAsia"/>
          <w:color w:val="000000" w:themeColor="text1"/>
          <w14:textFill>
            <w14:solidFill>
              <w14:schemeClr w14:val="tx1"/>
            </w14:solidFill>
          </w14:textFill>
        </w:rPr>
        <w:t>监督管理部门报告;需要对召回的食品进行无害化处理、销毁的，</w:t>
      </w:r>
      <w:r>
        <w:rPr>
          <w:rFonts w:hint="eastAsia"/>
          <w:color w:val="000000" w:themeColor="text1"/>
          <w:lang w:eastAsia="zh-CN"/>
          <w14:textFill>
            <w14:solidFill>
              <w14:schemeClr w14:val="tx1"/>
            </w14:solidFill>
          </w14:textFill>
        </w:rPr>
        <w:t>应</w:t>
      </w:r>
      <w:r>
        <w:rPr>
          <w:rFonts w:hint="eastAsia"/>
          <w:color w:val="000000" w:themeColor="text1"/>
          <w14:textFill>
            <w14:solidFill>
              <w14:schemeClr w14:val="tx1"/>
            </w14:solidFill>
          </w14:textFill>
        </w:rPr>
        <w:t>提前报告时间、地点。县级</w:t>
      </w:r>
      <w:r>
        <w:rPr>
          <w:rFonts w:hint="eastAsia"/>
          <w:color w:val="000000" w:themeColor="text1"/>
          <w:lang w:val="en-US" w:eastAsia="zh-CN"/>
          <w14:textFill>
            <w14:solidFill>
              <w14:schemeClr w14:val="tx1"/>
            </w14:solidFill>
          </w14:textFill>
        </w:rPr>
        <w:t>市场</w:t>
      </w:r>
      <w:r>
        <w:rPr>
          <w:rFonts w:hint="eastAsia"/>
          <w:color w:val="000000" w:themeColor="text1"/>
          <w14:textFill>
            <w14:solidFill>
              <w14:schemeClr w14:val="tx1"/>
            </w14:solidFill>
          </w14:textFill>
        </w:rPr>
        <w:t>监督管理部门认为必要的</w:t>
      </w:r>
      <w:r>
        <w:rPr>
          <w:rFonts w:hint="eastAsia"/>
        </w:rPr>
        <w:t>，</w:t>
      </w:r>
      <w:r>
        <w:rPr>
          <w:rFonts w:hint="eastAsia"/>
          <w:lang w:val="en-US" w:eastAsia="zh-CN"/>
        </w:rPr>
        <w:t>企业应配合其</w:t>
      </w:r>
      <w:r>
        <w:rPr>
          <w:rFonts w:hint="eastAsia"/>
        </w:rPr>
        <w:t>实施现场监督。</w:t>
      </w:r>
    </w:p>
    <w:p>
      <w:pPr>
        <w:pStyle w:val="125"/>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T/ZFS 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2143C"/>
    <w:rsid w:val="00025A65"/>
    <w:rsid w:val="00026C31"/>
    <w:rsid w:val="00026C3E"/>
    <w:rsid w:val="00027155"/>
    <w:rsid w:val="00027280"/>
    <w:rsid w:val="000320A7"/>
    <w:rsid w:val="00032310"/>
    <w:rsid w:val="00035925"/>
    <w:rsid w:val="000477BB"/>
    <w:rsid w:val="00067288"/>
    <w:rsid w:val="00067CDF"/>
    <w:rsid w:val="00067D87"/>
    <w:rsid w:val="000721F5"/>
    <w:rsid w:val="00074FBE"/>
    <w:rsid w:val="00083A09"/>
    <w:rsid w:val="0009005E"/>
    <w:rsid w:val="000921C1"/>
    <w:rsid w:val="00092857"/>
    <w:rsid w:val="00096F57"/>
    <w:rsid w:val="000A20A9"/>
    <w:rsid w:val="000A48B1"/>
    <w:rsid w:val="000A4FF8"/>
    <w:rsid w:val="000B3143"/>
    <w:rsid w:val="000B5142"/>
    <w:rsid w:val="000B572F"/>
    <w:rsid w:val="000C6B05"/>
    <w:rsid w:val="000C6DD6"/>
    <w:rsid w:val="000C73D4"/>
    <w:rsid w:val="000D3D4C"/>
    <w:rsid w:val="000D4F51"/>
    <w:rsid w:val="000D5308"/>
    <w:rsid w:val="000D718B"/>
    <w:rsid w:val="000E0C46"/>
    <w:rsid w:val="000F030C"/>
    <w:rsid w:val="000F129C"/>
    <w:rsid w:val="00101E8F"/>
    <w:rsid w:val="001024A1"/>
    <w:rsid w:val="0010562B"/>
    <w:rsid w:val="001056DE"/>
    <w:rsid w:val="001124C0"/>
    <w:rsid w:val="00114FE7"/>
    <w:rsid w:val="00122069"/>
    <w:rsid w:val="00122AB0"/>
    <w:rsid w:val="0013175F"/>
    <w:rsid w:val="00131E96"/>
    <w:rsid w:val="00132D85"/>
    <w:rsid w:val="001330D0"/>
    <w:rsid w:val="00135890"/>
    <w:rsid w:val="00142329"/>
    <w:rsid w:val="00143E3E"/>
    <w:rsid w:val="0014698F"/>
    <w:rsid w:val="00147E6C"/>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E0380"/>
    <w:rsid w:val="001E13B1"/>
    <w:rsid w:val="001E3543"/>
    <w:rsid w:val="001F3A19"/>
    <w:rsid w:val="00206E3E"/>
    <w:rsid w:val="002152B1"/>
    <w:rsid w:val="00217A9A"/>
    <w:rsid w:val="00234467"/>
    <w:rsid w:val="0023453A"/>
    <w:rsid w:val="00237D8D"/>
    <w:rsid w:val="00241DA2"/>
    <w:rsid w:val="0024277B"/>
    <w:rsid w:val="00247FEE"/>
    <w:rsid w:val="00250E7D"/>
    <w:rsid w:val="0025292A"/>
    <w:rsid w:val="002565D5"/>
    <w:rsid w:val="0025773E"/>
    <w:rsid w:val="0026063E"/>
    <w:rsid w:val="002622C0"/>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2904"/>
    <w:rsid w:val="00343F73"/>
    <w:rsid w:val="00345060"/>
    <w:rsid w:val="00351347"/>
    <w:rsid w:val="0035323B"/>
    <w:rsid w:val="00357952"/>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620B"/>
    <w:rsid w:val="004400CC"/>
    <w:rsid w:val="00446B29"/>
    <w:rsid w:val="00447FC3"/>
    <w:rsid w:val="00452BAB"/>
    <w:rsid w:val="00453F9A"/>
    <w:rsid w:val="00462266"/>
    <w:rsid w:val="004630E3"/>
    <w:rsid w:val="004653F9"/>
    <w:rsid w:val="00471E91"/>
    <w:rsid w:val="00474675"/>
    <w:rsid w:val="0047470C"/>
    <w:rsid w:val="00475A73"/>
    <w:rsid w:val="00475B89"/>
    <w:rsid w:val="004803C0"/>
    <w:rsid w:val="0048356B"/>
    <w:rsid w:val="00485A50"/>
    <w:rsid w:val="004914E0"/>
    <w:rsid w:val="004929DD"/>
    <w:rsid w:val="004A06C6"/>
    <w:rsid w:val="004A1EAF"/>
    <w:rsid w:val="004A2602"/>
    <w:rsid w:val="004A35F9"/>
    <w:rsid w:val="004A4644"/>
    <w:rsid w:val="004B24C1"/>
    <w:rsid w:val="004C292F"/>
    <w:rsid w:val="004C620D"/>
    <w:rsid w:val="004F00C6"/>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11FD"/>
    <w:rsid w:val="005D2C93"/>
    <w:rsid w:val="005E19E7"/>
    <w:rsid w:val="005F1457"/>
    <w:rsid w:val="005F5391"/>
    <w:rsid w:val="005F564E"/>
    <w:rsid w:val="005F6E7A"/>
    <w:rsid w:val="005F7DEA"/>
    <w:rsid w:val="00601D69"/>
    <w:rsid w:val="0061716C"/>
    <w:rsid w:val="006224C6"/>
    <w:rsid w:val="006243A1"/>
    <w:rsid w:val="00632E56"/>
    <w:rsid w:val="00634048"/>
    <w:rsid w:val="00634C5E"/>
    <w:rsid w:val="00635CBA"/>
    <w:rsid w:val="0064338B"/>
    <w:rsid w:val="00646542"/>
    <w:rsid w:val="006504F4"/>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304B"/>
    <w:rsid w:val="00724EFB"/>
    <w:rsid w:val="0072519C"/>
    <w:rsid w:val="00732762"/>
    <w:rsid w:val="00735395"/>
    <w:rsid w:val="007419C3"/>
    <w:rsid w:val="00743254"/>
    <w:rsid w:val="007467A7"/>
    <w:rsid w:val="007469DD"/>
    <w:rsid w:val="0074741B"/>
    <w:rsid w:val="0074759E"/>
    <w:rsid w:val="007478EA"/>
    <w:rsid w:val="0075415C"/>
    <w:rsid w:val="00755F79"/>
    <w:rsid w:val="00763502"/>
    <w:rsid w:val="00780D84"/>
    <w:rsid w:val="007913AB"/>
    <w:rsid w:val="007914F7"/>
    <w:rsid w:val="00793DDC"/>
    <w:rsid w:val="007A07E4"/>
    <w:rsid w:val="007B1625"/>
    <w:rsid w:val="007B706E"/>
    <w:rsid w:val="007B71EB"/>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504A8"/>
    <w:rsid w:val="0085282E"/>
    <w:rsid w:val="00852A8A"/>
    <w:rsid w:val="00863B41"/>
    <w:rsid w:val="00865902"/>
    <w:rsid w:val="0086649F"/>
    <w:rsid w:val="00867E9C"/>
    <w:rsid w:val="008706CA"/>
    <w:rsid w:val="0087198C"/>
    <w:rsid w:val="00872C1F"/>
    <w:rsid w:val="00873B42"/>
    <w:rsid w:val="00877725"/>
    <w:rsid w:val="008856D8"/>
    <w:rsid w:val="00892E82"/>
    <w:rsid w:val="008961AC"/>
    <w:rsid w:val="008A1116"/>
    <w:rsid w:val="008B7EFF"/>
    <w:rsid w:val="008C1B58"/>
    <w:rsid w:val="008C1F11"/>
    <w:rsid w:val="008C39AE"/>
    <w:rsid w:val="008C431F"/>
    <w:rsid w:val="008C590D"/>
    <w:rsid w:val="008D4266"/>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31BE"/>
    <w:rsid w:val="009352EE"/>
    <w:rsid w:val="0093678E"/>
    <w:rsid w:val="0094212C"/>
    <w:rsid w:val="00942D07"/>
    <w:rsid w:val="00952CFA"/>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51C"/>
    <w:rsid w:val="00A065F9"/>
    <w:rsid w:val="00A07F34"/>
    <w:rsid w:val="00A1013E"/>
    <w:rsid w:val="00A10F0E"/>
    <w:rsid w:val="00A17D4E"/>
    <w:rsid w:val="00A22154"/>
    <w:rsid w:val="00A23290"/>
    <w:rsid w:val="00A25C38"/>
    <w:rsid w:val="00A30247"/>
    <w:rsid w:val="00A36BBE"/>
    <w:rsid w:val="00A37E92"/>
    <w:rsid w:val="00A406AA"/>
    <w:rsid w:val="00A4307A"/>
    <w:rsid w:val="00A44C1B"/>
    <w:rsid w:val="00A47EBB"/>
    <w:rsid w:val="00A505D0"/>
    <w:rsid w:val="00A51CDD"/>
    <w:rsid w:val="00A57EDC"/>
    <w:rsid w:val="00A6161D"/>
    <w:rsid w:val="00A6304A"/>
    <w:rsid w:val="00A65C4E"/>
    <w:rsid w:val="00A6730D"/>
    <w:rsid w:val="00A71625"/>
    <w:rsid w:val="00A71B9B"/>
    <w:rsid w:val="00A751C7"/>
    <w:rsid w:val="00A82006"/>
    <w:rsid w:val="00A86B4A"/>
    <w:rsid w:val="00A87844"/>
    <w:rsid w:val="00A9083A"/>
    <w:rsid w:val="00AA038C"/>
    <w:rsid w:val="00AA20CE"/>
    <w:rsid w:val="00AA7A09"/>
    <w:rsid w:val="00AB3B50"/>
    <w:rsid w:val="00AC05B1"/>
    <w:rsid w:val="00AC1038"/>
    <w:rsid w:val="00AD168E"/>
    <w:rsid w:val="00AD356C"/>
    <w:rsid w:val="00AE2914"/>
    <w:rsid w:val="00AE4983"/>
    <w:rsid w:val="00AE6D15"/>
    <w:rsid w:val="00AF0422"/>
    <w:rsid w:val="00B0046E"/>
    <w:rsid w:val="00B03926"/>
    <w:rsid w:val="00B04182"/>
    <w:rsid w:val="00B07AE3"/>
    <w:rsid w:val="00B11430"/>
    <w:rsid w:val="00B17459"/>
    <w:rsid w:val="00B21FC4"/>
    <w:rsid w:val="00B30705"/>
    <w:rsid w:val="00B30F2D"/>
    <w:rsid w:val="00B353EB"/>
    <w:rsid w:val="00B439AB"/>
    <w:rsid w:val="00B439C4"/>
    <w:rsid w:val="00B43CCC"/>
    <w:rsid w:val="00B4535E"/>
    <w:rsid w:val="00B528DF"/>
    <w:rsid w:val="00B52A8C"/>
    <w:rsid w:val="00B531EE"/>
    <w:rsid w:val="00B636A8"/>
    <w:rsid w:val="00B65991"/>
    <w:rsid w:val="00B665C6"/>
    <w:rsid w:val="00B73CD5"/>
    <w:rsid w:val="00B805AF"/>
    <w:rsid w:val="00B824F3"/>
    <w:rsid w:val="00B83EF5"/>
    <w:rsid w:val="00B869EC"/>
    <w:rsid w:val="00B9397A"/>
    <w:rsid w:val="00B9633D"/>
    <w:rsid w:val="00BA2EBE"/>
    <w:rsid w:val="00BB0F28"/>
    <w:rsid w:val="00BB1332"/>
    <w:rsid w:val="00BB3479"/>
    <w:rsid w:val="00BB458A"/>
    <w:rsid w:val="00BB5582"/>
    <w:rsid w:val="00BB71AF"/>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07788"/>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8691C"/>
    <w:rsid w:val="00C90C46"/>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673F"/>
    <w:rsid w:val="00CF3F8F"/>
    <w:rsid w:val="00D0337B"/>
    <w:rsid w:val="00D07990"/>
    <w:rsid w:val="00D079B2"/>
    <w:rsid w:val="00D114E9"/>
    <w:rsid w:val="00D11F0A"/>
    <w:rsid w:val="00D175E8"/>
    <w:rsid w:val="00D31F2E"/>
    <w:rsid w:val="00D32DD9"/>
    <w:rsid w:val="00D338E2"/>
    <w:rsid w:val="00D35371"/>
    <w:rsid w:val="00D40E46"/>
    <w:rsid w:val="00D412FB"/>
    <w:rsid w:val="00D429C6"/>
    <w:rsid w:val="00D45289"/>
    <w:rsid w:val="00D47748"/>
    <w:rsid w:val="00D53AA1"/>
    <w:rsid w:val="00D54CC3"/>
    <w:rsid w:val="00D5735A"/>
    <w:rsid w:val="00D6041A"/>
    <w:rsid w:val="00D61149"/>
    <w:rsid w:val="00D62248"/>
    <w:rsid w:val="00D6225F"/>
    <w:rsid w:val="00D633EB"/>
    <w:rsid w:val="00D75194"/>
    <w:rsid w:val="00D82939"/>
    <w:rsid w:val="00D82FF7"/>
    <w:rsid w:val="00D847FE"/>
    <w:rsid w:val="00D85D7E"/>
    <w:rsid w:val="00D87177"/>
    <w:rsid w:val="00D877D9"/>
    <w:rsid w:val="00D87F72"/>
    <w:rsid w:val="00D91986"/>
    <w:rsid w:val="00D964EA"/>
    <w:rsid w:val="00D966D0"/>
    <w:rsid w:val="00DA0C59"/>
    <w:rsid w:val="00DA2593"/>
    <w:rsid w:val="00DA3991"/>
    <w:rsid w:val="00DB01D2"/>
    <w:rsid w:val="00DB1D39"/>
    <w:rsid w:val="00DB7E6C"/>
    <w:rsid w:val="00DC650A"/>
    <w:rsid w:val="00DD108D"/>
    <w:rsid w:val="00DD13B8"/>
    <w:rsid w:val="00DD5A29"/>
    <w:rsid w:val="00DD5D9D"/>
    <w:rsid w:val="00DD7DD4"/>
    <w:rsid w:val="00DE1A46"/>
    <w:rsid w:val="00DE35CB"/>
    <w:rsid w:val="00DE7543"/>
    <w:rsid w:val="00DF067D"/>
    <w:rsid w:val="00DF21E9"/>
    <w:rsid w:val="00DF2F9A"/>
    <w:rsid w:val="00DF3ECA"/>
    <w:rsid w:val="00E00058"/>
    <w:rsid w:val="00E00325"/>
    <w:rsid w:val="00E00684"/>
    <w:rsid w:val="00E00F14"/>
    <w:rsid w:val="00E06386"/>
    <w:rsid w:val="00E11943"/>
    <w:rsid w:val="00E1217C"/>
    <w:rsid w:val="00E16540"/>
    <w:rsid w:val="00E17EAB"/>
    <w:rsid w:val="00E208AD"/>
    <w:rsid w:val="00E216E9"/>
    <w:rsid w:val="00E21912"/>
    <w:rsid w:val="00E24EB4"/>
    <w:rsid w:val="00E31395"/>
    <w:rsid w:val="00E320ED"/>
    <w:rsid w:val="00E3270B"/>
    <w:rsid w:val="00E33AFB"/>
    <w:rsid w:val="00E34218"/>
    <w:rsid w:val="00E3476E"/>
    <w:rsid w:val="00E3553A"/>
    <w:rsid w:val="00E46282"/>
    <w:rsid w:val="00E5216E"/>
    <w:rsid w:val="00E62448"/>
    <w:rsid w:val="00E717C6"/>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5440"/>
    <w:rsid w:val="00EC680A"/>
    <w:rsid w:val="00EC6E0A"/>
    <w:rsid w:val="00ED3C58"/>
    <w:rsid w:val="00EE2BED"/>
    <w:rsid w:val="00EE374B"/>
    <w:rsid w:val="00EE3B5E"/>
    <w:rsid w:val="00EF69B1"/>
    <w:rsid w:val="00EF7E90"/>
    <w:rsid w:val="00F005D2"/>
    <w:rsid w:val="00F11BB5"/>
    <w:rsid w:val="00F1417B"/>
    <w:rsid w:val="00F21272"/>
    <w:rsid w:val="00F216CB"/>
    <w:rsid w:val="00F34B99"/>
    <w:rsid w:val="00F35D8B"/>
    <w:rsid w:val="00F52DAB"/>
    <w:rsid w:val="00F543F0"/>
    <w:rsid w:val="00F6004E"/>
    <w:rsid w:val="00F704D7"/>
    <w:rsid w:val="00F7649B"/>
    <w:rsid w:val="00F7776E"/>
    <w:rsid w:val="00F81D29"/>
    <w:rsid w:val="00F8294E"/>
    <w:rsid w:val="00F8585D"/>
    <w:rsid w:val="00F861CF"/>
    <w:rsid w:val="00F866A2"/>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14856B0"/>
    <w:rsid w:val="01766DCD"/>
    <w:rsid w:val="02643AA4"/>
    <w:rsid w:val="027B59CE"/>
    <w:rsid w:val="02BD1811"/>
    <w:rsid w:val="033169DA"/>
    <w:rsid w:val="03E8144B"/>
    <w:rsid w:val="040A0233"/>
    <w:rsid w:val="04D748E9"/>
    <w:rsid w:val="04F55312"/>
    <w:rsid w:val="04FB4876"/>
    <w:rsid w:val="0533402B"/>
    <w:rsid w:val="056E5E01"/>
    <w:rsid w:val="06BE273B"/>
    <w:rsid w:val="06D03238"/>
    <w:rsid w:val="06F757F7"/>
    <w:rsid w:val="06FE2E14"/>
    <w:rsid w:val="070E285E"/>
    <w:rsid w:val="07CB007D"/>
    <w:rsid w:val="07DC535E"/>
    <w:rsid w:val="07FD36D3"/>
    <w:rsid w:val="08523250"/>
    <w:rsid w:val="09162F10"/>
    <w:rsid w:val="0936665C"/>
    <w:rsid w:val="096A7E18"/>
    <w:rsid w:val="099A29F6"/>
    <w:rsid w:val="099C0546"/>
    <w:rsid w:val="09B27034"/>
    <w:rsid w:val="09CB7C1F"/>
    <w:rsid w:val="09DE6FA0"/>
    <w:rsid w:val="0A516D93"/>
    <w:rsid w:val="0AC10B29"/>
    <w:rsid w:val="0ADA18E3"/>
    <w:rsid w:val="0B0260F6"/>
    <w:rsid w:val="0B1F010D"/>
    <w:rsid w:val="0B226674"/>
    <w:rsid w:val="0B4A4908"/>
    <w:rsid w:val="0B5079A4"/>
    <w:rsid w:val="0B5D68CC"/>
    <w:rsid w:val="0B7E34E6"/>
    <w:rsid w:val="0B925026"/>
    <w:rsid w:val="0BE521AA"/>
    <w:rsid w:val="0C3646D2"/>
    <w:rsid w:val="0C5211A4"/>
    <w:rsid w:val="0C754E18"/>
    <w:rsid w:val="0CD62CA9"/>
    <w:rsid w:val="0CEC5348"/>
    <w:rsid w:val="0D320E7D"/>
    <w:rsid w:val="0D335F63"/>
    <w:rsid w:val="0D820F1E"/>
    <w:rsid w:val="0E1A7928"/>
    <w:rsid w:val="0E523934"/>
    <w:rsid w:val="0EB15D56"/>
    <w:rsid w:val="0F6B4E89"/>
    <w:rsid w:val="107552EA"/>
    <w:rsid w:val="10C83E20"/>
    <w:rsid w:val="1152537E"/>
    <w:rsid w:val="115A20C5"/>
    <w:rsid w:val="11A854D5"/>
    <w:rsid w:val="11C50A70"/>
    <w:rsid w:val="120549C3"/>
    <w:rsid w:val="1244192C"/>
    <w:rsid w:val="12574288"/>
    <w:rsid w:val="12825C97"/>
    <w:rsid w:val="12C845AE"/>
    <w:rsid w:val="13182DC5"/>
    <w:rsid w:val="138C447A"/>
    <w:rsid w:val="139D7071"/>
    <w:rsid w:val="13CE56A7"/>
    <w:rsid w:val="146B0760"/>
    <w:rsid w:val="149E1B87"/>
    <w:rsid w:val="154A4B37"/>
    <w:rsid w:val="157A5D07"/>
    <w:rsid w:val="158D360F"/>
    <w:rsid w:val="15B61CDA"/>
    <w:rsid w:val="15CF1C62"/>
    <w:rsid w:val="16033DFA"/>
    <w:rsid w:val="167509CC"/>
    <w:rsid w:val="16B458B8"/>
    <w:rsid w:val="176544E1"/>
    <w:rsid w:val="18322249"/>
    <w:rsid w:val="185C17D0"/>
    <w:rsid w:val="18955720"/>
    <w:rsid w:val="189A4BE7"/>
    <w:rsid w:val="191A6E08"/>
    <w:rsid w:val="1A032FF7"/>
    <w:rsid w:val="1A1023F5"/>
    <w:rsid w:val="1A145C09"/>
    <w:rsid w:val="1A517851"/>
    <w:rsid w:val="1A714E4B"/>
    <w:rsid w:val="1A9E48DA"/>
    <w:rsid w:val="1AAE4700"/>
    <w:rsid w:val="1ABF3932"/>
    <w:rsid w:val="1B8D73B6"/>
    <w:rsid w:val="1BA31522"/>
    <w:rsid w:val="1BC20F68"/>
    <w:rsid w:val="1BDF6798"/>
    <w:rsid w:val="1C0F3C6C"/>
    <w:rsid w:val="1C2B4A2D"/>
    <w:rsid w:val="1CB14168"/>
    <w:rsid w:val="1CC36BBC"/>
    <w:rsid w:val="1E5608B5"/>
    <w:rsid w:val="1E697DA9"/>
    <w:rsid w:val="1F805EC4"/>
    <w:rsid w:val="1F897547"/>
    <w:rsid w:val="1FF7404C"/>
    <w:rsid w:val="20027EBD"/>
    <w:rsid w:val="2028079D"/>
    <w:rsid w:val="20383570"/>
    <w:rsid w:val="2047065B"/>
    <w:rsid w:val="204B009B"/>
    <w:rsid w:val="205B1662"/>
    <w:rsid w:val="20702FEE"/>
    <w:rsid w:val="20E6161E"/>
    <w:rsid w:val="21036572"/>
    <w:rsid w:val="21707705"/>
    <w:rsid w:val="21A34E82"/>
    <w:rsid w:val="21BA508A"/>
    <w:rsid w:val="21BE6ACA"/>
    <w:rsid w:val="21DE0D05"/>
    <w:rsid w:val="22860183"/>
    <w:rsid w:val="2310549C"/>
    <w:rsid w:val="23174D88"/>
    <w:rsid w:val="2371512E"/>
    <w:rsid w:val="23972956"/>
    <w:rsid w:val="23C93B1E"/>
    <w:rsid w:val="24033E4C"/>
    <w:rsid w:val="240E3DB4"/>
    <w:rsid w:val="241566E1"/>
    <w:rsid w:val="242511B4"/>
    <w:rsid w:val="247F0FD1"/>
    <w:rsid w:val="248E1A4B"/>
    <w:rsid w:val="24F77D98"/>
    <w:rsid w:val="2512260A"/>
    <w:rsid w:val="255A4E5B"/>
    <w:rsid w:val="25E22359"/>
    <w:rsid w:val="26563727"/>
    <w:rsid w:val="266E5773"/>
    <w:rsid w:val="26E00383"/>
    <w:rsid w:val="26E54782"/>
    <w:rsid w:val="278E14FE"/>
    <w:rsid w:val="27E962B8"/>
    <w:rsid w:val="27FC7438"/>
    <w:rsid w:val="280D0BC3"/>
    <w:rsid w:val="287A20CE"/>
    <w:rsid w:val="28B561FC"/>
    <w:rsid w:val="28F67528"/>
    <w:rsid w:val="29852407"/>
    <w:rsid w:val="29942071"/>
    <w:rsid w:val="29CB34BB"/>
    <w:rsid w:val="2A162745"/>
    <w:rsid w:val="2A18129D"/>
    <w:rsid w:val="2A95387B"/>
    <w:rsid w:val="2BB73BA3"/>
    <w:rsid w:val="2BF836B1"/>
    <w:rsid w:val="2C1B67BC"/>
    <w:rsid w:val="2C3967A4"/>
    <w:rsid w:val="2C417840"/>
    <w:rsid w:val="2D201DB0"/>
    <w:rsid w:val="2D6C4E7B"/>
    <w:rsid w:val="2DC71C0F"/>
    <w:rsid w:val="2DE54F84"/>
    <w:rsid w:val="2E2F2656"/>
    <w:rsid w:val="2EA92741"/>
    <w:rsid w:val="2EE31606"/>
    <w:rsid w:val="2F1007AE"/>
    <w:rsid w:val="2F321CB5"/>
    <w:rsid w:val="2F582328"/>
    <w:rsid w:val="2F6828B1"/>
    <w:rsid w:val="2FFD0B79"/>
    <w:rsid w:val="300E36D9"/>
    <w:rsid w:val="30603174"/>
    <w:rsid w:val="307B5FA3"/>
    <w:rsid w:val="308519FC"/>
    <w:rsid w:val="309D4B1D"/>
    <w:rsid w:val="30B54141"/>
    <w:rsid w:val="30D50029"/>
    <w:rsid w:val="3142221C"/>
    <w:rsid w:val="31504B25"/>
    <w:rsid w:val="31B42E4A"/>
    <w:rsid w:val="320913E1"/>
    <w:rsid w:val="322A5BE0"/>
    <w:rsid w:val="32640B3D"/>
    <w:rsid w:val="32692FCC"/>
    <w:rsid w:val="32CD2220"/>
    <w:rsid w:val="32CD4B1D"/>
    <w:rsid w:val="32D04E91"/>
    <w:rsid w:val="32E86B4B"/>
    <w:rsid w:val="3327521B"/>
    <w:rsid w:val="333F0390"/>
    <w:rsid w:val="334709F2"/>
    <w:rsid w:val="334B5ACD"/>
    <w:rsid w:val="336E37F8"/>
    <w:rsid w:val="337D327E"/>
    <w:rsid w:val="338D2F41"/>
    <w:rsid w:val="34610EDC"/>
    <w:rsid w:val="348B5DE1"/>
    <w:rsid w:val="34A4454D"/>
    <w:rsid w:val="34BB4C32"/>
    <w:rsid w:val="34FD2C4D"/>
    <w:rsid w:val="35AD4019"/>
    <w:rsid w:val="35B05892"/>
    <w:rsid w:val="35E10F01"/>
    <w:rsid w:val="3607632B"/>
    <w:rsid w:val="36177BA2"/>
    <w:rsid w:val="3628329A"/>
    <w:rsid w:val="36B03936"/>
    <w:rsid w:val="36B24B86"/>
    <w:rsid w:val="37005D50"/>
    <w:rsid w:val="376944BA"/>
    <w:rsid w:val="37D4772D"/>
    <w:rsid w:val="382A6866"/>
    <w:rsid w:val="38857D77"/>
    <w:rsid w:val="38C70FC4"/>
    <w:rsid w:val="38CB2A62"/>
    <w:rsid w:val="38E50D15"/>
    <w:rsid w:val="39043021"/>
    <w:rsid w:val="390D41DE"/>
    <w:rsid w:val="392A3379"/>
    <w:rsid w:val="39E01D7E"/>
    <w:rsid w:val="3A596B48"/>
    <w:rsid w:val="3AF72363"/>
    <w:rsid w:val="3AFE65E8"/>
    <w:rsid w:val="3B1B0A5E"/>
    <w:rsid w:val="3B6F7D8B"/>
    <w:rsid w:val="3B924647"/>
    <w:rsid w:val="3C2B14D8"/>
    <w:rsid w:val="3C2F46D2"/>
    <w:rsid w:val="3C6A314F"/>
    <w:rsid w:val="3CBE3937"/>
    <w:rsid w:val="3CE02504"/>
    <w:rsid w:val="3CE438D4"/>
    <w:rsid w:val="3CED131F"/>
    <w:rsid w:val="3D105B64"/>
    <w:rsid w:val="3D204363"/>
    <w:rsid w:val="3D327228"/>
    <w:rsid w:val="3DEB2E5F"/>
    <w:rsid w:val="3E1141F5"/>
    <w:rsid w:val="3EC60C1A"/>
    <w:rsid w:val="3EEB3901"/>
    <w:rsid w:val="3F6B7647"/>
    <w:rsid w:val="3F6C6A56"/>
    <w:rsid w:val="3F974083"/>
    <w:rsid w:val="3F9F33A6"/>
    <w:rsid w:val="3FE73C95"/>
    <w:rsid w:val="4003403A"/>
    <w:rsid w:val="403976BE"/>
    <w:rsid w:val="405634F5"/>
    <w:rsid w:val="42244C13"/>
    <w:rsid w:val="423239CA"/>
    <w:rsid w:val="425A2164"/>
    <w:rsid w:val="42B563D5"/>
    <w:rsid w:val="4349244D"/>
    <w:rsid w:val="43693776"/>
    <w:rsid w:val="43B67873"/>
    <w:rsid w:val="43CC501E"/>
    <w:rsid w:val="44251F39"/>
    <w:rsid w:val="44283A10"/>
    <w:rsid w:val="445F41EB"/>
    <w:rsid w:val="450E4FEB"/>
    <w:rsid w:val="451351A2"/>
    <w:rsid w:val="45464A1A"/>
    <w:rsid w:val="454A15DC"/>
    <w:rsid w:val="470F771C"/>
    <w:rsid w:val="47CD532E"/>
    <w:rsid w:val="4801536A"/>
    <w:rsid w:val="482A3509"/>
    <w:rsid w:val="48A665B7"/>
    <w:rsid w:val="496E7C4F"/>
    <w:rsid w:val="49D5010B"/>
    <w:rsid w:val="49E53BAB"/>
    <w:rsid w:val="4A9B239A"/>
    <w:rsid w:val="4AB24A15"/>
    <w:rsid w:val="4BBD2743"/>
    <w:rsid w:val="4BFC7081"/>
    <w:rsid w:val="4C3D4C59"/>
    <w:rsid w:val="4C497360"/>
    <w:rsid w:val="4C7B3F29"/>
    <w:rsid w:val="4CD00805"/>
    <w:rsid w:val="4D1D5282"/>
    <w:rsid w:val="4D370A8A"/>
    <w:rsid w:val="4E1E61DA"/>
    <w:rsid w:val="4E5D1152"/>
    <w:rsid w:val="4EDB3E30"/>
    <w:rsid w:val="4F1F031B"/>
    <w:rsid w:val="4F27285C"/>
    <w:rsid w:val="4F3B332B"/>
    <w:rsid w:val="4FEB55F7"/>
    <w:rsid w:val="505A7235"/>
    <w:rsid w:val="50847BAF"/>
    <w:rsid w:val="50C96FF9"/>
    <w:rsid w:val="51107DAC"/>
    <w:rsid w:val="517271C4"/>
    <w:rsid w:val="51F02954"/>
    <w:rsid w:val="51F30DE4"/>
    <w:rsid w:val="521D4FEF"/>
    <w:rsid w:val="526D1CDC"/>
    <w:rsid w:val="528E1ABE"/>
    <w:rsid w:val="52971636"/>
    <w:rsid w:val="52E95443"/>
    <w:rsid w:val="531C512C"/>
    <w:rsid w:val="53242159"/>
    <w:rsid w:val="53541C26"/>
    <w:rsid w:val="54204F87"/>
    <w:rsid w:val="54366B18"/>
    <w:rsid w:val="54BD3BE9"/>
    <w:rsid w:val="54C2759D"/>
    <w:rsid w:val="54E35EE7"/>
    <w:rsid w:val="55094465"/>
    <w:rsid w:val="553B6D35"/>
    <w:rsid w:val="55F35F45"/>
    <w:rsid w:val="567265E5"/>
    <w:rsid w:val="56753A68"/>
    <w:rsid w:val="56816926"/>
    <w:rsid w:val="57166665"/>
    <w:rsid w:val="5774104E"/>
    <w:rsid w:val="57D503AA"/>
    <w:rsid w:val="57F830CA"/>
    <w:rsid w:val="5801676F"/>
    <w:rsid w:val="59021028"/>
    <w:rsid w:val="59300F53"/>
    <w:rsid w:val="59336F04"/>
    <w:rsid w:val="59815DA0"/>
    <w:rsid w:val="59DC45D1"/>
    <w:rsid w:val="5A345E4A"/>
    <w:rsid w:val="5A6C5FE8"/>
    <w:rsid w:val="5A7E6003"/>
    <w:rsid w:val="5AA67F26"/>
    <w:rsid w:val="5AB1273A"/>
    <w:rsid w:val="5ADF67EC"/>
    <w:rsid w:val="5AE02EF4"/>
    <w:rsid w:val="5B1046BA"/>
    <w:rsid w:val="5B43217F"/>
    <w:rsid w:val="5B635F33"/>
    <w:rsid w:val="5B9D366E"/>
    <w:rsid w:val="5C5B39BC"/>
    <w:rsid w:val="5CCC3EE4"/>
    <w:rsid w:val="5D1F4F35"/>
    <w:rsid w:val="5D372F5E"/>
    <w:rsid w:val="5D5475B4"/>
    <w:rsid w:val="5D696D4B"/>
    <w:rsid w:val="5D8A1824"/>
    <w:rsid w:val="5DB72BE5"/>
    <w:rsid w:val="5DC83AD6"/>
    <w:rsid w:val="5E831ABC"/>
    <w:rsid w:val="5EBA7FA0"/>
    <w:rsid w:val="5EDD1811"/>
    <w:rsid w:val="5F9B64D4"/>
    <w:rsid w:val="5FC15874"/>
    <w:rsid w:val="5FCC27B6"/>
    <w:rsid w:val="60161510"/>
    <w:rsid w:val="601C6522"/>
    <w:rsid w:val="60B64BC7"/>
    <w:rsid w:val="60DD03FC"/>
    <w:rsid w:val="60F53E25"/>
    <w:rsid w:val="61320F4E"/>
    <w:rsid w:val="6190090D"/>
    <w:rsid w:val="62364EF5"/>
    <w:rsid w:val="629356BE"/>
    <w:rsid w:val="62A04D17"/>
    <w:rsid w:val="62C2386D"/>
    <w:rsid w:val="62D97AB9"/>
    <w:rsid w:val="62E0314C"/>
    <w:rsid w:val="631F51CE"/>
    <w:rsid w:val="63BE56E8"/>
    <w:rsid w:val="63D272BF"/>
    <w:rsid w:val="64310B06"/>
    <w:rsid w:val="645C7FD8"/>
    <w:rsid w:val="64717CD7"/>
    <w:rsid w:val="64884AA7"/>
    <w:rsid w:val="64D645D9"/>
    <w:rsid w:val="654D10DC"/>
    <w:rsid w:val="6561679F"/>
    <w:rsid w:val="65B27545"/>
    <w:rsid w:val="65DB4BD5"/>
    <w:rsid w:val="66235B2E"/>
    <w:rsid w:val="66E453D1"/>
    <w:rsid w:val="670F7961"/>
    <w:rsid w:val="675F1A20"/>
    <w:rsid w:val="68626BD7"/>
    <w:rsid w:val="68757C13"/>
    <w:rsid w:val="688C65D7"/>
    <w:rsid w:val="68A44B7E"/>
    <w:rsid w:val="68CF3421"/>
    <w:rsid w:val="68E51CCD"/>
    <w:rsid w:val="69042AA9"/>
    <w:rsid w:val="6905415F"/>
    <w:rsid w:val="69406230"/>
    <w:rsid w:val="69D739D0"/>
    <w:rsid w:val="69DE6AC4"/>
    <w:rsid w:val="6A4A3AAB"/>
    <w:rsid w:val="6A6F494A"/>
    <w:rsid w:val="6A8277C4"/>
    <w:rsid w:val="6A95456F"/>
    <w:rsid w:val="6AB158C3"/>
    <w:rsid w:val="6AB71B26"/>
    <w:rsid w:val="6B7F291C"/>
    <w:rsid w:val="6BD12144"/>
    <w:rsid w:val="6C0D3F95"/>
    <w:rsid w:val="6C0D5591"/>
    <w:rsid w:val="6C387621"/>
    <w:rsid w:val="6C4F07B5"/>
    <w:rsid w:val="6C7A0C2F"/>
    <w:rsid w:val="6C9B6110"/>
    <w:rsid w:val="6CBD1C3F"/>
    <w:rsid w:val="6D184F6A"/>
    <w:rsid w:val="6D3E5404"/>
    <w:rsid w:val="6D503507"/>
    <w:rsid w:val="6D575DF2"/>
    <w:rsid w:val="6DC129B0"/>
    <w:rsid w:val="6DD7327F"/>
    <w:rsid w:val="6DED4DF4"/>
    <w:rsid w:val="6DF060FA"/>
    <w:rsid w:val="6DFA3CB1"/>
    <w:rsid w:val="6E3B56BC"/>
    <w:rsid w:val="6E3C7073"/>
    <w:rsid w:val="6E505401"/>
    <w:rsid w:val="6EA211C2"/>
    <w:rsid w:val="6ED40266"/>
    <w:rsid w:val="6FA61860"/>
    <w:rsid w:val="6FCF6F3C"/>
    <w:rsid w:val="6FD774BC"/>
    <w:rsid w:val="703A535A"/>
    <w:rsid w:val="703D799F"/>
    <w:rsid w:val="7049255A"/>
    <w:rsid w:val="705C7048"/>
    <w:rsid w:val="71521156"/>
    <w:rsid w:val="71D06A77"/>
    <w:rsid w:val="72056458"/>
    <w:rsid w:val="72984B5E"/>
    <w:rsid w:val="72A451F4"/>
    <w:rsid w:val="73803FD0"/>
    <w:rsid w:val="73933952"/>
    <w:rsid w:val="73E219C1"/>
    <w:rsid w:val="740038BA"/>
    <w:rsid w:val="75176B73"/>
    <w:rsid w:val="751D277B"/>
    <w:rsid w:val="754119E9"/>
    <w:rsid w:val="75592DF7"/>
    <w:rsid w:val="75692FDF"/>
    <w:rsid w:val="757068BE"/>
    <w:rsid w:val="764C5381"/>
    <w:rsid w:val="765907E7"/>
    <w:rsid w:val="76DA7C87"/>
    <w:rsid w:val="771246A6"/>
    <w:rsid w:val="77A20DBC"/>
    <w:rsid w:val="77F0569A"/>
    <w:rsid w:val="782747C6"/>
    <w:rsid w:val="784056B9"/>
    <w:rsid w:val="786F0587"/>
    <w:rsid w:val="787E03F0"/>
    <w:rsid w:val="788079F6"/>
    <w:rsid w:val="78D30DAB"/>
    <w:rsid w:val="78DE571F"/>
    <w:rsid w:val="78E97021"/>
    <w:rsid w:val="79714C5B"/>
    <w:rsid w:val="798C591A"/>
    <w:rsid w:val="798E3BDF"/>
    <w:rsid w:val="79943B7B"/>
    <w:rsid w:val="79984FC8"/>
    <w:rsid w:val="79EF7123"/>
    <w:rsid w:val="7A1E19E3"/>
    <w:rsid w:val="7A473982"/>
    <w:rsid w:val="7A721E9E"/>
    <w:rsid w:val="7A9C1D3D"/>
    <w:rsid w:val="7AA00A5A"/>
    <w:rsid w:val="7AC36D74"/>
    <w:rsid w:val="7AE57A1B"/>
    <w:rsid w:val="7B2851B8"/>
    <w:rsid w:val="7B3F5D02"/>
    <w:rsid w:val="7B567B01"/>
    <w:rsid w:val="7BC937D6"/>
    <w:rsid w:val="7CA27F43"/>
    <w:rsid w:val="7CD52A59"/>
    <w:rsid w:val="7CE976BD"/>
    <w:rsid w:val="7D032928"/>
    <w:rsid w:val="7D122C47"/>
    <w:rsid w:val="7D1A309E"/>
    <w:rsid w:val="7D364F16"/>
    <w:rsid w:val="7DF23EEE"/>
    <w:rsid w:val="7E6F0260"/>
    <w:rsid w:val="7EEE734A"/>
    <w:rsid w:val="7F452F3A"/>
    <w:rsid w:val="7F4B4EF0"/>
    <w:rsid w:val="7F597AC2"/>
    <w:rsid w:val="7F952626"/>
    <w:rsid w:val="7F9F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semiHidden="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qFormat/>
    <w:uiPriority w:val="0"/>
    <w:pPr>
      <w:tabs>
        <w:tab w:val="right" w:leader="dot" w:pos="9241"/>
      </w:tabs>
      <w:ind w:firstLine="300" w:firstLineChars="300"/>
      <w:jc w:val="left"/>
    </w:pPr>
    <w:rPr>
      <w:rFonts w:ascii="宋体"/>
      <w:szCs w:val="21"/>
    </w:rPr>
  </w:style>
  <w:style w:type="paragraph" w:styleId="10">
    <w:name w:val="toc 3"/>
    <w:basedOn w:val="1"/>
    <w:next w:val="1"/>
    <w:qFormat/>
    <w:uiPriority w:val="39"/>
    <w:pPr>
      <w:tabs>
        <w:tab w:val="right" w:leader="dot" w:pos="9241"/>
      </w:tabs>
      <w:ind w:firstLine="102" w:firstLineChars="100"/>
      <w:jc w:val="left"/>
    </w:pPr>
    <w:rPr>
      <w:rFonts w:ascii="宋体"/>
      <w:szCs w:val="21"/>
    </w:rPr>
  </w:style>
  <w:style w:type="paragraph" w:styleId="11">
    <w:name w:val="toc 8"/>
    <w:basedOn w:val="1"/>
    <w:next w:val="1"/>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qFormat/>
    <w:uiPriority w:val="39"/>
    <w:pPr>
      <w:tabs>
        <w:tab w:val="right" w:leader="dot" w:pos="9241"/>
      </w:tabs>
      <w:spacing w:beforeLines="25" w:afterLines="25"/>
      <w:jc w:val="left"/>
    </w:pPr>
    <w:rPr>
      <w:rFonts w:ascii="宋体"/>
      <w:szCs w:val="21"/>
    </w:rPr>
  </w:style>
  <w:style w:type="paragraph" w:styleId="17">
    <w:name w:val="toc 4"/>
    <w:basedOn w:val="1"/>
    <w:next w:val="1"/>
    <w:semiHidden/>
    <w:qFormat/>
    <w:uiPriority w:val="0"/>
    <w:pPr>
      <w:tabs>
        <w:tab w:val="right" w:leader="dot" w:pos="9241"/>
      </w:tabs>
      <w:ind w:firstLine="198"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3"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1"/>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0"/>
    <w:qFormat/>
    <w:uiPriority w:val="0"/>
    <w:rPr>
      <w:rFonts w:ascii="宋体"/>
      <w:sz w:val="21"/>
      <w:lang w:val="en-US" w:eastAsia="zh-CN" w:bidi="ar-SA"/>
    </w:rPr>
  </w:style>
  <w:style w:type="paragraph" w:customStyle="1" w:styleId="38">
    <w:name w:val="一级条标题"/>
    <w:next w:val="20"/>
    <w:link w:val="13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0"/>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0"/>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0"/>
    <w:qFormat/>
    <w:uiPriority w:val="0"/>
    <w:pPr>
      <w:numPr>
        <w:ilvl w:val="4"/>
      </w:numPr>
      <w:outlineLvl w:val="5"/>
    </w:pPr>
  </w:style>
  <w:style w:type="paragraph" w:customStyle="1" w:styleId="52">
    <w:name w:val="五级条标题"/>
    <w:basedOn w:val="51"/>
    <w:next w:val="20"/>
    <w:qFormat/>
    <w:uiPriority w:val="0"/>
    <w:pPr>
      <w:numPr>
        <w:ilvl w:val="5"/>
      </w:numPr>
      <w:outlineLvl w:val="6"/>
    </w:pPr>
  </w:style>
  <w:style w:type="paragraph" w:customStyle="1" w:styleId="53">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0"/>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0"/>
    <w:next w:val="20"/>
    <w:qFormat/>
    <w:uiPriority w:val="0"/>
    <w:pPr>
      <w:ind w:firstLine="0" w:firstLineChars="0"/>
      <w:jc w:val="center"/>
    </w:pPr>
    <w:rPr>
      <w:rFonts w:ascii="黑体" w:eastAsia="黑体"/>
    </w:rPr>
  </w:style>
  <w:style w:type="paragraph" w:customStyle="1" w:styleId="82">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0"/>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0"/>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0"/>
    <w:next w:val="20"/>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0"/>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0"/>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0"/>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0"/>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0"/>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0"/>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0"/>
    <w:next w:val="20"/>
    <w:qFormat/>
    <w:uiPriority w:val="0"/>
    <w:pPr>
      <w:ind w:firstLine="360"/>
    </w:pPr>
    <w:rPr>
      <w:sz w:val="18"/>
    </w:rPr>
  </w:style>
  <w:style w:type="paragraph" w:customStyle="1" w:styleId="112">
    <w:name w:val="首示例"/>
    <w:next w:val="20"/>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1"/>
    <w:qFormat/>
    <w:uiPriority w:val="0"/>
    <w:pPr>
      <w:numPr>
        <w:numId w:val="0"/>
      </w:numPr>
      <w:jc w:val="both"/>
    </w:pPr>
  </w:style>
  <w:style w:type="paragraph" w:customStyle="1" w:styleId="116">
    <w:name w:val="图标脚注说明"/>
    <w:basedOn w:val="20"/>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0"/>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0"/>
    <w:next w:val="20"/>
    <w:qFormat/>
    <w:uiPriority w:val="0"/>
    <w:pPr>
      <w:ind w:firstLine="0" w:firstLineChars="0"/>
    </w:pPr>
  </w:style>
  <w:style w:type="paragraph" w:customStyle="1" w:styleId="124">
    <w:name w:val="正文图标题"/>
    <w:next w:val="20"/>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一级条标题 Char"/>
    <w:basedOn w:val="31"/>
    <w:link w:val="38"/>
    <w:qFormat/>
    <w:uiPriority w:val="0"/>
    <w:rPr>
      <w:rFonts w:ascii="黑体" w:eastAsia="黑体"/>
      <w:sz w:val="21"/>
      <w:szCs w:val="21"/>
      <w:lang w:val="en-US" w:eastAsia="zh-CN" w:bidi="ar-SA"/>
    </w:rPr>
  </w:style>
  <w:style w:type="paragraph" w:customStyle="1" w:styleId="134">
    <w:name w:val="Body text|1"/>
    <w:basedOn w:val="1"/>
    <w:qFormat/>
    <w:uiPriority w:val="0"/>
    <w:pPr>
      <w:spacing w:line="312" w:lineRule="auto"/>
    </w:pPr>
    <w:rPr>
      <w:rFonts w:ascii="MingLiU" w:hAnsi="MingLiU" w:eastAsia="MingLiU" w:cs="MingLiU"/>
      <w:sz w:val="20"/>
      <w:szCs w:val="20"/>
      <w:lang w:val="zh-TW" w:eastAsia="zh-TW" w:bidi="zh-TW"/>
    </w:rPr>
  </w:style>
  <w:style w:type="character" w:customStyle="1" w:styleId="135">
    <w:name w:val="未处理的提及1"/>
    <w:basedOn w:val="31"/>
    <w:semiHidden/>
    <w:unhideWhenUsed/>
    <w:qFormat/>
    <w:uiPriority w:val="99"/>
    <w:rPr>
      <w:color w:val="605E5C"/>
      <w:shd w:val="clear" w:color="auto" w:fill="E1DFDD"/>
    </w:rPr>
  </w:style>
  <w:style w:type="paragraph" w:customStyle="1" w:styleId="136">
    <w:name w:val="段(正文）"/>
    <w:qFormat/>
    <w:uiPriority w:val="0"/>
    <w:pPr>
      <w:autoSpaceDE w:val="0"/>
      <w:autoSpaceDN w:val="0"/>
      <w:ind w:firstLine="420"/>
      <w:jc w:val="both"/>
    </w:pPr>
    <w:rPr>
      <w:rFonts w:ascii="宋体" w:hAnsi="Calibri"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DD5-6E27-4AF9-9AFC-BEC09400892A}">
  <ds:schemaRefs/>
</ds:datastoreItem>
</file>

<file path=docProps/app.xml><?xml version="1.0" encoding="utf-8"?>
<Properties xmlns="http://schemas.openxmlformats.org/officeDocument/2006/extended-properties" xmlns:vt="http://schemas.openxmlformats.org/officeDocument/2006/docPropsVTypes">
  <Template>Normal</Template>
  <Pages>9</Pages>
  <Words>683</Words>
  <Characters>3899</Characters>
  <Lines>32</Lines>
  <Paragraphs>9</Paragraphs>
  <TotalTime>10</TotalTime>
  <ScaleCrop>false</ScaleCrop>
  <LinksUpToDate>false</LinksUpToDate>
  <CharactersWithSpaces>4573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2020-08-06T06:27:00Z</dcterms:created>
  <dcterms:modified xsi:type="dcterms:W3CDTF">2020-09-03T09:30:52Z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