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after="312" w:afterLines="100" w:line="240" w:lineRule="auto"/>
        <w:jc w:val="center"/>
        <w:textAlignment w:val="auto"/>
        <w:rPr>
          <w:rFonts w:hint="eastAsia" w:ascii="宋体" w:hAnsi="宋体" w:eastAsia="宋体" w:cs="宋体"/>
          <w:b/>
          <w:sz w:val="32"/>
          <w:szCs w:val="32"/>
          <w:lang w:val="en-US" w:eastAsia="zh-CN"/>
        </w:rPr>
      </w:pPr>
      <w:r>
        <w:rPr>
          <w:rFonts w:hint="eastAsia" w:ascii="宋体" w:hAnsi="宋体" w:cs="宋体"/>
          <w:b/>
          <w:sz w:val="32"/>
          <w:szCs w:val="32"/>
        </w:rPr>
        <w:t>《即食豆制品》编制说明</w:t>
      </w:r>
      <w:r>
        <w:rPr>
          <w:rFonts w:hint="eastAsia" w:ascii="宋体" w:hAnsi="宋体" w:cs="宋体"/>
          <w:b/>
          <w:sz w:val="32"/>
          <w:szCs w:val="32"/>
          <w:lang w:val="en-US" w:eastAsia="zh-CN"/>
        </w:rPr>
        <w:t xml:space="preserve"> </w:t>
      </w:r>
    </w:p>
    <w:p>
      <w:pPr>
        <w:keepNext w:val="0"/>
        <w:keepLines w:val="0"/>
        <w:pageBreakBefore w:val="0"/>
        <w:kinsoku/>
        <w:wordWrap/>
        <w:overflowPunct/>
        <w:topLinePunct w:val="0"/>
        <w:bidi w:val="0"/>
        <w:adjustRightInd/>
        <w:snapToGrid/>
        <w:spacing w:line="240" w:lineRule="auto"/>
        <w:textAlignment w:val="auto"/>
        <w:rPr>
          <w:rFonts w:ascii="黑体" w:hAnsi="黑体" w:eastAsia="黑体" w:cs="黑体"/>
          <w:bCs/>
          <w:szCs w:val="21"/>
        </w:rPr>
      </w:pPr>
      <w:r>
        <w:rPr>
          <w:rFonts w:hint="eastAsia" w:ascii="黑体" w:hAnsi="黑体" w:eastAsia="黑体" w:cs="黑体"/>
          <w:bCs/>
          <w:szCs w:val="21"/>
        </w:rPr>
        <w:t>一、项目来源：</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color w:val="000000"/>
          <w:szCs w:val="21"/>
        </w:rPr>
      </w:pPr>
      <w:r>
        <w:rPr>
          <w:rFonts w:hint="eastAsia" w:ascii="宋体" w:hAnsi="宋体" w:cs="宋体"/>
          <w:color w:val="000000"/>
          <w:szCs w:val="21"/>
        </w:rPr>
        <w:t>根据浙江省食品学会关于印发《2020年第一批团体标准制订、修订计划》的通知，浙江子午线质量标准化研究有限公司组织起草工作组负责团体标准《即食豆制品》的起草工作，并由浙江省食品学会归口。</w:t>
      </w:r>
    </w:p>
    <w:p>
      <w:pPr>
        <w:keepNext w:val="0"/>
        <w:keepLines w:val="0"/>
        <w:pageBreakBefore w:val="0"/>
        <w:kinsoku/>
        <w:wordWrap/>
        <w:overflowPunct/>
        <w:topLinePunct w:val="0"/>
        <w:bidi w:val="0"/>
        <w:adjustRightInd/>
        <w:snapToGrid/>
        <w:spacing w:line="240" w:lineRule="auto"/>
        <w:textAlignment w:val="auto"/>
        <w:rPr>
          <w:rFonts w:ascii="黑体" w:hAnsi="黑体" w:eastAsia="黑体" w:cs="黑体"/>
          <w:szCs w:val="21"/>
        </w:rPr>
      </w:pPr>
      <w:r>
        <w:rPr>
          <w:rFonts w:hint="eastAsia" w:ascii="黑体" w:hAnsi="黑体" w:eastAsia="黑体" w:cs="黑体"/>
          <w:szCs w:val="21"/>
        </w:rPr>
        <w:t>二、标准制定工作的目的与意义：</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我国豆制品加工产业历史悠久，随着现代食品机械设备的发展，豆制品的种类也日益增多，口味也千变万化，不断满足吃货们挑剔的味蕾。针对高、中、低端市场的不同需求，豆制品行业细分化也愈加明显，出现了即食和非即食类的豆制品，而即食类的豆制品由于其食用方式的简单和口感的美味受到广大消费者的喜爱。随着生活水平的提高</w:t>
      </w:r>
      <w:r>
        <w:rPr>
          <w:rFonts w:hint="eastAsia" w:ascii="宋体" w:hAnsi="宋体" w:cs="宋体"/>
          <w:szCs w:val="21"/>
          <w:lang w:val="en-US" w:eastAsia="zh-CN"/>
        </w:rPr>
        <w:t>和</w:t>
      </w:r>
      <w:r>
        <w:rPr>
          <w:rFonts w:hint="eastAsia" w:ascii="宋体" w:hAnsi="宋体" w:cs="宋体"/>
          <w:szCs w:val="21"/>
        </w:rPr>
        <w:t>生活节奏的加快，现代人对食品的需求开始向营养、健康、安全、美味、方便等方向发展，营养健康、口感美味的即食豆制品发展前景将会非常广阔。</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目前豆制品行业在全国各地都有蓬勃的发展，2019年豆制品行业50强规模企业的投豆量为157.86万吨，较2009年的84.83万吨增长了86.09%，年均复合增长率为7.14%；2018年豆制品50强规模企业的销售额为233.71亿元，较2009年的74.23亿元增长了214.85%，年均复合增长率为13.59%。</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我国即食豆制品生产企业众多。截至2019年末，全国即食豆制品行业中，获得食品生产许可证的企业数量为5580家，在部分地区、部分细分行业出现了区域性、行业性较强的品牌，如上海的“清美”、北京的“白玉”、深圳的“福荫”、沈阳的“福来”等，但尚未出现全品类、全国性的龙头企业，各企业的市场占有率较小。近年来市场需求扩大，中高端产品消费量逐渐增大，部分企业利用渠道优势和品牌优势，逐渐扩大自身的市场占有率，这是一个市场发展趋势。浙江省全省有466家获得豆制品生产许可证的企业，其中知名大企业有浙江鸿翔食品股份有限公司、祖名豆制品股份有限公司、绍兴百乐食品有限公司、浙江华丰水磨坊豆制品有限公司等。</w:t>
      </w:r>
    </w:p>
    <w:p>
      <w:pPr>
        <w:pStyle w:val="36"/>
        <w:keepNext w:val="0"/>
        <w:keepLines w:val="0"/>
        <w:pageBreakBefore w:val="0"/>
        <w:kinsoku/>
        <w:wordWrap/>
        <w:overflowPunct/>
        <w:topLinePunct w:val="0"/>
        <w:bidi w:val="0"/>
        <w:adjustRightInd/>
        <w:snapToGrid/>
        <w:spacing w:line="240" w:lineRule="auto"/>
        <w:jc w:val="left"/>
        <w:textAlignment w:val="auto"/>
        <w:rPr>
          <w:rFonts w:ascii="宋体" w:hAnsi="宋体" w:cs="宋体"/>
          <w:szCs w:val="21"/>
        </w:rPr>
      </w:pPr>
      <w:r>
        <w:rPr>
          <w:rFonts w:hint="eastAsia" w:ascii="宋体" w:hAnsi="宋体" w:cs="宋体"/>
          <w:szCs w:val="21"/>
        </w:rPr>
        <w:t>2016年9月8日，苏州市食药监局公布了最新一期苏州市食品安全监测信息联合公告。近期苏州食品动态合格率为99.63%，此次共抽检了食品542批次，其中有两批次豆腐不合格，且都产自吴中区郭巷万丰豆制品厂，不合格的原因都是在产品中查出了脱氢乙酸及其钠盐。针对发现的不合格产品，相关部门已经组织了现场核查处置，认真排查了相关企业的食品安全风险隐患，对不合格食品和相关产品涉及的生产经营单位依据相关法律法规进行处理。即食豆制品食品安全事件层出不穷，制定相应标准规范才可以有力地避免此类安全事件的再度发生。</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Times New Roman" w:hAnsi="Times New Roman"/>
          <w:szCs w:val="21"/>
        </w:rPr>
      </w:pPr>
      <w:r>
        <w:rPr>
          <w:rFonts w:hint="eastAsia" w:ascii="Times New Roman" w:hAnsi="Times New Roman"/>
          <w:szCs w:val="21"/>
        </w:rPr>
        <w:t>虽然</w:t>
      </w:r>
      <w:r>
        <w:rPr>
          <w:rFonts w:hint="eastAsia" w:ascii="Times New Roman" w:hAnsi="Times New Roman"/>
          <w:szCs w:val="21"/>
          <w:lang w:val="en-US" w:eastAsia="zh-CN"/>
        </w:rPr>
        <w:t>即食豆制品是</w:t>
      </w:r>
      <w:r>
        <w:rPr>
          <w:rFonts w:hint="eastAsia" w:ascii="Times New Roman" w:hAnsi="Times New Roman"/>
          <w:szCs w:val="21"/>
        </w:rPr>
        <w:t>属于豆制品中的</w:t>
      </w:r>
      <w:r>
        <w:rPr>
          <w:rFonts w:hint="eastAsia" w:ascii="Times New Roman" w:hAnsi="Times New Roman"/>
          <w:szCs w:val="21"/>
          <w:lang w:val="en-US" w:eastAsia="zh-CN"/>
        </w:rPr>
        <w:t>一类产品</w:t>
      </w:r>
      <w:r>
        <w:rPr>
          <w:rFonts w:hint="eastAsia" w:ascii="Times New Roman" w:hAnsi="Times New Roman"/>
          <w:szCs w:val="21"/>
        </w:rPr>
        <w:t>，但</w:t>
      </w:r>
      <w:r>
        <w:rPr>
          <w:rFonts w:hint="eastAsia" w:ascii="Times New Roman" w:hAnsi="Times New Roman"/>
          <w:szCs w:val="21"/>
          <w:lang w:val="en-US" w:eastAsia="zh-CN"/>
        </w:rPr>
        <w:t>即食豆制品</w:t>
      </w:r>
      <w:r>
        <w:rPr>
          <w:rFonts w:hint="eastAsia" w:ascii="Times New Roman" w:hAnsi="Times New Roman"/>
          <w:szCs w:val="21"/>
        </w:rPr>
        <w:t>生产过程有很多环节不同于一般豆制品，</w:t>
      </w:r>
      <w:r>
        <w:rPr>
          <w:rFonts w:hint="eastAsia" w:ascii="宋体" w:hAnsi="宋体" w:cs="宋体"/>
          <w:szCs w:val="21"/>
        </w:rPr>
        <w:t>GB 2712 食品安全国家标准 豆制品</w:t>
      </w:r>
      <w:r>
        <w:rPr>
          <w:rFonts w:hint="eastAsia" w:ascii="Times New Roman" w:hAnsi="Times New Roman"/>
          <w:szCs w:val="21"/>
        </w:rPr>
        <w:t>是通则，这个标准满足不了</w:t>
      </w:r>
      <w:r>
        <w:rPr>
          <w:rFonts w:hint="eastAsia" w:ascii="Times New Roman" w:hAnsi="Times New Roman"/>
          <w:szCs w:val="21"/>
          <w:lang w:val="en-US" w:eastAsia="zh-CN"/>
        </w:rPr>
        <w:t>即食豆制品</w:t>
      </w:r>
      <w:r>
        <w:rPr>
          <w:rFonts w:hint="eastAsia" w:ascii="Times New Roman" w:hAnsi="Times New Roman"/>
          <w:szCs w:val="21"/>
        </w:rPr>
        <w:t>生产的实际需要。</w:t>
      </w:r>
      <w:r>
        <w:rPr>
          <w:rFonts w:hint="eastAsia" w:ascii="宋体" w:hAnsi="宋体" w:cs="宋体"/>
          <w:szCs w:val="21"/>
          <w:lang w:val="en-US" w:eastAsia="zh-CN"/>
        </w:rPr>
        <w:t>GB 2712规定的是豆制品的质量安全指标，而缺少对即食豆制品的特性指标，另外即食豆制品还依据了</w:t>
      </w:r>
      <w:r>
        <w:rPr>
          <w:rFonts w:hint="eastAsia" w:ascii="宋体" w:hAnsi="宋体" w:cs="宋体"/>
          <w:szCs w:val="21"/>
        </w:rPr>
        <w:t>GB/T 22106 非发酵豆制品，GB/T 22106 非发酵豆制品</w:t>
      </w:r>
      <w:r>
        <w:rPr>
          <w:rFonts w:hint="eastAsia" w:ascii="宋体" w:hAnsi="宋体" w:cs="宋体"/>
          <w:szCs w:val="21"/>
          <w:lang w:val="en-US" w:eastAsia="zh-CN"/>
        </w:rPr>
        <w:t>规定的主要是即食豆制品原料的产品要求</w:t>
      </w:r>
      <w:r>
        <w:rPr>
          <w:rFonts w:hint="eastAsia" w:ascii="宋体" w:hAnsi="宋体" w:cs="宋体"/>
          <w:szCs w:val="21"/>
        </w:rPr>
        <w:t>，而对即食豆制品的</w:t>
      </w:r>
      <w:r>
        <w:rPr>
          <w:rFonts w:hint="eastAsia" w:ascii="宋体" w:hAnsi="宋体" w:cs="宋体"/>
          <w:szCs w:val="21"/>
          <w:lang w:val="en-US" w:eastAsia="zh-CN"/>
        </w:rPr>
        <w:t>具体要求仍不明确</w:t>
      </w:r>
      <w:r>
        <w:rPr>
          <w:rFonts w:hint="eastAsia" w:ascii="宋体" w:hAnsi="宋体" w:cs="宋体"/>
          <w:szCs w:val="21"/>
        </w:rPr>
        <w:t>。</w:t>
      </w:r>
      <w:r>
        <w:rPr>
          <w:rFonts w:hint="eastAsia" w:ascii="Times New Roman" w:hAnsi="Times New Roman"/>
          <w:szCs w:val="21"/>
          <w:lang w:val="en-US" w:eastAsia="zh-CN"/>
        </w:rPr>
        <w:t>即食豆制品</w:t>
      </w:r>
      <w:r>
        <w:rPr>
          <w:rFonts w:hint="eastAsia" w:ascii="Times New Roman" w:hAnsi="Times New Roman"/>
          <w:szCs w:val="21"/>
        </w:rPr>
        <w:t>生产经营缺少规范性操作依据，监管部门执法过程也缺少依据，因此，</w:t>
      </w:r>
      <w:r>
        <w:rPr>
          <w:rFonts w:hint="eastAsia" w:ascii="宋体" w:hAnsi="宋体" w:cs="宋体"/>
          <w:szCs w:val="21"/>
        </w:rPr>
        <w:t>制定规范的即食豆制品标准，统一即食豆制品的</w:t>
      </w:r>
      <w:r>
        <w:rPr>
          <w:rFonts w:hint="eastAsia" w:ascii="宋体" w:hAnsi="宋体" w:cs="宋体"/>
          <w:szCs w:val="21"/>
          <w:lang w:val="en-US" w:eastAsia="zh-CN"/>
        </w:rPr>
        <w:t>产品</w:t>
      </w:r>
      <w:r>
        <w:rPr>
          <w:rFonts w:hint="eastAsia" w:ascii="宋体" w:hAnsi="宋体" w:cs="宋体"/>
          <w:szCs w:val="21"/>
        </w:rPr>
        <w:t>标准，填补我国即食豆制品标准方面的空白，</w:t>
      </w:r>
      <w:r>
        <w:rPr>
          <w:rFonts w:hint="eastAsia" w:ascii="Times New Roman" w:hAnsi="Times New Roman"/>
          <w:szCs w:val="21"/>
        </w:rPr>
        <w:t>同时对生产加工操作规范进行相应制定，可以作为监管部门的监管依据，减少</w:t>
      </w:r>
      <w:r>
        <w:rPr>
          <w:rFonts w:hint="eastAsia" w:ascii="Times New Roman" w:hAnsi="Times New Roman"/>
          <w:szCs w:val="21"/>
          <w:lang w:val="en-US" w:eastAsia="zh-CN"/>
        </w:rPr>
        <w:t>即食豆制品</w:t>
      </w:r>
      <w:r>
        <w:rPr>
          <w:rFonts w:hint="eastAsia" w:ascii="Times New Roman" w:hAnsi="Times New Roman"/>
          <w:szCs w:val="21"/>
        </w:rPr>
        <w:t>生产企业可能存在的食品安全隐患，</w:t>
      </w:r>
      <w:r>
        <w:rPr>
          <w:rFonts w:hint="eastAsia" w:ascii="宋体" w:hAnsi="宋体" w:cs="宋体"/>
          <w:szCs w:val="21"/>
        </w:rPr>
        <w:t>保障即食豆制品的食品安全</w:t>
      </w:r>
      <w:r>
        <w:rPr>
          <w:rFonts w:hint="eastAsia" w:ascii="宋体" w:hAnsi="宋体" w:cs="宋体"/>
          <w:szCs w:val="21"/>
          <w:lang w:eastAsia="zh-CN"/>
        </w:rPr>
        <w:t>，</w:t>
      </w:r>
      <w:r>
        <w:rPr>
          <w:rFonts w:hint="eastAsia" w:ascii="Times New Roman" w:hAnsi="Times New Roman"/>
          <w:szCs w:val="21"/>
        </w:rPr>
        <w:t>以确保广大消费者食品安全。</w:t>
      </w:r>
    </w:p>
    <w:p>
      <w:pPr>
        <w:keepNext w:val="0"/>
        <w:keepLines w:val="0"/>
        <w:pageBreakBefore w:val="0"/>
        <w:kinsoku/>
        <w:wordWrap/>
        <w:overflowPunct/>
        <w:topLinePunct w:val="0"/>
        <w:bidi w:val="0"/>
        <w:adjustRightInd/>
        <w:snapToGrid/>
        <w:spacing w:line="240" w:lineRule="auto"/>
        <w:textAlignment w:val="auto"/>
        <w:rPr>
          <w:rFonts w:hint="eastAsia" w:ascii="黑体" w:hAnsi="黑体" w:eastAsia="黑体" w:cs="黑体"/>
          <w:szCs w:val="21"/>
        </w:rPr>
      </w:pPr>
      <w:r>
        <w:rPr>
          <w:rFonts w:hint="eastAsia" w:ascii="黑体" w:hAnsi="黑体" w:eastAsia="黑体" w:cs="黑体"/>
          <w:szCs w:val="21"/>
        </w:rPr>
        <w:t>三、与我国法律法规和其他标准的关系：</w:t>
      </w:r>
    </w:p>
    <w:p>
      <w:pPr>
        <w:keepNext w:val="0"/>
        <w:keepLines w:val="0"/>
        <w:pageBreakBefore w:val="0"/>
        <w:kinsoku/>
        <w:wordWrap/>
        <w:overflowPunct/>
        <w:topLinePunct w:val="0"/>
        <w:bidi w:val="0"/>
        <w:adjustRightInd/>
        <w:snapToGrid/>
        <w:spacing w:line="240" w:lineRule="auto"/>
        <w:textAlignment w:val="auto"/>
        <w:rPr>
          <w:rFonts w:hint="eastAsia" w:ascii="宋体" w:hAnsi="宋体" w:cs="宋体"/>
          <w:szCs w:val="21"/>
        </w:rPr>
      </w:pPr>
      <w:r>
        <w:rPr>
          <w:rFonts w:hint="eastAsia" w:ascii="宋体" w:hAnsi="宋体" w:cs="宋体"/>
          <w:szCs w:val="21"/>
        </w:rPr>
        <w:t>1、尚无同类国际和国内产品标准。</w:t>
      </w:r>
    </w:p>
    <w:p>
      <w:pPr>
        <w:keepNext w:val="0"/>
        <w:keepLines w:val="0"/>
        <w:pageBreakBefore w:val="0"/>
        <w:kinsoku/>
        <w:wordWrap/>
        <w:overflowPunct/>
        <w:topLinePunct w:val="0"/>
        <w:bidi w:val="0"/>
        <w:adjustRightInd/>
        <w:snapToGrid/>
        <w:spacing w:line="240" w:lineRule="auto"/>
        <w:textAlignment w:val="auto"/>
        <w:rPr>
          <w:rFonts w:hint="eastAsia" w:ascii="宋体" w:hAnsi="宋体" w:cs="宋体"/>
          <w:szCs w:val="21"/>
        </w:rPr>
      </w:pPr>
      <w:r>
        <w:rPr>
          <w:rFonts w:hint="eastAsia" w:ascii="宋体" w:hAnsi="宋体" w:cs="宋体"/>
          <w:szCs w:val="21"/>
        </w:rPr>
        <w:t>2、拟制定的团体标准与国内相关标准的关系如下：</w:t>
      </w:r>
    </w:p>
    <w:p>
      <w:pPr>
        <w:keepNext w:val="0"/>
        <w:keepLines w:val="0"/>
        <w:pageBreakBefore w:val="0"/>
        <w:kinsoku/>
        <w:wordWrap/>
        <w:overflowPunct/>
        <w:topLinePunct w:val="0"/>
        <w:bidi w:val="0"/>
        <w:adjustRightInd/>
        <w:snapToGrid/>
        <w:spacing w:line="240" w:lineRule="auto"/>
        <w:textAlignment w:val="auto"/>
        <w:rPr>
          <w:rFonts w:hint="eastAsia" w:ascii="宋体" w:hAnsi="宋体" w:cs="宋体"/>
          <w:szCs w:val="21"/>
        </w:rPr>
      </w:pPr>
      <w:r>
        <w:rPr>
          <w:rFonts w:hint="eastAsia" w:ascii="宋体" w:hAnsi="宋体" w:cs="宋体"/>
          <w:szCs w:val="21"/>
        </w:rPr>
        <w:t>（1）国家标准</w:t>
      </w:r>
    </w:p>
    <w:p>
      <w:pPr>
        <w:pStyle w:val="15"/>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ascii="宋体" w:hAnsi="宋体" w:cs="宋体"/>
          <w:szCs w:val="21"/>
        </w:rPr>
      </w:pPr>
      <w:r>
        <w:rPr>
          <w:rFonts w:hint="eastAsia" w:ascii="宋体" w:hAnsi="宋体" w:cs="宋体"/>
          <w:szCs w:val="21"/>
        </w:rPr>
        <w:t>执行了</w:t>
      </w:r>
      <w:r>
        <w:rPr>
          <w:rFonts w:hint="eastAsia" w:ascii="宋体" w:hAnsi="宋体" w:cs="宋体"/>
          <w:szCs w:val="21"/>
          <w:lang w:val="en-US" w:eastAsia="zh-CN"/>
        </w:rPr>
        <w:t>相关</w:t>
      </w:r>
      <w:r>
        <w:rPr>
          <w:rFonts w:hint="eastAsia" w:ascii="宋体" w:hAnsi="宋体" w:cs="宋体"/>
          <w:szCs w:val="21"/>
        </w:rPr>
        <w:t>国家标准</w:t>
      </w:r>
      <w:r>
        <w:rPr>
          <w:rFonts w:hint="eastAsia" w:ascii="宋体" w:hAnsi="宋体" w:cs="宋体"/>
          <w:szCs w:val="21"/>
          <w:lang w:val="en-US" w:eastAsia="zh-CN"/>
        </w:rPr>
        <w:t>有</w:t>
      </w:r>
      <w:r>
        <w:rPr>
          <w:rFonts w:hint="eastAsia" w:ascii="宋体" w:hAnsi="宋体" w:cs="宋体"/>
          <w:szCs w:val="21"/>
        </w:rPr>
        <w:t>GB 2712 食品安全国家标准</w:t>
      </w:r>
      <w:r>
        <w:rPr>
          <w:rFonts w:hint="eastAsia" w:hAnsi="宋体" w:cs="宋体"/>
          <w:szCs w:val="21"/>
          <w:lang w:val="en-US" w:eastAsia="zh-CN"/>
        </w:rPr>
        <w:t xml:space="preserve"> </w:t>
      </w:r>
      <w:r>
        <w:rPr>
          <w:rFonts w:hint="eastAsia" w:ascii="宋体" w:hAnsi="宋体" w:cs="宋体"/>
          <w:szCs w:val="21"/>
        </w:rPr>
        <w:t>豆制品、GB 2760 食品安全国家标准</w:t>
      </w:r>
      <w:r>
        <w:rPr>
          <w:rFonts w:hint="eastAsia" w:hAnsi="宋体" w:cs="宋体"/>
          <w:szCs w:val="21"/>
          <w:lang w:val="en-US" w:eastAsia="zh-CN"/>
        </w:rPr>
        <w:t xml:space="preserve"> </w:t>
      </w:r>
      <w:r>
        <w:rPr>
          <w:rFonts w:hint="eastAsia" w:ascii="宋体" w:hAnsi="宋体" w:cs="宋体"/>
          <w:szCs w:val="21"/>
        </w:rPr>
        <w:t>食品添加剂使用卫生标准、</w:t>
      </w:r>
      <w:r>
        <w:rPr>
          <w:rFonts w:hint="eastAsia"/>
          <w:color w:val="000000" w:themeColor="text1"/>
          <w:shd w:val="clear" w:color="auto" w:fill="auto"/>
        </w:rPr>
        <w:t>GB 4806.7</w:t>
      </w:r>
      <w:r>
        <w:rPr>
          <w:rFonts w:hint="eastAsia"/>
          <w:color w:val="000000" w:themeColor="text1"/>
          <w:shd w:val="clear" w:color="auto" w:fill="auto"/>
          <w:lang w:val="en-US" w:eastAsia="zh-CN"/>
        </w:rPr>
        <w:t xml:space="preserve"> </w:t>
      </w:r>
      <w:r>
        <w:rPr>
          <w:rFonts w:hint="eastAsia"/>
          <w:color w:val="000000" w:themeColor="text1"/>
          <w:shd w:val="clear" w:color="auto" w:fill="auto"/>
        </w:rPr>
        <w:t>食品接触用塑料材料及制品</w:t>
      </w:r>
      <w:r>
        <w:rPr>
          <w:rFonts w:hint="eastAsia"/>
          <w:color w:val="000000" w:themeColor="text1"/>
          <w:shd w:val="clear" w:color="auto" w:fill="auto"/>
          <w:lang w:eastAsia="zh-CN"/>
        </w:rPr>
        <w:t>、</w:t>
      </w:r>
      <w:r>
        <w:rPr>
          <w:rFonts w:hint="eastAsia"/>
        </w:rPr>
        <w:t>GB 7098</w:t>
      </w:r>
      <w:r>
        <w:rPr>
          <w:rFonts w:hint="eastAsia"/>
          <w:lang w:val="en-US" w:eastAsia="zh-CN"/>
        </w:rPr>
        <w:t xml:space="preserve"> </w:t>
      </w:r>
      <w:r>
        <w:rPr>
          <w:rFonts w:hint="eastAsia"/>
        </w:rPr>
        <w:t>食品安全国家标准 罐头食品GB 7718 食品安全国家标准 预包装食品标签通则</w:t>
      </w:r>
      <w:r>
        <w:rPr>
          <w:rFonts w:hint="eastAsia"/>
          <w:lang w:eastAsia="zh-CN"/>
        </w:rPr>
        <w:t>、</w:t>
      </w:r>
      <w:r>
        <w:rPr>
          <w:rFonts w:hint="eastAsia"/>
          <w:color w:val="000000" w:themeColor="text1"/>
          <w:shd w:val="clear" w:color="auto" w:fill="auto"/>
        </w:rPr>
        <w:t>GB/T 10004 包装用塑料复合膜、袋 干法复合、挤出复合</w:t>
      </w:r>
      <w:r>
        <w:rPr>
          <w:rFonts w:hint="eastAsia"/>
          <w:color w:val="000000" w:themeColor="text1"/>
          <w:shd w:val="clear" w:color="auto" w:fill="auto"/>
          <w:lang w:eastAsia="zh-CN"/>
        </w:rPr>
        <w:t>、</w:t>
      </w:r>
      <w:r>
        <w:rPr>
          <w:rFonts w:hint="eastAsia"/>
          <w:color w:val="000000" w:themeColor="text1"/>
          <w:shd w:val="clear" w:color="auto" w:fill="auto"/>
        </w:rPr>
        <w:t>GB 14880 食品安全国家标准 食品营养强化剂使用标准</w:t>
      </w:r>
      <w:r>
        <w:rPr>
          <w:rFonts w:hint="eastAsia"/>
          <w:color w:val="000000" w:themeColor="text1"/>
          <w:shd w:val="clear" w:color="auto" w:fill="auto"/>
          <w:lang w:eastAsia="zh-CN"/>
        </w:rPr>
        <w:t>、</w:t>
      </w:r>
      <w:r>
        <w:rPr>
          <w:rFonts w:hint="eastAsia"/>
        </w:rPr>
        <w:t>GB 14881 食品安全国家标准 食品生产通用卫生规范</w:t>
      </w:r>
      <w:r>
        <w:rPr>
          <w:rFonts w:hint="eastAsia"/>
          <w:lang w:eastAsia="zh-CN"/>
        </w:rPr>
        <w:t>、</w:t>
      </w:r>
      <w:r>
        <w:rPr>
          <w:rFonts w:hint="eastAsia"/>
        </w:rPr>
        <w:t>GB/T 22106 非发酵豆制品</w:t>
      </w:r>
      <w:r>
        <w:rPr>
          <w:rFonts w:hint="eastAsia"/>
          <w:lang w:eastAsia="zh-CN"/>
        </w:rPr>
        <w:t>、</w:t>
      </w:r>
      <w:r>
        <w:rPr>
          <w:rFonts w:hint="eastAsia"/>
        </w:rPr>
        <w:t>GB 28050</w:t>
      </w:r>
      <w:r>
        <w:rPr>
          <w:rFonts w:hint="eastAsia"/>
          <w:lang w:val="en-US" w:eastAsia="zh-CN"/>
        </w:rPr>
        <w:t xml:space="preserve"> </w:t>
      </w:r>
      <w:r>
        <w:rPr>
          <w:rFonts w:hint="eastAsia"/>
        </w:rPr>
        <w:t>食品安全国家标准 预包装食品营养标签通则</w:t>
      </w:r>
      <w:r>
        <w:rPr>
          <w:rFonts w:hint="eastAsia" w:ascii="宋体" w:hAnsi="宋体" w:cs="宋体"/>
          <w:szCs w:val="21"/>
        </w:rPr>
        <w:t>，参照了</w:t>
      </w:r>
      <w:r>
        <w:rPr>
          <w:rFonts w:hint="eastAsia"/>
          <w:color w:val="000000"/>
          <w:szCs w:val="22"/>
        </w:rPr>
        <w:t>GB/T 191 包装储运图示标志</w:t>
      </w:r>
      <w:r>
        <w:rPr>
          <w:rFonts w:hint="eastAsia"/>
          <w:color w:val="000000"/>
          <w:szCs w:val="22"/>
          <w:lang w:eastAsia="zh-CN"/>
        </w:rPr>
        <w:t>、</w:t>
      </w:r>
      <w:r>
        <w:rPr>
          <w:rFonts w:hint="eastAsia"/>
          <w:color w:val="000000" w:themeColor="text1"/>
          <w:shd w:val="clear" w:color="auto" w:fill="auto"/>
        </w:rPr>
        <w:t>GB/T 10004 包装用塑料复合膜、袋 干法复合、挤出复合</w:t>
      </w:r>
      <w:r>
        <w:rPr>
          <w:rFonts w:hint="eastAsia"/>
          <w:color w:val="000000" w:themeColor="text1"/>
          <w:shd w:val="clear" w:color="auto" w:fill="auto"/>
          <w:lang w:eastAsia="zh-CN"/>
        </w:rPr>
        <w:t>、</w:t>
      </w:r>
      <w:r>
        <w:rPr>
          <w:rFonts w:hint="eastAsia" w:ascii="宋体" w:hAnsi="宋体" w:cs="宋体"/>
          <w:szCs w:val="21"/>
        </w:rPr>
        <w:t>GB/T 22106</w:t>
      </w:r>
      <w:r>
        <w:rPr>
          <w:rFonts w:hint="eastAsia" w:hAnsi="宋体" w:cs="宋体"/>
          <w:szCs w:val="21"/>
          <w:lang w:val="en-US" w:eastAsia="zh-CN"/>
        </w:rPr>
        <w:t xml:space="preserve"> </w:t>
      </w:r>
      <w:r>
        <w:rPr>
          <w:rFonts w:hint="eastAsia" w:ascii="宋体" w:hAnsi="宋体" w:cs="宋体"/>
          <w:szCs w:val="21"/>
        </w:rPr>
        <w:t>非发酵豆制品</w:t>
      </w:r>
      <w:r>
        <w:rPr>
          <w:rFonts w:hint="eastAsia" w:hAnsi="宋体" w:cs="宋体"/>
          <w:szCs w:val="21"/>
          <w:lang w:eastAsia="zh-CN"/>
        </w:rPr>
        <w:t>、</w:t>
      </w:r>
      <w:r>
        <w:rPr>
          <w:rFonts w:hint="eastAsia" w:ascii="宋体" w:hAnsi="宋体" w:cs="宋体"/>
          <w:szCs w:val="21"/>
        </w:rPr>
        <w:t>GB/T 23494</w:t>
      </w:r>
      <w:r>
        <w:rPr>
          <w:rFonts w:hint="eastAsia" w:hAnsi="宋体" w:cs="宋体"/>
          <w:szCs w:val="21"/>
          <w:lang w:val="en-US" w:eastAsia="zh-CN"/>
        </w:rPr>
        <w:t xml:space="preserve"> </w:t>
      </w:r>
      <w:r>
        <w:rPr>
          <w:rFonts w:hint="eastAsia" w:ascii="宋体" w:hAnsi="宋体" w:cs="宋体"/>
          <w:szCs w:val="21"/>
        </w:rPr>
        <w:t>豆腐干以及各类指标</w:t>
      </w:r>
      <w:r>
        <w:rPr>
          <w:rFonts w:hint="eastAsia" w:hAnsi="宋体" w:cs="宋体"/>
          <w:szCs w:val="21"/>
          <w:lang w:val="en-US" w:eastAsia="zh-CN"/>
        </w:rPr>
        <w:t>测定</w:t>
      </w:r>
      <w:r>
        <w:rPr>
          <w:rFonts w:hint="eastAsia" w:ascii="宋体" w:hAnsi="宋体" w:cs="宋体"/>
          <w:szCs w:val="21"/>
        </w:rPr>
        <w:t>方法</w:t>
      </w:r>
      <w:r>
        <w:rPr>
          <w:rFonts w:hint="eastAsia" w:hAnsi="宋体" w:cs="宋体"/>
          <w:szCs w:val="21"/>
          <w:lang w:val="en-US" w:eastAsia="zh-CN"/>
        </w:rPr>
        <w:t>的</w:t>
      </w:r>
      <w:r>
        <w:rPr>
          <w:rFonts w:hint="eastAsia" w:ascii="宋体" w:hAnsi="宋体" w:cs="宋体"/>
          <w:szCs w:val="21"/>
        </w:rPr>
        <w:t>相关标准。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Cs w:val="21"/>
        </w:rPr>
      </w:pPr>
      <w:r>
        <w:rPr>
          <w:rFonts w:hint="eastAsia" w:ascii="宋体" w:hAnsi="宋体" w:cs="宋体"/>
          <w:szCs w:val="21"/>
        </w:rPr>
        <w:t>（2）行业标准</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参考</w:t>
      </w:r>
      <w:r>
        <w:rPr>
          <w:rFonts w:hint="eastAsia" w:ascii="宋体" w:hAnsi="宋体" w:cs="宋体"/>
          <w:szCs w:val="21"/>
        </w:rPr>
        <w:t>了SB/T 10632 卤制豆腐干</w:t>
      </w:r>
      <w:r>
        <w:rPr>
          <w:rFonts w:hint="eastAsia" w:ascii="宋体" w:hAnsi="宋体" w:cs="宋体"/>
          <w:szCs w:val="21"/>
          <w:lang w:eastAsia="zh-CN"/>
        </w:rPr>
        <w:t>、</w:t>
      </w:r>
      <w:r>
        <w:rPr>
          <w:rFonts w:hint="eastAsia" w:ascii="宋体" w:hAnsi="宋体" w:cs="宋体"/>
          <w:szCs w:val="21"/>
        </w:rPr>
        <w:t>SB/T 10649 大豆蛋白制品等行业标准。</w:t>
      </w:r>
    </w:p>
    <w:p>
      <w:pPr>
        <w:keepNext w:val="0"/>
        <w:keepLines w:val="0"/>
        <w:pageBreakBefore w:val="0"/>
        <w:kinsoku/>
        <w:wordWrap/>
        <w:overflowPunct/>
        <w:topLinePunct w:val="0"/>
        <w:bidi w:val="0"/>
        <w:adjustRightInd/>
        <w:snapToGrid/>
        <w:spacing w:line="240" w:lineRule="auto"/>
        <w:textAlignment w:val="auto"/>
        <w:rPr>
          <w:rFonts w:hint="eastAsia" w:ascii="宋体" w:hAnsi="宋体" w:cs="宋体"/>
          <w:szCs w:val="21"/>
        </w:rPr>
      </w:pPr>
      <w:r>
        <w:rPr>
          <w:rFonts w:hint="eastAsia" w:ascii="宋体" w:hAnsi="宋体" w:cs="宋体"/>
          <w:szCs w:val="21"/>
        </w:rPr>
        <w:t>（3）地方标准</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参考</w:t>
      </w:r>
      <w:r>
        <w:rPr>
          <w:rFonts w:hint="eastAsia" w:ascii="宋体" w:hAnsi="宋体" w:cs="宋体"/>
          <w:szCs w:val="21"/>
        </w:rPr>
        <w:t>了DB34/T 720.2 地理标志产品 八公山豆腐 豆腐干、DB34/T 720.3 地理标志产品 八公山豆腐 千张、DB34</w:t>
      </w:r>
      <w:r>
        <w:rPr>
          <w:rFonts w:hint="eastAsia" w:ascii="宋体" w:hAnsi="宋体" w:cs="宋体"/>
          <w:szCs w:val="21"/>
          <w:lang w:val="en-US" w:eastAsia="zh-CN"/>
        </w:rPr>
        <w:t xml:space="preserve">/T </w:t>
      </w:r>
      <w:r>
        <w:rPr>
          <w:rFonts w:hint="eastAsia" w:ascii="宋体" w:hAnsi="宋体" w:cs="宋体"/>
          <w:szCs w:val="21"/>
        </w:rPr>
        <w:t>720.4地理标志产品 八公山豆腐 腐皮</w:t>
      </w:r>
      <w:r>
        <w:rPr>
          <w:rFonts w:hint="eastAsia" w:ascii="宋体" w:hAnsi="宋体" w:cs="宋体"/>
          <w:szCs w:val="21"/>
          <w:lang w:eastAsia="zh-CN"/>
        </w:rPr>
        <w:t>、</w:t>
      </w:r>
      <w:r>
        <w:rPr>
          <w:rFonts w:hint="eastAsia" w:ascii="宋体" w:hAnsi="宋体" w:cs="宋体"/>
          <w:szCs w:val="21"/>
        </w:rPr>
        <w:t>DB36/T 531 地理标志产品 高安腐竹、DB41/T 649 地理标志产品 许昌腐竹</w:t>
      </w:r>
      <w:r>
        <w:rPr>
          <w:rFonts w:hint="eastAsia" w:ascii="宋体" w:hAnsi="宋体" w:cs="宋体"/>
          <w:szCs w:val="21"/>
          <w:lang w:eastAsia="zh-CN"/>
        </w:rPr>
        <w:t>、</w:t>
      </w:r>
      <w:r>
        <w:rPr>
          <w:rFonts w:hint="eastAsia" w:ascii="宋体" w:hAnsi="宋体" w:cs="宋体"/>
          <w:szCs w:val="21"/>
        </w:rPr>
        <w:t>DB53/T 490 地理标志产品 石屏豆腐皮</w:t>
      </w:r>
      <w:r>
        <w:rPr>
          <w:rFonts w:hint="eastAsia" w:ascii="宋体" w:hAnsi="宋体" w:cs="宋体"/>
          <w:szCs w:val="21"/>
          <w:lang w:eastAsia="zh-CN"/>
        </w:rPr>
        <w:t>、</w:t>
      </w:r>
      <w:r>
        <w:rPr>
          <w:rFonts w:hint="eastAsia" w:ascii="宋体" w:hAnsi="宋体" w:cs="宋体"/>
          <w:szCs w:val="21"/>
        </w:rPr>
        <w:t>DB5205/T 6 地理标志产品 大方豆干（大方手撕豆腐）等地方标准。</w:t>
      </w:r>
    </w:p>
    <w:p>
      <w:pPr>
        <w:keepNext w:val="0"/>
        <w:keepLines w:val="0"/>
        <w:pageBreakBefore w:val="0"/>
        <w:kinsoku/>
        <w:wordWrap/>
        <w:overflowPunct/>
        <w:topLinePunct w:val="0"/>
        <w:bidi w:val="0"/>
        <w:adjustRightInd/>
        <w:snapToGrid/>
        <w:spacing w:line="240" w:lineRule="auto"/>
        <w:textAlignment w:val="auto"/>
        <w:rPr>
          <w:rFonts w:hint="eastAsia" w:ascii="宋体" w:hAnsi="宋体" w:cs="黑体"/>
          <w:szCs w:val="21"/>
        </w:rPr>
      </w:pPr>
      <w:r>
        <w:rPr>
          <w:rFonts w:hint="eastAsia" w:ascii="黑体" w:hAnsi="黑体" w:eastAsia="黑体" w:cs="黑体"/>
          <w:szCs w:val="21"/>
        </w:rPr>
        <w:t>四、标准制定工作主要过程：</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eastAsia" w:ascii="宋体" w:hAnsi="宋体" w:cs="黑体"/>
          <w:szCs w:val="21"/>
        </w:rPr>
      </w:pPr>
      <w:r>
        <w:rPr>
          <w:rFonts w:hint="eastAsia" w:ascii="宋体" w:hAnsi="宋体" w:cs="黑体"/>
          <w:szCs w:val="21"/>
        </w:rPr>
        <w:t>1、2020年6月8日-6月18日，收集相关的国家标准、法律法规等信息。</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eastAsia" w:ascii="宋体" w:hAnsi="宋体" w:cs="黑体"/>
          <w:szCs w:val="21"/>
        </w:rPr>
      </w:pPr>
      <w:r>
        <w:rPr>
          <w:rFonts w:hint="eastAsia" w:ascii="宋体" w:hAnsi="宋体" w:cs="黑体"/>
          <w:szCs w:val="21"/>
        </w:rPr>
        <w:t>2、2020年6月19日-7月10日，收集、攥写和提交团体标准立项申请材料。</w:t>
      </w:r>
    </w:p>
    <w:p>
      <w:pPr>
        <w:keepNext w:val="0"/>
        <w:keepLines w:val="0"/>
        <w:pageBreakBefore w:val="0"/>
        <w:numPr>
          <w:ilvl w:val="0"/>
          <w:numId w:val="0"/>
        </w:numPr>
        <w:kinsoku/>
        <w:wordWrap/>
        <w:overflowPunct/>
        <w:topLinePunct w:val="0"/>
        <w:bidi w:val="0"/>
        <w:adjustRightInd/>
        <w:snapToGrid/>
        <w:spacing w:line="240" w:lineRule="auto"/>
        <w:ind w:firstLine="420" w:firstLineChars="200"/>
        <w:jc w:val="left"/>
        <w:textAlignment w:val="auto"/>
        <w:rPr>
          <w:rFonts w:hint="eastAsia" w:ascii="宋体" w:hAnsi="宋体" w:cs="黑体"/>
          <w:szCs w:val="21"/>
        </w:rPr>
      </w:pPr>
      <w:r>
        <w:rPr>
          <w:rFonts w:hint="eastAsia" w:ascii="宋体" w:hAnsi="宋体" w:cs="黑体"/>
          <w:szCs w:val="21"/>
          <w:lang w:val="en-US" w:eastAsia="zh-CN"/>
        </w:rPr>
        <w:t>3、</w:t>
      </w:r>
      <w:r>
        <w:rPr>
          <w:rFonts w:hint="eastAsia" w:ascii="宋体" w:hAnsi="宋体" w:cs="黑体"/>
          <w:szCs w:val="21"/>
        </w:rPr>
        <w:t>2020年7月14日-7月16日，收到浙江省食品学会</w:t>
      </w:r>
      <w:r>
        <w:rPr>
          <w:rFonts w:hint="eastAsia" w:ascii="宋体" w:hAnsi="宋体" w:cs="黑体"/>
          <w:szCs w:val="21"/>
          <w:lang w:val="en-US" w:eastAsia="zh-CN"/>
        </w:rPr>
        <w:t>的</w:t>
      </w:r>
      <w:r>
        <w:rPr>
          <w:rFonts w:hint="eastAsia" w:ascii="宋体" w:hAnsi="宋体" w:cs="黑体"/>
          <w:szCs w:val="21"/>
        </w:rPr>
        <w:t>立项文件并成立起草工作组。</w:t>
      </w:r>
    </w:p>
    <w:p>
      <w:pPr>
        <w:keepNext w:val="0"/>
        <w:keepLines w:val="0"/>
        <w:pageBreakBefore w:val="0"/>
        <w:kinsoku/>
        <w:wordWrap/>
        <w:overflowPunct/>
        <w:topLinePunct w:val="0"/>
        <w:bidi w:val="0"/>
        <w:adjustRightInd/>
        <w:snapToGrid/>
        <w:spacing w:line="240" w:lineRule="auto"/>
        <w:ind w:firstLine="420" w:firstLineChars="200"/>
        <w:jc w:val="left"/>
        <w:textAlignment w:val="auto"/>
        <w:rPr>
          <w:rFonts w:hint="eastAsia" w:ascii="宋体" w:hAnsi="宋体" w:cs="黑体"/>
          <w:szCs w:val="21"/>
        </w:rPr>
      </w:pPr>
      <w:r>
        <w:rPr>
          <w:rFonts w:hint="eastAsia" w:ascii="宋体" w:hAnsi="宋体" w:cs="黑体"/>
          <w:szCs w:val="21"/>
        </w:rPr>
        <w:t>4、2020年7月18日-7月30日，完成《即食豆制品》团体标准草案稿。</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黑体"/>
          <w:szCs w:val="21"/>
          <w:lang w:eastAsia="zh-CN"/>
        </w:rPr>
      </w:pPr>
      <w:r>
        <w:rPr>
          <w:rFonts w:hint="eastAsia" w:ascii="宋体" w:hAnsi="宋体" w:cs="黑体"/>
          <w:szCs w:val="21"/>
        </w:rPr>
        <w:t>5</w:t>
      </w:r>
      <w:r>
        <w:rPr>
          <w:rFonts w:hint="eastAsia" w:ascii="宋体" w:hAnsi="宋体" w:cs="黑体"/>
          <w:szCs w:val="21"/>
          <w:lang w:eastAsia="zh-CN"/>
        </w:rPr>
        <w:t>、</w:t>
      </w:r>
      <w:r>
        <w:rPr>
          <w:rFonts w:hint="eastAsia" w:ascii="宋体" w:hAnsi="宋体" w:cs="黑体"/>
          <w:szCs w:val="21"/>
        </w:rPr>
        <w:t>2020年8月18日-8月2</w:t>
      </w:r>
      <w:r>
        <w:rPr>
          <w:rFonts w:hint="eastAsia" w:ascii="宋体" w:hAnsi="宋体" w:cs="黑体"/>
          <w:szCs w:val="21"/>
          <w:lang w:val="en-US" w:eastAsia="zh-CN"/>
        </w:rPr>
        <w:t>9</w:t>
      </w:r>
      <w:r>
        <w:rPr>
          <w:rFonts w:hint="eastAsia" w:ascii="宋体" w:hAnsi="宋体" w:cs="黑体"/>
          <w:szCs w:val="21"/>
        </w:rPr>
        <w:t>日，工作组讨论后形成工作组讨论稿</w:t>
      </w:r>
      <w:r>
        <w:rPr>
          <w:rFonts w:hint="eastAsia" w:ascii="宋体" w:hAnsi="宋体" w:cs="黑体"/>
          <w:szCs w:val="21"/>
          <w:lang w:eastAsia="zh-CN"/>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6、2020年8月20日，召开《即食豆制品》工作组讨论稿专家研讨会，会议主要提出（1）对即食豆制品定义中增加油炸或不油炸，“卤制”修改为“卤制调味”，“以饮用水、食盐、酱油、白砂糖等为辅料”修改为“添加或不添加其他辅料”，删除“休闲”两字等意见；（2）删除产品分类这一章节；（3）对原辅料要求进行修改和删减；（4）感官和理化指标中“豆皮”修改为“腐皮”，“豆腐干”修改为“豆腐干类”；（5）对微生物限量进行修改，删除锁鲜包装要求；（6）出厂检验项目增加优级产品出厂检验项目；（7）标签和标志要求修改。</w:t>
      </w:r>
    </w:p>
    <w:p>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宋体" w:hAnsi="宋体" w:cs="黑体"/>
          <w:szCs w:val="21"/>
          <w:lang w:val="en-US" w:eastAsia="zh-CN"/>
        </w:rPr>
      </w:pPr>
      <w:r>
        <w:rPr>
          <w:rFonts w:hint="eastAsia" w:ascii="宋体" w:hAnsi="宋体" w:cs="黑体"/>
          <w:szCs w:val="21"/>
          <w:lang w:val="en-US" w:eastAsia="zh-CN"/>
        </w:rPr>
        <w:t>7、2020年8月20日-9月2日，根据专家研讨会意见完成修改征求意见稿。</w:t>
      </w:r>
    </w:p>
    <w:p>
      <w:pPr>
        <w:keepNext w:val="0"/>
        <w:keepLines w:val="0"/>
        <w:pageBreakBefore w:val="0"/>
        <w:kinsoku/>
        <w:wordWrap/>
        <w:overflowPunct/>
        <w:topLinePunct w:val="0"/>
        <w:bidi w:val="0"/>
        <w:adjustRightInd/>
        <w:snapToGrid/>
        <w:spacing w:line="240" w:lineRule="auto"/>
        <w:textAlignment w:val="auto"/>
        <w:rPr>
          <w:rFonts w:ascii="黑体" w:hAnsi="黑体" w:eastAsia="黑体" w:cs="黑体"/>
          <w:szCs w:val="21"/>
        </w:rPr>
      </w:pPr>
      <w:r>
        <w:rPr>
          <w:rFonts w:hint="eastAsia" w:ascii="黑体" w:hAnsi="黑体" w:eastAsia="黑体" w:cs="黑体"/>
          <w:szCs w:val="21"/>
        </w:rPr>
        <w:t>五、标准制定原则：</w:t>
      </w:r>
    </w:p>
    <w:p>
      <w:pPr>
        <w:keepNext w:val="0"/>
        <w:keepLines w:val="0"/>
        <w:pageBreakBefore w:val="0"/>
        <w:widowControl/>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根据《中华人民共和国食品安全法》及其实施条例等有关法律法规，按GB/T 1.1-2020的编写原则进行编写。以加强即食豆制品卫生安全为原则，深入调查研究，保证规范起草工作的科学性、规范性和可操作性。</w:t>
      </w:r>
    </w:p>
    <w:p>
      <w:pPr>
        <w:keepNext w:val="0"/>
        <w:keepLines w:val="0"/>
        <w:pageBreakBefore w:val="0"/>
        <w:kinsoku/>
        <w:wordWrap/>
        <w:overflowPunct/>
        <w:topLinePunct w:val="0"/>
        <w:bidi w:val="0"/>
        <w:adjustRightInd/>
        <w:snapToGrid/>
        <w:spacing w:line="240" w:lineRule="auto"/>
        <w:textAlignment w:val="auto"/>
        <w:rPr>
          <w:rFonts w:ascii="宋体" w:hAnsi="宋体" w:cs="宋体"/>
          <w:color w:val="000000"/>
          <w:szCs w:val="21"/>
        </w:rPr>
      </w:pPr>
      <w:r>
        <w:rPr>
          <w:rFonts w:hint="eastAsia" w:ascii="宋体" w:hAnsi="宋体" w:cs="宋体"/>
          <w:szCs w:val="21"/>
        </w:rPr>
        <w:t xml:space="preserve">   （一）</w:t>
      </w:r>
      <w:r>
        <w:rPr>
          <w:rFonts w:hint="eastAsia" w:ascii="宋体" w:hAnsi="宋体" w:cs="宋体"/>
          <w:color w:val="000000"/>
          <w:szCs w:val="21"/>
        </w:rPr>
        <w:t>可操作性原则</w:t>
      </w:r>
    </w:p>
    <w:p>
      <w:pPr>
        <w:keepNext w:val="0"/>
        <w:keepLines w:val="0"/>
        <w:pageBreakBefore w:val="0"/>
        <w:widowControl/>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rPr>
        <w:t>制定过程中根据可操作性的原则，结合即食豆制品生产企业的实际情况，对标准内容进行科学设定。为即食豆制品行业、即食豆制品生产企业、检测单位、市场监督等部门提供科学管理的依据。</w:t>
      </w:r>
    </w:p>
    <w:p>
      <w:pPr>
        <w:keepNext w:val="0"/>
        <w:keepLines w:val="0"/>
        <w:pageBreakBefore w:val="0"/>
        <w:kinsoku/>
        <w:wordWrap/>
        <w:overflowPunct/>
        <w:topLinePunct w:val="0"/>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 xml:space="preserve">   （二）与国内外标准协调一致原则</w:t>
      </w:r>
    </w:p>
    <w:p>
      <w:pPr>
        <w:keepNext w:val="0"/>
        <w:keepLines w:val="0"/>
        <w:pageBreakBefore w:val="0"/>
        <w:widowControl/>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在</w:t>
      </w:r>
      <w:r>
        <w:rPr>
          <w:rFonts w:hint="eastAsia" w:ascii="宋体" w:hAnsi="宋体" w:cs="宋体"/>
          <w:szCs w:val="21"/>
          <w:lang w:val="en-US" w:eastAsia="zh-CN"/>
        </w:rPr>
        <w:t>文件</w:t>
      </w:r>
      <w:r>
        <w:rPr>
          <w:rFonts w:hint="eastAsia" w:ascii="宋体" w:hAnsi="宋体" w:cs="宋体"/>
          <w:szCs w:val="21"/>
        </w:rPr>
        <w:t>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keepNext w:val="0"/>
        <w:keepLines w:val="0"/>
        <w:pageBreakBefore w:val="0"/>
        <w:kinsoku/>
        <w:wordWrap/>
        <w:overflowPunct/>
        <w:topLinePunct w:val="0"/>
        <w:bidi w:val="0"/>
        <w:adjustRightInd/>
        <w:snapToGrid/>
        <w:spacing w:line="240" w:lineRule="auto"/>
        <w:textAlignment w:val="auto"/>
        <w:rPr>
          <w:rFonts w:ascii="宋体" w:hAnsi="宋体" w:cs="宋体"/>
          <w:szCs w:val="21"/>
        </w:rPr>
      </w:pPr>
      <w:r>
        <w:rPr>
          <w:rFonts w:hint="eastAsia" w:ascii="宋体" w:hAnsi="宋体" w:cs="宋体"/>
          <w:b/>
          <w:color w:val="000000"/>
          <w:szCs w:val="21"/>
        </w:rPr>
        <w:t xml:space="preserve">    </w:t>
      </w:r>
      <w:r>
        <w:rPr>
          <w:rFonts w:hint="eastAsia" w:ascii="宋体" w:hAnsi="宋体" w:cs="宋体"/>
          <w:color w:val="000000"/>
          <w:szCs w:val="21"/>
        </w:rPr>
        <w:t>（三）公开透明的原则</w:t>
      </w:r>
    </w:p>
    <w:p>
      <w:pPr>
        <w:keepNext w:val="0"/>
        <w:keepLines w:val="0"/>
        <w:pageBreakBefore w:val="0"/>
        <w:widowControl/>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pPr>
        <w:keepNext w:val="0"/>
        <w:keepLines w:val="0"/>
        <w:pageBreakBefore w:val="0"/>
        <w:kinsoku/>
        <w:wordWrap/>
        <w:overflowPunct/>
        <w:topLinePunct w:val="0"/>
        <w:bidi w:val="0"/>
        <w:adjustRightInd/>
        <w:snapToGrid/>
        <w:spacing w:line="240" w:lineRule="auto"/>
        <w:textAlignment w:val="auto"/>
        <w:rPr>
          <w:rFonts w:ascii="黑体" w:hAnsi="黑体" w:eastAsia="黑体" w:cs="黑体"/>
          <w:szCs w:val="21"/>
        </w:rPr>
      </w:pPr>
      <w:r>
        <w:rPr>
          <w:rFonts w:hint="eastAsia" w:ascii="黑体" w:hAnsi="黑体" w:eastAsia="黑体" w:cs="黑体"/>
          <w:szCs w:val="21"/>
        </w:rPr>
        <w:t>六、标准主要条款说明：</w:t>
      </w:r>
    </w:p>
    <w:p>
      <w:pPr>
        <w:keepNext w:val="0"/>
        <w:keepLines w:val="0"/>
        <w:pageBreakBefore w:val="0"/>
        <w:numPr>
          <w:ilvl w:val="0"/>
          <w:numId w:val="0"/>
        </w:numPr>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、标准名称和范围</w:t>
      </w:r>
    </w:p>
    <w:p>
      <w:pPr>
        <w:pStyle w:val="15"/>
        <w:keepNext w:val="0"/>
        <w:keepLines w:val="0"/>
        <w:pageBreakBefore w:val="0"/>
        <w:kinsoku/>
        <w:wordWrap/>
        <w:overflowPunct/>
        <w:topLinePunct w:val="0"/>
        <w:bidi w:val="0"/>
        <w:adjustRightInd/>
        <w:snapToGrid/>
        <w:spacing w:beforeLines="0" w:afterLines="0" w:line="240" w:lineRule="auto"/>
        <w:textAlignment w:val="auto"/>
        <w:rPr>
          <w:rFonts w:hint="eastAsia" w:hAnsi="宋体" w:eastAsia="宋体" w:cs="宋体"/>
          <w:szCs w:val="21"/>
          <w:lang w:eastAsia="zh-CN"/>
        </w:rPr>
      </w:pPr>
      <w:r>
        <w:rPr>
          <w:rFonts w:hint="eastAsia" w:hAnsi="宋体" w:cs="宋体"/>
          <w:szCs w:val="21"/>
        </w:rPr>
        <w:t>范围根据标准内容确定，本文件规定了即食豆制品的术语和定义、要求、试验方法、检验规则、</w:t>
      </w:r>
      <w:r>
        <w:rPr>
          <w:rFonts w:hint="eastAsia" w:hAnsi="宋体" w:cs="宋体"/>
          <w:szCs w:val="21"/>
          <w:lang w:val="zh-TW" w:eastAsia="zh-TW"/>
        </w:rPr>
        <w:t>生产加工</w:t>
      </w:r>
      <w:r>
        <w:rPr>
          <w:rFonts w:hint="eastAsia" w:hAnsi="宋体" w:cs="宋体"/>
          <w:szCs w:val="21"/>
          <w:lang w:val="en-US" w:eastAsia="zh-CN"/>
        </w:rPr>
        <w:t>过程</w:t>
      </w:r>
      <w:r>
        <w:rPr>
          <w:rFonts w:hint="eastAsia" w:hAnsi="宋体" w:cs="宋体"/>
          <w:szCs w:val="21"/>
          <w:lang w:val="zh-TW" w:eastAsia="zh-TW"/>
        </w:rPr>
        <w:t>卫生要求</w:t>
      </w:r>
      <w:r>
        <w:rPr>
          <w:rFonts w:hint="eastAsia" w:hAnsi="宋体" w:cs="宋体"/>
          <w:szCs w:val="21"/>
          <w:lang w:val="zh-TW"/>
        </w:rPr>
        <w:t>、</w:t>
      </w:r>
      <w:r>
        <w:rPr>
          <w:rFonts w:hint="eastAsia" w:hAnsi="宋体" w:cs="宋体"/>
          <w:szCs w:val="21"/>
          <w:lang w:val="zh-TW" w:eastAsia="zh-TW"/>
        </w:rPr>
        <w:t>包装</w:t>
      </w:r>
      <w:r>
        <w:rPr>
          <w:rFonts w:hint="eastAsia" w:hAnsi="宋体" w:cs="宋体"/>
          <w:szCs w:val="21"/>
          <w:lang w:val="zh-TW" w:eastAsia="zh-CN"/>
        </w:rPr>
        <w:t>、</w:t>
      </w:r>
      <w:r>
        <w:rPr>
          <w:rFonts w:hint="eastAsia" w:hAnsi="宋体" w:cs="宋体"/>
          <w:szCs w:val="21"/>
          <w:lang w:val="zh-TW" w:eastAsia="zh-TW"/>
        </w:rPr>
        <w:t>标签</w:t>
      </w:r>
      <w:r>
        <w:rPr>
          <w:rFonts w:hint="eastAsia" w:hAnsi="宋体" w:cs="宋体"/>
          <w:szCs w:val="21"/>
          <w:lang w:val="en-US" w:eastAsia="zh-CN"/>
        </w:rPr>
        <w:t>和标志</w:t>
      </w:r>
      <w:r>
        <w:rPr>
          <w:rFonts w:hint="eastAsia" w:hAnsi="宋体" w:cs="宋体"/>
          <w:szCs w:val="21"/>
          <w:lang w:val="zh-TW" w:eastAsia="zh-TW"/>
        </w:rPr>
        <w:t>、运输</w:t>
      </w:r>
      <w:r>
        <w:rPr>
          <w:rFonts w:hint="eastAsia" w:hAnsi="宋体" w:cs="宋体"/>
          <w:szCs w:val="21"/>
          <w:lang w:val="zh-TW"/>
        </w:rPr>
        <w:t>和</w:t>
      </w:r>
      <w:r>
        <w:rPr>
          <w:rFonts w:hint="eastAsia" w:hAnsi="宋体" w:cs="宋体"/>
          <w:szCs w:val="21"/>
          <w:lang w:val="zh-TW" w:eastAsia="zh-TW"/>
        </w:rPr>
        <w:t>贮存</w:t>
      </w:r>
      <w:r>
        <w:rPr>
          <w:rFonts w:hint="eastAsia" w:hAnsi="宋体" w:cs="宋体"/>
          <w:szCs w:val="21"/>
        </w:rPr>
        <w:t>、销售及召回的要求。适用于即食豆制品的生产、检验和销售</w:t>
      </w:r>
      <w:r>
        <w:rPr>
          <w:rFonts w:hint="eastAsia" w:hAnsi="宋体" w:cs="宋体"/>
          <w:szCs w:val="21"/>
          <w:lang w:eastAsia="zh-CN"/>
        </w:rPr>
        <w:t>。</w:t>
      </w:r>
    </w:p>
    <w:p>
      <w:pPr>
        <w:keepNext w:val="0"/>
        <w:keepLines w:val="0"/>
        <w:pageBreakBefore w:val="0"/>
        <w:numPr>
          <w:ilvl w:val="0"/>
          <w:numId w:val="1"/>
        </w:numPr>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rPr>
        <w:t>规范性引用文件</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在规范性引用文件中，根据</w:t>
      </w:r>
      <w:r>
        <w:rPr>
          <w:rFonts w:hint="eastAsia" w:ascii="宋体" w:hAnsi="宋体" w:cs="宋体"/>
          <w:szCs w:val="21"/>
          <w:lang w:val="en-US" w:eastAsia="zh-CN"/>
        </w:rPr>
        <w:t>即食豆制品</w:t>
      </w:r>
      <w:r>
        <w:rPr>
          <w:rFonts w:hint="eastAsia" w:ascii="宋体" w:hAnsi="宋体" w:cs="宋体"/>
          <w:szCs w:val="21"/>
        </w:rPr>
        <w:t>的要求和管理引用了相关国家标准等文件。</w:t>
      </w:r>
    </w:p>
    <w:p>
      <w:pPr>
        <w:keepNext w:val="0"/>
        <w:keepLines w:val="0"/>
        <w:pageBreakBefore w:val="0"/>
        <w:numPr>
          <w:ilvl w:val="0"/>
          <w:numId w:val="1"/>
        </w:numPr>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rPr>
        <w:t>术语和定义</w:t>
      </w:r>
    </w:p>
    <w:p>
      <w:pPr>
        <w:pStyle w:val="22"/>
        <w:keepNext w:val="0"/>
        <w:keepLines w:val="0"/>
        <w:pageBreakBefore w:val="0"/>
        <w:kinsoku/>
        <w:wordWrap/>
        <w:overflowPunct/>
        <w:topLinePunct w:val="0"/>
        <w:bidi w:val="0"/>
        <w:adjustRightInd/>
        <w:snapToGrid/>
        <w:spacing w:line="240" w:lineRule="auto"/>
        <w:ind w:firstLineChars="200"/>
        <w:textAlignment w:val="auto"/>
        <w:rPr>
          <w:rFonts w:hAnsi="宋体" w:cs="宋体"/>
          <w:kern w:val="2"/>
          <w:szCs w:val="21"/>
        </w:rPr>
      </w:pPr>
      <w:r>
        <w:rPr>
          <w:rFonts w:hint="eastAsia" w:hAnsi="宋体" w:cs="宋体"/>
          <w:kern w:val="2"/>
          <w:szCs w:val="21"/>
        </w:rPr>
        <w:t>明确了“</w:t>
      </w:r>
      <w:r>
        <w:rPr>
          <w:rFonts w:hint="eastAsia" w:hAnsi="宋体" w:cs="宋体"/>
          <w:szCs w:val="21"/>
        </w:rPr>
        <w:t>即食豆制品</w:t>
      </w:r>
      <w:r>
        <w:rPr>
          <w:rFonts w:hint="eastAsia" w:hAnsi="宋体" w:cs="宋体"/>
          <w:kern w:val="2"/>
          <w:szCs w:val="21"/>
        </w:rPr>
        <w:t>”的定义界定，其含义根据实际工艺规定。</w:t>
      </w:r>
    </w:p>
    <w:p>
      <w:pPr>
        <w:keepNext w:val="0"/>
        <w:keepLines w:val="0"/>
        <w:pageBreakBefore w:val="0"/>
        <w:numPr>
          <w:ilvl w:val="0"/>
          <w:numId w:val="1"/>
        </w:numPr>
        <w:kinsoku/>
        <w:wordWrap/>
        <w:overflowPunct/>
        <w:topLinePunct w:val="0"/>
        <w:bidi w:val="0"/>
        <w:adjustRightInd/>
        <w:snapToGrid/>
        <w:spacing w:line="240" w:lineRule="auto"/>
        <w:textAlignment w:val="auto"/>
        <w:rPr>
          <w:rFonts w:ascii="宋体" w:hAnsi="宋体" w:cs="宋体"/>
          <w:b/>
          <w:bCs/>
          <w:kern w:val="0"/>
          <w:szCs w:val="21"/>
        </w:rPr>
      </w:pPr>
      <w:r>
        <w:rPr>
          <w:rFonts w:hint="eastAsia" w:ascii="宋体" w:hAnsi="宋体" w:cs="宋体"/>
          <w:b/>
          <w:bCs/>
          <w:szCs w:val="21"/>
        </w:rPr>
        <w:t>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.1原辅料要求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szCs w:val="21"/>
          <w:lang w:eastAsia="zh-CN"/>
        </w:rPr>
      </w:pPr>
      <w:r>
        <w:rPr>
          <w:rFonts w:ascii="宋体" w:hAnsi="宋体" w:cs="宋体"/>
          <w:szCs w:val="21"/>
        </w:rPr>
        <w:t>对使用的原辅料进行了规定，符合相关国家及行业标准</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.2感官要求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豆腐干</w:t>
      </w:r>
      <w:r>
        <w:rPr>
          <w:rFonts w:hint="eastAsia" w:ascii="宋体" w:hAnsi="宋体" w:cs="宋体"/>
          <w:szCs w:val="21"/>
          <w:lang w:val="en-US" w:eastAsia="zh-CN"/>
        </w:rPr>
        <w:t>类</w:t>
      </w:r>
      <w:r>
        <w:rPr>
          <w:rFonts w:hint="eastAsia" w:ascii="宋体" w:hAnsi="宋体" w:cs="宋体"/>
          <w:szCs w:val="21"/>
        </w:rPr>
        <w:t>：根据</w:t>
      </w:r>
      <w:r>
        <w:rPr>
          <w:rFonts w:hint="eastAsia" w:ascii="宋体" w:hAnsi="宋体" w:cs="宋体"/>
          <w:szCs w:val="21"/>
          <w:lang w:val="en-US" w:eastAsia="zh-CN"/>
        </w:rPr>
        <w:t>GB/T 22106 非发酵豆制品、</w:t>
      </w:r>
      <w:r>
        <w:rPr>
          <w:rFonts w:hint="eastAsia" w:ascii="宋体" w:hAnsi="宋体" w:cs="宋体"/>
          <w:szCs w:val="21"/>
        </w:rPr>
        <w:t>GB/T</w:t>
      </w:r>
      <w:r>
        <w:rPr>
          <w:rFonts w:hint="eastAsia" w:ascii="宋体" w:hAnsi="宋体" w:cs="宋体"/>
          <w:szCs w:val="21"/>
          <w:lang w:val="en-US" w:eastAsia="zh-CN"/>
        </w:rPr>
        <w:t xml:space="preserve"> </w:t>
      </w:r>
      <w:r>
        <w:rPr>
          <w:rFonts w:hint="eastAsia" w:ascii="宋体" w:hAnsi="宋体" w:cs="宋体"/>
          <w:szCs w:val="21"/>
        </w:rPr>
        <w:t>23494豆腐干、SB/T</w:t>
      </w:r>
      <w:r>
        <w:rPr>
          <w:rFonts w:hint="eastAsia" w:ascii="宋体" w:hAnsi="宋体" w:cs="宋体"/>
          <w:szCs w:val="21"/>
          <w:lang w:val="en-US" w:eastAsia="zh-CN"/>
        </w:rPr>
        <w:t xml:space="preserve"> </w:t>
      </w:r>
      <w:r>
        <w:rPr>
          <w:rFonts w:hint="eastAsia" w:ascii="宋体" w:hAnsi="宋体" w:cs="宋体"/>
          <w:szCs w:val="21"/>
        </w:rPr>
        <w:t>10632 卤制豆腐干</w:t>
      </w:r>
      <w:r>
        <w:rPr>
          <w:rFonts w:hint="eastAsia" w:ascii="宋体" w:hAnsi="宋体" w:cs="宋体"/>
          <w:szCs w:val="21"/>
          <w:lang w:val="en-US" w:eastAsia="zh-CN"/>
        </w:rPr>
        <w:t>的要求</w:t>
      </w:r>
      <w:r>
        <w:rPr>
          <w:rFonts w:hint="eastAsia" w:ascii="宋体" w:hAnsi="宋体" w:cs="宋体"/>
          <w:szCs w:val="21"/>
        </w:rPr>
        <w:t>和DB34/T</w:t>
      </w:r>
      <w:r>
        <w:rPr>
          <w:rFonts w:hint="eastAsia" w:ascii="宋体" w:hAnsi="宋体" w:cs="宋体"/>
          <w:szCs w:val="21"/>
          <w:lang w:val="en-US" w:eastAsia="zh-CN"/>
        </w:rPr>
        <w:t xml:space="preserve"> </w:t>
      </w:r>
      <w:r>
        <w:rPr>
          <w:rFonts w:hint="eastAsia" w:ascii="宋体" w:hAnsi="宋体" w:cs="宋体"/>
          <w:szCs w:val="21"/>
        </w:rPr>
        <w:t>720.2 地理标志产品 八公山豆腐 豆腐干中对即食豆腐干感官要求规定，本文件根据行业实际情况</w:t>
      </w:r>
      <w:r>
        <w:rPr>
          <w:rFonts w:hint="eastAsia" w:ascii="宋体" w:hAnsi="宋体" w:cs="宋体"/>
          <w:szCs w:val="21"/>
          <w:lang w:eastAsia="zh-CN"/>
        </w:rPr>
        <w:t>，</w:t>
      </w:r>
      <w:r>
        <w:rPr>
          <w:rFonts w:hint="eastAsia" w:ascii="宋体" w:hAnsi="宋体" w:cs="宋体"/>
          <w:szCs w:val="21"/>
          <w:lang w:val="en-US" w:eastAsia="zh-CN"/>
        </w:rPr>
        <w:t>于工作组讨论会议最终确定产品名称为豆腐干类（包括豆腐干、豆腐泡、熏干等）并</w:t>
      </w:r>
      <w:r>
        <w:rPr>
          <w:rFonts w:hint="eastAsia" w:ascii="宋体" w:hAnsi="宋体" w:cs="宋体"/>
          <w:szCs w:val="21"/>
        </w:rPr>
        <w:t>提出豆腐干</w:t>
      </w:r>
      <w:r>
        <w:rPr>
          <w:rFonts w:hint="eastAsia" w:ascii="宋体" w:hAnsi="宋体" w:cs="宋体"/>
          <w:szCs w:val="21"/>
          <w:lang w:val="en-US" w:eastAsia="zh-CN"/>
        </w:rPr>
        <w:t>类</w:t>
      </w:r>
      <w:r>
        <w:rPr>
          <w:rFonts w:hint="eastAsia" w:ascii="宋体" w:hAnsi="宋体" w:cs="宋体"/>
          <w:szCs w:val="21"/>
        </w:rPr>
        <w:t>的感官要求。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lang w:val="en-US" w:eastAsia="zh-CN"/>
        </w:rPr>
        <w:t>腐皮</w:t>
      </w:r>
      <w:r>
        <w:rPr>
          <w:rFonts w:hint="eastAsia" w:ascii="宋体" w:hAnsi="宋体" w:cs="宋体"/>
          <w:szCs w:val="21"/>
        </w:rPr>
        <w:t>：根据GB/T 22106 非发酵豆制品对腐皮感官要求规定，本文件提出</w:t>
      </w:r>
      <w:r>
        <w:rPr>
          <w:rFonts w:hint="eastAsia" w:ascii="宋体" w:hAnsi="宋体" w:cs="宋体"/>
          <w:szCs w:val="21"/>
          <w:lang w:val="en-US" w:eastAsia="zh-CN"/>
        </w:rPr>
        <w:t>腐皮</w:t>
      </w:r>
      <w:r>
        <w:rPr>
          <w:rFonts w:hint="eastAsia" w:ascii="宋体" w:hAnsi="宋体" w:cs="宋体"/>
          <w:szCs w:val="21"/>
        </w:rPr>
        <w:t>的感官要求。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rPr>
      </w:pPr>
      <w:r>
        <w:rPr>
          <w:rFonts w:hint="eastAsia" w:ascii="宋体" w:hAnsi="宋体" w:cs="宋体"/>
          <w:szCs w:val="21"/>
        </w:rPr>
        <w:t>腐竹：根据GB/T 22106 非发酵豆制品对腐竹感官要求规定，本文件提出腐竹的感官要求。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千张：根据DB34/T 720.3 地理标志产品 八公山豆腐 千张对即食千张感官要求的规定,本文件根据行业实际情况提出符合千张产品特点的基本要求。</w:t>
      </w:r>
    </w:p>
    <w:p>
      <w:pPr>
        <w:keepNext w:val="0"/>
        <w:keepLines w:val="0"/>
        <w:pageBreakBefore w:val="0"/>
        <w:kinsoku/>
        <w:wordWrap/>
        <w:overflowPunct/>
        <w:topLinePunct w:val="0"/>
        <w:bidi w:val="0"/>
        <w:adjustRightInd/>
        <w:snapToGrid/>
        <w:spacing w:line="240" w:lineRule="auto"/>
        <w:textAlignment w:val="auto"/>
        <w:rPr>
          <w:rFonts w:hint="eastAsia"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.3理化指标</w:t>
      </w:r>
    </w:p>
    <w:p>
      <w:pPr>
        <w:keepNext w:val="0"/>
        <w:keepLines w:val="0"/>
        <w:pageBreakBefore w:val="0"/>
        <w:kinsoku/>
        <w:wordWrap/>
        <w:overflowPunct/>
        <w:topLinePunct w:val="0"/>
        <w:bidi w:val="0"/>
        <w:adjustRightInd/>
        <w:snapToGrid/>
        <w:spacing w:line="240" w:lineRule="auto"/>
        <w:ind w:firstLine="422" w:firstLineChars="200"/>
        <w:textAlignment w:val="auto"/>
        <w:rPr>
          <w:rFonts w:hint="eastAsia" w:ascii="宋体" w:hAnsi="宋体" w:eastAsia="宋体" w:cs="宋体"/>
          <w:b/>
          <w:bCs/>
          <w:szCs w:val="21"/>
          <w:lang w:val="en-US" w:eastAsia="zh-CN"/>
        </w:rPr>
      </w:pPr>
      <w:r>
        <w:rPr>
          <w:rFonts w:hint="eastAsia" w:ascii="宋体" w:hAnsi="宋体" w:cs="宋体"/>
          <w:b/>
          <w:bCs/>
          <w:szCs w:val="21"/>
          <w:lang w:val="en-US" w:eastAsia="zh-CN"/>
        </w:rPr>
        <w:t>水分</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lang w:val="en-US" w:eastAsia="zh-CN"/>
        </w:rPr>
        <w:t>豆腐干类：</w:t>
      </w:r>
      <w:r>
        <w:rPr>
          <w:rFonts w:hint="eastAsia" w:ascii="宋体" w:hAnsi="宋体" w:cs="宋体"/>
          <w:szCs w:val="21"/>
        </w:rPr>
        <w:t>根据GB/T 22106</w:t>
      </w:r>
      <w:r>
        <w:rPr>
          <w:rFonts w:hint="eastAsia" w:ascii="宋体" w:hAnsi="宋体" w:cs="宋体"/>
          <w:szCs w:val="21"/>
          <w:lang w:val="en-US" w:eastAsia="zh-CN"/>
        </w:rPr>
        <w:t xml:space="preserve"> </w:t>
      </w:r>
      <w:r>
        <w:rPr>
          <w:rFonts w:hint="eastAsia" w:ascii="宋体" w:hAnsi="宋体" w:cs="宋体"/>
          <w:szCs w:val="21"/>
        </w:rPr>
        <w:t>非发酵豆制品对</w:t>
      </w:r>
      <w:r>
        <w:rPr>
          <w:rFonts w:hint="eastAsia" w:ascii="宋体" w:hAnsi="宋体" w:cs="宋体"/>
          <w:szCs w:val="21"/>
          <w:lang w:val="en-US" w:eastAsia="zh-CN"/>
        </w:rPr>
        <w:t>豆腐干水分要求为75</w:t>
      </w:r>
      <w:r>
        <w:rPr>
          <w:rFonts w:hint="eastAsia" w:ascii="宋体" w:hAnsi="宋体" w:cs="宋体"/>
          <w:szCs w:val="21"/>
        </w:rPr>
        <w:t>g/100g</w:t>
      </w:r>
      <w:r>
        <w:rPr>
          <w:rFonts w:hint="eastAsia" w:ascii="宋体" w:hAnsi="宋体" w:cs="宋体"/>
          <w:szCs w:val="21"/>
          <w:lang w:eastAsia="zh-CN"/>
        </w:rPr>
        <w:t>，</w:t>
      </w:r>
      <w:r>
        <w:rPr>
          <w:rFonts w:hint="eastAsia" w:ascii="宋体" w:hAnsi="宋体" w:cs="宋体"/>
          <w:szCs w:val="21"/>
          <w:lang w:val="en-US" w:eastAsia="zh-CN"/>
        </w:rPr>
        <w:t>熏制</w:t>
      </w:r>
      <w:r>
        <w:rPr>
          <w:rFonts w:hint="eastAsia" w:ascii="宋体" w:hAnsi="宋体" w:cs="宋体"/>
          <w:szCs w:val="21"/>
        </w:rPr>
        <w:t>豆腐干为≤7</w:t>
      </w:r>
      <w:r>
        <w:rPr>
          <w:rFonts w:hint="eastAsia" w:ascii="宋体" w:hAnsi="宋体" w:cs="宋体"/>
          <w:szCs w:val="21"/>
          <w:lang w:val="en-US" w:eastAsia="zh-CN"/>
        </w:rPr>
        <w:t>0</w:t>
      </w:r>
      <w:r>
        <w:rPr>
          <w:rFonts w:hint="eastAsia" w:ascii="宋体" w:hAnsi="宋体" w:cs="宋体"/>
          <w:szCs w:val="21"/>
        </w:rPr>
        <w:t>g/100g</w:t>
      </w:r>
      <w:r>
        <w:rPr>
          <w:rFonts w:hint="eastAsia" w:ascii="宋体" w:hAnsi="宋体" w:cs="宋体"/>
          <w:szCs w:val="21"/>
          <w:lang w:eastAsia="zh-CN"/>
        </w:rPr>
        <w:t>，</w:t>
      </w:r>
      <w:r>
        <w:rPr>
          <w:rFonts w:hint="eastAsia" w:ascii="宋体" w:hAnsi="宋体" w:cs="宋体"/>
          <w:szCs w:val="21"/>
          <w:lang w:val="en-US" w:eastAsia="zh-CN"/>
        </w:rPr>
        <w:t>油炸豆腐干为</w:t>
      </w:r>
      <w:r>
        <w:rPr>
          <w:rFonts w:hint="eastAsia" w:ascii="宋体" w:hAnsi="宋体" w:cs="宋体"/>
          <w:szCs w:val="21"/>
        </w:rPr>
        <w:t>≤</w:t>
      </w:r>
      <w:r>
        <w:rPr>
          <w:rFonts w:hint="eastAsia" w:ascii="宋体" w:hAnsi="宋体" w:cs="宋体"/>
          <w:szCs w:val="21"/>
          <w:lang w:val="en-US" w:eastAsia="zh-CN"/>
        </w:rPr>
        <w:t>63g/100g</w:t>
      </w:r>
      <w:r>
        <w:rPr>
          <w:rFonts w:hint="eastAsia" w:ascii="宋体" w:hAnsi="宋体" w:cs="宋体"/>
          <w:szCs w:val="21"/>
        </w:rPr>
        <w:t>，SB/T 10632 卤制豆腐干对水分要求为≤65g/100g，DB5205/T 6 地理标志产品 大方豆干（大方手撕豆腐）对</w:t>
      </w:r>
      <w:r>
        <w:rPr>
          <w:rFonts w:hint="eastAsia" w:ascii="宋体" w:hAnsi="宋体" w:cs="宋体"/>
          <w:szCs w:val="21"/>
          <w:lang w:val="en-US" w:eastAsia="zh-CN"/>
        </w:rPr>
        <w:t>卤味品</w:t>
      </w:r>
      <w:r>
        <w:rPr>
          <w:rFonts w:hint="eastAsia" w:ascii="宋体" w:hAnsi="宋体" w:cs="宋体"/>
          <w:szCs w:val="21"/>
        </w:rPr>
        <w:t>水分要求为≤7</w:t>
      </w:r>
      <w:r>
        <w:rPr>
          <w:rFonts w:hint="eastAsia" w:ascii="宋体" w:hAnsi="宋体" w:cs="宋体"/>
          <w:szCs w:val="21"/>
          <w:lang w:val="en-US" w:eastAsia="zh-CN"/>
        </w:rPr>
        <w:t>0</w:t>
      </w:r>
      <w:r>
        <w:rPr>
          <w:rFonts w:hint="eastAsia" w:ascii="宋体" w:hAnsi="宋体" w:cs="宋体"/>
          <w:szCs w:val="21"/>
        </w:rPr>
        <w:t>g/100g，DB34/T 720.2 地理标志产品 八公山豆腐 豆腐干对即食豆腐干水分要求为≤60g/100g，本文件规定豆腐干</w:t>
      </w:r>
      <w:r>
        <w:rPr>
          <w:rFonts w:hint="eastAsia" w:ascii="宋体" w:hAnsi="宋体" w:cs="宋体"/>
          <w:szCs w:val="21"/>
          <w:lang w:val="en-US" w:eastAsia="zh-CN"/>
        </w:rPr>
        <w:t>类</w:t>
      </w:r>
      <w:r>
        <w:rPr>
          <w:rFonts w:hint="eastAsia" w:ascii="宋体" w:hAnsi="宋体" w:cs="宋体"/>
          <w:szCs w:val="21"/>
        </w:rPr>
        <w:t>水分≤</w:t>
      </w:r>
      <w:r>
        <w:rPr>
          <w:rFonts w:hint="eastAsia" w:ascii="宋体" w:hAnsi="宋体" w:cs="宋体"/>
          <w:szCs w:val="21"/>
          <w:lang w:val="en-US" w:eastAsia="zh-CN"/>
        </w:rPr>
        <w:t>75</w:t>
      </w:r>
      <w:r>
        <w:rPr>
          <w:rFonts w:hint="eastAsia" w:ascii="宋体" w:hAnsi="宋体" w:cs="宋体"/>
          <w:szCs w:val="21"/>
        </w:rPr>
        <w:t>g/100g。</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腐皮：</w:t>
      </w:r>
      <w:r>
        <w:rPr>
          <w:rFonts w:hint="eastAsia" w:ascii="宋体" w:hAnsi="宋体" w:cs="宋体"/>
          <w:szCs w:val="21"/>
        </w:rPr>
        <w:t>根据GB/T 22106 非发酵豆制品规定腐皮水分含量为≤20</w:t>
      </w:r>
      <w:r>
        <w:rPr>
          <w:rFonts w:hint="eastAsia" w:ascii="宋体" w:hAnsi="宋体" w:cs="宋体"/>
          <w:szCs w:val="21"/>
          <w:lang w:val="en-US" w:eastAsia="zh-CN"/>
        </w:rPr>
        <w:t>g/100g，</w:t>
      </w:r>
      <w:r>
        <w:rPr>
          <w:rFonts w:hint="eastAsia" w:ascii="宋体" w:hAnsi="宋体" w:cs="宋体"/>
          <w:szCs w:val="21"/>
        </w:rPr>
        <w:t>腐竹水分含量为≤</w:t>
      </w:r>
      <w:r>
        <w:rPr>
          <w:rFonts w:hint="eastAsia" w:ascii="宋体" w:hAnsi="宋体" w:cs="宋体"/>
          <w:szCs w:val="21"/>
          <w:lang w:val="en-US" w:eastAsia="zh-CN"/>
        </w:rPr>
        <w:t>40g/100g，</w:t>
      </w:r>
      <w:r>
        <w:rPr>
          <w:rFonts w:hint="eastAsia" w:ascii="宋体" w:hAnsi="宋体" w:cs="宋体"/>
          <w:szCs w:val="21"/>
        </w:rPr>
        <w:t>本文件</w:t>
      </w:r>
      <w:r>
        <w:rPr>
          <w:rFonts w:hint="eastAsia" w:ascii="宋体" w:hAnsi="宋体" w:cs="宋体"/>
          <w:szCs w:val="21"/>
          <w:lang w:val="en-US" w:eastAsia="zh-CN"/>
        </w:rPr>
        <w:t>考虑到实际工艺和数据调研规定腐</w:t>
      </w:r>
      <w:r>
        <w:rPr>
          <w:rFonts w:hint="eastAsia" w:ascii="宋体" w:hAnsi="宋体" w:cs="宋体"/>
          <w:szCs w:val="21"/>
        </w:rPr>
        <w:t>皮水分≤</w:t>
      </w:r>
      <w:r>
        <w:rPr>
          <w:rFonts w:hint="eastAsia" w:ascii="宋体" w:hAnsi="宋体" w:cs="宋体"/>
          <w:szCs w:val="21"/>
          <w:lang w:val="en-US" w:eastAsia="zh-CN"/>
        </w:rPr>
        <w:t>4</w:t>
      </w:r>
      <w:r>
        <w:rPr>
          <w:rFonts w:hint="eastAsia" w:ascii="宋体" w:hAnsi="宋体" w:cs="宋体"/>
          <w:szCs w:val="21"/>
        </w:rPr>
        <w:t>0</w:t>
      </w:r>
      <w:r>
        <w:rPr>
          <w:rFonts w:hint="eastAsia" w:ascii="宋体" w:hAnsi="宋体" w:cs="宋体"/>
          <w:szCs w:val="21"/>
          <w:lang w:val="en-US" w:eastAsia="zh-CN"/>
        </w:rPr>
        <w:t>g/100g</w:t>
      </w:r>
      <w:r>
        <w:rPr>
          <w:rFonts w:hint="eastAsia" w:ascii="宋体" w:hAnsi="宋体" w:cs="宋体"/>
          <w:szCs w:val="21"/>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腐竹</w:t>
      </w:r>
      <w:r>
        <w:rPr>
          <w:rFonts w:hint="eastAsia" w:ascii="宋体" w:hAnsi="宋体" w:cs="宋体"/>
          <w:szCs w:val="21"/>
          <w:lang w:eastAsia="zh-CN"/>
        </w:rPr>
        <w:t>：</w:t>
      </w:r>
      <w:r>
        <w:rPr>
          <w:rFonts w:hint="eastAsia" w:ascii="宋体" w:hAnsi="宋体" w:cs="宋体"/>
          <w:szCs w:val="21"/>
        </w:rPr>
        <w:t>根据GB/T 22106 非发酵豆制品规定腐竹水分含量为≤</w:t>
      </w:r>
      <w:r>
        <w:rPr>
          <w:rFonts w:hint="eastAsia" w:ascii="宋体" w:hAnsi="宋体" w:cs="宋体"/>
          <w:szCs w:val="21"/>
          <w:lang w:val="en-US" w:eastAsia="zh-CN"/>
        </w:rPr>
        <w:t>40g/100g</w:t>
      </w:r>
      <w:r>
        <w:rPr>
          <w:rFonts w:hint="eastAsia" w:ascii="宋体" w:hAnsi="宋体" w:cs="宋体"/>
          <w:szCs w:val="21"/>
        </w:rPr>
        <w:t>，本文件</w:t>
      </w:r>
      <w:r>
        <w:rPr>
          <w:rFonts w:hint="eastAsia" w:ascii="宋体" w:hAnsi="宋体" w:cs="宋体"/>
          <w:szCs w:val="21"/>
          <w:lang w:val="en-US" w:eastAsia="zh-CN"/>
        </w:rPr>
        <w:t>规定腐</w:t>
      </w:r>
      <w:r>
        <w:rPr>
          <w:rFonts w:hint="eastAsia" w:ascii="宋体" w:hAnsi="宋体" w:cs="宋体"/>
          <w:szCs w:val="21"/>
        </w:rPr>
        <w:t>竹水分≤</w:t>
      </w:r>
      <w:r>
        <w:rPr>
          <w:rFonts w:hint="eastAsia" w:ascii="宋体" w:hAnsi="宋体" w:cs="宋体"/>
          <w:szCs w:val="21"/>
          <w:lang w:val="en-US" w:eastAsia="zh-CN"/>
        </w:rPr>
        <w:t>40g/100g</w:t>
      </w:r>
      <w:r>
        <w:rPr>
          <w:rFonts w:hint="eastAsia" w:ascii="宋体" w:hAnsi="宋体" w:cs="宋体"/>
          <w:szCs w:val="21"/>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lang w:val="en-US" w:eastAsia="zh-CN"/>
        </w:rPr>
        <w:t>千张：</w:t>
      </w:r>
      <w:r>
        <w:rPr>
          <w:rFonts w:hint="eastAsia" w:ascii="宋体" w:hAnsi="宋体" w:cs="宋体"/>
          <w:szCs w:val="21"/>
        </w:rPr>
        <w:t>根据DB34/T 720.3地理标志产品 八公山豆腐 千张 提出千张的水分要求为≤</w:t>
      </w:r>
      <w:r>
        <w:rPr>
          <w:rFonts w:hint="eastAsia" w:ascii="宋体" w:hAnsi="宋体" w:cs="宋体"/>
          <w:szCs w:val="21"/>
          <w:lang w:val="en-US" w:eastAsia="zh-CN"/>
        </w:rPr>
        <w:t>65</w:t>
      </w:r>
      <w:r>
        <w:rPr>
          <w:rFonts w:hint="eastAsia" w:ascii="宋体" w:hAnsi="宋体" w:cs="宋体"/>
          <w:szCs w:val="21"/>
        </w:rPr>
        <w:t>%，根据</w:t>
      </w:r>
      <w:r>
        <w:rPr>
          <w:rFonts w:hint="eastAsia" w:ascii="宋体" w:hAnsi="宋体" w:cs="宋体"/>
          <w:szCs w:val="21"/>
          <w:lang w:val="en-US" w:eastAsia="zh-CN"/>
        </w:rPr>
        <w:t>产品</w:t>
      </w:r>
      <w:r>
        <w:rPr>
          <w:rFonts w:hint="eastAsia" w:ascii="宋体" w:hAnsi="宋体" w:cs="宋体"/>
          <w:szCs w:val="21"/>
        </w:rPr>
        <w:t>实际情况</w:t>
      </w:r>
      <w:r>
        <w:rPr>
          <w:rFonts w:hint="eastAsia" w:ascii="宋体" w:hAnsi="宋体" w:cs="宋体"/>
          <w:szCs w:val="21"/>
          <w:lang w:val="en-US" w:eastAsia="zh-CN"/>
        </w:rPr>
        <w:t>和数据调研</w:t>
      </w:r>
      <w:r>
        <w:rPr>
          <w:rFonts w:hint="eastAsia" w:ascii="宋体" w:hAnsi="宋体" w:cs="宋体"/>
          <w:szCs w:val="21"/>
        </w:rPr>
        <w:t>本文件规定千张的水分要求为≤</w:t>
      </w:r>
      <w:r>
        <w:rPr>
          <w:rFonts w:hint="eastAsia" w:ascii="宋体" w:hAnsi="宋体" w:cs="宋体"/>
          <w:szCs w:val="21"/>
          <w:lang w:val="en-US" w:eastAsia="zh-CN"/>
        </w:rPr>
        <w:t>75</w:t>
      </w:r>
      <w:r>
        <w:rPr>
          <w:rFonts w:hint="eastAsia" w:ascii="宋体" w:hAnsi="宋体" w:cs="宋体"/>
          <w:szCs w:val="21"/>
        </w:rPr>
        <w:t>g/100g。</w:t>
      </w:r>
    </w:p>
    <w:p>
      <w:pPr>
        <w:keepNext w:val="0"/>
        <w:keepLines w:val="0"/>
        <w:pageBreakBefore w:val="0"/>
        <w:kinsoku/>
        <w:wordWrap/>
        <w:overflowPunct/>
        <w:topLinePunct w:val="0"/>
        <w:bidi w:val="0"/>
        <w:adjustRightInd/>
        <w:snapToGrid/>
        <w:spacing w:line="240" w:lineRule="auto"/>
        <w:ind w:firstLine="422" w:firstLineChars="200"/>
        <w:textAlignment w:val="auto"/>
        <w:rPr>
          <w:rFonts w:ascii="宋体" w:hAnsi="宋体" w:cs="宋体"/>
          <w:b/>
          <w:bCs/>
          <w:szCs w:val="21"/>
        </w:rPr>
      </w:pPr>
      <w:r>
        <w:rPr>
          <w:rFonts w:hint="eastAsia" w:ascii="宋体" w:hAnsi="宋体" w:cs="宋体"/>
          <w:b/>
          <w:bCs/>
          <w:szCs w:val="21"/>
        </w:rPr>
        <w:t>蛋白质：</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lang w:val="en-US" w:eastAsia="zh-CN"/>
        </w:rPr>
        <w:t>豆腐干类：</w:t>
      </w:r>
      <w:r>
        <w:rPr>
          <w:rFonts w:hint="eastAsia" w:ascii="宋体" w:hAnsi="宋体" w:cs="宋体"/>
          <w:szCs w:val="21"/>
        </w:rPr>
        <w:t>根据GB/T 22106非发酵豆制品对</w:t>
      </w:r>
      <w:r>
        <w:rPr>
          <w:rFonts w:hint="eastAsia" w:ascii="宋体" w:hAnsi="宋体" w:cs="宋体"/>
          <w:szCs w:val="21"/>
          <w:lang w:val="en-US" w:eastAsia="zh-CN"/>
        </w:rPr>
        <w:t>熏制</w:t>
      </w:r>
      <w:r>
        <w:rPr>
          <w:rFonts w:hint="eastAsia" w:ascii="宋体" w:hAnsi="宋体" w:cs="宋体"/>
          <w:szCs w:val="21"/>
        </w:rPr>
        <w:t>豆腐干蛋白质要求为≥1</w:t>
      </w:r>
      <w:r>
        <w:rPr>
          <w:rFonts w:hint="eastAsia" w:ascii="宋体" w:hAnsi="宋体" w:cs="宋体"/>
          <w:szCs w:val="21"/>
          <w:lang w:val="en-US" w:eastAsia="zh-CN"/>
        </w:rPr>
        <w:t>5</w:t>
      </w:r>
      <w:r>
        <w:rPr>
          <w:rFonts w:hint="eastAsia" w:ascii="宋体" w:hAnsi="宋体" w:cs="宋体"/>
          <w:szCs w:val="21"/>
        </w:rPr>
        <w:t>g/100g，</w:t>
      </w:r>
      <w:r>
        <w:rPr>
          <w:rFonts w:hint="eastAsia" w:ascii="宋体" w:hAnsi="宋体" w:cs="宋体"/>
          <w:szCs w:val="21"/>
          <w:lang w:val="en-US" w:eastAsia="zh-CN"/>
        </w:rPr>
        <w:t>油炸豆腐干为</w:t>
      </w:r>
      <w:r>
        <w:rPr>
          <w:rFonts w:hint="eastAsia" w:ascii="宋体" w:hAnsi="宋体" w:cs="宋体"/>
          <w:szCs w:val="21"/>
        </w:rPr>
        <w:t>≥</w:t>
      </w:r>
      <w:r>
        <w:rPr>
          <w:rFonts w:hint="eastAsia" w:ascii="宋体" w:hAnsi="宋体" w:cs="宋体"/>
          <w:szCs w:val="21"/>
          <w:lang w:val="en-US" w:eastAsia="zh-CN"/>
        </w:rPr>
        <w:t>17g/100g</w:t>
      </w: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SB/T 10632 卤制豆腐干对蛋白质要求为≥15g/100g，DB5205/T 6 地理标志产品 大方豆干（大方手撕豆腐）对</w:t>
      </w:r>
      <w:r>
        <w:rPr>
          <w:rFonts w:hint="eastAsia" w:ascii="宋体" w:hAnsi="宋体" w:cs="宋体"/>
          <w:szCs w:val="21"/>
          <w:lang w:val="en-US" w:eastAsia="zh-CN"/>
        </w:rPr>
        <w:t>卤味品</w:t>
      </w:r>
      <w:r>
        <w:rPr>
          <w:rFonts w:hint="eastAsia" w:ascii="宋体" w:hAnsi="宋体" w:cs="宋体"/>
          <w:szCs w:val="21"/>
        </w:rPr>
        <w:t>蛋白质要求为≥1</w:t>
      </w:r>
      <w:r>
        <w:rPr>
          <w:rFonts w:hint="eastAsia" w:ascii="宋体" w:hAnsi="宋体" w:cs="宋体"/>
          <w:szCs w:val="21"/>
          <w:lang w:val="en-US" w:eastAsia="zh-CN"/>
        </w:rPr>
        <w:t>5</w:t>
      </w:r>
      <w:r>
        <w:rPr>
          <w:rFonts w:hint="eastAsia" w:ascii="宋体" w:hAnsi="宋体" w:cs="宋体"/>
          <w:szCs w:val="21"/>
        </w:rPr>
        <w:t>g/100g，DB34/T 720.2 地理标志产品 八公山豆腐 豆腐干对即食豆腐干蛋白质要求为≥20g/100g，本文件规定豆腐干</w:t>
      </w:r>
      <w:r>
        <w:rPr>
          <w:rFonts w:hint="eastAsia" w:ascii="宋体" w:hAnsi="宋体" w:cs="宋体"/>
          <w:szCs w:val="21"/>
          <w:lang w:val="en-US" w:eastAsia="zh-CN"/>
        </w:rPr>
        <w:t>类</w:t>
      </w:r>
      <w:r>
        <w:rPr>
          <w:rFonts w:hint="eastAsia" w:ascii="宋体" w:hAnsi="宋体" w:cs="宋体"/>
          <w:szCs w:val="21"/>
        </w:rPr>
        <w:t>蛋白质≥15g/100g为合格，蛋白质≥20g/100g为优级。</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腐皮：</w:t>
      </w:r>
      <w:r>
        <w:rPr>
          <w:rFonts w:hint="eastAsia" w:ascii="宋体" w:hAnsi="宋体" w:cs="宋体"/>
          <w:szCs w:val="21"/>
        </w:rPr>
        <w:t>根据GB/T 22106 非发酵豆制品规定腐皮蛋白质含量≥43g/100g，</w:t>
      </w:r>
      <w:r>
        <w:rPr>
          <w:rFonts w:hint="eastAsia" w:ascii="宋体" w:hAnsi="宋体" w:cs="宋体"/>
          <w:szCs w:val="21"/>
          <w:lang w:val="en-US" w:eastAsia="zh-CN"/>
        </w:rPr>
        <w:t>综合考虑产品实际和数据调研</w:t>
      </w:r>
      <w:r>
        <w:rPr>
          <w:rFonts w:hint="eastAsia" w:ascii="宋体" w:hAnsi="宋体" w:cs="宋体"/>
          <w:szCs w:val="21"/>
        </w:rPr>
        <w:t>本文件</w:t>
      </w:r>
      <w:r>
        <w:rPr>
          <w:rFonts w:hint="eastAsia" w:ascii="宋体" w:hAnsi="宋体" w:cs="宋体"/>
          <w:szCs w:val="21"/>
          <w:lang w:val="en-US" w:eastAsia="zh-CN"/>
        </w:rPr>
        <w:t>规定腐</w:t>
      </w:r>
      <w:r>
        <w:rPr>
          <w:rFonts w:hint="eastAsia" w:ascii="宋体" w:hAnsi="宋体" w:cs="宋体"/>
          <w:szCs w:val="21"/>
        </w:rPr>
        <w:t>皮的蛋白质≥</w:t>
      </w:r>
      <w:r>
        <w:rPr>
          <w:rFonts w:hint="eastAsia" w:ascii="宋体" w:hAnsi="宋体" w:cs="宋体"/>
          <w:szCs w:val="21"/>
          <w:lang w:val="en-US" w:eastAsia="zh-CN"/>
        </w:rPr>
        <w:t>20</w:t>
      </w:r>
      <w:r>
        <w:rPr>
          <w:rFonts w:hint="eastAsia" w:ascii="宋体" w:hAnsi="宋体" w:cs="宋体"/>
          <w:szCs w:val="21"/>
        </w:rPr>
        <w:t>g/100g为合格，蛋白质≥</w:t>
      </w:r>
      <w:r>
        <w:rPr>
          <w:rFonts w:hint="eastAsia" w:ascii="宋体" w:hAnsi="宋体" w:cs="宋体"/>
          <w:szCs w:val="21"/>
          <w:lang w:val="en-US" w:eastAsia="zh-CN"/>
        </w:rPr>
        <w:t>25</w:t>
      </w:r>
      <w:r>
        <w:rPr>
          <w:rFonts w:hint="eastAsia" w:ascii="宋体" w:hAnsi="宋体" w:cs="宋体"/>
          <w:szCs w:val="21"/>
        </w:rPr>
        <w:t>g/100g为优级</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腐竹：</w:t>
      </w:r>
      <w:r>
        <w:rPr>
          <w:rFonts w:hint="eastAsia" w:ascii="宋体" w:hAnsi="宋体" w:cs="宋体"/>
          <w:szCs w:val="21"/>
        </w:rPr>
        <w:t>根据GB/T 22106 非发酵豆制品规定腐竹蛋白质含量20g/100g</w:t>
      </w:r>
      <w:r>
        <w:rPr>
          <w:rFonts w:hint="eastAsia" w:ascii="宋体" w:hAnsi="宋体" w:cs="宋体"/>
          <w:szCs w:val="21"/>
          <w:lang w:eastAsia="zh-CN"/>
        </w:rPr>
        <w:t>，</w:t>
      </w:r>
      <w:r>
        <w:rPr>
          <w:rFonts w:hint="eastAsia" w:ascii="宋体" w:hAnsi="宋体" w:cs="宋体"/>
          <w:szCs w:val="21"/>
        </w:rPr>
        <w:t>本文件</w:t>
      </w:r>
      <w:r>
        <w:rPr>
          <w:rFonts w:hint="eastAsia" w:ascii="宋体" w:hAnsi="宋体" w:cs="宋体"/>
          <w:szCs w:val="21"/>
          <w:lang w:val="en-US" w:eastAsia="zh-CN"/>
        </w:rPr>
        <w:t>规定</w:t>
      </w:r>
      <w:r>
        <w:rPr>
          <w:rFonts w:hint="eastAsia" w:ascii="宋体" w:hAnsi="宋体" w:cs="宋体"/>
          <w:szCs w:val="21"/>
        </w:rPr>
        <w:t>了腐竹蛋白质≥</w:t>
      </w:r>
      <w:r>
        <w:rPr>
          <w:rFonts w:hint="eastAsia" w:ascii="宋体" w:hAnsi="宋体" w:cs="宋体"/>
          <w:szCs w:val="21"/>
          <w:lang w:val="en-US" w:eastAsia="zh-CN"/>
        </w:rPr>
        <w:t>20</w:t>
      </w:r>
      <w:r>
        <w:rPr>
          <w:rFonts w:hint="eastAsia" w:ascii="宋体" w:hAnsi="宋体" w:cs="宋体"/>
          <w:szCs w:val="21"/>
        </w:rPr>
        <w:t>g/100g为合格，蛋白质≥</w:t>
      </w:r>
      <w:r>
        <w:rPr>
          <w:rFonts w:hint="eastAsia" w:ascii="宋体" w:hAnsi="宋体" w:cs="宋体"/>
          <w:szCs w:val="21"/>
          <w:lang w:val="en-US" w:eastAsia="zh-CN"/>
        </w:rPr>
        <w:t>25</w:t>
      </w:r>
      <w:r>
        <w:rPr>
          <w:rFonts w:hint="eastAsia" w:ascii="宋体" w:hAnsi="宋体" w:cs="宋体"/>
          <w:szCs w:val="21"/>
        </w:rPr>
        <w:t>g/100g为优级。</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lang w:val="en-US" w:eastAsia="zh-CN"/>
        </w:rPr>
        <w:t>千张：</w:t>
      </w:r>
      <w:r>
        <w:rPr>
          <w:rFonts w:hint="eastAsia" w:ascii="宋体" w:hAnsi="宋体" w:cs="宋体"/>
          <w:szCs w:val="21"/>
        </w:rPr>
        <w:t>根据DB34/T 720.3地理标志产品 八公山豆腐 千张 规定了即食千张的蛋白质要求为≥20g/100g，本文件根据实际情况</w:t>
      </w:r>
      <w:r>
        <w:rPr>
          <w:rFonts w:hint="eastAsia" w:ascii="宋体" w:hAnsi="宋体" w:cs="宋体"/>
          <w:szCs w:val="21"/>
          <w:lang w:val="en-US" w:eastAsia="zh-CN"/>
        </w:rPr>
        <w:t>规定</w:t>
      </w:r>
      <w:r>
        <w:rPr>
          <w:rFonts w:hint="eastAsia" w:ascii="宋体" w:hAnsi="宋体" w:cs="宋体"/>
          <w:szCs w:val="21"/>
        </w:rPr>
        <w:t>千张蛋白质为≥20g/100g为合格，≥25g/100g为优级。</w:t>
      </w:r>
    </w:p>
    <w:p>
      <w:pPr>
        <w:keepNext w:val="0"/>
        <w:keepLines w:val="0"/>
        <w:pageBreakBefore w:val="0"/>
        <w:kinsoku/>
        <w:wordWrap/>
        <w:overflowPunct/>
        <w:topLinePunct w:val="0"/>
        <w:bidi w:val="0"/>
        <w:adjustRightInd/>
        <w:snapToGrid/>
        <w:spacing w:line="240" w:lineRule="auto"/>
        <w:ind w:firstLine="422" w:firstLineChars="200"/>
        <w:textAlignment w:val="auto"/>
        <w:rPr>
          <w:rFonts w:hint="eastAsia" w:ascii="宋体" w:hAnsi="宋体" w:cs="宋体"/>
          <w:b/>
          <w:bCs/>
          <w:szCs w:val="21"/>
        </w:rPr>
      </w:pPr>
      <w:r>
        <w:rPr>
          <w:rFonts w:hint="eastAsia" w:ascii="宋体" w:hAnsi="宋体" w:cs="宋体"/>
          <w:b/>
          <w:bCs/>
          <w:szCs w:val="21"/>
        </w:rPr>
        <w:t>食盐：</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23494豆腐干规定食盐（以NaCl计）≤4g/100g，根据行业实际情况，本文件提出了符合产品特点的基本要求，规定食盐（以NaCl计）≤4g/100g。</w:t>
      </w:r>
    </w:p>
    <w:p>
      <w:pPr>
        <w:keepNext w:val="0"/>
        <w:keepLines w:val="0"/>
        <w:pageBreakBefore w:val="0"/>
        <w:kinsoku/>
        <w:wordWrap/>
        <w:overflowPunct/>
        <w:topLinePunct w:val="0"/>
        <w:bidi w:val="0"/>
        <w:adjustRightInd/>
        <w:snapToGrid/>
        <w:spacing w:line="240" w:lineRule="auto"/>
        <w:ind w:firstLine="422" w:firstLineChars="200"/>
        <w:textAlignment w:val="auto"/>
        <w:rPr>
          <w:rFonts w:ascii="宋体" w:hAnsi="宋体" w:cs="宋体"/>
          <w:szCs w:val="21"/>
        </w:rPr>
      </w:pPr>
      <w:r>
        <w:rPr>
          <w:rFonts w:hint="eastAsia" w:ascii="宋体" w:hAnsi="宋体" w:cs="宋体"/>
          <w:b/>
          <w:bCs/>
          <w:szCs w:val="21"/>
        </w:rPr>
        <w:t>铅：</w:t>
      </w:r>
      <w:r>
        <w:rPr>
          <w:rFonts w:hint="eastAsia" w:ascii="宋体" w:hAnsi="宋体" w:cs="宋体"/>
          <w:szCs w:val="21"/>
        </w:rPr>
        <w:t>根据GB 2712 豆制品应符合 GB 2762 的规定，GB 2762中规定豆类制品的铅≤0.5mg/kg，本文件</w:t>
      </w:r>
      <w:r>
        <w:rPr>
          <w:rFonts w:hint="eastAsia" w:ascii="宋体" w:hAnsi="宋体" w:cs="宋体"/>
          <w:szCs w:val="21"/>
          <w:lang w:val="en-US" w:eastAsia="zh-CN"/>
        </w:rPr>
        <w:t>规定</w:t>
      </w:r>
      <w:r>
        <w:rPr>
          <w:rFonts w:hint="eastAsia" w:ascii="宋体" w:hAnsi="宋体" w:cs="宋体"/>
          <w:szCs w:val="21"/>
        </w:rPr>
        <w:t>铅≤0.5mg/kg。</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.4微生物限量</w:t>
      </w:r>
    </w:p>
    <w:p>
      <w:pPr>
        <w:pStyle w:val="35"/>
        <w:keepNext w:val="0"/>
        <w:keepLines w:val="0"/>
        <w:pageBreakBefore w:val="0"/>
        <w:widowControl/>
        <w:kinsoku/>
        <w:wordWrap/>
        <w:overflowPunct/>
        <w:topLinePunct w:val="0"/>
        <w:autoSpaceDE/>
        <w:autoSpaceDN/>
        <w:bidi w:val="0"/>
        <w:adjustRightInd/>
        <w:snapToGrid/>
        <w:spacing w:line="240" w:lineRule="auto"/>
        <w:ind w:left="420" w:leftChars="200" w:firstLine="0" w:firstLineChars="0"/>
        <w:textAlignment w:val="auto"/>
        <w:rPr>
          <w:rFonts w:hint="eastAsia"/>
          <w:lang w:val="en-US" w:eastAsia="zh-CN"/>
        </w:rPr>
      </w:pPr>
      <w:r>
        <w:rPr>
          <w:rFonts w:hint="eastAsia" w:ascii="宋体" w:hAnsi="宋体" w:cs="宋体"/>
          <w:szCs w:val="21"/>
        </w:rPr>
        <w:t>根据GB 2712 豆制品对微生物限量的规定</w:t>
      </w:r>
      <w:r>
        <w:rPr>
          <w:rFonts w:hint="eastAsia" w:ascii="宋体" w:hAnsi="宋体" w:cs="宋体"/>
          <w:szCs w:val="21"/>
          <w:lang w:val="en-US" w:eastAsia="zh-CN"/>
        </w:rPr>
        <w:t>和实际工艺，经工作组讨论后，一致修改为</w:t>
      </w:r>
      <w:r>
        <w:rPr>
          <w:rFonts w:hint="eastAsia" w:hAnsi="宋体" w:cs="宋体"/>
          <w:szCs w:val="21"/>
          <w:lang w:val="en-US" w:eastAsia="zh-CN"/>
        </w:rPr>
        <w:t>：4.4.1</w:t>
      </w:r>
      <w:r>
        <w:rPr>
          <w:rFonts w:hint="eastAsia"/>
          <w:lang w:val="en-US" w:eastAsia="zh-CN"/>
        </w:rPr>
        <w:t>微生物限量应符合征求讨论稿表3 的规定。</w:t>
      </w:r>
    </w:p>
    <w:p>
      <w:pPr>
        <w:pStyle w:val="35"/>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4.4.2商业无菌工艺的产品微生物限量应符合</w:t>
      </w:r>
      <w:r>
        <w:rPr>
          <w:rFonts w:hint="eastAsia"/>
        </w:rPr>
        <w:t>GB 7098</w:t>
      </w:r>
      <w:r>
        <w:rPr>
          <w:rFonts w:hint="eastAsia"/>
          <w:lang w:val="en-US" w:eastAsia="zh-CN"/>
        </w:rPr>
        <w:t>的规定。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i w:val="0"/>
          <w:iCs w:val="0"/>
          <w:szCs w:val="21"/>
        </w:rPr>
      </w:pPr>
      <w:r>
        <w:rPr>
          <w:rFonts w:hint="eastAsia" w:ascii="宋体" w:hAnsi="宋体" w:cs="宋体"/>
          <w:b/>
          <w:bCs/>
          <w:i w:val="0"/>
          <w:iCs w:val="0"/>
          <w:szCs w:val="21"/>
          <w:lang w:val="en-US" w:eastAsia="zh-CN"/>
        </w:rPr>
        <w:t>4</w:t>
      </w:r>
      <w:r>
        <w:rPr>
          <w:rFonts w:hint="eastAsia" w:ascii="宋体" w:hAnsi="宋体" w:cs="宋体"/>
          <w:b/>
          <w:bCs/>
          <w:i w:val="0"/>
          <w:iCs w:val="0"/>
          <w:szCs w:val="21"/>
        </w:rPr>
        <w:t>.5食品添加剂</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 2712 豆制品食品添加剂要求，GB 2712规定污染物限量应符合GB 2760的规定。本文件提出食品添加剂的使用应符合GB 2760 的规定。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4</w:t>
      </w:r>
      <w:r>
        <w:rPr>
          <w:rFonts w:hint="eastAsia" w:ascii="宋体" w:hAnsi="宋体" w:cs="宋体"/>
          <w:b/>
          <w:bCs/>
          <w:szCs w:val="21"/>
        </w:rPr>
        <w:t>.6净含量</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22106 非发酵豆制品对净含量要求应符合《定量包装商品计量监督管理办法》的有关规定。本文件规定净含量应符合《定量包装商品计量监督管理办法》的</w:t>
      </w:r>
      <w:r>
        <w:rPr>
          <w:rFonts w:hint="eastAsia" w:ascii="宋体" w:hAnsi="宋体" w:cs="宋体"/>
          <w:szCs w:val="21"/>
          <w:lang w:val="en-US" w:eastAsia="zh-CN"/>
        </w:rPr>
        <w:t>有关</w:t>
      </w:r>
      <w:r>
        <w:rPr>
          <w:rFonts w:hint="eastAsia" w:ascii="宋体" w:hAnsi="宋体" w:cs="宋体"/>
          <w:szCs w:val="21"/>
        </w:rPr>
        <w:t>规定。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rPr>
        <w:t>生产加工</w:t>
      </w:r>
      <w:r>
        <w:rPr>
          <w:rFonts w:hint="eastAsia" w:ascii="宋体" w:hAnsi="宋体" w:cs="宋体"/>
          <w:b/>
          <w:bCs/>
          <w:szCs w:val="21"/>
          <w:lang w:val="en-US" w:eastAsia="zh-CN"/>
        </w:rPr>
        <w:t>过程</w:t>
      </w:r>
      <w:r>
        <w:rPr>
          <w:rFonts w:hint="eastAsia" w:ascii="宋体" w:hAnsi="宋体" w:cs="宋体"/>
          <w:b/>
          <w:bCs/>
          <w:szCs w:val="21"/>
        </w:rPr>
        <w:t>卫生要求</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lang w:val="en-US" w:eastAsia="zh-CN"/>
        </w:rPr>
      </w:pPr>
      <w:r>
        <w:rPr>
          <w:rFonts w:hint="eastAsia" w:ascii="宋体" w:hAnsi="宋体" w:cs="宋体"/>
          <w:szCs w:val="21"/>
        </w:rPr>
        <w:t>根据SB/T 10649 大豆蛋白制品</w:t>
      </w:r>
      <w:r>
        <w:rPr>
          <w:rFonts w:hint="eastAsia" w:ascii="宋体" w:hAnsi="宋体" w:cs="宋体"/>
          <w:szCs w:val="21"/>
          <w:lang w:val="en-US" w:eastAsia="zh-CN"/>
        </w:rPr>
        <w:t>的规定，本文件提出生产加工过程卫生要求</w:t>
      </w:r>
      <w:r>
        <w:rPr>
          <w:rFonts w:hint="eastAsia" w:ascii="宋体" w:hAnsi="宋体" w:cs="宋体"/>
          <w:szCs w:val="21"/>
        </w:rPr>
        <w:t>应符合GB 14881的规定。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lang w:eastAsia="zh-CN"/>
        </w:rPr>
        <w:t>、</w:t>
      </w:r>
      <w:r>
        <w:rPr>
          <w:rFonts w:hint="eastAsia" w:ascii="宋体" w:hAnsi="宋体" w:cs="宋体"/>
          <w:b/>
          <w:bCs/>
          <w:szCs w:val="21"/>
          <w:lang w:val="en-US" w:eastAsia="zh-CN"/>
        </w:rPr>
        <w:t>试验</w:t>
      </w:r>
      <w:r>
        <w:rPr>
          <w:rFonts w:hint="eastAsia" w:ascii="宋体" w:hAnsi="宋体" w:cs="宋体"/>
          <w:b/>
          <w:bCs/>
          <w:szCs w:val="21"/>
        </w:rPr>
        <w:t>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Cs w:val="21"/>
          <w:lang w:eastAsia="zh-CN"/>
        </w:rPr>
      </w:pPr>
      <w:r>
        <w:rPr>
          <w:rFonts w:hint="eastAsia" w:ascii="宋体" w:hAnsi="宋体" w:cs="宋体"/>
          <w:b/>
          <w:bCs/>
          <w:szCs w:val="21"/>
          <w:lang w:val="en-US" w:eastAsia="zh-CN"/>
        </w:rPr>
        <w:t>6</w:t>
      </w:r>
      <w:r>
        <w:rPr>
          <w:rFonts w:hint="eastAsia" w:ascii="宋体" w:hAnsi="宋体" w:cs="宋体"/>
          <w:b/>
          <w:bCs/>
          <w:szCs w:val="21"/>
        </w:rPr>
        <w:t>.1感官</w:t>
      </w:r>
      <w:r>
        <w:rPr>
          <w:rFonts w:hint="eastAsia" w:ascii="宋体" w:hAnsi="宋体" w:cs="宋体"/>
          <w:b/>
          <w:bCs/>
          <w:szCs w:val="21"/>
          <w:lang w:val="en-US" w:eastAsia="zh-CN"/>
        </w:rPr>
        <w:t>要求</w:t>
      </w:r>
    </w:p>
    <w:p>
      <w:pPr>
        <w:pStyle w:val="16"/>
        <w:keepNext w:val="0"/>
        <w:keepLines w:val="0"/>
        <w:pageBreakBefore w:val="0"/>
        <w:kinsoku/>
        <w:wordWrap/>
        <w:overflowPunct/>
        <w:topLinePunct w:val="0"/>
        <w:bidi w:val="0"/>
        <w:adjustRightInd/>
        <w:snapToGrid/>
        <w:spacing w:beforeLines="0" w:afterLines="0" w:line="240" w:lineRule="auto"/>
        <w:ind w:firstLine="420" w:firstLineChars="200"/>
        <w:textAlignment w:val="auto"/>
        <w:rPr>
          <w:rFonts w:ascii="宋体" w:hAnsi="宋体" w:eastAsia="宋体" w:cs="宋体"/>
        </w:rPr>
      </w:pPr>
      <w:r>
        <w:rPr>
          <w:rFonts w:hint="eastAsia" w:ascii="宋体" w:hAnsi="宋体" w:eastAsia="宋体" w:cs="宋体"/>
        </w:rPr>
        <w:t>根据国际惯例设置4个项目，根据GB 2712 感官要求检验方法：为液体样品取适量试样置于50mL烧杯中，固体样品取适量试样置于白色瓷盘中，在自然光下观察色泽和状态。闻其气味，用温开水漱口，品其滋味，根据GB/T 22106 非发酵豆制品中对感官要求的检验方法外观和色泽：将样品沉于白色据瓷盘中，在自然光下或相当于自然光的感官评定室用视觉鉴别法鉴别。气味滋味：用嗅觉鉴别法鉴别气味，用味觉鉴别法鉴别滋味。组织形态：用触觉鉴别法鉴别。综合考虑实际情况为该产品提出了符合产品特点的基本</w:t>
      </w:r>
      <w:r>
        <w:rPr>
          <w:rFonts w:hint="eastAsia" w:ascii="宋体" w:hAnsi="宋体" w:eastAsia="宋体" w:cs="宋体"/>
          <w:lang w:val="en-US" w:eastAsia="zh-CN"/>
        </w:rPr>
        <w:t>试验方法</w:t>
      </w:r>
      <w:r>
        <w:rPr>
          <w:rFonts w:hint="eastAsia" w:ascii="宋体" w:hAnsi="宋体" w:eastAsia="宋体" w:cs="宋体"/>
        </w:rPr>
        <w:t xml:space="preserve">。 </w:t>
      </w:r>
    </w:p>
    <w:p>
      <w:pPr>
        <w:pStyle w:val="17"/>
        <w:keepNext w:val="0"/>
        <w:keepLines w:val="0"/>
        <w:pageBreakBefore w:val="0"/>
        <w:kinsoku/>
        <w:wordWrap/>
        <w:overflowPunct/>
        <w:topLinePunct w:val="0"/>
        <w:bidi w:val="0"/>
        <w:adjustRightInd/>
        <w:snapToGrid/>
        <w:spacing w:beforeLines="0" w:afterLines="0" w:line="240" w:lineRule="auto"/>
        <w:textAlignment w:val="auto"/>
        <w:rPr>
          <w:rFonts w:ascii="宋体" w:hAnsi="宋体" w:eastAsia="宋体" w:cs="宋体"/>
          <w:b/>
          <w:bCs/>
          <w:kern w:val="2"/>
        </w:rPr>
      </w:pPr>
      <w:r>
        <w:rPr>
          <w:rFonts w:hint="eastAsia" w:ascii="宋体" w:hAnsi="宋体" w:eastAsia="宋体" w:cs="宋体"/>
          <w:b/>
          <w:bCs/>
          <w:kern w:val="2"/>
          <w:lang w:val="en-US" w:eastAsia="zh-CN"/>
        </w:rPr>
        <w:t>6</w:t>
      </w:r>
      <w:r>
        <w:rPr>
          <w:rFonts w:hint="eastAsia" w:ascii="宋体" w:hAnsi="宋体" w:eastAsia="宋体" w:cs="宋体"/>
          <w:b/>
          <w:bCs/>
          <w:kern w:val="2"/>
        </w:rPr>
        <w:t>.2理化指标</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.2.1水分</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22106 非发酵豆制品中水分检验方法规定按GB 5009.3的方法测定。本文件规定按GB 5009.3的方法测定。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.2.2蛋白质</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22106 非发酵豆制品中蛋白质检验方法按 GB 5009.5的方法测定，换算系数按5.71计。本文件规定</w:t>
      </w:r>
      <w:r>
        <w:rPr>
          <w:rFonts w:hint="eastAsia" w:ascii="宋体" w:hAnsi="宋体" w:cs="宋体"/>
          <w:szCs w:val="21"/>
          <w:lang w:val="en-US" w:eastAsia="zh-CN"/>
        </w:rPr>
        <w:t>蛋白质</w:t>
      </w:r>
      <w:r>
        <w:rPr>
          <w:rFonts w:hint="eastAsia" w:ascii="宋体" w:hAnsi="宋体" w:cs="宋体"/>
          <w:szCs w:val="21"/>
        </w:rPr>
        <w:t>按 GB 5009.5的方法测定，换算系数按5.71计。</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.2.3铅</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本文件根据GB 2760对铅限量要求，参考SB/T 10649 大豆蛋白制品、SB/T 23494豆腐干等标准规定铅检验方法按 GB 5009.12执行。本文件规定铅含量按 GB 5009.12规定的方法测定。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.2.4食盐</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23494豆腐干规定食盐的检验方法为按GB 5009.44规定的方法测定。本文件规定食盐含量按GB 5009.44 规定的方法测定。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.3微生物限量</w:t>
      </w:r>
    </w:p>
    <w:p>
      <w:pPr>
        <w:pStyle w:val="15"/>
        <w:keepNext w:val="0"/>
        <w:keepLines w:val="0"/>
        <w:pageBreakBefore w:val="0"/>
        <w:kinsoku/>
        <w:wordWrap/>
        <w:overflowPunct/>
        <w:topLinePunct w:val="0"/>
        <w:bidi w:val="0"/>
        <w:adjustRightInd/>
        <w:snapToGrid/>
        <w:spacing w:beforeLines="0" w:afterLines="0" w:line="240" w:lineRule="auto"/>
        <w:textAlignment w:val="auto"/>
        <w:rPr>
          <w:rFonts w:hint="eastAsia" w:hAnsi="宋体" w:cs="宋体"/>
          <w:szCs w:val="21"/>
          <w:lang w:val="en-US" w:eastAsia="zh-CN"/>
        </w:rPr>
      </w:pPr>
      <w:r>
        <w:rPr>
          <w:rFonts w:hint="eastAsia" w:hAnsi="宋体" w:cs="宋体"/>
          <w:szCs w:val="21"/>
        </w:rPr>
        <w:t>根据实际工艺要求，</w:t>
      </w:r>
      <w:r>
        <w:rPr>
          <w:rFonts w:hint="eastAsia" w:hAnsi="宋体" w:cs="宋体"/>
          <w:szCs w:val="21"/>
          <w:lang w:val="en-US" w:eastAsia="zh-CN"/>
        </w:rPr>
        <w:t>经工作组讨论后，</w:t>
      </w:r>
      <w:r>
        <w:rPr>
          <w:rFonts w:hint="eastAsia" w:hAnsi="宋体" w:cs="宋体"/>
          <w:szCs w:val="21"/>
        </w:rPr>
        <w:t>本文件</w:t>
      </w:r>
      <w:r>
        <w:rPr>
          <w:rFonts w:hint="eastAsia" w:hAnsi="宋体" w:cs="宋体"/>
          <w:szCs w:val="21"/>
          <w:lang w:val="en-US" w:eastAsia="zh-CN"/>
        </w:rPr>
        <w:t>规定：</w:t>
      </w:r>
    </w:p>
    <w:p>
      <w:pPr>
        <w:pStyle w:val="35"/>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color w:val="000000" w:themeColor="text1"/>
          <w:shd w:val="clear" w:color="auto" w:fill="auto"/>
        </w:rPr>
      </w:pPr>
      <w:r>
        <w:rPr>
          <w:rFonts w:hint="eastAsia" w:hAnsi="宋体" w:cs="宋体"/>
          <w:color w:val="000000"/>
          <w:kern w:val="0"/>
          <w:szCs w:val="21"/>
          <w:lang w:val="en-US" w:eastAsia="zh-CN"/>
        </w:rPr>
        <w:t>6.3.1</w:t>
      </w:r>
      <w:r>
        <w:rPr>
          <w:rFonts w:hint="eastAsia" w:ascii="宋体" w:hAnsi="宋体" w:cs="宋体"/>
          <w:color w:val="000000"/>
          <w:kern w:val="0"/>
          <w:szCs w:val="21"/>
        </w:rPr>
        <w:t>大肠菌群</w:t>
      </w:r>
      <w:r>
        <w:rPr>
          <w:rFonts w:hint="eastAsia" w:ascii="宋体" w:hAnsi="宋体" w:cs="宋体"/>
          <w:color w:val="000000"/>
          <w:kern w:val="0"/>
          <w:szCs w:val="21"/>
          <w:lang w:val="en-US" w:eastAsia="zh-CN"/>
        </w:rPr>
        <w:t>按</w:t>
      </w:r>
      <w:r>
        <w:rPr>
          <w:rFonts w:hint="eastAsia" w:ascii="宋体" w:hAnsi="宋体" w:cs="宋体"/>
          <w:color w:val="000000"/>
          <w:kern w:val="0"/>
          <w:szCs w:val="21"/>
        </w:rPr>
        <w:t>GB 4789.3平板计数法</w:t>
      </w:r>
      <w:r>
        <w:rPr>
          <w:rFonts w:hint="eastAsia" w:hAnsi="宋体" w:cs="宋体"/>
          <w:color w:val="000000"/>
          <w:kern w:val="0"/>
          <w:szCs w:val="21"/>
          <w:lang w:val="en-US" w:eastAsia="zh-CN"/>
        </w:rPr>
        <w:t>规定的方法测定。</w:t>
      </w:r>
    </w:p>
    <w:p>
      <w:pPr>
        <w:pStyle w:val="35"/>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hAnsi="宋体" w:cs="宋体"/>
          <w:color w:val="000000"/>
          <w:kern w:val="0"/>
          <w:szCs w:val="21"/>
          <w:lang w:val="en-US" w:eastAsia="zh-CN"/>
        </w:rPr>
        <w:t>6.3.2</w:t>
      </w:r>
      <w:r>
        <w:rPr>
          <w:rFonts w:hint="eastAsia" w:ascii="宋体" w:hAnsi="宋体" w:cs="宋体"/>
          <w:color w:val="000000"/>
          <w:kern w:val="0"/>
          <w:szCs w:val="21"/>
        </w:rPr>
        <w:t>沙门氏菌按GB 4789.4</w:t>
      </w:r>
      <w:r>
        <w:rPr>
          <w:rFonts w:hint="eastAsia" w:hAnsi="宋体" w:cs="宋体"/>
          <w:color w:val="000000"/>
          <w:kern w:val="0"/>
          <w:szCs w:val="21"/>
          <w:lang w:val="en-US" w:eastAsia="zh-CN"/>
        </w:rPr>
        <w:t>规定的方法测定。</w:t>
      </w:r>
    </w:p>
    <w:p>
      <w:pPr>
        <w:pStyle w:val="35"/>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kern w:val="0"/>
          <w:szCs w:val="21"/>
        </w:rPr>
      </w:pPr>
      <w:r>
        <w:rPr>
          <w:rFonts w:hint="eastAsia" w:hAnsi="宋体" w:cs="宋体"/>
          <w:color w:val="000000"/>
          <w:kern w:val="0"/>
          <w:szCs w:val="21"/>
          <w:lang w:val="en-US" w:eastAsia="zh-CN"/>
        </w:rPr>
        <w:t>6.3.3</w:t>
      </w:r>
      <w:r>
        <w:rPr>
          <w:rFonts w:hint="eastAsia" w:ascii="宋体" w:hAnsi="宋体" w:cs="宋体"/>
          <w:color w:val="000000"/>
          <w:kern w:val="0"/>
          <w:szCs w:val="21"/>
        </w:rPr>
        <w:t>金黄色葡萄球菌</w:t>
      </w:r>
      <w:r>
        <w:rPr>
          <w:rFonts w:hint="eastAsia" w:hAnsi="宋体" w:cs="宋体"/>
          <w:color w:val="000000"/>
          <w:kern w:val="0"/>
          <w:szCs w:val="21"/>
          <w:lang w:val="en-US" w:eastAsia="zh-CN"/>
        </w:rPr>
        <w:t>按</w:t>
      </w:r>
      <w:r>
        <w:rPr>
          <w:rFonts w:hint="eastAsia" w:ascii="宋体" w:hAnsi="宋体" w:cs="宋体"/>
          <w:color w:val="000000"/>
          <w:kern w:val="0"/>
          <w:szCs w:val="21"/>
        </w:rPr>
        <w:t>GB 4789.10</w:t>
      </w:r>
      <w:r>
        <w:rPr>
          <w:rFonts w:hint="eastAsia" w:hAnsi="宋体" w:cs="宋体"/>
          <w:color w:val="000000"/>
          <w:kern w:val="0"/>
          <w:szCs w:val="21"/>
          <w:lang w:val="en-US" w:eastAsia="zh-CN"/>
        </w:rPr>
        <w:t>第二法规定的方法测定。</w:t>
      </w:r>
    </w:p>
    <w:p>
      <w:pPr>
        <w:pStyle w:val="35"/>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hAnsi="宋体" w:cs="宋体"/>
          <w:szCs w:val="21"/>
          <w:lang w:val="en-US" w:eastAsia="zh-CN"/>
        </w:rPr>
      </w:pPr>
      <w:r>
        <w:rPr>
          <w:rFonts w:hint="eastAsia" w:hAnsi="宋体" w:cs="宋体"/>
          <w:color w:val="000000"/>
          <w:kern w:val="0"/>
          <w:szCs w:val="21"/>
          <w:lang w:val="en-US" w:eastAsia="zh-CN"/>
        </w:rPr>
        <w:t>6.3.4商业无菌产品按</w:t>
      </w:r>
      <w:r>
        <w:rPr>
          <w:rFonts w:hint="eastAsia"/>
          <w:color w:val="000000" w:themeColor="text1"/>
          <w:shd w:val="clear" w:color="auto" w:fill="auto"/>
        </w:rPr>
        <w:t>GB 4789.26</w:t>
      </w:r>
      <w:r>
        <w:rPr>
          <w:rFonts w:hint="eastAsia"/>
          <w:color w:val="000000" w:themeColor="text1"/>
          <w:shd w:val="clear" w:color="auto" w:fill="auto"/>
          <w:lang w:val="en-US" w:eastAsia="zh-CN"/>
        </w:rPr>
        <w:t>规定的方法测定。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.4净含量</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根据GB/T 22106 非发酵豆制品</w:t>
      </w:r>
      <w:r>
        <w:rPr>
          <w:rFonts w:hint="eastAsia" w:ascii="宋体" w:hAnsi="宋体" w:cs="宋体"/>
          <w:szCs w:val="21"/>
          <w:lang w:val="en-US" w:eastAsia="zh-CN"/>
        </w:rPr>
        <w:t>本文件提出净含量</w:t>
      </w:r>
      <w:r>
        <w:rPr>
          <w:rFonts w:hint="eastAsia" w:ascii="宋体" w:hAnsi="宋体" w:cs="宋体"/>
          <w:szCs w:val="21"/>
        </w:rPr>
        <w:t>按 JJF 1070 规定</w:t>
      </w:r>
      <w:r>
        <w:rPr>
          <w:rFonts w:hint="eastAsia" w:ascii="宋体" w:hAnsi="宋体" w:cs="宋体"/>
          <w:szCs w:val="21"/>
          <w:lang w:val="en-US" w:eastAsia="zh-CN"/>
        </w:rPr>
        <w:t>的方法测定</w:t>
      </w:r>
      <w:r>
        <w:rPr>
          <w:rFonts w:hint="eastAsia" w:ascii="宋体" w:hAnsi="宋体" w:cs="宋体"/>
          <w:szCs w:val="21"/>
        </w:rPr>
        <w:t>。</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7</w:t>
      </w:r>
      <w:r>
        <w:rPr>
          <w:rFonts w:hint="eastAsia" w:ascii="宋体" w:hAnsi="宋体" w:cs="宋体"/>
          <w:b/>
          <w:bCs/>
          <w:szCs w:val="21"/>
          <w:lang w:eastAsia="zh-CN"/>
        </w:rPr>
        <w:t>、</w:t>
      </w:r>
      <w:r>
        <w:rPr>
          <w:rFonts w:hint="eastAsia" w:ascii="宋体" w:hAnsi="宋体" w:cs="宋体"/>
          <w:b/>
          <w:bCs/>
          <w:szCs w:val="21"/>
        </w:rPr>
        <w:t>检验规则</w:t>
      </w:r>
    </w:p>
    <w:p>
      <w:pPr>
        <w:keepNext w:val="0"/>
        <w:keepLines w:val="0"/>
        <w:pageBreakBefore w:val="0"/>
        <w:widowControl/>
        <w:shd w:val="clear" w:color="auto" w:fill="FFFFFF"/>
        <w:kinsoku/>
        <w:wordWrap/>
        <w:overflowPunct/>
        <w:topLinePunct w:val="0"/>
        <w:bidi w:val="0"/>
        <w:adjustRightInd/>
        <w:snapToGrid/>
        <w:spacing w:line="240" w:lineRule="auto"/>
        <w:ind w:firstLine="420" w:firstLineChars="200"/>
        <w:jc w:val="left"/>
        <w:textAlignment w:val="auto"/>
        <w:rPr>
          <w:rFonts w:ascii="宋体" w:hAnsi="宋体" w:cs="宋体"/>
          <w:szCs w:val="21"/>
        </w:rPr>
      </w:pPr>
      <w:r>
        <w:rPr>
          <w:rFonts w:hint="eastAsia" w:ascii="宋体" w:hAnsi="宋体" w:cs="宋体"/>
          <w:szCs w:val="21"/>
        </w:rPr>
        <w:t>根据GB/T 22106 非发酵豆制品中对豆制品检验规则的规定和实际生产过程的抽样</w:t>
      </w:r>
      <w:r>
        <w:rPr>
          <w:rFonts w:hint="eastAsia" w:ascii="宋体" w:hAnsi="宋体" w:cs="宋体"/>
          <w:szCs w:val="21"/>
          <w:lang w:val="en-US" w:eastAsia="zh-CN"/>
        </w:rPr>
        <w:t>和检验</w:t>
      </w:r>
      <w:r>
        <w:rPr>
          <w:rFonts w:hint="eastAsia" w:ascii="宋体" w:hAnsi="宋体" w:cs="宋体"/>
          <w:szCs w:val="21"/>
        </w:rPr>
        <w:t>规则，本文件提出符合行业特点的基本要求。</w:t>
      </w:r>
    </w:p>
    <w:p>
      <w:pPr>
        <w:pStyle w:val="14"/>
        <w:keepNext w:val="0"/>
        <w:keepLines w:val="0"/>
        <w:pageBreakBefore w:val="0"/>
        <w:kinsoku/>
        <w:wordWrap/>
        <w:overflowPunct/>
        <w:topLinePunct w:val="0"/>
        <w:bidi w:val="0"/>
        <w:adjustRightInd/>
        <w:snapToGrid/>
        <w:spacing w:beforeLines="0" w:afterLines="0" w:line="240" w:lineRule="auto"/>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8</w:t>
      </w:r>
      <w:r>
        <w:rPr>
          <w:rFonts w:hint="eastAsia" w:ascii="宋体" w:hAnsi="宋体" w:eastAsia="宋体" w:cs="宋体"/>
          <w:b/>
          <w:bCs/>
          <w:szCs w:val="21"/>
          <w:lang w:eastAsia="zh-CN"/>
        </w:rPr>
        <w:t>、</w:t>
      </w:r>
      <w:r>
        <w:rPr>
          <w:rFonts w:hint="eastAsia" w:ascii="宋体" w:hAnsi="宋体" w:eastAsia="宋体" w:cs="宋体"/>
          <w:b/>
          <w:bCs/>
          <w:szCs w:val="21"/>
        </w:rPr>
        <w:t>包装</w:t>
      </w:r>
      <w:r>
        <w:rPr>
          <w:rFonts w:hint="eastAsia" w:ascii="宋体" w:hAnsi="宋体" w:eastAsia="宋体" w:cs="宋体"/>
          <w:b/>
          <w:bCs/>
          <w:szCs w:val="21"/>
          <w:lang w:eastAsia="zh-CN"/>
        </w:rPr>
        <w:t>、</w:t>
      </w:r>
      <w:r>
        <w:rPr>
          <w:rFonts w:hint="eastAsia" w:ascii="宋体" w:hAnsi="宋体" w:eastAsia="宋体" w:cs="宋体"/>
          <w:b/>
          <w:bCs/>
          <w:szCs w:val="21"/>
        </w:rPr>
        <w:t>标签</w:t>
      </w:r>
      <w:r>
        <w:rPr>
          <w:rFonts w:hint="eastAsia" w:ascii="宋体" w:hAnsi="宋体" w:eastAsia="宋体" w:cs="宋体"/>
          <w:b/>
          <w:bCs/>
          <w:szCs w:val="21"/>
          <w:lang w:val="en-US" w:eastAsia="zh-CN"/>
        </w:rPr>
        <w:t>和标志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8</w:t>
      </w:r>
      <w:r>
        <w:rPr>
          <w:rFonts w:hint="eastAsia" w:ascii="宋体" w:hAnsi="宋体" w:cs="宋体"/>
          <w:b/>
          <w:bCs/>
          <w:szCs w:val="21"/>
        </w:rPr>
        <w:t>.1包装</w:t>
      </w:r>
    </w:p>
    <w:p>
      <w:pPr>
        <w:pStyle w:val="15"/>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hAnsi="宋体" w:cs="宋体"/>
          <w:szCs w:val="21"/>
          <w:lang w:val="en-US" w:eastAsia="zh-CN"/>
        </w:rPr>
      </w:pPr>
      <w:r>
        <w:rPr>
          <w:rFonts w:hint="eastAsia" w:hAnsi="宋体" w:cs="宋体"/>
          <w:szCs w:val="21"/>
        </w:rPr>
        <w:t>根据</w:t>
      </w:r>
      <w:r>
        <w:rPr>
          <w:rFonts w:hint="eastAsia" w:hAnsi="宋体" w:cs="宋体"/>
          <w:szCs w:val="21"/>
          <w:lang w:val="en-US" w:eastAsia="zh-CN"/>
        </w:rPr>
        <w:t>实际工艺提出符合产品的包装要求，经工作组讨论后本文件规定：</w:t>
      </w:r>
    </w:p>
    <w:p>
      <w:pPr>
        <w:pStyle w:val="15"/>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default" w:hAnsi="宋体" w:eastAsia="宋体" w:cs="宋体"/>
          <w:szCs w:val="21"/>
          <w:lang w:val="en-US" w:eastAsia="zh-CN"/>
        </w:rPr>
      </w:pPr>
      <w:r>
        <w:rPr>
          <w:rFonts w:hint="eastAsia"/>
          <w:color w:val="000000" w:themeColor="text1"/>
          <w:lang w:val="en-US" w:eastAsia="zh-CN"/>
        </w:rPr>
        <w:t>使用包装材料应符合</w:t>
      </w:r>
      <w:r>
        <w:rPr>
          <w:rFonts w:hint="eastAsia"/>
          <w:color w:val="000000" w:themeColor="text1"/>
          <w:shd w:val="clear" w:color="auto" w:fill="auto"/>
          <w:lang w:val="en-US" w:eastAsia="zh-CN"/>
        </w:rPr>
        <w:t xml:space="preserve"> GB/T 10004 或 GB 4806.7 的</w:t>
      </w:r>
      <w:r>
        <w:rPr>
          <w:rFonts w:hint="eastAsia"/>
          <w:color w:val="000000" w:themeColor="text1"/>
          <w:lang w:val="en-US" w:eastAsia="zh-CN"/>
        </w:rPr>
        <w:t>规定。其他包装材料和容器必须符合相应国家标准和有关规定。</w:t>
      </w:r>
    </w:p>
    <w:p>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b/>
          <w:bCs/>
          <w:szCs w:val="21"/>
          <w:lang w:val="en-US" w:eastAsia="zh-CN"/>
        </w:rPr>
      </w:pPr>
      <w:r>
        <w:rPr>
          <w:rFonts w:hint="eastAsia" w:ascii="宋体" w:hAnsi="宋体" w:cs="宋体"/>
          <w:b/>
          <w:bCs/>
          <w:szCs w:val="21"/>
          <w:lang w:val="en-US" w:eastAsia="zh-CN"/>
        </w:rPr>
        <w:t>8</w:t>
      </w:r>
      <w:r>
        <w:rPr>
          <w:rFonts w:hint="eastAsia" w:ascii="宋体" w:hAnsi="宋体" w:cs="宋体"/>
          <w:b/>
          <w:bCs/>
          <w:szCs w:val="21"/>
        </w:rPr>
        <w:t>.2标签</w:t>
      </w:r>
      <w:r>
        <w:rPr>
          <w:rFonts w:hint="eastAsia" w:ascii="宋体" w:hAnsi="宋体" w:cs="宋体"/>
          <w:b/>
          <w:bCs/>
          <w:szCs w:val="21"/>
          <w:lang w:val="en-US" w:eastAsia="zh-CN"/>
        </w:rPr>
        <w:t>和标志</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lang w:val="en-US" w:eastAsia="zh-CN"/>
        </w:rPr>
      </w:pPr>
      <w:r>
        <w:rPr>
          <w:rFonts w:hint="eastAsia" w:ascii="宋体" w:hAnsi="宋体" w:cs="宋体"/>
          <w:szCs w:val="21"/>
        </w:rPr>
        <w:t>根据GB/T 22106 非发酵豆制品</w:t>
      </w:r>
      <w:r>
        <w:rPr>
          <w:rFonts w:hint="eastAsia" w:ascii="宋体" w:hAnsi="宋体" w:cs="宋体"/>
          <w:szCs w:val="21"/>
          <w:lang w:val="en-US" w:eastAsia="zh-CN"/>
        </w:rPr>
        <w:t>8.2中规定</w:t>
      </w:r>
      <w:r>
        <w:rPr>
          <w:rFonts w:hint="eastAsia" w:ascii="宋体" w:hAnsi="宋体" w:cs="宋体"/>
          <w:szCs w:val="21"/>
          <w:lang w:eastAsia="zh-CN"/>
        </w:rPr>
        <w:t>，</w:t>
      </w:r>
      <w:r>
        <w:rPr>
          <w:rFonts w:hint="eastAsia" w:ascii="宋体" w:hAnsi="宋体" w:cs="宋体"/>
          <w:szCs w:val="21"/>
          <w:lang w:val="en-US" w:eastAsia="zh-CN"/>
        </w:rPr>
        <w:t>经工作组讨论后一致修改为：</w:t>
      </w:r>
    </w:p>
    <w:p>
      <w:pPr>
        <w:keepNext w:val="0"/>
        <w:keepLines w:val="0"/>
        <w:pageBreakBefore w:val="0"/>
        <w:kinsoku/>
        <w:wordWrap/>
        <w:overflowPunct/>
        <w:topLinePunct w:val="0"/>
        <w:bidi w:val="0"/>
        <w:adjustRightInd/>
        <w:snapToGrid/>
        <w:spacing w:line="240" w:lineRule="auto"/>
        <w:ind w:left="420" w:leftChars="200" w:firstLine="0" w:firstLineChars="0"/>
        <w:textAlignment w:val="auto"/>
        <w:rPr>
          <w:rFonts w:hint="eastAsia" w:ascii="宋体" w:hAnsi="宋体" w:cs="宋体"/>
          <w:szCs w:val="21"/>
        </w:rPr>
      </w:pPr>
      <w:r>
        <w:rPr>
          <w:rFonts w:hint="eastAsia" w:ascii="宋体" w:hAnsi="宋体" w:cs="宋体"/>
          <w:szCs w:val="21"/>
          <w:lang w:val="en-US" w:eastAsia="zh-CN"/>
        </w:rPr>
        <w:t>8.2.1</w:t>
      </w:r>
      <w:r>
        <w:rPr>
          <w:rFonts w:hint="eastAsia"/>
          <w:lang w:val="en-US" w:eastAsia="zh-CN"/>
        </w:rPr>
        <w:t>标签应符合</w:t>
      </w:r>
      <w:r>
        <w:rPr>
          <w:rFonts w:hint="eastAsia" w:ascii="宋体" w:hAnsi="宋体" w:cs="宋体"/>
          <w:szCs w:val="21"/>
          <w:lang w:val="en-US" w:eastAsia="zh-CN"/>
        </w:rPr>
        <w:t>GB 7718和GB 28050的规</w:t>
      </w:r>
      <w:r>
        <w:rPr>
          <w:rFonts w:hint="eastAsia"/>
          <w:lang w:val="en-US" w:eastAsia="zh-CN"/>
        </w:rPr>
        <w:t>定。分级产品标签上还应注明产品等级。</w:t>
      </w:r>
      <w:r>
        <w:rPr>
          <w:rFonts w:hint="eastAsia" w:ascii="宋体" w:hAnsi="宋体" w:cs="宋体"/>
          <w:szCs w:val="21"/>
          <w:lang w:val="en-US" w:eastAsia="zh-CN"/>
        </w:rPr>
        <w:t>8.2.2</w:t>
      </w:r>
      <w:r>
        <w:rPr>
          <w:rFonts w:hint="eastAsia"/>
          <w:lang w:val="en-US" w:eastAsia="zh-CN"/>
        </w:rPr>
        <w:t>包装运输标志应符合</w:t>
      </w:r>
      <w:r>
        <w:rPr>
          <w:rFonts w:hint="eastAsia" w:ascii="宋体" w:hAnsi="宋体" w:cs="宋体"/>
          <w:szCs w:val="21"/>
          <w:lang w:val="en-US" w:eastAsia="zh-CN"/>
        </w:rPr>
        <w:t>GB/T 191</w:t>
      </w:r>
      <w:r>
        <w:rPr>
          <w:rFonts w:hint="eastAsia"/>
          <w:lang w:val="en-US" w:eastAsia="zh-CN"/>
        </w:rPr>
        <w:t xml:space="preserve"> 的规定。</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9</w:t>
      </w:r>
      <w:r>
        <w:rPr>
          <w:rFonts w:hint="eastAsia" w:ascii="宋体" w:hAnsi="宋体" w:cs="宋体"/>
          <w:b/>
          <w:bCs/>
          <w:szCs w:val="21"/>
          <w:lang w:eastAsia="zh-CN"/>
        </w:rPr>
        <w:t>、</w:t>
      </w:r>
      <w:r>
        <w:rPr>
          <w:rFonts w:hint="eastAsia" w:ascii="宋体" w:hAnsi="宋体" w:cs="宋体"/>
          <w:b/>
          <w:bCs/>
          <w:szCs w:val="21"/>
          <w:lang w:val="zh-TW" w:eastAsia="zh-TW"/>
        </w:rPr>
        <w:t>运输</w:t>
      </w:r>
      <w:r>
        <w:rPr>
          <w:rFonts w:hint="eastAsia" w:ascii="宋体" w:hAnsi="宋体" w:cs="宋体"/>
          <w:b/>
          <w:bCs/>
          <w:szCs w:val="21"/>
          <w:lang w:val="zh-TW"/>
        </w:rPr>
        <w:t>和</w:t>
      </w:r>
      <w:r>
        <w:rPr>
          <w:rFonts w:hint="eastAsia" w:ascii="宋体" w:hAnsi="宋体" w:cs="宋体"/>
          <w:b/>
          <w:bCs/>
          <w:szCs w:val="21"/>
          <w:lang w:val="zh-TW" w:eastAsia="zh-TW"/>
        </w:rPr>
        <w:t>贮存</w:t>
      </w:r>
    </w:p>
    <w:p>
      <w:pPr>
        <w:keepNext w:val="0"/>
        <w:keepLines w:val="0"/>
        <w:pageBreakBefore w:val="0"/>
        <w:kinsoku/>
        <w:wordWrap/>
        <w:overflowPunct/>
        <w:topLinePunct w:val="0"/>
        <w:bidi w:val="0"/>
        <w:adjustRightInd/>
        <w:snapToGrid/>
        <w:spacing w:line="240" w:lineRule="auto"/>
        <w:ind w:firstLine="420" w:firstLineChars="200"/>
        <w:textAlignment w:val="auto"/>
        <w:rPr>
          <w:rFonts w:ascii="宋体" w:hAnsi="宋体" w:cs="宋体"/>
          <w:szCs w:val="21"/>
        </w:rPr>
      </w:pPr>
      <w:r>
        <w:rPr>
          <w:rFonts w:hint="eastAsia" w:ascii="宋体" w:hAnsi="宋体" w:cs="宋体"/>
          <w:szCs w:val="21"/>
        </w:rPr>
        <w:t>根据SB/T 10649和GB/T 22106对豆制品的运输</w:t>
      </w:r>
      <w:r>
        <w:rPr>
          <w:rFonts w:hint="eastAsia" w:ascii="宋体" w:hAnsi="宋体" w:cs="宋体"/>
          <w:szCs w:val="21"/>
          <w:lang w:val="en-US" w:eastAsia="zh-CN"/>
        </w:rPr>
        <w:t>和贮存</w:t>
      </w:r>
      <w:r>
        <w:rPr>
          <w:rFonts w:hint="eastAsia" w:ascii="宋体" w:hAnsi="宋体" w:cs="宋体"/>
          <w:szCs w:val="21"/>
        </w:rPr>
        <w:t>要求本文件提出</w:t>
      </w:r>
      <w:r>
        <w:rPr>
          <w:rFonts w:hint="eastAsia" w:ascii="宋体" w:hAnsi="宋体" w:cs="宋体"/>
          <w:szCs w:val="21"/>
          <w:lang w:val="en-US" w:eastAsia="zh-CN"/>
        </w:rPr>
        <w:t>运输和贮存的基本要求</w:t>
      </w:r>
      <w:r>
        <w:rPr>
          <w:rFonts w:hint="eastAsia" w:ascii="宋体" w:hAnsi="宋体" w:cs="宋体"/>
          <w:szCs w:val="21"/>
        </w:rPr>
        <w:t>。</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lang w:val="en-US" w:eastAsia="zh-CN"/>
        </w:rPr>
        <w:t>10</w:t>
      </w:r>
      <w:r>
        <w:rPr>
          <w:rFonts w:hint="eastAsia" w:ascii="宋体" w:hAnsi="宋体" w:cs="宋体"/>
          <w:b/>
          <w:bCs/>
          <w:szCs w:val="21"/>
          <w:lang w:eastAsia="zh-CN"/>
        </w:rPr>
        <w:t>、</w:t>
      </w:r>
      <w:r>
        <w:rPr>
          <w:rFonts w:hint="eastAsia" w:ascii="宋体" w:hAnsi="宋体" w:cs="宋体"/>
          <w:b/>
          <w:bCs/>
          <w:szCs w:val="21"/>
        </w:rPr>
        <w:t>销售</w:t>
      </w:r>
    </w:p>
    <w:p>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宋体" w:hAnsi="宋体" w:cs="宋体"/>
          <w:szCs w:val="21"/>
          <w:lang w:val="en-US" w:eastAsia="zh-CN"/>
        </w:rPr>
      </w:pPr>
      <w:r>
        <w:rPr>
          <w:rFonts w:hint="eastAsia" w:ascii="宋体" w:hAnsi="宋体" w:cs="宋体"/>
          <w:szCs w:val="21"/>
        </w:rPr>
        <w:t>根据GB 31621食品安全国家标准 食品经营过程卫生规范中规定，本文件提出符合产品特点的销售要求。</w:t>
      </w:r>
    </w:p>
    <w:p>
      <w:pPr>
        <w:keepNext w:val="0"/>
        <w:keepLines w:val="0"/>
        <w:pageBreakBefore w:val="0"/>
        <w:kinsoku/>
        <w:wordWrap/>
        <w:overflowPunct/>
        <w:topLinePunct w:val="0"/>
        <w:bidi w:val="0"/>
        <w:adjustRightInd/>
        <w:snapToGrid/>
        <w:spacing w:line="240" w:lineRule="auto"/>
        <w:textAlignment w:val="auto"/>
        <w:rPr>
          <w:rFonts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1</w:t>
      </w:r>
      <w:r>
        <w:rPr>
          <w:rFonts w:hint="eastAsia" w:ascii="宋体" w:hAnsi="宋体" w:cs="宋体"/>
          <w:b/>
          <w:bCs/>
          <w:szCs w:val="21"/>
          <w:lang w:eastAsia="zh-CN"/>
        </w:rPr>
        <w:t>、</w:t>
      </w:r>
      <w:r>
        <w:rPr>
          <w:rFonts w:hint="eastAsia" w:ascii="宋体" w:hAnsi="宋体" w:cs="宋体"/>
          <w:b/>
          <w:bCs/>
          <w:szCs w:val="21"/>
        </w:rPr>
        <w:t>召回</w:t>
      </w:r>
    </w:p>
    <w:p>
      <w:pPr>
        <w:pStyle w:val="37"/>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hAnsi="宋体" w:cs="宋体"/>
        </w:rPr>
      </w:pPr>
      <w:r>
        <w:rPr>
          <w:rFonts w:hint="eastAsia" w:hAnsi="宋体" w:cs="宋体"/>
        </w:rPr>
        <w:t>根据《中华人民共和国食品安全法》(2018修正)第六十三条规定，本文件提出召回的基本要求：</w:t>
      </w:r>
    </w:p>
    <w:p>
      <w:pPr>
        <w:pStyle w:val="37"/>
        <w:keepNext w:val="0"/>
        <w:keepLines w:val="0"/>
        <w:pageBreakBefore w:val="0"/>
        <w:widowControl/>
        <w:kinsoku/>
        <w:wordWrap/>
        <w:overflowPunct/>
        <w:topLinePunct w:val="0"/>
        <w:autoSpaceDE/>
        <w:autoSpaceDN/>
        <w:bidi w:val="0"/>
        <w:adjustRightInd/>
        <w:snapToGrid/>
        <w:ind w:left="0" w:firstLine="420" w:firstLineChars="200"/>
        <w:textAlignment w:val="auto"/>
        <w:rPr>
          <w:rFonts w:hint="default"/>
          <w:lang w:val="en-US" w:eastAsia="zh-CN"/>
        </w:rPr>
      </w:pPr>
      <w:r>
        <w:rPr>
          <w:rFonts w:hint="eastAsia" w:hAnsi="宋体" w:cs="宋体"/>
          <w:lang w:val="en-US" w:eastAsia="zh-CN"/>
        </w:rPr>
        <w:t>11.1</w:t>
      </w:r>
      <w:r>
        <w:rPr>
          <w:rFonts w:hint="default"/>
          <w:lang w:val="en-US" w:eastAsia="zh-CN"/>
        </w:rPr>
        <w:t>发现其生产的食品不符合食品安全标准或者有证据证明可能危害人体健康的，应立即停止生产</w:t>
      </w:r>
      <w:r>
        <w:rPr>
          <w:rFonts w:hint="eastAsia"/>
          <w:lang w:val="en-US" w:eastAsia="zh-CN"/>
        </w:rPr>
        <w:t>，</w:t>
      </w:r>
      <w:r>
        <w:rPr>
          <w:rFonts w:hint="default"/>
          <w:lang w:val="en-US" w:eastAsia="zh-CN"/>
        </w:rPr>
        <w:t>召回已经上市销售的食品，通知相关生产经营者和消费者，并记录召回和通知情况。</w:t>
      </w:r>
    </w:p>
    <w:p>
      <w:pPr>
        <w:pStyle w:val="37"/>
        <w:keepNext w:val="0"/>
        <w:keepLines w:val="0"/>
        <w:pageBreakBefore w:val="0"/>
        <w:widowControl/>
        <w:kinsoku/>
        <w:wordWrap/>
        <w:overflowPunct/>
        <w:topLinePunct w:val="0"/>
        <w:autoSpaceDE/>
        <w:autoSpaceDN/>
        <w:bidi w:val="0"/>
        <w:adjustRightInd/>
        <w:snapToGrid/>
        <w:ind w:firstLine="420" w:firstLineChars="200"/>
        <w:textAlignment w:val="auto"/>
        <w:rPr>
          <w:color w:val="000000"/>
        </w:rPr>
      </w:pPr>
      <w:r>
        <w:rPr>
          <w:rFonts w:hint="eastAsia" w:cs="Times New Roman"/>
          <w:sz w:val="21"/>
          <w:szCs w:val="21"/>
          <w:lang w:val="en-US" w:eastAsia="zh-CN" w:bidi="ar-SA"/>
        </w:rPr>
        <w:t>11.2</w:t>
      </w:r>
      <w:r>
        <w:rPr>
          <w:rFonts w:hint="eastAsia" w:ascii="宋体" w:hAnsi="Times New Roman" w:eastAsia="宋体" w:cs="Times New Roman"/>
          <w:sz w:val="21"/>
          <w:szCs w:val="21"/>
          <w:lang w:val="en-US" w:eastAsia="zh-CN" w:bidi="ar-SA"/>
        </w:rPr>
        <w:t>应将食品召回和处理情况向所在地县级市场监督管理部门报告</w:t>
      </w:r>
      <w:r>
        <w:rPr>
          <w:rFonts w:hint="eastAsia" w:cs="Times New Roman"/>
          <w:sz w:val="21"/>
          <w:szCs w:val="21"/>
          <w:lang w:val="en-US" w:eastAsia="zh-CN" w:bidi="ar-SA"/>
        </w:rPr>
        <w:t>；</w:t>
      </w:r>
      <w:r>
        <w:rPr>
          <w:rFonts w:hint="eastAsia" w:ascii="宋体" w:hAnsi="Times New Roman" w:eastAsia="宋体" w:cs="Times New Roman"/>
          <w:sz w:val="21"/>
          <w:szCs w:val="21"/>
          <w:lang w:val="en-US" w:eastAsia="zh-CN" w:bidi="ar-SA"/>
        </w:rPr>
        <w:t>需要对召回的食品进行无害化处理、销毁的，应提前报告时间、地点。</w:t>
      </w:r>
      <w:r>
        <w:rPr>
          <w:rFonts w:hint="eastAsia" w:cs="Times New Roman"/>
          <w:sz w:val="21"/>
          <w:szCs w:val="21"/>
          <w:lang w:val="en-US" w:eastAsia="zh-CN" w:bidi="ar-SA"/>
        </w:rPr>
        <w:t>县级</w:t>
      </w:r>
      <w:r>
        <w:rPr>
          <w:rFonts w:hint="eastAsia" w:ascii="宋体" w:hAnsi="Times New Roman" w:eastAsia="宋体" w:cs="Times New Roman"/>
          <w:sz w:val="21"/>
          <w:szCs w:val="21"/>
          <w:lang w:val="en-US" w:eastAsia="zh-CN" w:bidi="ar-SA"/>
        </w:rPr>
        <w:t>市场监督管理部门认为必要的，</w:t>
      </w:r>
      <w:r>
        <w:rPr>
          <w:rFonts w:hint="eastAsia" w:cs="Times New Roman"/>
          <w:sz w:val="21"/>
          <w:szCs w:val="21"/>
          <w:lang w:val="en-US" w:eastAsia="zh-CN" w:bidi="ar-SA"/>
        </w:rPr>
        <w:t>企业应配合其</w:t>
      </w:r>
      <w:r>
        <w:rPr>
          <w:rFonts w:hint="eastAsia" w:ascii="宋体" w:hAnsi="Times New Roman" w:eastAsia="宋体" w:cs="Times New Roman"/>
          <w:sz w:val="21"/>
          <w:szCs w:val="21"/>
          <w:lang w:val="en-US" w:eastAsia="zh-CN" w:bidi="ar-SA"/>
        </w:rPr>
        <w:t>实施现场监督。</w:t>
      </w:r>
    </w:p>
    <w:p>
      <w:pPr>
        <w:pStyle w:val="37"/>
        <w:keepNext w:val="0"/>
        <w:keepLines w:val="0"/>
        <w:pageBreakBefore w:val="0"/>
        <w:widowControl/>
        <w:kinsoku/>
        <w:wordWrap/>
        <w:overflowPunct/>
        <w:topLinePunct w:val="0"/>
        <w:autoSpaceDE/>
        <w:autoSpaceDN/>
        <w:bidi w:val="0"/>
        <w:adjustRightInd/>
        <w:snapToGrid/>
        <w:ind w:left="0" w:firstLine="420" w:firstLineChars="200"/>
        <w:textAlignment w:val="auto"/>
        <w:rPr>
          <w:color w:val="000000"/>
        </w:rPr>
      </w:pPr>
    </w:p>
    <w:p>
      <w:pPr>
        <w:pStyle w:val="37"/>
        <w:keepNext w:val="0"/>
        <w:keepLines w:val="0"/>
        <w:pageBreakBefore w:val="0"/>
        <w:kinsoku/>
        <w:wordWrap/>
        <w:overflowPunct/>
        <w:topLinePunct w:val="0"/>
        <w:bidi w:val="0"/>
        <w:adjustRightInd/>
        <w:snapToGrid/>
        <w:spacing w:line="240" w:lineRule="auto"/>
        <w:ind w:firstLine="420" w:firstLineChars="200"/>
        <w:textAlignment w:val="auto"/>
        <w:rPr>
          <w:rFonts w:hAnsi="宋体" w:cs="宋体"/>
          <w:szCs w:val="21"/>
          <w:lang w:val="zh-TW" w:eastAsia="zh-TW" w:bidi="zh-TW"/>
        </w:rPr>
      </w:pPr>
    </w:p>
    <w:p>
      <w:pPr>
        <w:keepNext w:val="0"/>
        <w:keepLines w:val="0"/>
        <w:pageBreakBefore w:val="0"/>
        <w:kinsoku/>
        <w:wordWrap/>
        <w:overflowPunct/>
        <w:topLinePunct w:val="0"/>
        <w:bidi w:val="0"/>
        <w:adjustRightInd/>
        <w:snapToGrid/>
        <w:spacing w:line="240" w:lineRule="auto"/>
        <w:ind w:firstLine="5880" w:firstLineChars="2800"/>
        <w:textAlignment w:val="auto"/>
        <w:rPr>
          <w:rFonts w:hint="eastAsia" w:ascii="宋体" w:hAnsi="宋体" w:cs="宋体"/>
          <w:szCs w:val="21"/>
        </w:rPr>
      </w:pPr>
    </w:p>
    <w:p>
      <w:pPr>
        <w:keepNext w:val="0"/>
        <w:keepLines w:val="0"/>
        <w:pageBreakBefore w:val="0"/>
        <w:kinsoku/>
        <w:wordWrap/>
        <w:overflowPunct/>
        <w:topLinePunct w:val="0"/>
        <w:bidi w:val="0"/>
        <w:adjustRightInd/>
        <w:snapToGrid/>
        <w:spacing w:line="240" w:lineRule="auto"/>
        <w:ind w:firstLine="5880" w:firstLineChars="2800"/>
        <w:textAlignment w:val="auto"/>
        <w:rPr>
          <w:rFonts w:hint="eastAsia" w:ascii="宋体" w:hAnsi="宋体" w:cs="宋体"/>
          <w:szCs w:val="21"/>
        </w:rPr>
      </w:pPr>
    </w:p>
    <w:p>
      <w:pPr>
        <w:keepNext w:val="0"/>
        <w:keepLines w:val="0"/>
        <w:pageBreakBefore w:val="0"/>
        <w:kinsoku/>
        <w:wordWrap/>
        <w:overflowPunct/>
        <w:topLinePunct w:val="0"/>
        <w:bidi w:val="0"/>
        <w:adjustRightInd/>
        <w:snapToGrid/>
        <w:spacing w:line="240" w:lineRule="auto"/>
        <w:ind w:firstLine="5880" w:firstLineChars="2800"/>
        <w:textAlignment w:val="auto"/>
        <w:rPr>
          <w:rFonts w:hint="eastAsia" w:ascii="宋体" w:hAnsi="宋体" w:cs="宋体"/>
          <w:szCs w:val="21"/>
        </w:rPr>
      </w:pPr>
    </w:p>
    <w:p>
      <w:pPr>
        <w:keepNext w:val="0"/>
        <w:keepLines w:val="0"/>
        <w:pageBreakBefore w:val="0"/>
        <w:kinsoku/>
        <w:wordWrap/>
        <w:overflowPunct/>
        <w:topLinePunct w:val="0"/>
        <w:bidi w:val="0"/>
        <w:adjustRightInd/>
        <w:snapToGrid/>
        <w:spacing w:line="240" w:lineRule="auto"/>
        <w:ind w:firstLine="5880" w:firstLineChars="2800"/>
        <w:textAlignment w:val="auto"/>
        <w:rPr>
          <w:rFonts w:hint="eastAsia" w:ascii="宋体" w:hAnsi="宋体" w:cs="宋体"/>
          <w:szCs w:val="21"/>
        </w:rPr>
      </w:pPr>
    </w:p>
    <w:p>
      <w:pPr>
        <w:keepNext w:val="0"/>
        <w:keepLines w:val="0"/>
        <w:pageBreakBefore w:val="0"/>
        <w:kinsoku/>
        <w:wordWrap/>
        <w:overflowPunct/>
        <w:topLinePunct w:val="0"/>
        <w:bidi w:val="0"/>
        <w:adjustRightInd/>
        <w:snapToGrid/>
        <w:spacing w:line="240" w:lineRule="auto"/>
        <w:ind w:firstLine="5880" w:firstLineChars="2800"/>
        <w:textAlignment w:val="auto"/>
        <w:rPr>
          <w:rFonts w:hint="eastAsia" w:ascii="宋体" w:hAnsi="宋体" w:cs="宋体"/>
          <w:szCs w:val="21"/>
        </w:rPr>
      </w:pPr>
    </w:p>
    <w:p>
      <w:pPr>
        <w:keepNext w:val="0"/>
        <w:keepLines w:val="0"/>
        <w:pageBreakBefore w:val="0"/>
        <w:kinsoku/>
        <w:wordWrap/>
        <w:overflowPunct/>
        <w:topLinePunct w:val="0"/>
        <w:bidi w:val="0"/>
        <w:adjustRightInd/>
        <w:snapToGrid/>
        <w:spacing w:line="240" w:lineRule="auto"/>
        <w:textAlignment w:val="auto"/>
        <w:rPr>
          <w:rFonts w:ascii="宋体" w:hAnsi="宋体" w:cs="宋体"/>
          <w:szCs w:val="21"/>
        </w:rPr>
      </w:pPr>
      <w:bookmarkStart w:id="0" w:name="_GoBack"/>
      <w:bookmarkEnd w:id="0"/>
    </w:p>
    <w:sectPr>
      <w:foot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D3558"/>
    <w:multiLevelType w:val="singleLevel"/>
    <w:tmpl w:val="F20D35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4B86"/>
    <w:rsid w:val="000053E9"/>
    <w:rsid w:val="0000683B"/>
    <w:rsid w:val="00007204"/>
    <w:rsid w:val="000105D9"/>
    <w:rsid w:val="00010CC2"/>
    <w:rsid w:val="0001188A"/>
    <w:rsid w:val="00012F24"/>
    <w:rsid w:val="00014310"/>
    <w:rsid w:val="0001511C"/>
    <w:rsid w:val="00015298"/>
    <w:rsid w:val="00017599"/>
    <w:rsid w:val="00020497"/>
    <w:rsid w:val="00022DBA"/>
    <w:rsid w:val="00023044"/>
    <w:rsid w:val="000309D8"/>
    <w:rsid w:val="00030DE9"/>
    <w:rsid w:val="00030F22"/>
    <w:rsid w:val="0003389F"/>
    <w:rsid w:val="00036509"/>
    <w:rsid w:val="00040F29"/>
    <w:rsid w:val="000417B2"/>
    <w:rsid w:val="000423FF"/>
    <w:rsid w:val="00042593"/>
    <w:rsid w:val="0004287D"/>
    <w:rsid w:val="0004386C"/>
    <w:rsid w:val="00044B77"/>
    <w:rsid w:val="00052CFE"/>
    <w:rsid w:val="000538FB"/>
    <w:rsid w:val="0005393B"/>
    <w:rsid w:val="00054516"/>
    <w:rsid w:val="000553BB"/>
    <w:rsid w:val="0005601D"/>
    <w:rsid w:val="0005769C"/>
    <w:rsid w:val="00061212"/>
    <w:rsid w:val="00066342"/>
    <w:rsid w:val="000707F6"/>
    <w:rsid w:val="000714A8"/>
    <w:rsid w:val="0007269F"/>
    <w:rsid w:val="00074B87"/>
    <w:rsid w:val="000817B8"/>
    <w:rsid w:val="0008478F"/>
    <w:rsid w:val="000847A9"/>
    <w:rsid w:val="00085A6B"/>
    <w:rsid w:val="000861F6"/>
    <w:rsid w:val="00087B08"/>
    <w:rsid w:val="00091A58"/>
    <w:rsid w:val="00091C78"/>
    <w:rsid w:val="00093E7B"/>
    <w:rsid w:val="00095AC0"/>
    <w:rsid w:val="00096257"/>
    <w:rsid w:val="00096EB4"/>
    <w:rsid w:val="00096F40"/>
    <w:rsid w:val="00097C9D"/>
    <w:rsid w:val="000A1135"/>
    <w:rsid w:val="000A294C"/>
    <w:rsid w:val="000A3943"/>
    <w:rsid w:val="000A42B5"/>
    <w:rsid w:val="000A6981"/>
    <w:rsid w:val="000A73AD"/>
    <w:rsid w:val="000A7D3C"/>
    <w:rsid w:val="000B0A5A"/>
    <w:rsid w:val="000B1A3A"/>
    <w:rsid w:val="000B1C26"/>
    <w:rsid w:val="000B2EFD"/>
    <w:rsid w:val="000B37D7"/>
    <w:rsid w:val="000B4D37"/>
    <w:rsid w:val="000B5F05"/>
    <w:rsid w:val="000B648F"/>
    <w:rsid w:val="000B7F70"/>
    <w:rsid w:val="000C1724"/>
    <w:rsid w:val="000C2DE0"/>
    <w:rsid w:val="000C3E65"/>
    <w:rsid w:val="000C4075"/>
    <w:rsid w:val="000C41D1"/>
    <w:rsid w:val="000C4F63"/>
    <w:rsid w:val="000C68C0"/>
    <w:rsid w:val="000C74C5"/>
    <w:rsid w:val="000D233B"/>
    <w:rsid w:val="000D2D75"/>
    <w:rsid w:val="000D4F53"/>
    <w:rsid w:val="000D66A9"/>
    <w:rsid w:val="000D6F63"/>
    <w:rsid w:val="000D7A11"/>
    <w:rsid w:val="000D7CDE"/>
    <w:rsid w:val="000E037A"/>
    <w:rsid w:val="000E1D1F"/>
    <w:rsid w:val="000E2FE4"/>
    <w:rsid w:val="000E34AE"/>
    <w:rsid w:val="000E3F0C"/>
    <w:rsid w:val="000E50D4"/>
    <w:rsid w:val="000E68F9"/>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7E49"/>
    <w:rsid w:val="00111185"/>
    <w:rsid w:val="00112C3B"/>
    <w:rsid w:val="00113120"/>
    <w:rsid w:val="00116F99"/>
    <w:rsid w:val="0011714A"/>
    <w:rsid w:val="00120833"/>
    <w:rsid w:val="001213F6"/>
    <w:rsid w:val="00122A5D"/>
    <w:rsid w:val="00123A36"/>
    <w:rsid w:val="00127BF9"/>
    <w:rsid w:val="001314A5"/>
    <w:rsid w:val="00131695"/>
    <w:rsid w:val="0013295D"/>
    <w:rsid w:val="00136DFD"/>
    <w:rsid w:val="001377DB"/>
    <w:rsid w:val="00144A82"/>
    <w:rsid w:val="00145F4C"/>
    <w:rsid w:val="0015032E"/>
    <w:rsid w:val="00153082"/>
    <w:rsid w:val="00153115"/>
    <w:rsid w:val="0015483C"/>
    <w:rsid w:val="00154E4A"/>
    <w:rsid w:val="001552C0"/>
    <w:rsid w:val="0016203B"/>
    <w:rsid w:val="00163090"/>
    <w:rsid w:val="001633A7"/>
    <w:rsid w:val="00167475"/>
    <w:rsid w:val="00170B42"/>
    <w:rsid w:val="00170B8C"/>
    <w:rsid w:val="00170BD7"/>
    <w:rsid w:val="0017398A"/>
    <w:rsid w:val="00174A79"/>
    <w:rsid w:val="00177A20"/>
    <w:rsid w:val="00177EBE"/>
    <w:rsid w:val="00182BE4"/>
    <w:rsid w:val="00182F8D"/>
    <w:rsid w:val="00183840"/>
    <w:rsid w:val="00183985"/>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D9B"/>
    <w:rsid w:val="001B348D"/>
    <w:rsid w:val="001B396A"/>
    <w:rsid w:val="001B6DB2"/>
    <w:rsid w:val="001C0D9F"/>
    <w:rsid w:val="001C2D47"/>
    <w:rsid w:val="001C42BD"/>
    <w:rsid w:val="001C4EAE"/>
    <w:rsid w:val="001C4FE5"/>
    <w:rsid w:val="001C5415"/>
    <w:rsid w:val="001C56BB"/>
    <w:rsid w:val="001C6F19"/>
    <w:rsid w:val="001D4689"/>
    <w:rsid w:val="001D5ABC"/>
    <w:rsid w:val="001E1F52"/>
    <w:rsid w:val="001E3DA8"/>
    <w:rsid w:val="001E417C"/>
    <w:rsid w:val="001E7563"/>
    <w:rsid w:val="001F096F"/>
    <w:rsid w:val="001F587D"/>
    <w:rsid w:val="002000EF"/>
    <w:rsid w:val="00202B2A"/>
    <w:rsid w:val="00203D35"/>
    <w:rsid w:val="002069DA"/>
    <w:rsid w:val="00206AD1"/>
    <w:rsid w:val="00211311"/>
    <w:rsid w:val="002119B5"/>
    <w:rsid w:val="002142AA"/>
    <w:rsid w:val="002143A9"/>
    <w:rsid w:val="00215D61"/>
    <w:rsid w:val="002179A7"/>
    <w:rsid w:val="00220237"/>
    <w:rsid w:val="00220FFF"/>
    <w:rsid w:val="002242CF"/>
    <w:rsid w:val="00227168"/>
    <w:rsid w:val="00230A62"/>
    <w:rsid w:val="00230ABA"/>
    <w:rsid w:val="00232B82"/>
    <w:rsid w:val="00234640"/>
    <w:rsid w:val="0023683A"/>
    <w:rsid w:val="00237588"/>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70B27"/>
    <w:rsid w:val="00272CE9"/>
    <w:rsid w:val="00272E0B"/>
    <w:rsid w:val="00273303"/>
    <w:rsid w:val="002749F5"/>
    <w:rsid w:val="00274DE5"/>
    <w:rsid w:val="00275F44"/>
    <w:rsid w:val="0027646D"/>
    <w:rsid w:val="002765B7"/>
    <w:rsid w:val="00276B28"/>
    <w:rsid w:val="00277DA9"/>
    <w:rsid w:val="00281D7D"/>
    <w:rsid w:val="00282B0A"/>
    <w:rsid w:val="002839DF"/>
    <w:rsid w:val="00284E6C"/>
    <w:rsid w:val="00285DC4"/>
    <w:rsid w:val="002871B4"/>
    <w:rsid w:val="002875CA"/>
    <w:rsid w:val="0029037F"/>
    <w:rsid w:val="002920E0"/>
    <w:rsid w:val="002932BE"/>
    <w:rsid w:val="00293668"/>
    <w:rsid w:val="00295EF1"/>
    <w:rsid w:val="002970A8"/>
    <w:rsid w:val="002A03B1"/>
    <w:rsid w:val="002A0572"/>
    <w:rsid w:val="002A0DFF"/>
    <w:rsid w:val="002A10F5"/>
    <w:rsid w:val="002A1989"/>
    <w:rsid w:val="002A19DE"/>
    <w:rsid w:val="002A21E5"/>
    <w:rsid w:val="002A6B14"/>
    <w:rsid w:val="002B06D5"/>
    <w:rsid w:val="002B0723"/>
    <w:rsid w:val="002B14A9"/>
    <w:rsid w:val="002B3A96"/>
    <w:rsid w:val="002B3C90"/>
    <w:rsid w:val="002B4AD9"/>
    <w:rsid w:val="002B4D39"/>
    <w:rsid w:val="002B70E1"/>
    <w:rsid w:val="002B733D"/>
    <w:rsid w:val="002C0BAA"/>
    <w:rsid w:val="002C19C1"/>
    <w:rsid w:val="002C2232"/>
    <w:rsid w:val="002C3B5E"/>
    <w:rsid w:val="002C5DAF"/>
    <w:rsid w:val="002C6312"/>
    <w:rsid w:val="002D1943"/>
    <w:rsid w:val="002D1C51"/>
    <w:rsid w:val="002D1F8C"/>
    <w:rsid w:val="002D6D01"/>
    <w:rsid w:val="002D6D3D"/>
    <w:rsid w:val="002E1253"/>
    <w:rsid w:val="002E266A"/>
    <w:rsid w:val="002E38BF"/>
    <w:rsid w:val="002E4BAD"/>
    <w:rsid w:val="002E6A47"/>
    <w:rsid w:val="002E7E64"/>
    <w:rsid w:val="002F054A"/>
    <w:rsid w:val="002F10AA"/>
    <w:rsid w:val="002F1832"/>
    <w:rsid w:val="002F3234"/>
    <w:rsid w:val="002F4477"/>
    <w:rsid w:val="002F67D1"/>
    <w:rsid w:val="002F7B4E"/>
    <w:rsid w:val="00301BA4"/>
    <w:rsid w:val="003029D0"/>
    <w:rsid w:val="00303D1E"/>
    <w:rsid w:val="00304AE4"/>
    <w:rsid w:val="003062F7"/>
    <w:rsid w:val="00306382"/>
    <w:rsid w:val="00306F2D"/>
    <w:rsid w:val="0031142B"/>
    <w:rsid w:val="00312720"/>
    <w:rsid w:val="00312969"/>
    <w:rsid w:val="00316EDA"/>
    <w:rsid w:val="00316F38"/>
    <w:rsid w:val="0031706C"/>
    <w:rsid w:val="00321025"/>
    <w:rsid w:val="003215FD"/>
    <w:rsid w:val="003248A7"/>
    <w:rsid w:val="00324BF7"/>
    <w:rsid w:val="00325920"/>
    <w:rsid w:val="003279B8"/>
    <w:rsid w:val="00332188"/>
    <w:rsid w:val="00332E79"/>
    <w:rsid w:val="00333B7C"/>
    <w:rsid w:val="00336ED9"/>
    <w:rsid w:val="00340AEA"/>
    <w:rsid w:val="00341060"/>
    <w:rsid w:val="0034244E"/>
    <w:rsid w:val="003445BA"/>
    <w:rsid w:val="00344FF4"/>
    <w:rsid w:val="0034507B"/>
    <w:rsid w:val="00345FB6"/>
    <w:rsid w:val="00350105"/>
    <w:rsid w:val="00353DE7"/>
    <w:rsid w:val="003544AD"/>
    <w:rsid w:val="0035487E"/>
    <w:rsid w:val="00354BD9"/>
    <w:rsid w:val="003565D2"/>
    <w:rsid w:val="00360056"/>
    <w:rsid w:val="00361F38"/>
    <w:rsid w:val="003645FB"/>
    <w:rsid w:val="00365309"/>
    <w:rsid w:val="003668EA"/>
    <w:rsid w:val="00370E72"/>
    <w:rsid w:val="0037189E"/>
    <w:rsid w:val="003725DC"/>
    <w:rsid w:val="00373ADB"/>
    <w:rsid w:val="00374714"/>
    <w:rsid w:val="00375546"/>
    <w:rsid w:val="003762B3"/>
    <w:rsid w:val="00376B87"/>
    <w:rsid w:val="00376EF7"/>
    <w:rsid w:val="00380BD9"/>
    <w:rsid w:val="00381845"/>
    <w:rsid w:val="00381B0F"/>
    <w:rsid w:val="00382D16"/>
    <w:rsid w:val="00382F0F"/>
    <w:rsid w:val="00384B8C"/>
    <w:rsid w:val="0038570E"/>
    <w:rsid w:val="00391D3B"/>
    <w:rsid w:val="00394476"/>
    <w:rsid w:val="0039459D"/>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61D2"/>
    <w:rsid w:val="003B68C1"/>
    <w:rsid w:val="003B7B1F"/>
    <w:rsid w:val="003C1412"/>
    <w:rsid w:val="003C1EF5"/>
    <w:rsid w:val="003C38DC"/>
    <w:rsid w:val="003C3C9A"/>
    <w:rsid w:val="003C4ED0"/>
    <w:rsid w:val="003C5123"/>
    <w:rsid w:val="003D1055"/>
    <w:rsid w:val="003D20F1"/>
    <w:rsid w:val="003D243F"/>
    <w:rsid w:val="003D3250"/>
    <w:rsid w:val="003D449D"/>
    <w:rsid w:val="003D49F8"/>
    <w:rsid w:val="003D55B2"/>
    <w:rsid w:val="003E02F5"/>
    <w:rsid w:val="003E0FB5"/>
    <w:rsid w:val="003E2F07"/>
    <w:rsid w:val="003E4DFA"/>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D1D"/>
    <w:rsid w:val="004079FE"/>
    <w:rsid w:val="00416D76"/>
    <w:rsid w:val="00420A46"/>
    <w:rsid w:val="0042269F"/>
    <w:rsid w:val="00423F44"/>
    <w:rsid w:val="004240EF"/>
    <w:rsid w:val="004257D4"/>
    <w:rsid w:val="0043089F"/>
    <w:rsid w:val="00431277"/>
    <w:rsid w:val="00431457"/>
    <w:rsid w:val="00431DE3"/>
    <w:rsid w:val="00434B86"/>
    <w:rsid w:val="004364C3"/>
    <w:rsid w:val="00436754"/>
    <w:rsid w:val="00440F23"/>
    <w:rsid w:val="0044150D"/>
    <w:rsid w:val="004425AD"/>
    <w:rsid w:val="004477CE"/>
    <w:rsid w:val="004502B1"/>
    <w:rsid w:val="00450873"/>
    <w:rsid w:val="00451811"/>
    <w:rsid w:val="00451D71"/>
    <w:rsid w:val="00451F6C"/>
    <w:rsid w:val="004520EB"/>
    <w:rsid w:val="00452220"/>
    <w:rsid w:val="00452AC4"/>
    <w:rsid w:val="00452EF9"/>
    <w:rsid w:val="00454481"/>
    <w:rsid w:val="00455A9B"/>
    <w:rsid w:val="0046179E"/>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663E"/>
    <w:rsid w:val="0049054A"/>
    <w:rsid w:val="004925A6"/>
    <w:rsid w:val="0049313B"/>
    <w:rsid w:val="00494110"/>
    <w:rsid w:val="00494DA6"/>
    <w:rsid w:val="004A0BA7"/>
    <w:rsid w:val="004A13DE"/>
    <w:rsid w:val="004A4E94"/>
    <w:rsid w:val="004A728C"/>
    <w:rsid w:val="004B15E9"/>
    <w:rsid w:val="004B1B1A"/>
    <w:rsid w:val="004B27A6"/>
    <w:rsid w:val="004B3B3E"/>
    <w:rsid w:val="004B44BA"/>
    <w:rsid w:val="004B6139"/>
    <w:rsid w:val="004C3CC2"/>
    <w:rsid w:val="004C3D62"/>
    <w:rsid w:val="004C6B23"/>
    <w:rsid w:val="004C6D2E"/>
    <w:rsid w:val="004D0859"/>
    <w:rsid w:val="004D0F3D"/>
    <w:rsid w:val="004D3BB2"/>
    <w:rsid w:val="004E03C3"/>
    <w:rsid w:val="004E0C9A"/>
    <w:rsid w:val="004E4C42"/>
    <w:rsid w:val="004E59AD"/>
    <w:rsid w:val="004E7090"/>
    <w:rsid w:val="004F1C39"/>
    <w:rsid w:val="004F2569"/>
    <w:rsid w:val="004F2701"/>
    <w:rsid w:val="004F4815"/>
    <w:rsid w:val="004F7CA8"/>
    <w:rsid w:val="00500012"/>
    <w:rsid w:val="00501593"/>
    <w:rsid w:val="00503405"/>
    <w:rsid w:val="0050787E"/>
    <w:rsid w:val="00507EE3"/>
    <w:rsid w:val="00510637"/>
    <w:rsid w:val="00510F6C"/>
    <w:rsid w:val="00511DC3"/>
    <w:rsid w:val="0051526A"/>
    <w:rsid w:val="00517054"/>
    <w:rsid w:val="00521A3E"/>
    <w:rsid w:val="005250C5"/>
    <w:rsid w:val="00527238"/>
    <w:rsid w:val="0052749E"/>
    <w:rsid w:val="00527F3F"/>
    <w:rsid w:val="00530FD8"/>
    <w:rsid w:val="005313EF"/>
    <w:rsid w:val="005346D2"/>
    <w:rsid w:val="005366F3"/>
    <w:rsid w:val="005373F8"/>
    <w:rsid w:val="0054258F"/>
    <w:rsid w:val="00543163"/>
    <w:rsid w:val="00543715"/>
    <w:rsid w:val="00544CE7"/>
    <w:rsid w:val="0054764D"/>
    <w:rsid w:val="00550CCC"/>
    <w:rsid w:val="00550D26"/>
    <w:rsid w:val="00553EB4"/>
    <w:rsid w:val="00555032"/>
    <w:rsid w:val="00555506"/>
    <w:rsid w:val="00561F1A"/>
    <w:rsid w:val="00562D8D"/>
    <w:rsid w:val="00563930"/>
    <w:rsid w:val="00563BF2"/>
    <w:rsid w:val="0056728A"/>
    <w:rsid w:val="00571D38"/>
    <w:rsid w:val="00574E05"/>
    <w:rsid w:val="00577D77"/>
    <w:rsid w:val="00577F15"/>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FC9"/>
    <w:rsid w:val="005A1767"/>
    <w:rsid w:val="005A38E5"/>
    <w:rsid w:val="005A4AC1"/>
    <w:rsid w:val="005A62B5"/>
    <w:rsid w:val="005A6306"/>
    <w:rsid w:val="005B0109"/>
    <w:rsid w:val="005B0389"/>
    <w:rsid w:val="005B04A4"/>
    <w:rsid w:val="005B4C4B"/>
    <w:rsid w:val="005B7239"/>
    <w:rsid w:val="005C1428"/>
    <w:rsid w:val="005C2236"/>
    <w:rsid w:val="005C3C39"/>
    <w:rsid w:val="005C551C"/>
    <w:rsid w:val="005C7F18"/>
    <w:rsid w:val="005D2615"/>
    <w:rsid w:val="005D4520"/>
    <w:rsid w:val="005D4C6A"/>
    <w:rsid w:val="005D7D54"/>
    <w:rsid w:val="005E1187"/>
    <w:rsid w:val="005E2932"/>
    <w:rsid w:val="005E3F63"/>
    <w:rsid w:val="005E410D"/>
    <w:rsid w:val="005E4503"/>
    <w:rsid w:val="005E4936"/>
    <w:rsid w:val="005E6EB4"/>
    <w:rsid w:val="005F112B"/>
    <w:rsid w:val="005F6008"/>
    <w:rsid w:val="00603F80"/>
    <w:rsid w:val="00603F8F"/>
    <w:rsid w:val="00604321"/>
    <w:rsid w:val="0060452C"/>
    <w:rsid w:val="00605B93"/>
    <w:rsid w:val="006064F6"/>
    <w:rsid w:val="0060739C"/>
    <w:rsid w:val="00607F69"/>
    <w:rsid w:val="00611F40"/>
    <w:rsid w:val="00613926"/>
    <w:rsid w:val="006149A3"/>
    <w:rsid w:val="006155CF"/>
    <w:rsid w:val="0061591D"/>
    <w:rsid w:val="00620253"/>
    <w:rsid w:val="006210B4"/>
    <w:rsid w:val="0062183F"/>
    <w:rsid w:val="00624D82"/>
    <w:rsid w:val="00625697"/>
    <w:rsid w:val="00625BCC"/>
    <w:rsid w:val="00627E7D"/>
    <w:rsid w:val="00630FC6"/>
    <w:rsid w:val="00632A00"/>
    <w:rsid w:val="00632EC5"/>
    <w:rsid w:val="0063490E"/>
    <w:rsid w:val="00637D98"/>
    <w:rsid w:val="0064120B"/>
    <w:rsid w:val="0064417E"/>
    <w:rsid w:val="00646E0F"/>
    <w:rsid w:val="00652CAA"/>
    <w:rsid w:val="00653D85"/>
    <w:rsid w:val="00656E69"/>
    <w:rsid w:val="006606DC"/>
    <w:rsid w:val="00660ADA"/>
    <w:rsid w:val="00662599"/>
    <w:rsid w:val="006675F4"/>
    <w:rsid w:val="006746E8"/>
    <w:rsid w:val="006766E4"/>
    <w:rsid w:val="00677389"/>
    <w:rsid w:val="00680721"/>
    <w:rsid w:val="00681204"/>
    <w:rsid w:val="0068343C"/>
    <w:rsid w:val="006837E5"/>
    <w:rsid w:val="00686557"/>
    <w:rsid w:val="00690B74"/>
    <w:rsid w:val="006948C6"/>
    <w:rsid w:val="006955AD"/>
    <w:rsid w:val="006A2935"/>
    <w:rsid w:val="006A3243"/>
    <w:rsid w:val="006A5464"/>
    <w:rsid w:val="006A6AD1"/>
    <w:rsid w:val="006A6F70"/>
    <w:rsid w:val="006B1AD5"/>
    <w:rsid w:val="006B344E"/>
    <w:rsid w:val="006B3DA3"/>
    <w:rsid w:val="006B628F"/>
    <w:rsid w:val="006B6E5F"/>
    <w:rsid w:val="006C252F"/>
    <w:rsid w:val="006C54B6"/>
    <w:rsid w:val="006C5712"/>
    <w:rsid w:val="006C6722"/>
    <w:rsid w:val="006D00BF"/>
    <w:rsid w:val="006D0564"/>
    <w:rsid w:val="006D1573"/>
    <w:rsid w:val="006D3153"/>
    <w:rsid w:val="006D3660"/>
    <w:rsid w:val="006D3969"/>
    <w:rsid w:val="006D5767"/>
    <w:rsid w:val="006D6858"/>
    <w:rsid w:val="006D6F30"/>
    <w:rsid w:val="006D7072"/>
    <w:rsid w:val="006E0040"/>
    <w:rsid w:val="006E1534"/>
    <w:rsid w:val="006E2159"/>
    <w:rsid w:val="006E5A02"/>
    <w:rsid w:val="006E5DA0"/>
    <w:rsid w:val="006E6578"/>
    <w:rsid w:val="006E6980"/>
    <w:rsid w:val="006F0026"/>
    <w:rsid w:val="007004BE"/>
    <w:rsid w:val="00706634"/>
    <w:rsid w:val="0070702D"/>
    <w:rsid w:val="00710E78"/>
    <w:rsid w:val="00711285"/>
    <w:rsid w:val="007129AB"/>
    <w:rsid w:val="00716F42"/>
    <w:rsid w:val="0071729C"/>
    <w:rsid w:val="007172DD"/>
    <w:rsid w:val="00720A1F"/>
    <w:rsid w:val="00720EEE"/>
    <w:rsid w:val="00720FAD"/>
    <w:rsid w:val="00722BC7"/>
    <w:rsid w:val="00722E3F"/>
    <w:rsid w:val="00723DB6"/>
    <w:rsid w:val="00724CF2"/>
    <w:rsid w:val="00726BA4"/>
    <w:rsid w:val="00730842"/>
    <w:rsid w:val="007330C0"/>
    <w:rsid w:val="00735652"/>
    <w:rsid w:val="00735A9D"/>
    <w:rsid w:val="00736162"/>
    <w:rsid w:val="00736259"/>
    <w:rsid w:val="00736980"/>
    <w:rsid w:val="00736D42"/>
    <w:rsid w:val="007379E3"/>
    <w:rsid w:val="007400A1"/>
    <w:rsid w:val="00742B17"/>
    <w:rsid w:val="00747611"/>
    <w:rsid w:val="00747B6D"/>
    <w:rsid w:val="00747D78"/>
    <w:rsid w:val="00752269"/>
    <w:rsid w:val="00752D5F"/>
    <w:rsid w:val="00754082"/>
    <w:rsid w:val="00754141"/>
    <w:rsid w:val="00754A8B"/>
    <w:rsid w:val="0075796F"/>
    <w:rsid w:val="007611CD"/>
    <w:rsid w:val="00763E0F"/>
    <w:rsid w:val="00764184"/>
    <w:rsid w:val="00766AF0"/>
    <w:rsid w:val="00773263"/>
    <w:rsid w:val="00774881"/>
    <w:rsid w:val="0077497B"/>
    <w:rsid w:val="0077794C"/>
    <w:rsid w:val="00781C6D"/>
    <w:rsid w:val="0078334B"/>
    <w:rsid w:val="00783F9C"/>
    <w:rsid w:val="00784A00"/>
    <w:rsid w:val="007864ED"/>
    <w:rsid w:val="0078654C"/>
    <w:rsid w:val="00787D29"/>
    <w:rsid w:val="00791A27"/>
    <w:rsid w:val="00792E24"/>
    <w:rsid w:val="00793463"/>
    <w:rsid w:val="00795B91"/>
    <w:rsid w:val="007A06C2"/>
    <w:rsid w:val="007A15F2"/>
    <w:rsid w:val="007A28EC"/>
    <w:rsid w:val="007A3934"/>
    <w:rsid w:val="007A3AB8"/>
    <w:rsid w:val="007A6CC0"/>
    <w:rsid w:val="007A70C7"/>
    <w:rsid w:val="007B2918"/>
    <w:rsid w:val="007B5F84"/>
    <w:rsid w:val="007B6AB4"/>
    <w:rsid w:val="007B7E35"/>
    <w:rsid w:val="007C25C3"/>
    <w:rsid w:val="007C25F3"/>
    <w:rsid w:val="007C4287"/>
    <w:rsid w:val="007C448D"/>
    <w:rsid w:val="007C5166"/>
    <w:rsid w:val="007C6A35"/>
    <w:rsid w:val="007C6E69"/>
    <w:rsid w:val="007C73F2"/>
    <w:rsid w:val="007C79B0"/>
    <w:rsid w:val="007D0893"/>
    <w:rsid w:val="007D2164"/>
    <w:rsid w:val="007D31F7"/>
    <w:rsid w:val="007D380C"/>
    <w:rsid w:val="007D55BF"/>
    <w:rsid w:val="007D7EFB"/>
    <w:rsid w:val="007E2919"/>
    <w:rsid w:val="007E2A9F"/>
    <w:rsid w:val="007E2D2C"/>
    <w:rsid w:val="007E34AB"/>
    <w:rsid w:val="007E399B"/>
    <w:rsid w:val="007F029B"/>
    <w:rsid w:val="007F034A"/>
    <w:rsid w:val="007F0680"/>
    <w:rsid w:val="007F1621"/>
    <w:rsid w:val="007F1C90"/>
    <w:rsid w:val="007F3254"/>
    <w:rsid w:val="007F67F3"/>
    <w:rsid w:val="007F7F58"/>
    <w:rsid w:val="0080059E"/>
    <w:rsid w:val="00800630"/>
    <w:rsid w:val="008024FB"/>
    <w:rsid w:val="0080303E"/>
    <w:rsid w:val="00804C61"/>
    <w:rsid w:val="0080515D"/>
    <w:rsid w:val="00806604"/>
    <w:rsid w:val="0080674A"/>
    <w:rsid w:val="008118E3"/>
    <w:rsid w:val="00811A58"/>
    <w:rsid w:val="00814E13"/>
    <w:rsid w:val="00815815"/>
    <w:rsid w:val="0081740B"/>
    <w:rsid w:val="00820BDA"/>
    <w:rsid w:val="00821B4A"/>
    <w:rsid w:val="00822F86"/>
    <w:rsid w:val="00823B6F"/>
    <w:rsid w:val="00824F05"/>
    <w:rsid w:val="00827880"/>
    <w:rsid w:val="00827EF2"/>
    <w:rsid w:val="00833905"/>
    <w:rsid w:val="00836248"/>
    <w:rsid w:val="00837157"/>
    <w:rsid w:val="0083745B"/>
    <w:rsid w:val="00840EB0"/>
    <w:rsid w:val="00844447"/>
    <w:rsid w:val="00844B03"/>
    <w:rsid w:val="00845C7A"/>
    <w:rsid w:val="0084750A"/>
    <w:rsid w:val="008477DF"/>
    <w:rsid w:val="0085144C"/>
    <w:rsid w:val="00852C0D"/>
    <w:rsid w:val="008540B8"/>
    <w:rsid w:val="008554B3"/>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E20"/>
    <w:rsid w:val="00887B96"/>
    <w:rsid w:val="00890A47"/>
    <w:rsid w:val="00891BEF"/>
    <w:rsid w:val="00893445"/>
    <w:rsid w:val="00893CC9"/>
    <w:rsid w:val="008940AA"/>
    <w:rsid w:val="00894B56"/>
    <w:rsid w:val="008955ED"/>
    <w:rsid w:val="00895D00"/>
    <w:rsid w:val="00896B7A"/>
    <w:rsid w:val="008A1CA1"/>
    <w:rsid w:val="008A502C"/>
    <w:rsid w:val="008A7BAE"/>
    <w:rsid w:val="008B0C8C"/>
    <w:rsid w:val="008B0D20"/>
    <w:rsid w:val="008B1A11"/>
    <w:rsid w:val="008B3173"/>
    <w:rsid w:val="008B5D44"/>
    <w:rsid w:val="008C0B72"/>
    <w:rsid w:val="008C1792"/>
    <w:rsid w:val="008C4879"/>
    <w:rsid w:val="008D2518"/>
    <w:rsid w:val="008D37AA"/>
    <w:rsid w:val="008D4E3F"/>
    <w:rsid w:val="008D6A3F"/>
    <w:rsid w:val="008D74AF"/>
    <w:rsid w:val="008D7D2F"/>
    <w:rsid w:val="008E0CB8"/>
    <w:rsid w:val="008E0DA1"/>
    <w:rsid w:val="008E1F1D"/>
    <w:rsid w:val="008E3948"/>
    <w:rsid w:val="008E6121"/>
    <w:rsid w:val="008E69E7"/>
    <w:rsid w:val="008F16D8"/>
    <w:rsid w:val="008F1A4B"/>
    <w:rsid w:val="008F2AEB"/>
    <w:rsid w:val="008F2EAF"/>
    <w:rsid w:val="008F3A7F"/>
    <w:rsid w:val="008F3BA8"/>
    <w:rsid w:val="008F3C9E"/>
    <w:rsid w:val="00902768"/>
    <w:rsid w:val="009035DF"/>
    <w:rsid w:val="00905307"/>
    <w:rsid w:val="009105FA"/>
    <w:rsid w:val="009109ED"/>
    <w:rsid w:val="00911F37"/>
    <w:rsid w:val="009128E7"/>
    <w:rsid w:val="00913095"/>
    <w:rsid w:val="0091712F"/>
    <w:rsid w:val="0091735B"/>
    <w:rsid w:val="00922000"/>
    <w:rsid w:val="0092241F"/>
    <w:rsid w:val="009243A5"/>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6032D"/>
    <w:rsid w:val="009619A4"/>
    <w:rsid w:val="00961BC2"/>
    <w:rsid w:val="00964952"/>
    <w:rsid w:val="00964B97"/>
    <w:rsid w:val="00967A1F"/>
    <w:rsid w:val="00970AC1"/>
    <w:rsid w:val="00972816"/>
    <w:rsid w:val="00972B9A"/>
    <w:rsid w:val="0098220D"/>
    <w:rsid w:val="00984432"/>
    <w:rsid w:val="00987E29"/>
    <w:rsid w:val="00987ED0"/>
    <w:rsid w:val="0099092A"/>
    <w:rsid w:val="00993B1A"/>
    <w:rsid w:val="00994705"/>
    <w:rsid w:val="0099553C"/>
    <w:rsid w:val="0099661A"/>
    <w:rsid w:val="00996D85"/>
    <w:rsid w:val="0099717D"/>
    <w:rsid w:val="009A0C42"/>
    <w:rsid w:val="009A0C56"/>
    <w:rsid w:val="009A23F4"/>
    <w:rsid w:val="009A366C"/>
    <w:rsid w:val="009A6665"/>
    <w:rsid w:val="009A6B10"/>
    <w:rsid w:val="009B07FE"/>
    <w:rsid w:val="009B132B"/>
    <w:rsid w:val="009B1683"/>
    <w:rsid w:val="009B2253"/>
    <w:rsid w:val="009B32C3"/>
    <w:rsid w:val="009B4760"/>
    <w:rsid w:val="009B5CAE"/>
    <w:rsid w:val="009C00AD"/>
    <w:rsid w:val="009C07AD"/>
    <w:rsid w:val="009C2067"/>
    <w:rsid w:val="009C3FD7"/>
    <w:rsid w:val="009C4339"/>
    <w:rsid w:val="009C668C"/>
    <w:rsid w:val="009C6692"/>
    <w:rsid w:val="009D01A6"/>
    <w:rsid w:val="009D0842"/>
    <w:rsid w:val="009D5997"/>
    <w:rsid w:val="009E05C7"/>
    <w:rsid w:val="009E1BED"/>
    <w:rsid w:val="009E20D0"/>
    <w:rsid w:val="009E365F"/>
    <w:rsid w:val="009E4577"/>
    <w:rsid w:val="009E4BC1"/>
    <w:rsid w:val="009E4F85"/>
    <w:rsid w:val="009F050D"/>
    <w:rsid w:val="009F2F00"/>
    <w:rsid w:val="009F5E2F"/>
    <w:rsid w:val="009F5F30"/>
    <w:rsid w:val="009F7FA1"/>
    <w:rsid w:val="00A0021D"/>
    <w:rsid w:val="00A02177"/>
    <w:rsid w:val="00A03258"/>
    <w:rsid w:val="00A03F34"/>
    <w:rsid w:val="00A04406"/>
    <w:rsid w:val="00A046F9"/>
    <w:rsid w:val="00A101BA"/>
    <w:rsid w:val="00A10DA2"/>
    <w:rsid w:val="00A140AF"/>
    <w:rsid w:val="00A15910"/>
    <w:rsid w:val="00A1635A"/>
    <w:rsid w:val="00A212BB"/>
    <w:rsid w:val="00A22B2C"/>
    <w:rsid w:val="00A22BE5"/>
    <w:rsid w:val="00A23C33"/>
    <w:rsid w:val="00A24FBA"/>
    <w:rsid w:val="00A256AE"/>
    <w:rsid w:val="00A310E7"/>
    <w:rsid w:val="00A3158C"/>
    <w:rsid w:val="00A318A6"/>
    <w:rsid w:val="00A32BDD"/>
    <w:rsid w:val="00A337A4"/>
    <w:rsid w:val="00A33E48"/>
    <w:rsid w:val="00A351DA"/>
    <w:rsid w:val="00A361F2"/>
    <w:rsid w:val="00A37E00"/>
    <w:rsid w:val="00A4127D"/>
    <w:rsid w:val="00A41684"/>
    <w:rsid w:val="00A422C8"/>
    <w:rsid w:val="00A43575"/>
    <w:rsid w:val="00A436E4"/>
    <w:rsid w:val="00A448BD"/>
    <w:rsid w:val="00A44C2F"/>
    <w:rsid w:val="00A4533F"/>
    <w:rsid w:val="00A4646C"/>
    <w:rsid w:val="00A51C28"/>
    <w:rsid w:val="00A52420"/>
    <w:rsid w:val="00A52424"/>
    <w:rsid w:val="00A5344F"/>
    <w:rsid w:val="00A548A6"/>
    <w:rsid w:val="00A57232"/>
    <w:rsid w:val="00A61493"/>
    <w:rsid w:val="00A62631"/>
    <w:rsid w:val="00A63785"/>
    <w:rsid w:val="00A66639"/>
    <w:rsid w:val="00A705D4"/>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4A1"/>
    <w:rsid w:val="00A865C5"/>
    <w:rsid w:val="00A866C4"/>
    <w:rsid w:val="00A87E1E"/>
    <w:rsid w:val="00A9555E"/>
    <w:rsid w:val="00AA1009"/>
    <w:rsid w:val="00AA40C4"/>
    <w:rsid w:val="00AA45AC"/>
    <w:rsid w:val="00AB006C"/>
    <w:rsid w:val="00AB247C"/>
    <w:rsid w:val="00AB4577"/>
    <w:rsid w:val="00AB627D"/>
    <w:rsid w:val="00AB69F3"/>
    <w:rsid w:val="00AC14B4"/>
    <w:rsid w:val="00AC618B"/>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7884"/>
    <w:rsid w:val="00B01B60"/>
    <w:rsid w:val="00B01D54"/>
    <w:rsid w:val="00B042A0"/>
    <w:rsid w:val="00B051DC"/>
    <w:rsid w:val="00B05F06"/>
    <w:rsid w:val="00B11D95"/>
    <w:rsid w:val="00B12489"/>
    <w:rsid w:val="00B12FA8"/>
    <w:rsid w:val="00B13838"/>
    <w:rsid w:val="00B151D4"/>
    <w:rsid w:val="00B17217"/>
    <w:rsid w:val="00B179A2"/>
    <w:rsid w:val="00B17B64"/>
    <w:rsid w:val="00B20B15"/>
    <w:rsid w:val="00B2222C"/>
    <w:rsid w:val="00B22666"/>
    <w:rsid w:val="00B228A8"/>
    <w:rsid w:val="00B22F23"/>
    <w:rsid w:val="00B25848"/>
    <w:rsid w:val="00B25CCA"/>
    <w:rsid w:val="00B26880"/>
    <w:rsid w:val="00B3216B"/>
    <w:rsid w:val="00B34B75"/>
    <w:rsid w:val="00B37286"/>
    <w:rsid w:val="00B373ED"/>
    <w:rsid w:val="00B37D2A"/>
    <w:rsid w:val="00B40795"/>
    <w:rsid w:val="00B41DBC"/>
    <w:rsid w:val="00B429C7"/>
    <w:rsid w:val="00B44956"/>
    <w:rsid w:val="00B4592F"/>
    <w:rsid w:val="00B45B13"/>
    <w:rsid w:val="00B4604D"/>
    <w:rsid w:val="00B470A0"/>
    <w:rsid w:val="00B534EF"/>
    <w:rsid w:val="00B56794"/>
    <w:rsid w:val="00B5686C"/>
    <w:rsid w:val="00B577DE"/>
    <w:rsid w:val="00B6055E"/>
    <w:rsid w:val="00B659C4"/>
    <w:rsid w:val="00B6663D"/>
    <w:rsid w:val="00B713B4"/>
    <w:rsid w:val="00B71D64"/>
    <w:rsid w:val="00B71F06"/>
    <w:rsid w:val="00B73749"/>
    <w:rsid w:val="00B75464"/>
    <w:rsid w:val="00B75AFA"/>
    <w:rsid w:val="00B80B9C"/>
    <w:rsid w:val="00B80C7A"/>
    <w:rsid w:val="00B8209D"/>
    <w:rsid w:val="00B82E4F"/>
    <w:rsid w:val="00B84F51"/>
    <w:rsid w:val="00B855F4"/>
    <w:rsid w:val="00B85DA9"/>
    <w:rsid w:val="00B90548"/>
    <w:rsid w:val="00B92D60"/>
    <w:rsid w:val="00B9739A"/>
    <w:rsid w:val="00BA026C"/>
    <w:rsid w:val="00BA04D0"/>
    <w:rsid w:val="00BA0E19"/>
    <w:rsid w:val="00BA42AF"/>
    <w:rsid w:val="00BA4DBA"/>
    <w:rsid w:val="00BA527A"/>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3921"/>
    <w:rsid w:val="00BD405B"/>
    <w:rsid w:val="00BD4166"/>
    <w:rsid w:val="00BD423A"/>
    <w:rsid w:val="00BE213C"/>
    <w:rsid w:val="00BE2275"/>
    <w:rsid w:val="00BE3B90"/>
    <w:rsid w:val="00BE4AF0"/>
    <w:rsid w:val="00BE51D4"/>
    <w:rsid w:val="00BE71BD"/>
    <w:rsid w:val="00BF1938"/>
    <w:rsid w:val="00BF37F7"/>
    <w:rsid w:val="00BF3C56"/>
    <w:rsid w:val="00BF5429"/>
    <w:rsid w:val="00C00A47"/>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6052"/>
    <w:rsid w:val="00C269A2"/>
    <w:rsid w:val="00C26F3C"/>
    <w:rsid w:val="00C27351"/>
    <w:rsid w:val="00C278E1"/>
    <w:rsid w:val="00C308F1"/>
    <w:rsid w:val="00C3115A"/>
    <w:rsid w:val="00C3709C"/>
    <w:rsid w:val="00C411B5"/>
    <w:rsid w:val="00C4303E"/>
    <w:rsid w:val="00C446F1"/>
    <w:rsid w:val="00C47874"/>
    <w:rsid w:val="00C50C42"/>
    <w:rsid w:val="00C529F6"/>
    <w:rsid w:val="00C5493E"/>
    <w:rsid w:val="00C556C6"/>
    <w:rsid w:val="00C55926"/>
    <w:rsid w:val="00C56786"/>
    <w:rsid w:val="00C57171"/>
    <w:rsid w:val="00C616A5"/>
    <w:rsid w:val="00C62A30"/>
    <w:rsid w:val="00C64036"/>
    <w:rsid w:val="00C666CE"/>
    <w:rsid w:val="00C67764"/>
    <w:rsid w:val="00C728B9"/>
    <w:rsid w:val="00C72D6B"/>
    <w:rsid w:val="00C72E0C"/>
    <w:rsid w:val="00C73A10"/>
    <w:rsid w:val="00C74FB0"/>
    <w:rsid w:val="00C765E2"/>
    <w:rsid w:val="00C7773A"/>
    <w:rsid w:val="00C81C80"/>
    <w:rsid w:val="00C832F9"/>
    <w:rsid w:val="00C83AD7"/>
    <w:rsid w:val="00C8405A"/>
    <w:rsid w:val="00C86BE3"/>
    <w:rsid w:val="00C92E45"/>
    <w:rsid w:val="00C9458B"/>
    <w:rsid w:val="00C961B7"/>
    <w:rsid w:val="00C963FD"/>
    <w:rsid w:val="00C97E7B"/>
    <w:rsid w:val="00CA3572"/>
    <w:rsid w:val="00CA3890"/>
    <w:rsid w:val="00CB23FB"/>
    <w:rsid w:val="00CB275A"/>
    <w:rsid w:val="00CB3A8D"/>
    <w:rsid w:val="00CB5738"/>
    <w:rsid w:val="00CB752C"/>
    <w:rsid w:val="00CB7586"/>
    <w:rsid w:val="00CC005A"/>
    <w:rsid w:val="00CC01D5"/>
    <w:rsid w:val="00CC10DF"/>
    <w:rsid w:val="00CC12A6"/>
    <w:rsid w:val="00CC50C1"/>
    <w:rsid w:val="00CD0512"/>
    <w:rsid w:val="00CD0BED"/>
    <w:rsid w:val="00CD36B5"/>
    <w:rsid w:val="00CD45AD"/>
    <w:rsid w:val="00CD5B7E"/>
    <w:rsid w:val="00CD5BCC"/>
    <w:rsid w:val="00CD6B8E"/>
    <w:rsid w:val="00CD70EA"/>
    <w:rsid w:val="00CD71C8"/>
    <w:rsid w:val="00CE0768"/>
    <w:rsid w:val="00CE24BF"/>
    <w:rsid w:val="00CE406D"/>
    <w:rsid w:val="00CF0AB1"/>
    <w:rsid w:val="00CF0CAE"/>
    <w:rsid w:val="00CF0D8C"/>
    <w:rsid w:val="00CF1C82"/>
    <w:rsid w:val="00CF5DF3"/>
    <w:rsid w:val="00CF6314"/>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EC2"/>
    <w:rsid w:val="00D1355B"/>
    <w:rsid w:val="00D1390D"/>
    <w:rsid w:val="00D143BF"/>
    <w:rsid w:val="00D16857"/>
    <w:rsid w:val="00D17CC4"/>
    <w:rsid w:val="00D21964"/>
    <w:rsid w:val="00D22A09"/>
    <w:rsid w:val="00D22A7F"/>
    <w:rsid w:val="00D2307D"/>
    <w:rsid w:val="00D24667"/>
    <w:rsid w:val="00D274EC"/>
    <w:rsid w:val="00D27C1A"/>
    <w:rsid w:val="00D306D6"/>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90332"/>
    <w:rsid w:val="00D92D2F"/>
    <w:rsid w:val="00D94212"/>
    <w:rsid w:val="00D950F1"/>
    <w:rsid w:val="00D95971"/>
    <w:rsid w:val="00D95EDE"/>
    <w:rsid w:val="00DA2A13"/>
    <w:rsid w:val="00DA36E0"/>
    <w:rsid w:val="00DA3984"/>
    <w:rsid w:val="00DA489F"/>
    <w:rsid w:val="00DA6974"/>
    <w:rsid w:val="00DA7068"/>
    <w:rsid w:val="00DB011D"/>
    <w:rsid w:val="00DB02BE"/>
    <w:rsid w:val="00DB0667"/>
    <w:rsid w:val="00DB428F"/>
    <w:rsid w:val="00DB6C92"/>
    <w:rsid w:val="00DC11BF"/>
    <w:rsid w:val="00DC3D10"/>
    <w:rsid w:val="00DC45ED"/>
    <w:rsid w:val="00DC584C"/>
    <w:rsid w:val="00DC5A05"/>
    <w:rsid w:val="00DC60D5"/>
    <w:rsid w:val="00DC7AF1"/>
    <w:rsid w:val="00DD0571"/>
    <w:rsid w:val="00DD3A5D"/>
    <w:rsid w:val="00DD444A"/>
    <w:rsid w:val="00DD4F58"/>
    <w:rsid w:val="00DD67DE"/>
    <w:rsid w:val="00DE006E"/>
    <w:rsid w:val="00DE3C23"/>
    <w:rsid w:val="00DE4C80"/>
    <w:rsid w:val="00DE6400"/>
    <w:rsid w:val="00DE6E97"/>
    <w:rsid w:val="00DF1C13"/>
    <w:rsid w:val="00DF4EC8"/>
    <w:rsid w:val="00DF5458"/>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CD7"/>
    <w:rsid w:val="00E27304"/>
    <w:rsid w:val="00E30BC1"/>
    <w:rsid w:val="00E3121A"/>
    <w:rsid w:val="00E32000"/>
    <w:rsid w:val="00E37361"/>
    <w:rsid w:val="00E407BC"/>
    <w:rsid w:val="00E44CCC"/>
    <w:rsid w:val="00E466CF"/>
    <w:rsid w:val="00E5084C"/>
    <w:rsid w:val="00E51021"/>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C08E1"/>
    <w:rsid w:val="00EC25FA"/>
    <w:rsid w:val="00EC2D75"/>
    <w:rsid w:val="00EC37B9"/>
    <w:rsid w:val="00EC4585"/>
    <w:rsid w:val="00EC67C4"/>
    <w:rsid w:val="00EC70C4"/>
    <w:rsid w:val="00ED088D"/>
    <w:rsid w:val="00ED4898"/>
    <w:rsid w:val="00ED579E"/>
    <w:rsid w:val="00ED5EDE"/>
    <w:rsid w:val="00EE0EE9"/>
    <w:rsid w:val="00EE1667"/>
    <w:rsid w:val="00EE2959"/>
    <w:rsid w:val="00EE5B70"/>
    <w:rsid w:val="00EE632C"/>
    <w:rsid w:val="00EE76A8"/>
    <w:rsid w:val="00EE7B8D"/>
    <w:rsid w:val="00EE7EEF"/>
    <w:rsid w:val="00EF167F"/>
    <w:rsid w:val="00EF197D"/>
    <w:rsid w:val="00EF25AB"/>
    <w:rsid w:val="00EF507D"/>
    <w:rsid w:val="00EF6B68"/>
    <w:rsid w:val="00F014E0"/>
    <w:rsid w:val="00F02CBD"/>
    <w:rsid w:val="00F03E8D"/>
    <w:rsid w:val="00F046EA"/>
    <w:rsid w:val="00F06609"/>
    <w:rsid w:val="00F115C1"/>
    <w:rsid w:val="00F126D4"/>
    <w:rsid w:val="00F141EA"/>
    <w:rsid w:val="00F16B5B"/>
    <w:rsid w:val="00F17530"/>
    <w:rsid w:val="00F208D2"/>
    <w:rsid w:val="00F2144D"/>
    <w:rsid w:val="00F2292B"/>
    <w:rsid w:val="00F24136"/>
    <w:rsid w:val="00F24980"/>
    <w:rsid w:val="00F24AEE"/>
    <w:rsid w:val="00F24B9A"/>
    <w:rsid w:val="00F24CBA"/>
    <w:rsid w:val="00F24D1A"/>
    <w:rsid w:val="00F250AA"/>
    <w:rsid w:val="00F25250"/>
    <w:rsid w:val="00F25613"/>
    <w:rsid w:val="00F260EB"/>
    <w:rsid w:val="00F272C3"/>
    <w:rsid w:val="00F300DA"/>
    <w:rsid w:val="00F31E0C"/>
    <w:rsid w:val="00F32F82"/>
    <w:rsid w:val="00F33483"/>
    <w:rsid w:val="00F338EE"/>
    <w:rsid w:val="00F353A2"/>
    <w:rsid w:val="00F4034E"/>
    <w:rsid w:val="00F406BC"/>
    <w:rsid w:val="00F40BC4"/>
    <w:rsid w:val="00F40FDB"/>
    <w:rsid w:val="00F41483"/>
    <w:rsid w:val="00F437C0"/>
    <w:rsid w:val="00F45DEC"/>
    <w:rsid w:val="00F4674E"/>
    <w:rsid w:val="00F46CEA"/>
    <w:rsid w:val="00F472BE"/>
    <w:rsid w:val="00F51187"/>
    <w:rsid w:val="00F51442"/>
    <w:rsid w:val="00F603A1"/>
    <w:rsid w:val="00F615E6"/>
    <w:rsid w:val="00F62EDE"/>
    <w:rsid w:val="00F63908"/>
    <w:rsid w:val="00F6402E"/>
    <w:rsid w:val="00F64D01"/>
    <w:rsid w:val="00F665FE"/>
    <w:rsid w:val="00F716E3"/>
    <w:rsid w:val="00F725CC"/>
    <w:rsid w:val="00F73AA5"/>
    <w:rsid w:val="00F75F33"/>
    <w:rsid w:val="00F77F84"/>
    <w:rsid w:val="00F80842"/>
    <w:rsid w:val="00F84195"/>
    <w:rsid w:val="00F849C8"/>
    <w:rsid w:val="00F84A55"/>
    <w:rsid w:val="00F84C33"/>
    <w:rsid w:val="00F900BE"/>
    <w:rsid w:val="00F940EA"/>
    <w:rsid w:val="00F946FA"/>
    <w:rsid w:val="00F94730"/>
    <w:rsid w:val="00F95F80"/>
    <w:rsid w:val="00FA0B0A"/>
    <w:rsid w:val="00FA1E53"/>
    <w:rsid w:val="00FA2D50"/>
    <w:rsid w:val="00FA3197"/>
    <w:rsid w:val="00FA3852"/>
    <w:rsid w:val="00FA5635"/>
    <w:rsid w:val="00FA5E28"/>
    <w:rsid w:val="00FB03A6"/>
    <w:rsid w:val="00FB19DC"/>
    <w:rsid w:val="00FB208B"/>
    <w:rsid w:val="00FB2142"/>
    <w:rsid w:val="00FB2349"/>
    <w:rsid w:val="00FB34A7"/>
    <w:rsid w:val="00FB5734"/>
    <w:rsid w:val="00FB5826"/>
    <w:rsid w:val="00FB5ACE"/>
    <w:rsid w:val="00FB6402"/>
    <w:rsid w:val="00FB7764"/>
    <w:rsid w:val="00FC0198"/>
    <w:rsid w:val="00FC2311"/>
    <w:rsid w:val="00FC240E"/>
    <w:rsid w:val="00FC6B40"/>
    <w:rsid w:val="00FD625F"/>
    <w:rsid w:val="00FD6346"/>
    <w:rsid w:val="00FD6962"/>
    <w:rsid w:val="00FD7663"/>
    <w:rsid w:val="00FE03AB"/>
    <w:rsid w:val="00FE03B9"/>
    <w:rsid w:val="00FE071D"/>
    <w:rsid w:val="00FE12F7"/>
    <w:rsid w:val="00FE47C7"/>
    <w:rsid w:val="00FE65B7"/>
    <w:rsid w:val="00FF0926"/>
    <w:rsid w:val="00FF0FE4"/>
    <w:rsid w:val="00FF17B7"/>
    <w:rsid w:val="00FF365B"/>
    <w:rsid w:val="00FF3FC4"/>
    <w:rsid w:val="00FF79EA"/>
    <w:rsid w:val="00FF7EDA"/>
    <w:rsid w:val="02023237"/>
    <w:rsid w:val="021B2BF4"/>
    <w:rsid w:val="02772484"/>
    <w:rsid w:val="02C173F1"/>
    <w:rsid w:val="02C530CE"/>
    <w:rsid w:val="03740C0B"/>
    <w:rsid w:val="0502495C"/>
    <w:rsid w:val="05126C1E"/>
    <w:rsid w:val="05ED6512"/>
    <w:rsid w:val="05F040C9"/>
    <w:rsid w:val="06B24608"/>
    <w:rsid w:val="06D0570C"/>
    <w:rsid w:val="07056611"/>
    <w:rsid w:val="087E000B"/>
    <w:rsid w:val="08CE30E9"/>
    <w:rsid w:val="09470BF0"/>
    <w:rsid w:val="09BC4531"/>
    <w:rsid w:val="0A562A3C"/>
    <w:rsid w:val="0A777B4A"/>
    <w:rsid w:val="0BA0379A"/>
    <w:rsid w:val="0D871037"/>
    <w:rsid w:val="0D9D68E8"/>
    <w:rsid w:val="0DE95D7F"/>
    <w:rsid w:val="0EB264D7"/>
    <w:rsid w:val="0ED51ABD"/>
    <w:rsid w:val="0EFE54A8"/>
    <w:rsid w:val="0FA07D06"/>
    <w:rsid w:val="0FDF73FE"/>
    <w:rsid w:val="100F4F0C"/>
    <w:rsid w:val="10681EBA"/>
    <w:rsid w:val="11622AFE"/>
    <w:rsid w:val="118F0A7A"/>
    <w:rsid w:val="126B7CD9"/>
    <w:rsid w:val="14071034"/>
    <w:rsid w:val="145F53D4"/>
    <w:rsid w:val="15213AC4"/>
    <w:rsid w:val="15297942"/>
    <w:rsid w:val="16AA6756"/>
    <w:rsid w:val="172E43A1"/>
    <w:rsid w:val="174D4EA7"/>
    <w:rsid w:val="175A2E39"/>
    <w:rsid w:val="17DD3993"/>
    <w:rsid w:val="18A11991"/>
    <w:rsid w:val="19E32127"/>
    <w:rsid w:val="19FF0C13"/>
    <w:rsid w:val="1B253ED2"/>
    <w:rsid w:val="1BC24094"/>
    <w:rsid w:val="1C2820C5"/>
    <w:rsid w:val="1C3B35B8"/>
    <w:rsid w:val="1C456119"/>
    <w:rsid w:val="1C5D2364"/>
    <w:rsid w:val="1CA42C86"/>
    <w:rsid w:val="1CBC7D2B"/>
    <w:rsid w:val="1CDC3113"/>
    <w:rsid w:val="1D346FEC"/>
    <w:rsid w:val="1D4B396E"/>
    <w:rsid w:val="1F336A0C"/>
    <w:rsid w:val="202B7483"/>
    <w:rsid w:val="21865F2E"/>
    <w:rsid w:val="21934165"/>
    <w:rsid w:val="21E46072"/>
    <w:rsid w:val="221B241D"/>
    <w:rsid w:val="22323912"/>
    <w:rsid w:val="22340A05"/>
    <w:rsid w:val="228A6B3D"/>
    <w:rsid w:val="22B21E06"/>
    <w:rsid w:val="22CB6CA9"/>
    <w:rsid w:val="23592BDD"/>
    <w:rsid w:val="23696F9D"/>
    <w:rsid w:val="23C557E7"/>
    <w:rsid w:val="23F66F7D"/>
    <w:rsid w:val="24117211"/>
    <w:rsid w:val="24764583"/>
    <w:rsid w:val="24CC5FD0"/>
    <w:rsid w:val="25FD21F0"/>
    <w:rsid w:val="273A3C01"/>
    <w:rsid w:val="27621FA8"/>
    <w:rsid w:val="2874016E"/>
    <w:rsid w:val="2876172E"/>
    <w:rsid w:val="288A3366"/>
    <w:rsid w:val="28C90BCE"/>
    <w:rsid w:val="2934220A"/>
    <w:rsid w:val="2A7F5635"/>
    <w:rsid w:val="2B7D4672"/>
    <w:rsid w:val="2C61348B"/>
    <w:rsid w:val="2C7B2207"/>
    <w:rsid w:val="2E3859E0"/>
    <w:rsid w:val="2EEF770D"/>
    <w:rsid w:val="30425C4D"/>
    <w:rsid w:val="305C7C2A"/>
    <w:rsid w:val="30677F85"/>
    <w:rsid w:val="30C65115"/>
    <w:rsid w:val="30FA589B"/>
    <w:rsid w:val="316D2F02"/>
    <w:rsid w:val="31D05FCA"/>
    <w:rsid w:val="32BC7499"/>
    <w:rsid w:val="32D500ED"/>
    <w:rsid w:val="330320AA"/>
    <w:rsid w:val="330F5F53"/>
    <w:rsid w:val="336E1183"/>
    <w:rsid w:val="33B824AD"/>
    <w:rsid w:val="34186D0E"/>
    <w:rsid w:val="343B3403"/>
    <w:rsid w:val="344B42BB"/>
    <w:rsid w:val="345F41C8"/>
    <w:rsid w:val="35362C48"/>
    <w:rsid w:val="354645AD"/>
    <w:rsid w:val="35B94DEA"/>
    <w:rsid w:val="35E45CB2"/>
    <w:rsid w:val="35F15D0E"/>
    <w:rsid w:val="36385515"/>
    <w:rsid w:val="36A55345"/>
    <w:rsid w:val="37ED3823"/>
    <w:rsid w:val="384533B6"/>
    <w:rsid w:val="38863059"/>
    <w:rsid w:val="38914881"/>
    <w:rsid w:val="38A749E9"/>
    <w:rsid w:val="38E55A2A"/>
    <w:rsid w:val="38E77936"/>
    <w:rsid w:val="38F07875"/>
    <w:rsid w:val="393A5EE5"/>
    <w:rsid w:val="39D946B3"/>
    <w:rsid w:val="39DB76F0"/>
    <w:rsid w:val="3A821127"/>
    <w:rsid w:val="3B676C9B"/>
    <w:rsid w:val="3C894AEC"/>
    <w:rsid w:val="3C9854AF"/>
    <w:rsid w:val="3CB569BD"/>
    <w:rsid w:val="3DA55E3F"/>
    <w:rsid w:val="3DFE77BD"/>
    <w:rsid w:val="3FC37BCA"/>
    <w:rsid w:val="3FF638FD"/>
    <w:rsid w:val="40D75777"/>
    <w:rsid w:val="417B2C11"/>
    <w:rsid w:val="41B51F6C"/>
    <w:rsid w:val="42F40D67"/>
    <w:rsid w:val="43091E15"/>
    <w:rsid w:val="432A6765"/>
    <w:rsid w:val="43F155CB"/>
    <w:rsid w:val="43F82DC2"/>
    <w:rsid w:val="448239F1"/>
    <w:rsid w:val="448B55A2"/>
    <w:rsid w:val="44C15396"/>
    <w:rsid w:val="44F32B6B"/>
    <w:rsid w:val="45041F73"/>
    <w:rsid w:val="45270380"/>
    <w:rsid w:val="457E1A0F"/>
    <w:rsid w:val="45F73AFE"/>
    <w:rsid w:val="46950248"/>
    <w:rsid w:val="4735492D"/>
    <w:rsid w:val="4A5A571D"/>
    <w:rsid w:val="4A7A52B0"/>
    <w:rsid w:val="4AF722AA"/>
    <w:rsid w:val="4B5A566B"/>
    <w:rsid w:val="4B5D5D0F"/>
    <w:rsid w:val="4B994705"/>
    <w:rsid w:val="4BDC3C83"/>
    <w:rsid w:val="4C7A7477"/>
    <w:rsid w:val="4D5022E1"/>
    <w:rsid w:val="4DFE3ACB"/>
    <w:rsid w:val="4E93562F"/>
    <w:rsid w:val="4F6F4324"/>
    <w:rsid w:val="4FBD5F79"/>
    <w:rsid w:val="4FD22002"/>
    <w:rsid w:val="50CB1E47"/>
    <w:rsid w:val="51013D2B"/>
    <w:rsid w:val="51F5705E"/>
    <w:rsid w:val="5284087D"/>
    <w:rsid w:val="52C459A7"/>
    <w:rsid w:val="53B54D4C"/>
    <w:rsid w:val="54103A43"/>
    <w:rsid w:val="54483604"/>
    <w:rsid w:val="54DB4319"/>
    <w:rsid w:val="5517517A"/>
    <w:rsid w:val="558B302E"/>
    <w:rsid w:val="559902D0"/>
    <w:rsid w:val="55A07BAD"/>
    <w:rsid w:val="55AA50D8"/>
    <w:rsid w:val="55E56E02"/>
    <w:rsid w:val="56E41CF1"/>
    <w:rsid w:val="57D77114"/>
    <w:rsid w:val="581619E2"/>
    <w:rsid w:val="58241EF3"/>
    <w:rsid w:val="58373FC8"/>
    <w:rsid w:val="58780207"/>
    <w:rsid w:val="59DE5DB2"/>
    <w:rsid w:val="5A2216D2"/>
    <w:rsid w:val="5A363EF8"/>
    <w:rsid w:val="5A782984"/>
    <w:rsid w:val="5B8911F2"/>
    <w:rsid w:val="5B950720"/>
    <w:rsid w:val="5C3744A4"/>
    <w:rsid w:val="5D3E0A4C"/>
    <w:rsid w:val="5EC535EA"/>
    <w:rsid w:val="604E319F"/>
    <w:rsid w:val="61652CE2"/>
    <w:rsid w:val="616F37EB"/>
    <w:rsid w:val="61ED29E4"/>
    <w:rsid w:val="62D50574"/>
    <w:rsid w:val="640B3813"/>
    <w:rsid w:val="642439B4"/>
    <w:rsid w:val="64496241"/>
    <w:rsid w:val="645374FC"/>
    <w:rsid w:val="651B4F3A"/>
    <w:rsid w:val="671615B1"/>
    <w:rsid w:val="67384754"/>
    <w:rsid w:val="6808013C"/>
    <w:rsid w:val="68CB7D97"/>
    <w:rsid w:val="690D6301"/>
    <w:rsid w:val="69485010"/>
    <w:rsid w:val="69F700D8"/>
    <w:rsid w:val="6B3D06DD"/>
    <w:rsid w:val="6B5F19C5"/>
    <w:rsid w:val="6B8C5F0F"/>
    <w:rsid w:val="6BD32D89"/>
    <w:rsid w:val="6C642D54"/>
    <w:rsid w:val="6C8E7FCA"/>
    <w:rsid w:val="6D246C6C"/>
    <w:rsid w:val="6DA938EC"/>
    <w:rsid w:val="6E225443"/>
    <w:rsid w:val="6E29051C"/>
    <w:rsid w:val="6E3D14AE"/>
    <w:rsid w:val="6E3F4637"/>
    <w:rsid w:val="6FFC0D84"/>
    <w:rsid w:val="702E4BC3"/>
    <w:rsid w:val="715B1783"/>
    <w:rsid w:val="72130280"/>
    <w:rsid w:val="723E2C5C"/>
    <w:rsid w:val="72A12B30"/>
    <w:rsid w:val="775D150D"/>
    <w:rsid w:val="7803163E"/>
    <w:rsid w:val="789449E3"/>
    <w:rsid w:val="795923AC"/>
    <w:rsid w:val="7A37255B"/>
    <w:rsid w:val="7A9C4DB8"/>
    <w:rsid w:val="7ABF5EDC"/>
    <w:rsid w:val="7AD42480"/>
    <w:rsid w:val="7B026CC6"/>
    <w:rsid w:val="7B0B7DD8"/>
    <w:rsid w:val="7BDB5E52"/>
    <w:rsid w:val="7BEF7565"/>
    <w:rsid w:val="7C364B59"/>
    <w:rsid w:val="7CB5754C"/>
    <w:rsid w:val="7D8833E3"/>
    <w:rsid w:val="7DF36667"/>
    <w:rsid w:val="7E3925BB"/>
    <w:rsid w:val="7EC13620"/>
    <w:rsid w:val="7F7E5B6F"/>
    <w:rsid w:val="7F98771E"/>
    <w:rsid w:val="7FC4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34"/>
    <w:unhideWhenUsed/>
    <w:qFormat/>
    <w:uiPriority w:val="99"/>
    <w:pPr>
      <w:ind w:left="100" w:leftChars="2500"/>
    </w:pPr>
  </w:style>
  <w:style w:type="paragraph" w:styleId="3">
    <w:name w:val="Balloon Text"/>
    <w:basedOn w:val="1"/>
    <w:link w:val="32"/>
    <w:unhideWhenUsed/>
    <w:qFormat/>
    <w:uiPriority w:val="99"/>
    <w:rPr>
      <w:sz w:val="18"/>
      <w:szCs w:val="18"/>
    </w:rPr>
  </w:style>
  <w:style w:type="paragraph" w:styleId="4">
    <w:name w:val="footer"/>
    <w:basedOn w:val="1"/>
    <w:link w:val="27"/>
    <w:unhideWhenUsed/>
    <w:qFormat/>
    <w:uiPriority w:val="99"/>
    <w:pPr>
      <w:tabs>
        <w:tab w:val="center" w:pos="4153"/>
        <w:tab w:val="right" w:pos="8306"/>
      </w:tabs>
      <w:snapToGrid w:val="0"/>
      <w:jc w:val="left"/>
    </w:pPr>
    <w:rPr>
      <w:kern w:val="0"/>
      <w:sz w:val="18"/>
      <w:szCs w:val="18"/>
    </w:rPr>
  </w:style>
  <w:style w:type="paragraph" w:styleId="5">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oc 2"/>
    <w:next w:val="1"/>
    <w:unhideWhenUsed/>
    <w:qFormat/>
    <w:uiPriority w:val="39"/>
    <w:pPr>
      <w:ind w:left="420" w:leftChars="200"/>
    </w:pPr>
    <w:rPr>
      <w:rFonts w:ascii="Times New Roman" w:hAnsi="Times New Roman" w:eastAsia="宋体" w:cs="Times New Roman"/>
      <w:lang w:val="en-US" w:eastAsia="zh-CN" w:bidi="ar-SA"/>
    </w:rPr>
  </w:style>
  <w:style w:type="paragraph" w:styleId="7">
    <w:name w:val="HTML Preformatted"/>
    <w:basedOn w:val="1"/>
    <w:link w:val="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qFormat/>
    <w:uiPriority w:val="0"/>
    <w:rPr>
      <w:rFonts w:ascii="Times New Roman" w:hAnsi="Times New Roman" w:eastAsia="宋体"/>
      <w:sz w:val="18"/>
    </w:rPr>
  </w:style>
  <w:style w:type="paragraph" w:customStyle="1" w:styleId="13">
    <w:name w:val="列出段落1"/>
    <w:basedOn w:val="1"/>
    <w:qFormat/>
    <w:uiPriority w:val="34"/>
    <w:pPr>
      <w:ind w:firstLine="420" w:firstLineChars="200"/>
    </w:pPr>
  </w:style>
  <w:style w:type="paragraph" w:customStyle="1" w:styleId="14">
    <w:name w:val="章标题"/>
    <w:next w:val="15"/>
    <w:link w:val="30"/>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15">
    <w:name w:val="段"/>
    <w:link w:val="31"/>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paragraph" w:customStyle="1" w:styleId="16">
    <w:name w:val="二级条标题"/>
    <w:basedOn w:val="17"/>
    <w:next w:val="15"/>
    <w:qFormat/>
    <w:uiPriority w:val="0"/>
    <w:pPr>
      <w:spacing w:line="360" w:lineRule="auto"/>
      <w:outlineLvl w:val="3"/>
    </w:pPr>
  </w:style>
  <w:style w:type="paragraph" w:customStyle="1" w:styleId="17">
    <w:name w:val="一级条标题"/>
    <w:next w:val="15"/>
    <w:link w:val="3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8">
    <w:name w:val="三级条标题"/>
    <w:basedOn w:val="16"/>
    <w:next w:val="15"/>
    <w:qFormat/>
    <w:uiPriority w:val="0"/>
    <w:pPr>
      <w:spacing w:line="240" w:lineRule="auto"/>
      <w:outlineLvl w:val="4"/>
    </w:pPr>
  </w:style>
  <w:style w:type="paragraph" w:customStyle="1" w:styleId="19">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0">
    <w:name w:val="四级条标题"/>
    <w:basedOn w:val="18"/>
    <w:next w:val="15"/>
    <w:qFormat/>
    <w:uiPriority w:val="0"/>
    <w:pPr>
      <w:spacing w:beforeLines="0" w:afterLines="0"/>
      <w:jc w:val="both"/>
      <w:outlineLvl w:val="5"/>
    </w:pPr>
    <w:rPr>
      <w:szCs w:val="20"/>
    </w:rPr>
  </w:style>
  <w:style w:type="paragraph" w:customStyle="1" w:styleId="21">
    <w:name w:val="五级条标题"/>
    <w:basedOn w:val="20"/>
    <w:next w:val="15"/>
    <w:qFormat/>
    <w:uiPriority w:val="0"/>
    <w:pPr>
      <w:outlineLvl w:val="6"/>
    </w:pPr>
  </w:style>
  <w:style w:type="paragraph" w:customStyle="1" w:styleId="2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
    <w:name w:val="正文表标题"/>
    <w:next w:val="15"/>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5">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character" w:customStyle="1" w:styleId="26">
    <w:name w:val="页眉 Char"/>
    <w:link w:val="5"/>
    <w:qFormat/>
    <w:uiPriority w:val="99"/>
    <w:rPr>
      <w:sz w:val="18"/>
      <w:szCs w:val="18"/>
    </w:rPr>
  </w:style>
  <w:style w:type="character" w:customStyle="1" w:styleId="27">
    <w:name w:val="页脚 Char"/>
    <w:link w:val="4"/>
    <w:qFormat/>
    <w:uiPriority w:val="99"/>
    <w:rPr>
      <w:sz w:val="18"/>
      <w:szCs w:val="18"/>
    </w:rPr>
  </w:style>
  <w:style w:type="character" w:customStyle="1" w:styleId="28">
    <w:name w:val="HTML 预设格式 Char"/>
    <w:link w:val="7"/>
    <w:qFormat/>
    <w:uiPriority w:val="99"/>
    <w:rPr>
      <w:rFonts w:ascii="宋体" w:hAnsi="宋体" w:cs="宋体"/>
      <w:sz w:val="24"/>
      <w:szCs w:val="24"/>
    </w:rPr>
  </w:style>
  <w:style w:type="character" w:customStyle="1" w:styleId="29">
    <w:name w:val="HTML 预设格式 Char1"/>
    <w:semiHidden/>
    <w:qFormat/>
    <w:uiPriority w:val="99"/>
    <w:rPr>
      <w:rFonts w:ascii="Courier New" w:hAnsi="Courier New" w:cs="Courier New"/>
      <w:sz w:val="20"/>
      <w:szCs w:val="20"/>
    </w:rPr>
  </w:style>
  <w:style w:type="character" w:customStyle="1" w:styleId="30">
    <w:name w:val="章标题 Char"/>
    <w:link w:val="14"/>
    <w:qFormat/>
    <w:uiPriority w:val="0"/>
    <w:rPr>
      <w:rFonts w:ascii="黑体" w:eastAsia="黑体"/>
      <w:kern w:val="2"/>
      <w:sz w:val="21"/>
      <w:szCs w:val="22"/>
      <w:lang w:val="en-US" w:eastAsia="zh-CN" w:bidi="ar-SA"/>
    </w:rPr>
  </w:style>
  <w:style w:type="character" w:customStyle="1" w:styleId="31">
    <w:name w:val="段 Char"/>
    <w:link w:val="15"/>
    <w:qFormat/>
    <w:uiPriority w:val="0"/>
    <w:rPr>
      <w:rFonts w:ascii="宋体"/>
      <w:kern w:val="2"/>
      <w:sz w:val="21"/>
      <w:szCs w:val="22"/>
      <w:lang w:val="en-US" w:eastAsia="zh-CN" w:bidi="ar-SA"/>
    </w:rPr>
  </w:style>
  <w:style w:type="character" w:customStyle="1" w:styleId="32">
    <w:name w:val="批注框文本 Char"/>
    <w:link w:val="3"/>
    <w:semiHidden/>
    <w:qFormat/>
    <w:uiPriority w:val="99"/>
    <w:rPr>
      <w:kern w:val="2"/>
      <w:sz w:val="18"/>
      <w:szCs w:val="18"/>
    </w:rPr>
  </w:style>
  <w:style w:type="character" w:customStyle="1" w:styleId="33">
    <w:name w:val="一级条标题 Char"/>
    <w:link w:val="17"/>
    <w:qFormat/>
    <w:uiPriority w:val="0"/>
    <w:rPr>
      <w:rFonts w:ascii="黑体" w:hAnsi="Times New Roman" w:eastAsia="黑体"/>
      <w:sz w:val="21"/>
      <w:szCs w:val="21"/>
      <w:lang w:bidi="ar-SA"/>
    </w:rPr>
  </w:style>
  <w:style w:type="character" w:customStyle="1" w:styleId="34">
    <w:name w:val="日期 Char"/>
    <w:link w:val="2"/>
    <w:semiHidden/>
    <w:qFormat/>
    <w:uiPriority w:val="99"/>
    <w:rPr>
      <w:rFonts w:ascii="Calibri" w:hAnsi="Calibri"/>
      <w:kern w:val="2"/>
      <w:sz w:val="21"/>
      <w:szCs w:val="22"/>
    </w:rPr>
  </w:style>
  <w:style w:type="paragraph" w:customStyle="1" w:styleId="35">
    <w:name w:val="二级无"/>
    <w:basedOn w:val="16"/>
    <w:qFormat/>
    <w:uiPriority w:val="0"/>
    <w:pPr>
      <w:spacing w:beforeLines="0" w:afterLines="0"/>
    </w:pPr>
    <w:rPr>
      <w:rFonts w:ascii="宋体" w:eastAsia="宋体"/>
    </w:rPr>
  </w:style>
  <w:style w:type="paragraph" w:customStyle="1" w:styleId="36">
    <w:name w:val="列表段落1"/>
    <w:basedOn w:val="1"/>
    <w:unhideWhenUsed/>
    <w:qFormat/>
    <w:uiPriority w:val="99"/>
    <w:pPr>
      <w:ind w:firstLine="420" w:firstLineChars="200"/>
    </w:pPr>
  </w:style>
  <w:style w:type="paragraph" w:customStyle="1" w:styleId="37">
    <w:name w:val="一级无"/>
    <w:basedOn w:val="17"/>
    <w:qFormat/>
    <w:uiPriority w:val="0"/>
    <w:pPr>
      <w:spacing w:beforeLines="0" w:afterLines="0"/>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5155</Words>
  <Characters>6170</Characters>
  <Lines>45</Lines>
  <Paragraphs>12</Paragraphs>
  <TotalTime>2</TotalTime>
  <ScaleCrop>false</ScaleCrop>
  <LinksUpToDate>false</LinksUpToDate>
  <CharactersWithSpaces>6410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2019-02-13T00:42:00Z</dcterms:created>
  <dc:creator>pc</dc:creator>
  <cp:lastModifiedBy>635602105</cp:lastModifiedBy>
  <dcterms:modified xsi:type="dcterms:W3CDTF">2020-09-03T10:31:55Z</dcterms:modified>
  <dc:title>《卤鸭脖》编制说明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