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修改单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T/SDDB 003—2020《阳信优质肉牛养殖管理技术规程》团体标准第1号修改单经我团体审查批准发布。建议该修改单于2020年8月11日起实施。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修改内容：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4.7理化指标。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 1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阳信优质牛肉主要理化指标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氨基酸含量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15%~20%  改为15%~25%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铁（mg/kg）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含量 26.5～39.5%   改为10~26.5%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767D0"/>
    <w:rsid w:val="5507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2020-08-10T14:32:00Z</dcterms:created>
  <dc:creator>夏之斐然</dc:creator>
  <cp:lastModifiedBy>夏之斐然</cp:lastModifiedBy>
  <dcterms:modified xsi:type="dcterms:W3CDTF">2020-08-10T14:34:34Z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