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黑体" w:hAnsi="黑体" w:eastAsia="黑体" w:cs="仿宋"/>
          <w:kern w:val="0"/>
          <w:sz w:val="36"/>
          <w:szCs w:val="36"/>
        </w:rPr>
      </w:pPr>
      <w:r>
        <w:rPr>
          <w:rFonts w:hint="eastAsia" w:ascii="黑体" w:hAnsi="黑体" w:eastAsia="黑体" w:cs="仿宋"/>
          <w:kern w:val="0"/>
          <w:sz w:val="36"/>
          <w:szCs w:val="36"/>
        </w:rPr>
        <w:t>《围术期数据结构规范》编制说明</w:t>
      </w:r>
    </w:p>
    <w:p>
      <w:pPr>
        <w:numPr>
          <w:ilvl w:val="0"/>
          <w:numId w:val="1"/>
        </w:numPr>
        <w:rPr>
          <w:rFonts w:ascii="黑体" w:eastAsia="黑体" w:cs="黑体"/>
          <w:kern w:val="0"/>
          <w:sz w:val="28"/>
          <w:szCs w:val="28"/>
        </w:rPr>
      </w:pPr>
      <w:r>
        <w:rPr>
          <w:rFonts w:hint="eastAsia" w:ascii="黑体" w:eastAsia="黑体" w:cs="黑体"/>
          <w:kern w:val="0"/>
          <w:sz w:val="28"/>
          <w:szCs w:val="28"/>
        </w:rPr>
        <w:t>任务来源</w:t>
      </w:r>
    </w:p>
    <w:p>
      <w:pPr>
        <w:ind w:firstLine="560" w:firstLineChars="200"/>
        <w:rPr>
          <w:rFonts w:ascii="仿宋_GB2312" w:eastAsia="仿宋_GB2312"/>
          <w:color w:val="000000"/>
          <w:sz w:val="28"/>
          <w:szCs w:val="28"/>
        </w:rPr>
      </w:pPr>
      <w:r>
        <w:rPr>
          <w:rFonts w:hint="eastAsia" w:ascii="仿宋_GB2312" w:eastAsia="仿宋_GB2312"/>
          <w:sz w:val="28"/>
          <w:szCs w:val="28"/>
        </w:rPr>
        <w:t>经中</w:t>
      </w:r>
      <w:r>
        <w:rPr>
          <w:rFonts w:hint="eastAsia" w:ascii="仿宋_GB2312" w:eastAsia="仿宋_GB2312"/>
          <w:color w:val="000000"/>
          <w:sz w:val="28"/>
          <w:szCs w:val="28"/>
        </w:rPr>
        <w:t>国老年医学学会批准，由解放军总医院麻醉手术中心米卫东教授牵头，以科技部国家重点专项“老年患者围手术期管理综合技术方案的研究”（项目编号：2018YFC2001900）为支撑，为更好的促进围术期数据的交流和共享，发挥围术期大数据资源的作用，需要制定有关围术期数据标准来规范围术期数据资源的获取、存储、交互和管理。数据集是数据资源经人工有序化的结果，也是信息化工作中数据源存储的基本形式，围术期数据结构标准化、规范化是打破“数据孤岛”，促进数据交流、共享的必要条件，同时也能够填补目前国内</w:t>
      </w:r>
      <w:r>
        <w:rPr>
          <w:rFonts w:hint="eastAsia" w:ascii="仿宋_GB2312" w:eastAsia="仿宋_GB2312"/>
          <w:sz w:val="28"/>
          <w:szCs w:val="28"/>
        </w:rPr>
        <w:t>尚无标准规范的围术期医学数据结构与内容的空白</w:t>
      </w:r>
      <w:r>
        <w:rPr>
          <w:rFonts w:hint="eastAsia" w:ascii="仿宋_GB2312" w:eastAsia="仿宋_GB2312"/>
          <w:color w:val="000000"/>
          <w:sz w:val="28"/>
          <w:szCs w:val="28"/>
        </w:rPr>
        <w:t>，有利于更大程度发挥大数据资源的价值。</w:t>
      </w:r>
    </w:p>
    <w:p>
      <w:pPr>
        <w:rPr>
          <w:rFonts w:ascii="黑体" w:eastAsia="黑体" w:cs="黑体"/>
          <w:kern w:val="0"/>
          <w:sz w:val="28"/>
          <w:szCs w:val="28"/>
        </w:rPr>
      </w:pPr>
      <w:r>
        <w:rPr>
          <w:rFonts w:hint="eastAsia" w:ascii="黑体" w:eastAsia="黑体" w:cs="黑体"/>
          <w:kern w:val="0"/>
          <w:sz w:val="28"/>
          <w:szCs w:val="28"/>
        </w:rPr>
        <w:t>二、起草单位</w:t>
      </w:r>
    </w:p>
    <w:p>
      <w:pPr>
        <w:ind w:firstLine="560" w:firstLineChars="200"/>
        <w:rPr>
          <w:rFonts w:ascii="仿宋_GB2312" w:eastAsia="仿宋_GB2312"/>
          <w:sz w:val="28"/>
          <w:szCs w:val="28"/>
        </w:rPr>
      </w:pPr>
      <w:bookmarkStart w:id="1" w:name="_GoBack"/>
      <w:r>
        <w:rPr>
          <w:rFonts w:hint="eastAsia" w:ascii="仿宋_GB2312" w:eastAsia="仿宋_GB2312"/>
          <w:sz w:val="28"/>
          <w:szCs w:val="28"/>
          <w:lang w:eastAsia="zh-CN"/>
        </w:rPr>
        <w:t>国家老年疾病临床医学研究中心（解放军总医院）、</w:t>
      </w:r>
      <w:bookmarkEnd w:id="1"/>
      <w:r>
        <w:rPr>
          <w:rFonts w:hint="eastAsia" w:ascii="仿宋_GB2312" w:eastAsia="仿宋_GB2312"/>
          <w:sz w:val="28"/>
          <w:szCs w:val="28"/>
        </w:rPr>
        <w:t>中国老年医学学会</w:t>
      </w:r>
      <w:r>
        <w:rPr>
          <w:rFonts w:hint="eastAsia" w:ascii="仿宋_GB2312" w:eastAsia="仿宋_GB2312"/>
          <w:sz w:val="28"/>
          <w:szCs w:val="28"/>
          <w:lang w:eastAsia="zh-CN"/>
        </w:rPr>
        <w:t>、</w:t>
      </w:r>
      <w:r>
        <w:rPr>
          <w:rFonts w:hint="eastAsia" w:ascii="仿宋_GB2312" w:eastAsia="仿宋_GB2312"/>
          <w:sz w:val="28"/>
          <w:szCs w:val="28"/>
        </w:rPr>
        <w:t>中国医师协会</w:t>
      </w:r>
    </w:p>
    <w:p>
      <w:pPr>
        <w:rPr>
          <w:rFonts w:ascii="黑体" w:eastAsia="黑体" w:cs="黑体"/>
          <w:kern w:val="0"/>
          <w:sz w:val="28"/>
          <w:szCs w:val="28"/>
        </w:rPr>
      </w:pPr>
      <w:r>
        <w:rPr>
          <w:rFonts w:hint="eastAsia" w:ascii="黑体" w:eastAsia="黑体" w:cs="黑体"/>
          <w:kern w:val="0"/>
          <w:sz w:val="28"/>
          <w:szCs w:val="28"/>
        </w:rPr>
        <w:t>三、编制背景</w:t>
      </w:r>
    </w:p>
    <w:p>
      <w:pPr>
        <w:ind w:firstLine="560" w:firstLineChars="200"/>
        <w:rPr>
          <w:rFonts w:ascii="仿宋_GB2312" w:eastAsia="仿宋_GB2312"/>
          <w:sz w:val="28"/>
          <w:szCs w:val="28"/>
        </w:rPr>
      </w:pPr>
      <w:r>
        <w:rPr>
          <w:rFonts w:hint="eastAsia" w:ascii="仿宋_GB2312" w:eastAsia="仿宋_GB2312"/>
          <w:sz w:val="28"/>
          <w:szCs w:val="28"/>
        </w:rPr>
        <w:t>围术期诊疗水准和质量是目前全球临床诊疗过程中亟待提升和加强的核心要点之一，是促进接受有创操作、检查和手术的患者快速康复和回归社会、提升医院综合诊疗能力的最主要环节。解放军总医院第一医学中心针对这一问题，结合我院和国内外围术期医学发展的需要，拟建立相对完善的围术期多中心数据平台，对患者围术期相关诊疗原始数据进行较为全面的梳理和统计分析，从多层面、多角度得出更加符合国人以及具有临床指导意义的结果，进而制定更加可信、有效的临床诊治方案，并产出更具有卫生经济学参考价值的证据，让患者、麻醉医生、外科医生、医院管理者和政府在更大程度上获益，大大提高围术期诊疗水准，也为整个围术期医学发展提供有力支撑。</w:t>
      </w:r>
    </w:p>
    <w:p>
      <w:pPr>
        <w:ind w:firstLine="560" w:firstLineChars="200"/>
        <w:rPr>
          <w:rFonts w:ascii="仿宋_GB2312" w:eastAsia="仿宋_GB2312"/>
          <w:sz w:val="28"/>
          <w:szCs w:val="28"/>
        </w:rPr>
      </w:pPr>
      <w:r>
        <w:rPr>
          <w:rFonts w:hint="eastAsia" w:ascii="仿宋_GB2312" w:eastAsia="仿宋_GB2312"/>
          <w:sz w:val="28"/>
          <w:szCs w:val="28"/>
        </w:rPr>
        <w:t>基于解放军总医院麻醉手术中心米卫东教授牵头的科技部重点专项“老年患者围手术期管理综合技术方案研究”（项目编号：2018YFC2001900），建立围术期数据结构标准，进一步推动围术期多中心数据平台的建设，促进围术期数据的交流、共享和有效利用，为我国围术期患者尤其是老年患者相关并发症的预防和控制提供准确、有效的数据，并进一步建立相应的诊疗指南。此标准2019年上半年开始筹备工作，10月份成立标准编制小组并制订了工作计划，计划2020年7月份完成，经费预算9.2万元。</w:t>
      </w:r>
    </w:p>
    <w:p>
      <w:pPr>
        <w:numPr>
          <w:ilvl w:val="0"/>
          <w:numId w:val="2"/>
        </w:numPr>
        <w:rPr>
          <w:rFonts w:ascii="黑体" w:eastAsia="黑体" w:cs="黑体"/>
          <w:kern w:val="0"/>
          <w:sz w:val="28"/>
          <w:szCs w:val="28"/>
        </w:rPr>
      </w:pPr>
      <w:r>
        <w:rPr>
          <w:rFonts w:hint="eastAsia" w:ascii="黑体" w:eastAsia="黑体" w:cs="黑体"/>
          <w:kern w:val="0"/>
          <w:sz w:val="28"/>
          <w:szCs w:val="28"/>
        </w:rPr>
        <w:t>主要起草过程</w:t>
      </w:r>
    </w:p>
    <w:p>
      <w:pPr>
        <w:ind w:firstLine="560" w:firstLineChars="200"/>
        <w:rPr>
          <w:rFonts w:ascii="仿宋_GB2312" w:eastAsia="仿宋_GB2312"/>
          <w:sz w:val="28"/>
          <w:szCs w:val="28"/>
        </w:rPr>
      </w:pPr>
      <w:r>
        <w:rPr>
          <w:rFonts w:hint="eastAsia" w:ascii="仿宋_GB2312" w:eastAsia="仿宋_GB2312"/>
          <w:sz w:val="28"/>
          <w:szCs w:val="28"/>
        </w:rPr>
        <w:t>2019.10         成立标准编制小组，制定工作计划</w:t>
      </w:r>
    </w:p>
    <w:p>
      <w:pPr>
        <w:ind w:firstLine="560" w:firstLineChars="200"/>
        <w:rPr>
          <w:rFonts w:ascii="仿宋_GB2312" w:eastAsia="仿宋_GB2312"/>
          <w:sz w:val="28"/>
          <w:szCs w:val="28"/>
        </w:rPr>
      </w:pPr>
      <w:r>
        <w:rPr>
          <w:rFonts w:hint="eastAsia" w:ascii="仿宋_GB2312" w:eastAsia="仿宋_GB2312"/>
          <w:sz w:val="28"/>
          <w:szCs w:val="28"/>
        </w:rPr>
        <w:t>2019.11—2019.12资料收集</w:t>
      </w:r>
    </w:p>
    <w:p>
      <w:pPr>
        <w:ind w:firstLine="560" w:firstLineChars="200"/>
        <w:rPr>
          <w:rFonts w:ascii="仿宋_GB2312" w:eastAsia="仿宋_GB2312"/>
          <w:sz w:val="28"/>
          <w:szCs w:val="28"/>
        </w:rPr>
      </w:pPr>
      <w:r>
        <w:rPr>
          <w:rFonts w:hint="eastAsia" w:ascii="仿宋_GB2312" w:eastAsia="仿宋_GB2312"/>
          <w:sz w:val="28"/>
          <w:szCs w:val="28"/>
        </w:rPr>
        <w:t>2020.01—2020.02编制标准初稿</w:t>
      </w:r>
    </w:p>
    <w:p>
      <w:pPr>
        <w:ind w:firstLine="560" w:firstLineChars="200"/>
        <w:rPr>
          <w:rFonts w:ascii="仿宋_GB2312" w:eastAsia="仿宋_GB2312"/>
          <w:sz w:val="28"/>
          <w:szCs w:val="28"/>
        </w:rPr>
      </w:pPr>
      <w:r>
        <w:rPr>
          <w:rFonts w:hint="eastAsia" w:ascii="仿宋_GB2312" w:eastAsia="仿宋_GB2312"/>
          <w:sz w:val="28"/>
          <w:szCs w:val="28"/>
        </w:rPr>
        <w:t>2020.03—2020.04标准立项</w:t>
      </w:r>
    </w:p>
    <w:p>
      <w:pPr>
        <w:ind w:firstLine="560" w:firstLineChars="200"/>
        <w:rPr>
          <w:rFonts w:ascii="仿宋_GB2312" w:eastAsia="仿宋_GB2312"/>
          <w:sz w:val="28"/>
          <w:szCs w:val="28"/>
        </w:rPr>
      </w:pPr>
      <w:r>
        <w:rPr>
          <w:rFonts w:hint="eastAsia" w:ascii="仿宋_GB2312" w:eastAsia="仿宋_GB2312"/>
          <w:sz w:val="28"/>
          <w:szCs w:val="28"/>
        </w:rPr>
        <w:t>2020.04—2020.05征求意见</w:t>
      </w:r>
    </w:p>
    <w:p>
      <w:pPr>
        <w:ind w:firstLine="560" w:firstLineChars="200"/>
        <w:rPr>
          <w:rFonts w:ascii="仿宋_GB2312" w:eastAsia="仿宋_GB2312"/>
          <w:sz w:val="28"/>
          <w:szCs w:val="28"/>
        </w:rPr>
      </w:pPr>
      <w:r>
        <w:rPr>
          <w:rFonts w:hint="eastAsia" w:ascii="仿宋_GB2312" w:eastAsia="仿宋_GB2312"/>
          <w:sz w:val="28"/>
          <w:szCs w:val="28"/>
        </w:rPr>
        <w:t>2020.05—2020.06修改征求意见稿，进行标准审查</w:t>
      </w:r>
    </w:p>
    <w:p>
      <w:pPr>
        <w:ind w:firstLine="560" w:firstLineChars="200"/>
        <w:rPr>
          <w:rFonts w:ascii="仿宋_GB2312" w:eastAsia="仿宋_GB2312"/>
          <w:sz w:val="28"/>
          <w:szCs w:val="28"/>
        </w:rPr>
      </w:pPr>
      <w:r>
        <w:rPr>
          <w:rFonts w:hint="eastAsia" w:ascii="仿宋_GB2312" w:eastAsia="仿宋_GB2312"/>
          <w:sz w:val="28"/>
          <w:szCs w:val="28"/>
        </w:rPr>
        <w:t>2020.07         标准的发布实施</w:t>
      </w:r>
    </w:p>
    <w:p>
      <w:pPr>
        <w:numPr>
          <w:ilvl w:val="0"/>
          <w:numId w:val="2"/>
        </w:numPr>
        <w:rPr>
          <w:rFonts w:ascii="黑体" w:eastAsia="黑体" w:cs="黑体"/>
          <w:kern w:val="0"/>
          <w:sz w:val="28"/>
          <w:szCs w:val="28"/>
        </w:rPr>
      </w:pPr>
      <w:r>
        <w:rPr>
          <w:rFonts w:hint="eastAsia" w:ascii="黑体" w:eastAsia="黑体" w:cs="黑体"/>
          <w:kern w:val="0"/>
          <w:sz w:val="28"/>
          <w:szCs w:val="28"/>
        </w:rPr>
        <w:t>标准编制原则和依据，与现行法律、法规、标准的关系</w:t>
      </w:r>
    </w:p>
    <w:p>
      <w:pPr>
        <w:ind w:firstLine="560" w:firstLineChars="200"/>
        <w:rPr>
          <w:rFonts w:ascii="仿宋_GB2312" w:eastAsia="仿宋_GB2312"/>
          <w:sz w:val="28"/>
          <w:szCs w:val="28"/>
        </w:rPr>
      </w:pPr>
      <w:r>
        <w:rPr>
          <w:rFonts w:hint="eastAsia" w:ascii="仿宋_GB2312" w:eastAsia="仿宋_GB2312"/>
          <w:sz w:val="28"/>
          <w:szCs w:val="28"/>
        </w:rPr>
        <w:t>按照GB/T1.1-2009《标准化工作导则第1部分：标准的结构和编写》的要求和规定编写本标准内容。</w:t>
      </w:r>
    </w:p>
    <w:p>
      <w:pPr>
        <w:ind w:firstLine="560" w:firstLineChars="200"/>
        <w:rPr>
          <w:rFonts w:ascii="仿宋_GB2312" w:eastAsia="仿宋_GB2312"/>
          <w:sz w:val="28"/>
          <w:szCs w:val="28"/>
        </w:rPr>
      </w:pPr>
      <w:r>
        <w:rPr>
          <w:rFonts w:hint="eastAsia" w:ascii="仿宋_GB2312" w:eastAsia="仿宋_GB2312"/>
          <w:sz w:val="28"/>
          <w:szCs w:val="28"/>
        </w:rPr>
        <w:t>本标准应具有科学性、先进性。同时应充分考虑到现阶段我国围术期数据集现状和描述需求，使其具有较好的可操作性。</w:t>
      </w:r>
    </w:p>
    <w:p>
      <w:pPr>
        <w:ind w:firstLine="560" w:firstLineChars="200"/>
        <w:rPr>
          <w:rFonts w:ascii="仿宋_GB2312" w:eastAsia="仿宋_GB2312"/>
          <w:sz w:val="28"/>
          <w:szCs w:val="28"/>
        </w:rPr>
      </w:pPr>
      <w:r>
        <w:rPr>
          <w:rFonts w:hint="eastAsia" w:ascii="仿宋_GB2312" w:eastAsia="仿宋_GB2312"/>
          <w:sz w:val="28"/>
          <w:szCs w:val="28"/>
        </w:rPr>
        <w:t>本标准符合国家现行法律、法规、规章和强制性国家标准的要求。本标准的实施不涉及对现行标准的废止情况。</w:t>
      </w:r>
    </w:p>
    <w:p>
      <w:pPr>
        <w:rPr>
          <w:rFonts w:ascii="黑体" w:eastAsia="黑体" w:cs="黑体"/>
          <w:kern w:val="0"/>
          <w:sz w:val="28"/>
          <w:szCs w:val="28"/>
        </w:rPr>
      </w:pPr>
      <w:r>
        <w:rPr>
          <w:rFonts w:hint="eastAsia" w:ascii="仿宋_GB2312" w:eastAsia="仿宋_GB2312"/>
          <w:b/>
          <w:bCs/>
          <w:sz w:val="28"/>
          <w:szCs w:val="28"/>
        </w:rPr>
        <w:t>六、</w:t>
      </w:r>
      <w:r>
        <w:rPr>
          <w:rFonts w:hint="eastAsia" w:ascii="黑体" w:eastAsia="黑体" w:cs="黑体"/>
          <w:kern w:val="0"/>
          <w:sz w:val="28"/>
          <w:szCs w:val="28"/>
        </w:rPr>
        <w:t>主要条款的说明，主要技术指标、参数、实验验证的论述</w:t>
      </w:r>
    </w:p>
    <w:p>
      <w:pPr>
        <w:ind w:firstLine="560" w:firstLineChars="200"/>
        <w:rPr>
          <w:rFonts w:ascii="仿宋_GB2312" w:eastAsia="仿宋_GB2312"/>
          <w:sz w:val="28"/>
          <w:szCs w:val="28"/>
        </w:rPr>
      </w:pPr>
      <w:r>
        <w:rPr>
          <w:rFonts w:hint="eastAsia" w:ascii="仿宋_GB2312" w:eastAsia="仿宋_GB2312"/>
          <w:sz w:val="28"/>
          <w:szCs w:val="28"/>
        </w:rPr>
        <w:t>无</w:t>
      </w:r>
    </w:p>
    <w:p>
      <w:pPr>
        <w:numPr>
          <w:ilvl w:val="0"/>
          <w:numId w:val="3"/>
        </w:numPr>
        <w:rPr>
          <w:rFonts w:ascii="黑体" w:eastAsia="黑体" w:cs="黑体"/>
          <w:kern w:val="0"/>
          <w:sz w:val="28"/>
          <w:szCs w:val="28"/>
        </w:rPr>
      </w:pPr>
      <w:r>
        <w:rPr>
          <w:rFonts w:hint="eastAsia" w:ascii="黑体" w:eastAsia="黑体" w:cs="黑体"/>
          <w:kern w:val="0"/>
          <w:sz w:val="28"/>
          <w:szCs w:val="28"/>
        </w:rPr>
        <w:t>重大意见分歧的处理依据和结果</w:t>
      </w:r>
    </w:p>
    <w:p>
      <w:pPr>
        <w:ind w:firstLine="560" w:firstLineChars="200"/>
        <w:rPr>
          <w:rFonts w:ascii="仿宋_GB2312" w:eastAsia="仿宋_GB2312"/>
          <w:sz w:val="28"/>
          <w:szCs w:val="28"/>
        </w:rPr>
      </w:pPr>
      <w:r>
        <w:rPr>
          <w:rFonts w:hint="eastAsia" w:ascii="仿宋_GB2312" w:eastAsia="仿宋_GB2312"/>
          <w:sz w:val="28"/>
          <w:szCs w:val="28"/>
        </w:rPr>
        <w:t>本标准在制定过程中未出现重大分歧意见。</w:t>
      </w:r>
    </w:p>
    <w:p>
      <w:pPr>
        <w:numPr>
          <w:ilvl w:val="0"/>
          <w:numId w:val="3"/>
        </w:numPr>
        <w:rPr>
          <w:rFonts w:ascii="黑体" w:eastAsia="黑体" w:cs="黑体"/>
          <w:kern w:val="0"/>
          <w:sz w:val="28"/>
          <w:szCs w:val="28"/>
        </w:rPr>
      </w:pPr>
      <w:r>
        <w:rPr>
          <w:rFonts w:hint="eastAsia" w:ascii="黑体" w:eastAsia="黑体" w:cs="黑体"/>
          <w:kern w:val="0"/>
          <w:sz w:val="28"/>
          <w:szCs w:val="28"/>
        </w:rPr>
        <w:t>采用国际标准和国外先进标准的，说明采标程度，以及与国内外同类标准水平的对比情况</w:t>
      </w:r>
    </w:p>
    <w:p>
      <w:pPr>
        <w:ind w:firstLine="560" w:firstLineChars="200"/>
        <w:rPr>
          <w:rFonts w:ascii="仿宋_GB2312" w:eastAsia="仿宋_GB2312"/>
          <w:sz w:val="28"/>
          <w:szCs w:val="28"/>
        </w:rPr>
      </w:pPr>
      <w:r>
        <w:rPr>
          <w:rFonts w:hint="eastAsia" w:ascii="仿宋_GB2312" w:eastAsia="仿宋_GB2312"/>
          <w:sz w:val="28"/>
          <w:szCs w:val="28"/>
        </w:rPr>
        <w:t>部分欧美</w:t>
      </w:r>
      <w:r>
        <w:rPr>
          <w:rFonts w:ascii="仿宋_GB2312" w:eastAsia="仿宋_GB2312"/>
          <w:sz w:val="28"/>
          <w:szCs w:val="28"/>
        </w:rPr>
        <w:t>国家</w:t>
      </w:r>
      <w:r>
        <w:rPr>
          <w:rFonts w:hint="eastAsia" w:ascii="仿宋_GB2312" w:eastAsia="仿宋_GB2312"/>
          <w:sz w:val="28"/>
          <w:szCs w:val="28"/>
        </w:rPr>
        <w:t>已</w:t>
      </w:r>
      <w:r>
        <w:rPr>
          <w:rFonts w:ascii="仿宋_GB2312" w:eastAsia="仿宋_GB2312"/>
          <w:sz w:val="28"/>
          <w:szCs w:val="28"/>
        </w:rPr>
        <w:t>建立</w:t>
      </w:r>
      <w:r>
        <w:rPr>
          <w:rFonts w:hint="eastAsia" w:ascii="仿宋_GB2312" w:eastAsia="仿宋_GB2312"/>
          <w:sz w:val="28"/>
          <w:szCs w:val="28"/>
        </w:rPr>
        <w:t>一系列国家性质的医疗</w:t>
      </w:r>
      <w:r>
        <w:rPr>
          <w:rFonts w:ascii="仿宋_GB2312" w:eastAsia="仿宋_GB2312"/>
          <w:sz w:val="28"/>
          <w:szCs w:val="28"/>
        </w:rPr>
        <w:t>数据库，</w:t>
      </w:r>
      <w:bookmarkStart w:id="0" w:name="OLE_LINK4"/>
      <w:r>
        <w:rPr>
          <w:rFonts w:ascii="仿宋_GB2312" w:eastAsia="仿宋_GB2312"/>
          <w:sz w:val="28"/>
          <w:szCs w:val="28"/>
        </w:rPr>
        <w:t xml:space="preserve">如ACS NSQIP、HCUP SID </w:t>
      </w:r>
      <w:r>
        <w:rPr>
          <w:rFonts w:hint="eastAsia" w:ascii="仿宋_GB2312" w:eastAsia="仿宋_GB2312"/>
          <w:sz w:val="28"/>
          <w:szCs w:val="28"/>
        </w:rPr>
        <w:t>、</w:t>
      </w:r>
      <w:r>
        <w:rPr>
          <w:rFonts w:ascii="仿宋_GB2312" w:eastAsia="仿宋_GB2312"/>
          <w:sz w:val="28"/>
          <w:szCs w:val="28"/>
        </w:rPr>
        <w:t>NCDB</w:t>
      </w:r>
      <w:r>
        <w:rPr>
          <w:rFonts w:hint="eastAsia" w:ascii="仿宋_GB2312" w:eastAsia="仿宋_GB2312"/>
          <w:sz w:val="28"/>
          <w:szCs w:val="28"/>
        </w:rPr>
        <w:t>、</w:t>
      </w:r>
      <w:r>
        <w:rPr>
          <w:rFonts w:ascii="仿宋_GB2312" w:eastAsia="仿宋_GB2312"/>
          <w:sz w:val="28"/>
          <w:szCs w:val="28"/>
        </w:rPr>
        <w:t>NIS</w:t>
      </w:r>
      <w:r>
        <w:rPr>
          <w:rFonts w:hint="eastAsia" w:ascii="仿宋_GB2312" w:eastAsia="仿宋_GB2312"/>
          <w:sz w:val="28"/>
          <w:szCs w:val="28"/>
        </w:rPr>
        <w:t>等</w:t>
      </w:r>
      <w:r>
        <w:rPr>
          <w:rFonts w:ascii="仿宋_GB2312" w:eastAsia="仿宋_GB2312"/>
          <w:sz w:val="28"/>
          <w:szCs w:val="28"/>
        </w:rPr>
        <w:t>数据库</w:t>
      </w:r>
      <w:r>
        <w:rPr>
          <w:rFonts w:hint="eastAsia" w:ascii="仿宋_GB2312" w:eastAsia="仿宋_GB2312"/>
          <w:sz w:val="28"/>
          <w:szCs w:val="28"/>
        </w:rPr>
        <w:t>。但</w:t>
      </w:r>
      <w:r>
        <w:rPr>
          <w:rFonts w:ascii="仿宋_GB2312" w:eastAsia="仿宋_GB2312"/>
          <w:sz w:val="28"/>
          <w:szCs w:val="28"/>
        </w:rPr>
        <w:t>目前尚无</w:t>
      </w:r>
      <w:r>
        <w:rPr>
          <w:rFonts w:hint="eastAsia" w:ascii="仿宋_GB2312" w:eastAsia="仿宋_GB2312"/>
          <w:sz w:val="28"/>
          <w:szCs w:val="28"/>
        </w:rPr>
        <w:t>真正意义的围术期</w:t>
      </w:r>
      <w:r>
        <w:rPr>
          <w:rFonts w:ascii="仿宋_GB2312" w:eastAsia="仿宋_GB2312"/>
          <w:sz w:val="28"/>
          <w:szCs w:val="28"/>
        </w:rPr>
        <w:t>数据</w:t>
      </w:r>
      <w:r>
        <w:rPr>
          <w:rFonts w:hint="eastAsia" w:ascii="仿宋_GB2312" w:eastAsia="仿宋_GB2312"/>
          <w:sz w:val="28"/>
          <w:szCs w:val="28"/>
        </w:rPr>
        <w:t>库及数据</w:t>
      </w:r>
      <w:r>
        <w:rPr>
          <w:rFonts w:ascii="仿宋_GB2312" w:eastAsia="仿宋_GB2312"/>
          <w:sz w:val="28"/>
          <w:szCs w:val="28"/>
        </w:rPr>
        <w:t>标准</w:t>
      </w:r>
      <w:r>
        <w:rPr>
          <w:rFonts w:hint="eastAsia" w:ascii="仿宋_GB2312" w:eastAsia="仿宋_GB2312"/>
          <w:sz w:val="28"/>
          <w:szCs w:val="28"/>
        </w:rPr>
        <w:t>，各数据库格式不一，较少涉及术中生命体征内容及麻醉信息，更多的是记录患者术前和术后的医疗、护理信息等，因此数据信息维度不全。</w:t>
      </w:r>
      <w:bookmarkEnd w:id="0"/>
    </w:p>
    <w:p>
      <w:pPr>
        <w:ind w:firstLine="560" w:firstLineChars="200"/>
        <w:rPr>
          <w:rFonts w:ascii="仿宋_GB2312" w:eastAsia="仿宋_GB2312"/>
          <w:sz w:val="28"/>
          <w:szCs w:val="28"/>
        </w:rPr>
      </w:pPr>
      <w:r>
        <w:rPr>
          <w:rFonts w:hint="eastAsia" w:ascii="仿宋_GB2312" w:eastAsia="仿宋_GB2312"/>
          <w:sz w:val="28"/>
          <w:szCs w:val="28"/>
        </w:rPr>
        <w:t>目前我国已颁布多部病历数据标准，如《</w:t>
      </w:r>
      <w:r>
        <w:rPr>
          <w:rFonts w:ascii="仿宋_GB2312" w:eastAsia="仿宋_GB2312"/>
          <w:sz w:val="28"/>
          <w:szCs w:val="28"/>
        </w:rPr>
        <w:t>电子病历共享文档规范</w:t>
      </w:r>
      <w:r>
        <w:rPr>
          <w:rFonts w:hint="eastAsia" w:ascii="仿宋_GB2312" w:eastAsia="仿宋_GB2312"/>
          <w:sz w:val="28"/>
          <w:szCs w:val="28"/>
        </w:rPr>
        <w:t>》、《</w:t>
      </w:r>
      <w:r>
        <w:rPr>
          <w:rFonts w:ascii="仿宋_GB2312" w:eastAsia="仿宋_GB2312"/>
          <w:sz w:val="28"/>
          <w:szCs w:val="28"/>
        </w:rPr>
        <w:t>电子病历基本数据集</w:t>
      </w:r>
      <w:r>
        <w:rPr>
          <w:rFonts w:hint="eastAsia" w:ascii="仿宋_GB2312" w:eastAsia="仿宋_GB2312"/>
          <w:sz w:val="28"/>
          <w:szCs w:val="28"/>
        </w:rPr>
        <w:t>》、《</w:t>
      </w:r>
      <w:r>
        <w:rPr>
          <w:rFonts w:ascii="仿宋_GB2312" w:eastAsia="仿宋_GB2312"/>
          <w:sz w:val="28"/>
          <w:szCs w:val="28"/>
        </w:rPr>
        <w:t>专科电子病历数据集编制规范</w:t>
      </w:r>
      <w:r>
        <w:rPr>
          <w:rFonts w:hint="eastAsia" w:ascii="仿宋_GB2312" w:eastAsia="仿宋_GB2312"/>
          <w:sz w:val="28"/>
          <w:szCs w:val="28"/>
        </w:rPr>
        <w:t>》等，规范了常规医疗过程中电子病历记录的数据格式。但在围术期医学数据方面，目前尚无标准规范的结构与内容，导致我国各医疗机构的围术期数据库各自为战，使得我国巨量的围术期数据信息无法最大化整合、分析、利用，造成极大的数据价值和建设经费浪费。</w:t>
      </w:r>
    </w:p>
    <w:p>
      <w:pPr>
        <w:rPr>
          <w:rFonts w:ascii="黑体" w:eastAsia="黑体" w:cs="黑体"/>
          <w:kern w:val="0"/>
          <w:sz w:val="28"/>
          <w:szCs w:val="28"/>
        </w:rPr>
      </w:pPr>
      <w:r>
        <w:rPr>
          <w:rFonts w:hint="eastAsia" w:ascii="黑体" w:eastAsia="黑体" w:cs="黑体"/>
          <w:kern w:val="0"/>
          <w:sz w:val="28"/>
          <w:szCs w:val="28"/>
        </w:rPr>
        <w:t>九、标准推广实施建议</w:t>
      </w:r>
    </w:p>
    <w:p>
      <w:pPr>
        <w:ind w:firstLine="560" w:firstLineChars="200"/>
        <w:rPr>
          <w:rFonts w:ascii="仿宋_GB2312" w:eastAsia="仿宋_GB2312"/>
          <w:sz w:val="28"/>
          <w:szCs w:val="28"/>
        </w:rPr>
      </w:pPr>
      <w:r>
        <w:rPr>
          <w:rFonts w:hint="eastAsia" w:ascii="仿宋_GB2312" w:eastAsia="仿宋_GB2312"/>
          <w:sz w:val="28"/>
          <w:szCs w:val="28"/>
        </w:rPr>
        <w:t>本标准为首次制定，建议作为推荐性标准发布实施。</w:t>
      </w:r>
    </w:p>
    <w:p>
      <w:pPr>
        <w:ind w:firstLine="560" w:firstLineChars="200"/>
        <w:rPr>
          <w:rFonts w:ascii="仿宋_GB2312" w:eastAsia="仿宋_GB2312"/>
          <w:sz w:val="28"/>
          <w:szCs w:val="28"/>
        </w:rPr>
      </w:pPr>
    </w:p>
    <w:p>
      <w:pPr>
        <w:pStyle w:val="6"/>
        <w:widowControl/>
        <w:spacing w:beforeAutospacing="0" w:afterAutospacing="0"/>
        <w:jc w:val="both"/>
        <w:rPr>
          <w:rFonts w:ascii="黑体" w:eastAsia="黑体" w:cs="黑体"/>
          <w:color w:val="0000FF"/>
          <w:sz w:val="28"/>
          <w:szCs w:val="28"/>
        </w:rPr>
      </w:pPr>
      <w:r>
        <w:rPr>
          <w:rFonts w:hint="eastAsia" w:ascii="黑体" w:eastAsia="黑体" w:cs="黑体"/>
          <w:sz w:val="28"/>
          <w:szCs w:val="28"/>
        </w:rPr>
        <w:t>十、经费情况介绍</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6"/>
        <w:gridCol w:w="2186"/>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tcPr>
          <w:p>
            <w:pPr>
              <w:jc w:val="center"/>
              <w:rPr>
                <w:rFonts w:ascii="黑体" w:hAnsi="黑体" w:eastAsia="黑体"/>
                <w:b/>
                <w:sz w:val="28"/>
                <w:szCs w:val="28"/>
              </w:rPr>
            </w:pPr>
            <w:r>
              <w:rPr>
                <w:rFonts w:hint="eastAsia" w:ascii="黑体" w:hAnsi="黑体" w:eastAsia="黑体"/>
                <w:b/>
                <w:sz w:val="28"/>
                <w:szCs w:val="28"/>
              </w:rPr>
              <w:t>经费支出科目</w:t>
            </w:r>
          </w:p>
        </w:tc>
        <w:tc>
          <w:tcPr>
            <w:tcW w:w="2186" w:type="dxa"/>
          </w:tcPr>
          <w:p>
            <w:pPr>
              <w:jc w:val="center"/>
              <w:rPr>
                <w:rFonts w:ascii="黑体" w:hAnsi="黑体" w:eastAsia="黑体"/>
                <w:b/>
                <w:sz w:val="28"/>
                <w:szCs w:val="28"/>
              </w:rPr>
            </w:pPr>
            <w:r>
              <w:rPr>
                <w:rFonts w:hint="eastAsia" w:ascii="黑体" w:hAnsi="黑体" w:eastAsia="黑体"/>
                <w:b/>
                <w:sz w:val="28"/>
                <w:szCs w:val="28"/>
              </w:rPr>
              <w:t>预算金额</w:t>
            </w:r>
            <w:r>
              <w:rPr>
                <w:rFonts w:ascii="黑体" w:hAnsi="黑体" w:eastAsia="黑体"/>
                <w:b/>
                <w:sz w:val="28"/>
                <w:szCs w:val="28"/>
              </w:rPr>
              <w:t>(</w:t>
            </w:r>
            <w:r>
              <w:rPr>
                <w:rFonts w:hint="eastAsia" w:ascii="黑体" w:hAnsi="黑体" w:eastAsia="黑体"/>
                <w:b/>
                <w:sz w:val="28"/>
                <w:szCs w:val="28"/>
              </w:rPr>
              <w:t>万元</w:t>
            </w:r>
            <w:r>
              <w:rPr>
                <w:rFonts w:ascii="黑体" w:hAnsi="黑体" w:eastAsia="黑体"/>
                <w:b/>
                <w:sz w:val="28"/>
                <w:szCs w:val="28"/>
              </w:rPr>
              <w:t>)</w:t>
            </w:r>
          </w:p>
        </w:tc>
        <w:tc>
          <w:tcPr>
            <w:tcW w:w="3710" w:type="dxa"/>
          </w:tcPr>
          <w:p>
            <w:pPr>
              <w:jc w:val="center"/>
              <w:rPr>
                <w:rFonts w:ascii="黑体" w:hAnsi="黑体" w:eastAsia="黑体"/>
                <w:b/>
                <w:sz w:val="28"/>
                <w:szCs w:val="28"/>
              </w:rPr>
            </w:pPr>
            <w:r>
              <w:rPr>
                <w:rFonts w:hint="eastAsia" w:ascii="黑体" w:hAnsi="黑体" w:eastAsia="黑体"/>
                <w:b/>
                <w:sz w:val="28"/>
                <w:szCs w:val="28"/>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626" w:type="dxa"/>
            <w:vAlign w:val="center"/>
          </w:tcPr>
          <w:p>
            <w:pPr>
              <w:jc w:val="center"/>
              <w:rPr>
                <w:rFonts w:ascii="仿宋_GB2312" w:eastAsia="仿宋_GB2312"/>
                <w:sz w:val="28"/>
                <w:szCs w:val="28"/>
              </w:rPr>
            </w:pPr>
            <w:r>
              <w:rPr>
                <w:rFonts w:hint="eastAsia" w:ascii="仿宋_GB2312" w:eastAsia="仿宋_GB2312"/>
                <w:sz w:val="28"/>
                <w:szCs w:val="28"/>
              </w:rPr>
              <w:t>材料费</w:t>
            </w:r>
          </w:p>
        </w:tc>
        <w:tc>
          <w:tcPr>
            <w:tcW w:w="2186" w:type="dxa"/>
            <w:vAlign w:val="center"/>
          </w:tcPr>
          <w:p>
            <w:pPr>
              <w:jc w:val="center"/>
              <w:rPr>
                <w:rFonts w:ascii="仿宋_GB2312" w:eastAsia="仿宋_GB2312"/>
                <w:sz w:val="28"/>
                <w:szCs w:val="28"/>
              </w:rPr>
            </w:pPr>
            <w:r>
              <w:rPr>
                <w:rFonts w:ascii="仿宋_GB2312" w:eastAsia="仿宋_GB2312"/>
                <w:sz w:val="28"/>
                <w:szCs w:val="28"/>
              </w:rPr>
              <w:t>0.2</w:t>
            </w:r>
          </w:p>
        </w:tc>
        <w:tc>
          <w:tcPr>
            <w:tcW w:w="3710" w:type="dxa"/>
            <w:vAlign w:val="center"/>
          </w:tcPr>
          <w:p>
            <w:pPr>
              <w:rPr>
                <w:rFonts w:ascii="仿宋_GB2312" w:eastAsia="仿宋_GB2312"/>
                <w:sz w:val="24"/>
                <w:szCs w:val="24"/>
              </w:rPr>
            </w:pPr>
            <w:r>
              <w:rPr>
                <w:rFonts w:hint="eastAsia" w:ascii="仿宋_GB2312" w:eastAsia="仿宋_GB2312"/>
                <w:sz w:val="24"/>
                <w:szCs w:val="24"/>
              </w:rPr>
              <w:t>编制过程办公文具、耗材等费用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vAlign w:val="center"/>
          </w:tcPr>
          <w:p>
            <w:pPr>
              <w:spacing w:line="520" w:lineRule="exact"/>
              <w:jc w:val="center"/>
              <w:rPr>
                <w:rFonts w:ascii="仿宋_GB2312" w:eastAsia="仿宋_GB2312"/>
                <w:sz w:val="28"/>
                <w:szCs w:val="28"/>
              </w:rPr>
            </w:pPr>
            <w:r>
              <w:rPr>
                <w:rFonts w:hint="eastAsia" w:ascii="仿宋_GB2312" w:hAnsi="宋体" w:eastAsia="仿宋_GB2312"/>
                <w:sz w:val="28"/>
                <w:szCs w:val="28"/>
              </w:rPr>
              <w:t>出版</w:t>
            </w:r>
            <w:r>
              <w:rPr>
                <w:rFonts w:ascii="仿宋_GB2312" w:hAnsi="宋体" w:eastAsia="仿宋_GB2312"/>
                <w:sz w:val="28"/>
                <w:szCs w:val="28"/>
              </w:rPr>
              <w:t>/文献/信息传播/知识产权事务费</w:t>
            </w:r>
          </w:p>
        </w:tc>
        <w:tc>
          <w:tcPr>
            <w:tcW w:w="2186" w:type="dxa"/>
            <w:vAlign w:val="center"/>
          </w:tcPr>
          <w:p>
            <w:pPr>
              <w:jc w:val="center"/>
              <w:rPr>
                <w:rFonts w:ascii="仿宋_GB2312" w:eastAsia="仿宋_GB2312"/>
                <w:sz w:val="28"/>
                <w:szCs w:val="28"/>
              </w:rPr>
            </w:pPr>
            <w:r>
              <w:rPr>
                <w:rFonts w:ascii="仿宋_GB2312" w:eastAsia="仿宋_GB2312"/>
                <w:sz w:val="28"/>
                <w:szCs w:val="28"/>
              </w:rPr>
              <w:t>4</w:t>
            </w:r>
          </w:p>
        </w:tc>
        <w:tc>
          <w:tcPr>
            <w:tcW w:w="3710" w:type="dxa"/>
            <w:vAlign w:val="center"/>
          </w:tcPr>
          <w:p>
            <w:pPr>
              <w:rPr>
                <w:rFonts w:ascii="仿宋_GB2312" w:eastAsia="仿宋_GB2312"/>
                <w:sz w:val="24"/>
                <w:szCs w:val="24"/>
              </w:rPr>
            </w:pPr>
            <w:r>
              <w:rPr>
                <w:rFonts w:hint="eastAsia" w:ascii="仿宋_GB2312" w:eastAsia="仿宋_GB2312"/>
                <w:sz w:val="24"/>
                <w:szCs w:val="24"/>
              </w:rPr>
              <w:t>编制过程中文印制作费用，书籍出版相关费用等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会议</w:t>
            </w:r>
            <w:r>
              <w:rPr>
                <w:rFonts w:ascii="仿宋_GB2312" w:hAnsi="宋体" w:eastAsia="仿宋_GB2312"/>
                <w:sz w:val="28"/>
                <w:szCs w:val="28"/>
              </w:rPr>
              <w:t>/差旅/国际合作交流费</w:t>
            </w:r>
          </w:p>
        </w:tc>
        <w:tc>
          <w:tcPr>
            <w:tcW w:w="2186" w:type="dxa"/>
            <w:vAlign w:val="center"/>
          </w:tcPr>
          <w:p>
            <w:pPr>
              <w:jc w:val="center"/>
              <w:rPr>
                <w:rFonts w:ascii="仿宋_GB2312" w:eastAsia="仿宋_GB2312"/>
                <w:sz w:val="28"/>
                <w:szCs w:val="28"/>
              </w:rPr>
            </w:pPr>
            <w:r>
              <w:rPr>
                <w:rFonts w:ascii="仿宋_GB2312" w:eastAsia="仿宋_GB2312"/>
                <w:sz w:val="28"/>
                <w:szCs w:val="28"/>
              </w:rPr>
              <w:t>2</w:t>
            </w:r>
          </w:p>
        </w:tc>
        <w:tc>
          <w:tcPr>
            <w:tcW w:w="3710" w:type="dxa"/>
            <w:vAlign w:val="center"/>
          </w:tcPr>
          <w:p>
            <w:pPr>
              <w:rPr>
                <w:rFonts w:ascii="仿宋_GB2312" w:eastAsia="仿宋_GB2312"/>
                <w:sz w:val="24"/>
                <w:szCs w:val="24"/>
              </w:rPr>
            </w:pPr>
            <w:r>
              <w:rPr>
                <w:rFonts w:hint="eastAsia" w:ascii="仿宋_GB2312" w:eastAsia="仿宋_GB2312"/>
                <w:sz w:val="24"/>
                <w:szCs w:val="24"/>
              </w:rPr>
              <w:t>用于编制过程中组织相关专家和工作人员会议往来交通、食宿、场地租赁等开支等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vAlign w:val="center"/>
          </w:tcPr>
          <w:p>
            <w:pPr>
              <w:jc w:val="center"/>
              <w:rPr>
                <w:rFonts w:ascii="仿宋_GB2312" w:eastAsia="仿宋_GB2312"/>
                <w:sz w:val="28"/>
                <w:szCs w:val="28"/>
              </w:rPr>
            </w:pPr>
            <w:r>
              <w:rPr>
                <w:rFonts w:hint="eastAsia" w:ascii="仿宋_GB2312" w:eastAsia="仿宋_GB2312"/>
                <w:sz w:val="28"/>
                <w:szCs w:val="28"/>
              </w:rPr>
              <w:t>劳务费</w:t>
            </w:r>
          </w:p>
        </w:tc>
        <w:tc>
          <w:tcPr>
            <w:tcW w:w="2186" w:type="dxa"/>
            <w:vAlign w:val="center"/>
          </w:tcPr>
          <w:p>
            <w:pPr>
              <w:jc w:val="center"/>
              <w:rPr>
                <w:rFonts w:ascii="仿宋_GB2312" w:eastAsia="仿宋_GB2312"/>
                <w:sz w:val="28"/>
                <w:szCs w:val="28"/>
              </w:rPr>
            </w:pPr>
            <w:r>
              <w:rPr>
                <w:rFonts w:ascii="仿宋_GB2312" w:eastAsia="仿宋_GB2312"/>
                <w:sz w:val="28"/>
                <w:szCs w:val="28"/>
              </w:rPr>
              <w:t>1</w:t>
            </w:r>
          </w:p>
        </w:tc>
        <w:tc>
          <w:tcPr>
            <w:tcW w:w="3710" w:type="dxa"/>
            <w:vAlign w:val="center"/>
          </w:tcPr>
          <w:p>
            <w:pPr>
              <w:rPr>
                <w:rFonts w:ascii="仿宋_GB2312" w:eastAsia="仿宋_GB2312"/>
                <w:sz w:val="24"/>
                <w:szCs w:val="24"/>
              </w:rPr>
            </w:pPr>
            <w:r>
              <w:rPr>
                <w:rFonts w:hint="eastAsia" w:ascii="仿宋_GB2312" w:eastAsia="仿宋_GB2312"/>
                <w:sz w:val="24"/>
                <w:szCs w:val="24"/>
              </w:rPr>
              <w:t>用于编制过程中相关工作人员劳动报酬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vAlign w:val="center"/>
          </w:tcPr>
          <w:p>
            <w:pPr>
              <w:jc w:val="center"/>
              <w:rPr>
                <w:rFonts w:ascii="仿宋_GB2312" w:eastAsia="仿宋_GB2312"/>
                <w:sz w:val="28"/>
                <w:szCs w:val="28"/>
              </w:rPr>
            </w:pPr>
            <w:r>
              <w:rPr>
                <w:rFonts w:hint="eastAsia" w:ascii="仿宋_GB2312" w:eastAsia="仿宋_GB2312"/>
                <w:sz w:val="28"/>
                <w:szCs w:val="28"/>
              </w:rPr>
              <w:t>专家咨询费</w:t>
            </w:r>
          </w:p>
        </w:tc>
        <w:tc>
          <w:tcPr>
            <w:tcW w:w="2186" w:type="dxa"/>
            <w:vAlign w:val="center"/>
          </w:tcPr>
          <w:p>
            <w:pPr>
              <w:jc w:val="center"/>
              <w:rPr>
                <w:rFonts w:ascii="仿宋_GB2312" w:eastAsia="仿宋_GB2312"/>
                <w:sz w:val="28"/>
                <w:szCs w:val="28"/>
              </w:rPr>
            </w:pPr>
            <w:r>
              <w:rPr>
                <w:rFonts w:ascii="仿宋_GB2312" w:eastAsia="仿宋_GB2312"/>
                <w:sz w:val="28"/>
                <w:szCs w:val="28"/>
              </w:rPr>
              <w:t>2</w:t>
            </w:r>
          </w:p>
        </w:tc>
        <w:tc>
          <w:tcPr>
            <w:tcW w:w="3710" w:type="dxa"/>
            <w:vAlign w:val="center"/>
          </w:tcPr>
          <w:p>
            <w:pPr>
              <w:rPr>
                <w:rFonts w:ascii="仿宋_GB2312" w:eastAsia="仿宋_GB2312"/>
                <w:sz w:val="24"/>
                <w:szCs w:val="24"/>
              </w:rPr>
            </w:pPr>
            <w:r>
              <w:rPr>
                <w:rFonts w:hint="eastAsia" w:ascii="仿宋_GB2312" w:eastAsia="仿宋_GB2312"/>
                <w:sz w:val="24"/>
                <w:szCs w:val="24"/>
              </w:rPr>
              <w:t>用于编制过程中为相关专家提供咨询服务报酬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6" w:type="dxa"/>
          </w:tcPr>
          <w:p>
            <w:pPr>
              <w:jc w:val="center"/>
              <w:rPr>
                <w:rFonts w:ascii="仿宋_GB2312" w:eastAsia="仿宋_GB2312"/>
                <w:sz w:val="28"/>
                <w:szCs w:val="28"/>
              </w:rPr>
            </w:pPr>
            <w:r>
              <w:rPr>
                <w:rFonts w:hint="eastAsia" w:ascii="仿宋_GB2312" w:eastAsia="仿宋_GB2312"/>
                <w:b/>
                <w:bCs/>
                <w:sz w:val="28"/>
                <w:szCs w:val="28"/>
              </w:rPr>
              <w:t>总计</w:t>
            </w:r>
          </w:p>
        </w:tc>
        <w:tc>
          <w:tcPr>
            <w:tcW w:w="2186" w:type="dxa"/>
            <w:vAlign w:val="center"/>
          </w:tcPr>
          <w:p>
            <w:pPr>
              <w:jc w:val="center"/>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 sum(B2:B6) \* MERGEFORMAT </w:instrText>
            </w:r>
            <w:r>
              <w:rPr>
                <w:rFonts w:ascii="仿宋_GB2312" w:eastAsia="仿宋_GB2312"/>
                <w:sz w:val="28"/>
                <w:szCs w:val="28"/>
              </w:rPr>
              <w:fldChar w:fldCharType="separate"/>
            </w:r>
            <w:r>
              <w:rPr>
                <w:rFonts w:ascii="仿宋_GB2312" w:eastAsia="仿宋_GB2312"/>
                <w:sz w:val="28"/>
                <w:szCs w:val="28"/>
              </w:rPr>
              <w:t>9.2</w:t>
            </w:r>
            <w:r>
              <w:rPr>
                <w:rFonts w:ascii="仿宋_GB2312" w:eastAsia="仿宋_GB2312"/>
                <w:sz w:val="28"/>
                <w:szCs w:val="28"/>
              </w:rPr>
              <w:fldChar w:fldCharType="end"/>
            </w:r>
          </w:p>
        </w:tc>
        <w:tc>
          <w:tcPr>
            <w:tcW w:w="3710" w:type="dxa"/>
            <w:vAlign w:val="center"/>
          </w:tcPr>
          <w:p>
            <w:pPr>
              <w:jc w:val="center"/>
              <w:rPr>
                <w:rFonts w:ascii="仿宋_GB2312" w:eastAsia="仿宋_GB2312"/>
                <w:sz w:val="24"/>
                <w:szCs w:val="24"/>
              </w:rPr>
            </w:pPr>
            <w:r>
              <w:rPr>
                <w:rFonts w:ascii="仿宋_GB2312" w:eastAsia="仿宋_GB2312"/>
                <w:sz w:val="24"/>
                <w:szCs w:val="24"/>
              </w:rPr>
              <w:t>/</w:t>
            </w:r>
          </w:p>
        </w:tc>
      </w:tr>
    </w:tbl>
    <w:p>
      <w:pPr>
        <w:ind w:firstLine="560" w:firstLineChars="200"/>
        <w:rPr>
          <w:rFonts w:ascii="仿宋_GB2312" w:eastAsia="仿宋_GB2312"/>
          <w:sz w:val="28"/>
          <w:szCs w:val="28"/>
        </w:rPr>
      </w:pPr>
    </w:p>
    <w:p>
      <w:pPr>
        <w:pStyle w:val="6"/>
        <w:widowControl/>
        <w:spacing w:beforeAutospacing="0" w:afterAutospacing="0"/>
        <w:ind w:left="1898" w:right="140" w:hanging="1898" w:hangingChars="678"/>
        <w:jc w:val="right"/>
        <w:rPr>
          <w:rFonts w:ascii="黑体" w:hAnsi="黑体" w:eastAsia="黑体" w:cs="仿宋"/>
          <w:sz w:val="28"/>
          <w:szCs w:val="28"/>
        </w:rPr>
      </w:pPr>
      <w:r>
        <w:rPr>
          <w:rFonts w:hint="eastAsia" w:ascii="黑体" w:hAnsi="黑体" w:eastAsia="黑体" w:cs="仿宋"/>
          <w:sz w:val="28"/>
          <w:szCs w:val="28"/>
        </w:rPr>
        <w:t>《围术期数据结构规范》起</w:t>
      </w:r>
      <w:r>
        <w:rPr>
          <w:rFonts w:ascii="黑体" w:hAnsi="黑体" w:eastAsia="黑体" w:cs="仿宋"/>
          <w:sz w:val="28"/>
          <w:szCs w:val="28"/>
        </w:rPr>
        <w:t>草组</w:t>
      </w:r>
    </w:p>
    <w:p>
      <w:pPr>
        <w:pStyle w:val="6"/>
        <w:widowControl/>
        <w:spacing w:beforeAutospacing="0" w:afterAutospacing="0"/>
        <w:ind w:left="1898" w:right="140" w:hanging="1898" w:hangingChars="678"/>
        <w:jc w:val="right"/>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20年3月</w:t>
      </w:r>
    </w:p>
    <w:p>
      <w:pPr>
        <w:pStyle w:val="6"/>
        <w:widowControl/>
        <w:spacing w:beforeAutospacing="0" w:afterAutospacing="0" w:line="120" w:lineRule="auto"/>
        <w:ind w:left="1898" w:right="142" w:hanging="1898" w:hangingChars="678"/>
        <w:jc w:val="both"/>
        <w:rPr>
          <w:rFonts w:ascii="仿宋_GB2312" w:eastAsia="仿宋_GB2312"/>
          <w:color w:val="0000FF"/>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2F5B"/>
    <w:multiLevelType w:val="multilevel"/>
    <w:tmpl w:val="13392F5B"/>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F955C0F"/>
    <w:multiLevelType w:val="multilevel"/>
    <w:tmpl w:val="1F955C0F"/>
    <w:lvl w:ilvl="0" w:tentative="0">
      <w:start w:val="4"/>
      <w:numFmt w:val="chineseCounting"/>
      <w:suff w:val="nothing"/>
      <w:lvlText w:val="%1、"/>
      <w:lvlJc w:val="left"/>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E1BDE37"/>
    <w:multiLevelType w:val="singleLevel"/>
    <w:tmpl w:val="5E1BDE37"/>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48A"/>
    <w:rsid w:val="00035149"/>
    <w:rsid w:val="000D76FA"/>
    <w:rsid w:val="001E015A"/>
    <w:rsid w:val="001E632C"/>
    <w:rsid w:val="002A23EF"/>
    <w:rsid w:val="002A4DCF"/>
    <w:rsid w:val="002C1229"/>
    <w:rsid w:val="002E2992"/>
    <w:rsid w:val="003365FF"/>
    <w:rsid w:val="0050269E"/>
    <w:rsid w:val="00537238"/>
    <w:rsid w:val="005860C6"/>
    <w:rsid w:val="005F648A"/>
    <w:rsid w:val="006128B8"/>
    <w:rsid w:val="006179BC"/>
    <w:rsid w:val="00682BA2"/>
    <w:rsid w:val="006D7AE6"/>
    <w:rsid w:val="007175A2"/>
    <w:rsid w:val="0073697C"/>
    <w:rsid w:val="007F39AB"/>
    <w:rsid w:val="008464C4"/>
    <w:rsid w:val="008B5FE4"/>
    <w:rsid w:val="008E6A00"/>
    <w:rsid w:val="009107A1"/>
    <w:rsid w:val="00921273"/>
    <w:rsid w:val="00931F5C"/>
    <w:rsid w:val="00936285"/>
    <w:rsid w:val="00943E27"/>
    <w:rsid w:val="009C2ECF"/>
    <w:rsid w:val="009D3A15"/>
    <w:rsid w:val="00A55A18"/>
    <w:rsid w:val="00AD4D9E"/>
    <w:rsid w:val="00B110DF"/>
    <w:rsid w:val="00B27951"/>
    <w:rsid w:val="00B63807"/>
    <w:rsid w:val="00B96E11"/>
    <w:rsid w:val="00C227D0"/>
    <w:rsid w:val="00C23808"/>
    <w:rsid w:val="00CA38F7"/>
    <w:rsid w:val="00CD763F"/>
    <w:rsid w:val="00D04D91"/>
    <w:rsid w:val="00D24A46"/>
    <w:rsid w:val="00DD49CA"/>
    <w:rsid w:val="00E46135"/>
    <w:rsid w:val="00E66AC0"/>
    <w:rsid w:val="00E66D0D"/>
    <w:rsid w:val="00EB2B72"/>
    <w:rsid w:val="00EC7726"/>
    <w:rsid w:val="00F30877"/>
    <w:rsid w:val="00F37398"/>
    <w:rsid w:val="00F52190"/>
    <w:rsid w:val="00F7587F"/>
    <w:rsid w:val="00FA039D"/>
    <w:rsid w:val="00FF4BB4"/>
    <w:rsid w:val="00FF5A21"/>
    <w:rsid w:val="0132501E"/>
    <w:rsid w:val="04585DB0"/>
    <w:rsid w:val="04B86108"/>
    <w:rsid w:val="0A127519"/>
    <w:rsid w:val="10B912F7"/>
    <w:rsid w:val="11117FCD"/>
    <w:rsid w:val="12191B06"/>
    <w:rsid w:val="12387EDD"/>
    <w:rsid w:val="16BA2D28"/>
    <w:rsid w:val="1B7A51CE"/>
    <w:rsid w:val="1F936E34"/>
    <w:rsid w:val="1F9E459B"/>
    <w:rsid w:val="1FB0706C"/>
    <w:rsid w:val="225D2CF8"/>
    <w:rsid w:val="25696797"/>
    <w:rsid w:val="26D86D8B"/>
    <w:rsid w:val="2AD06076"/>
    <w:rsid w:val="2BBF6947"/>
    <w:rsid w:val="2F5C6004"/>
    <w:rsid w:val="2F7F2067"/>
    <w:rsid w:val="30070C2C"/>
    <w:rsid w:val="31BC07B6"/>
    <w:rsid w:val="3288766F"/>
    <w:rsid w:val="32B4233E"/>
    <w:rsid w:val="34FC7D8E"/>
    <w:rsid w:val="364F1A6F"/>
    <w:rsid w:val="37631E6B"/>
    <w:rsid w:val="379A1536"/>
    <w:rsid w:val="37D617F3"/>
    <w:rsid w:val="3B3C2996"/>
    <w:rsid w:val="40D82164"/>
    <w:rsid w:val="41D8643C"/>
    <w:rsid w:val="429B5EC3"/>
    <w:rsid w:val="43C26C0E"/>
    <w:rsid w:val="469063AA"/>
    <w:rsid w:val="472103B4"/>
    <w:rsid w:val="480D61FE"/>
    <w:rsid w:val="4A5F2BF9"/>
    <w:rsid w:val="4DBF6235"/>
    <w:rsid w:val="4EC729A9"/>
    <w:rsid w:val="56B97F3B"/>
    <w:rsid w:val="59B315E2"/>
    <w:rsid w:val="5B4669A5"/>
    <w:rsid w:val="5BBB76D4"/>
    <w:rsid w:val="5C027A3D"/>
    <w:rsid w:val="5CE45D62"/>
    <w:rsid w:val="5F666669"/>
    <w:rsid w:val="60133E2F"/>
    <w:rsid w:val="605F1E66"/>
    <w:rsid w:val="618939B7"/>
    <w:rsid w:val="62A660BC"/>
    <w:rsid w:val="638052F9"/>
    <w:rsid w:val="66C7020A"/>
    <w:rsid w:val="67D33FB9"/>
    <w:rsid w:val="698E0F34"/>
    <w:rsid w:val="6E63264D"/>
    <w:rsid w:val="6E7B2E8B"/>
    <w:rsid w:val="6ED04D9F"/>
    <w:rsid w:val="742469AF"/>
    <w:rsid w:val="78A469E6"/>
    <w:rsid w:val="79F25478"/>
    <w:rsid w:val="7D3E42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qFormat/>
    <w:uiPriority w:val="99"/>
    <w:rPr>
      <w:rFonts w:cs="Times New Roman"/>
      <w:b/>
    </w:rPr>
  </w:style>
  <w:style w:type="character" w:customStyle="1" w:styleId="11">
    <w:name w:val="页脚 字符"/>
    <w:link w:val="4"/>
    <w:semiHidden/>
    <w:qFormat/>
    <w:locked/>
    <w:uiPriority w:val="99"/>
    <w:rPr>
      <w:rFonts w:cs="Times New Roman"/>
      <w:sz w:val="18"/>
      <w:szCs w:val="18"/>
    </w:rPr>
  </w:style>
  <w:style w:type="character" w:customStyle="1" w:styleId="12">
    <w:name w:val="页眉 字符"/>
    <w:link w:val="5"/>
    <w:semiHidden/>
    <w:qFormat/>
    <w:locked/>
    <w:uiPriority w:val="99"/>
    <w:rPr>
      <w:rFonts w:cs="Times New Roman"/>
      <w:sz w:val="18"/>
      <w:szCs w:val="18"/>
    </w:rPr>
  </w:style>
  <w:style w:type="character" w:customStyle="1" w:styleId="13">
    <w:name w:val="文档结构图 字符"/>
    <w:link w:val="2"/>
    <w:semiHidden/>
    <w:qFormat/>
    <w:uiPriority w:val="99"/>
    <w:rPr>
      <w:rFonts w:ascii="宋体" w:hAnsi="Calibri"/>
      <w:kern w:val="2"/>
      <w:sz w:val="18"/>
      <w:szCs w:val="18"/>
    </w:rPr>
  </w:style>
  <w:style w:type="character" w:customStyle="1" w:styleId="14">
    <w:name w:val="批注框文本 字符"/>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1675</Characters>
  <Lines>13</Lines>
  <Paragraphs>3</Paragraphs>
  <TotalTime>0</TotalTime>
  <ScaleCrop>false</ScaleCrop>
  <LinksUpToDate>false</LinksUpToDate>
  <CharactersWithSpaces>1965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2018-09-15T02:13:00Z</dcterms:created>
  <dc:creator>houhuiru</dc:creator>
  <cp:lastModifiedBy>武建强</cp:lastModifiedBy>
  <dcterms:modified xsi:type="dcterms:W3CDTF">2020-04-02T13:25:14Z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