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framePr w:vAnchor="margin" w:hAnchor="page" w:x="1343"/>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6</w:t>
      </w:r>
      <w:r>
        <w:rPr>
          <w:rFonts w:hint="eastAsia"/>
        </w:rPr>
        <w:t>5</w:t>
      </w:r>
      <w:r>
        <w:t>.060.50</w:t>
      </w:r>
      <w:r>
        <w:fldChar w:fldCharType="end"/>
      </w:r>
      <w:bookmarkEnd w:id="0"/>
    </w:p>
    <w:p>
      <w:pPr>
        <w:pStyle w:val="91"/>
        <w:framePr w:vAnchor="margin" w:hAnchor="page" w:x="1343"/>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B93</w:t>
      </w:r>
      <w:r>
        <w:fldChar w:fldCharType="end"/>
      </w:r>
      <w:bookmarkEnd w:id="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91"/>
              <w:framePr w:vAnchor="margin" w:hAnchor="page" w:x="1343"/>
              <w:rPr>
                <w:rFonts w:hint="eastAsia"/>
              </w:rPr>
            </w:pPr>
          </w:p>
        </w:tc>
      </w:tr>
    </w:tbl>
    <w:p>
      <w:pPr>
        <w:pStyle w:val="20"/>
      </w:pPr>
    </w:p>
    <w:p>
      <w:pPr>
        <w:ind w:firstLine="2088" w:firstLineChars="400"/>
        <w:jc w:val="both"/>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团     体     标     准</w:t>
      </w:r>
    </w:p>
    <w:p>
      <w:pPr>
        <w:jc w:val="center"/>
        <w:rPr>
          <w:rFonts w:hint="eastAsia" w:asciiTheme="majorEastAsia" w:hAnsiTheme="majorEastAsia" w:eastAsiaTheme="majorEastAsia" w:cstheme="majorEastAsia"/>
          <w:b/>
          <w:bCs/>
          <w:sz w:val="48"/>
          <w:szCs w:val="48"/>
          <w:lang w:val="en-US" w:eastAsia="zh-CN"/>
        </w:rPr>
      </w:pPr>
    </w:p>
    <w:p>
      <w:pPr>
        <w:jc w:val="center"/>
        <w:rPr>
          <w:rFonts w:hint="eastAsia" w:asciiTheme="majorEastAsia" w:hAnsiTheme="majorEastAsia" w:eastAsiaTheme="majorEastAsia" w:cstheme="majorEastAsia"/>
          <w:sz w:val="36"/>
          <w:szCs w:val="36"/>
          <w:u w:val="none"/>
          <w:lang w:val="en-US" w:eastAsia="zh-CN"/>
        </w:rPr>
      </w:pPr>
      <w:r>
        <w:rPr>
          <w:rFonts w:hint="eastAsia" w:asciiTheme="majorEastAsia" w:hAnsiTheme="majorEastAsia" w:eastAsiaTheme="majorEastAsia" w:cstheme="majorEastAsia"/>
          <w:sz w:val="48"/>
          <w:szCs w:val="48"/>
          <w:lang w:val="en-US" w:eastAsia="zh-CN"/>
        </w:rPr>
        <w:t xml:space="preserve">                       </w:t>
      </w:r>
      <w:r>
        <w:rPr>
          <w:rFonts w:hint="eastAsia" w:ascii="Times New Roman" w:hAnsi="Times New Roman" w:eastAsia="黑体" w:cs="Times New Roman"/>
          <w:kern w:val="0"/>
          <w:sz w:val="28"/>
          <w:szCs w:val="28"/>
          <w:lang w:val="en-US" w:eastAsia="zh-CN" w:bidi="ar-SA"/>
        </w:rPr>
        <w:t>T/NJXH 0003-2020</w:t>
      </w:r>
    </w:p>
    <w:p>
      <w:pPr>
        <w:pStyle w:val="20"/>
        <w:ind w:left="0" w:leftChars="0" w:firstLine="0" w:firstLineChars="0"/>
        <w:rPr>
          <w:rFonts w:hint="default" w:asciiTheme="majorEastAsia" w:hAnsiTheme="majorEastAsia" w:eastAsiaTheme="majorEastAsia" w:cstheme="majorEastAsia"/>
          <w:sz w:val="36"/>
          <w:szCs w:val="36"/>
          <w:u w:val="single"/>
          <w:lang w:val="en-US" w:eastAsia="zh-CN"/>
        </w:rPr>
      </w:pPr>
      <w:r>
        <w:rPr>
          <w:rFonts w:hint="eastAsia" w:asciiTheme="majorEastAsia" w:hAnsiTheme="majorEastAsia" w:eastAsiaTheme="majorEastAsia" w:cstheme="majorEastAsia"/>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sz w:val="36"/>
          <w:szCs w:val="36"/>
          <w:u w:val="none"/>
          <w:lang w:val="en-US" w:eastAsia="zh-CN"/>
        </w:rPr>
      </w:pPr>
      <w:r>
        <w:rPr>
          <w:rFonts w:hint="eastAsia" w:asciiTheme="majorEastAsia" w:hAnsiTheme="majorEastAsia" w:eastAsiaTheme="majorEastAsia" w:cstheme="majorEastAsia"/>
          <w:sz w:val="36"/>
          <w:szCs w:val="36"/>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600" w:firstLineChars="1000"/>
        <w:jc w:val="both"/>
        <w:textAlignment w:val="auto"/>
        <w:rPr>
          <w:rFonts w:hint="eastAsia" w:asciiTheme="majorEastAsia" w:hAnsiTheme="majorEastAsia" w:eastAsiaTheme="majorEastAsia" w:cstheme="majorEastAsia"/>
          <w:sz w:val="36"/>
          <w:szCs w:val="36"/>
          <w:u w:val="none"/>
          <w:lang w:val="en-US" w:eastAsia="zh-CN"/>
        </w:rPr>
      </w:pPr>
      <w:r>
        <w:rPr>
          <w:rFonts w:hint="eastAsia" w:asciiTheme="majorEastAsia" w:hAnsiTheme="majorEastAsia" w:eastAsiaTheme="majorEastAsia" w:cstheme="majorEastAsia"/>
          <w:sz w:val="36"/>
          <w:szCs w:val="36"/>
          <w:u w:val="none"/>
          <w:lang w:val="en-US" w:eastAsia="zh-CN"/>
        </w:rPr>
        <w:t>自动化饲喂设备</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ajorEastAsia" w:hAnsiTheme="majorEastAsia" w:eastAsiaTheme="majorEastAsia" w:cstheme="majorEastAsia"/>
          <w:sz w:val="36"/>
          <w:szCs w:val="36"/>
          <w:u w:val="none"/>
          <w:lang w:val="en-US" w:eastAsia="zh-CN"/>
        </w:rPr>
      </w:pPr>
    </w:p>
    <w:p>
      <w:pPr>
        <w:pStyle w:val="20"/>
        <w:ind w:left="0" w:leftChars="0" w:firstLine="0" w:firstLineChars="0"/>
        <w:jc w:val="center"/>
        <w:rPr>
          <w:sz w:val="32"/>
          <w:szCs w:val="32"/>
        </w:rPr>
      </w:pPr>
      <w:bookmarkStart w:id="2" w:name="StdEnglishName"/>
      <w:r>
        <w:rPr>
          <w:rFonts w:hint="eastAsia"/>
          <w:sz w:val="32"/>
          <w:szCs w:val="32"/>
          <w:lang w:val="en-US" w:eastAsia="zh-CN"/>
        </w:rPr>
        <w:t xml:space="preserve">   </w:t>
      </w:r>
      <w:r>
        <w:rPr>
          <w:sz w:val="32"/>
          <w:szCs w:val="32"/>
        </w:rPr>
        <w:fldChar w:fldCharType="begin">
          <w:ffData>
            <w:name w:val="StdEnglishName"/>
            <w:enabled/>
            <w:calcOnExit w:val="0"/>
            <w:textInput>
              <w:default w:val="点击此处添加标准英文译名"/>
            </w:textInput>
          </w:ffData>
        </w:fldChar>
      </w:r>
      <w:r>
        <w:rPr>
          <w:sz w:val="32"/>
          <w:szCs w:val="32"/>
        </w:rPr>
        <w:instrText xml:space="preserve"> FORMTEXT </w:instrText>
      </w:r>
      <w:r>
        <w:rPr>
          <w:sz w:val="32"/>
          <w:szCs w:val="32"/>
        </w:rPr>
        <w:fldChar w:fldCharType="separate"/>
      </w:r>
      <w:r>
        <w:rPr>
          <w:sz w:val="32"/>
          <w:szCs w:val="32"/>
        </w:rPr>
        <w:t>Automatic feeding device</w:t>
      </w:r>
      <w:r>
        <w:rPr>
          <w:sz w:val="32"/>
          <w:szCs w:val="32"/>
        </w:rPr>
        <w:fldChar w:fldCharType="end"/>
      </w:r>
      <w:bookmarkEnd w:id="2"/>
    </w:p>
    <w:p>
      <w:pPr>
        <w:pStyle w:val="20"/>
        <w:ind w:left="0" w:leftChars="0" w:firstLine="0" w:firstLineChars="0"/>
        <w:jc w:val="center"/>
        <w:rPr>
          <w:sz w:val="32"/>
          <w:szCs w:val="32"/>
        </w:rPr>
      </w:pPr>
    </w:p>
    <w:p>
      <w:pPr>
        <w:pStyle w:val="20"/>
        <w:ind w:left="0" w:leftChars="0" w:firstLine="0" w:firstLineChars="0"/>
        <w:jc w:val="center"/>
        <w:rPr>
          <w:sz w:val="32"/>
          <w:szCs w:val="32"/>
        </w:rPr>
      </w:pPr>
    </w:p>
    <w:p>
      <w:pPr>
        <w:pStyle w:val="20"/>
        <w:ind w:left="0" w:leftChars="0" w:firstLine="0" w:firstLineChars="0"/>
        <w:jc w:val="center"/>
        <w:rPr>
          <w:sz w:val="32"/>
          <w:szCs w:val="32"/>
        </w:rPr>
      </w:pPr>
    </w:p>
    <w:p>
      <w:pPr>
        <w:pStyle w:val="20"/>
        <w:ind w:left="0" w:leftChars="0" w:firstLine="0" w:firstLineChars="0"/>
        <w:jc w:val="center"/>
        <w:rPr>
          <w:sz w:val="32"/>
          <w:szCs w:val="32"/>
        </w:rPr>
      </w:pPr>
    </w:p>
    <w:p>
      <w:pPr>
        <w:pStyle w:val="20"/>
        <w:ind w:left="0" w:leftChars="0" w:firstLine="0" w:firstLineChars="0"/>
        <w:jc w:val="center"/>
        <w:rPr>
          <w:sz w:val="32"/>
          <w:szCs w:val="32"/>
        </w:rPr>
      </w:pPr>
    </w:p>
    <w:p>
      <w:pPr>
        <w:pStyle w:val="20"/>
        <w:ind w:left="0" w:leftChars="0" w:firstLine="0" w:firstLineChars="0"/>
        <w:jc w:val="center"/>
        <w:rPr>
          <w:sz w:val="32"/>
          <w:szCs w:val="32"/>
        </w:rPr>
      </w:pPr>
    </w:p>
    <w:p>
      <w:pPr>
        <w:pStyle w:val="20"/>
        <w:ind w:left="0" w:leftChars="0" w:firstLine="0" w:firstLineChars="0"/>
        <w:jc w:val="center"/>
        <w:rPr>
          <w:sz w:val="32"/>
          <w:szCs w:val="32"/>
        </w:rPr>
      </w:pPr>
    </w:p>
    <w:p>
      <w:pPr>
        <w:pStyle w:val="20"/>
        <w:ind w:left="0" w:leftChars="0" w:firstLine="0" w:firstLineChars="0"/>
        <w:jc w:val="center"/>
        <w:rPr>
          <w:sz w:val="32"/>
          <w:szCs w:val="32"/>
        </w:rPr>
      </w:pPr>
    </w:p>
    <w:p>
      <w:pPr>
        <w:pStyle w:val="20"/>
        <w:ind w:left="0" w:leftChars="0" w:firstLine="0" w:firstLineChars="0"/>
        <w:jc w:val="center"/>
        <w:rPr>
          <w:sz w:val="32"/>
          <w:szCs w:val="32"/>
        </w:rPr>
      </w:pPr>
    </w:p>
    <w:p>
      <w:pPr>
        <w:pStyle w:val="20"/>
        <w:ind w:left="0" w:leftChars="0" w:firstLine="0" w:firstLineChars="0"/>
        <w:jc w:val="center"/>
        <w:rPr>
          <w:sz w:val="32"/>
          <w:szCs w:val="32"/>
        </w:rPr>
      </w:pPr>
    </w:p>
    <w:p>
      <w:pPr>
        <w:numPr>
          <w:ilvl w:val="0"/>
          <w:numId w:val="10"/>
        </w:numPr>
        <w:jc w:val="both"/>
        <w:rPr>
          <w:rFonts w:hint="eastAsia" w:ascii="黑体" w:hAnsi="Times New Roman" w:eastAsia="黑体" w:cs="Times New Roman"/>
          <w:kern w:val="0"/>
          <w:sz w:val="28"/>
          <w:szCs w:val="22"/>
          <w:lang w:val="en-US" w:eastAsia="zh-CN" w:bidi="ar-SA"/>
        </w:rPr>
      </w:pPr>
      <w:r>
        <w:rPr>
          <w:rFonts w:hint="eastAsia" w:ascii="黑体" w:hAnsi="Times New Roman" w:eastAsia="黑体" w:cs="Times New Roman"/>
          <w:kern w:val="0"/>
          <w:sz w:val="28"/>
          <w:szCs w:val="22"/>
          <w:lang w:val="en-US" w:eastAsia="zh-CN" w:bidi="ar-SA"/>
        </w:rPr>
        <w:t xml:space="preserve"> - 发布                                       2020- -实施</w:t>
      </w:r>
    </w:p>
    <w:p>
      <w:pPr>
        <w:numPr>
          <w:ilvl w:val="0"/>
          <w:numId w:val="0"/>
        </w:numPr>
        <w:jc w:val="both"/>
        <w:rPr>
          <w:rFonts w:hint="default" w:asciiTheme="majorEastAsia" w:hAnsiTheme="majorEastAsia" w:eastAsiaTheme="majorEastAsia" w:cstheme="majorEastAsia"/>
          <w:sz w:val="32"/>
          <w:szCs w:val="32"/>
          <w:u w:val="single"/>
          <w:lang w:val="en-US" w:eastAsia="zh-CN"/>
        </w:rPr>
      </w:pPr>
      <w:r>
        <w:rPr>
          <w:rFonts w:hint="eastAsia" w:asciiTheme="majorEastAsia" w:hAnsiTheme="majorEastAsia" w:eastAsiaTheme="majorEastAsia" w:cstheme="majorEastAsia"/>
          <w:sz w:val="32"/>
          <w:szCs w:val="32"/>
          <w:u w:val="single"/>
          <w:lang w:val="en-US" w:eastAsia="zh-CN"/>
        </w:rPr>
        <w:t xml:space="preserve">                                                        </w:t>
      </w:r>
    </w:p>
    <w:p>
      <w:pPr>
        <w:jc w:val="center"/>
        <w:rPr>
          <w:rFonts w:hint="default"/>
          <w:sz w:val="32"/>
          <w:szCs w:val="32"/>
          <w:lang w:val="en-US" w:eastAsia="zh-C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ascii="黑体" w:hAnsi="Times New Roman" w:eastAsia="黑体" w:cs="Times New Roman"/>
          <w:b w:val="0"/>
          <w:spacing w:val="20"/>
          <w:w w:val="135"/>
          <w:kern w:val="0"/>
          <w:sz w:val="28"/>
          <w:szCs w:val="22"/>
          <w:lang w:val="en-US" w:eastAsia="zh-CN" w:bidi="ar-SA"/>
        </w:rPr>
        <w:t>内蒙古农牧业机械工业协会</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6"/>
          <w:szCs w:val="36"/>
          <w:lang w:val="en-US" w:eastAsia="zh-CN"/>
        </w:rPr>
        <w:t xml:space="preserve"> </w:t>
      </w:r>
      <w:r>
        <w:rPr>
          <w:rStyle w:val="132"/>
          <w:rFonts w:hint="eastAsia" w:hAnsi="Times New Roman" w:cs="Times New Roman"/>
          <w:b w:val="0"/>
          <w:kern w:val="0"/>
          <w:lang w:val="en-US" w:eastAsia="zh-CN" w:bidi="ar-SA"/>
        </w:rPr>
        <w:t>发</w:t>
      </w:r>
    </w:p>
    <w:p>
      <w:pPr>
        <w:pStyle w:val="83"/>
        <w:jc w:val="center"/>
        <w:rPr>
          <w:rFonts w:hint="eastAsia"/>
        </w:rPr>
      </w:pPr>
      <w:bookmarkStart w:id="3" w:name="_Toc418671505"/>
      <w:bookmarkStart w:id="4" w:name="_Toc418675950"/>
      <w:bookmarkStart w:id="5" w:name="_Toc398244160"/>
      <w:bookmarkStart w:id="6" w:name="_Toc421030075"/>
      <w:r>
        <w:rPr>
          <w:rFonts w:hint="eastAsia"/>
        </w:rPr>
        <w:t>目</w:t>
      </w:r>
      <w:bookmarkStart w:id="7" w:name="BKML"/>
      <w:r>
        <w:t>  </w:t>
      </w:r>
      <w:r>
        <w:rPr>
          <w:rFonts w:hint="eastAsia"/>
        </w:rPr>
        <w:t>次</w:t>
      </w:r>
      <w:bookmarkEnd w:id="7"/>
    </w:p>
    <w:p>
      <w:pPr>
        <w:pStyle w:val="16"/>
        <w:spacing w:before="78" w:after="78"/>
        <w:rPr>
          <w:rFonts w:ascii="Times New Roman"/>
          <w:szCs w:val="24"/>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fldLock="1"/>
      </w:r>
      <w:r>
        <w:rPr>
          <w:rStyle w:val="34"/>
        </w:rPr>
        <w:instrText xml:space="preserve"> </w:instrText>
      </w:r>
      <w:r>
        <w:instrText xml:space="preserve">HYPERLINK \l "_Toc421111647"</w:instrText>
      </w:r>
      <w:r>
        <w:rPr>
          <w:rStyle w:val="34"/>
        </w:rPr>
        <w:instrText xml:space="preserve"> </w:instrText>
      </w:r>
      <w:r>
        <w:fldChar w:fldCharType="separate"/>
      </w:r>
      <w:r>
        <w:rPr>
          <w:rStyle w:val="34"/>
          <w:rFonts w:hint="eastAsia"/>
        </w:rPr>
        <w:t>前言</w:t>
      </w:r>
      <w:r>
        <w:tab/>
      </w:r>
      <w:r>
        <w:fldChar w:fldCharType="begin" w:fldLock="1"/>
      </w:r>
      <w:r>
        <w:instrText xml:space="preserve"> PAGEREF _Toc421111647 \h </w:instrText>
      </w:r>
      <w:r>
        <w:fldChar w:fldCharType="separate"/>
      </w:r>
      <w:r>
        <w:t>II</w:t>
      </w:r>
      <w:r>
        <w:fldChar w:fldCharType="end"/>
      </w:r>
      <w:r>
        <w:fldChar w:fldCharType="end"/>
      </w:r>
    </w:p>
    <w:p>
      <w:pPr>
        <w:pStyle w:val="16"/>
        <w:spacing w:before="78" w:after="78"/>
        <w:rPr>
          <w:rFonts w:ascii="Times New Roman"/>
          <w:szCs w:val="24"/>
        </w:rPr>
      </w:pPr>
      <w:r>
        <w:fldChar w:fldCharType="begin" w:fldLock="1"/>
      </w:r>
      <w:r>
        <w:rPr>
          <w:rStyle w:val="34"/>
        </w:rPr>
        <w:instrText xml:space="preserve"> </w:instrText>
      </w:r>
      <w:r>
        <w:instrText xml:space="preserve">HYPERLINK \l "_Toc421111648"</w:instrText>
      </w:r>
      <w:r>
        <w:rPr>
          <w:rStyle w:val="34"/>
        </w:rPr>
        <w:instrText xml:space="preserve"> </w:instrText>
      </w:r>
      <w:r>
        <w:fldChar w:fldCharType="separate"/>
      </w:r>
      <w:r>
        <w:rPr>
          <w:rStyle w:val="34"/>
        </w:rPr>
        <w:t>1</w:t>
      </w:r>
      <w:r>
        <w:rPr>
          <w:rStyle w:val="34"/>
          <w:rFonts w:hint="eastAsia"/>
        </w:rPr>
        <w:t>　范围</w:t>
      </w:r>
      <w:r>
        <w:tab/>
      </w:r>
      <w:r>
        <w:fldChar w:fldCharType="begin" w:fldLock="1"/>
      </w:r>
      <w:r>
        <w:instrText xml:space="preserve"> PAGEREF _Toc421111648 \h </w:instrText>
      </w:r>
      <w:r>
        <w:fldChar w:fldCharType="separate"/>
      </w:r>
      <w:r>
        <w:t>1</w:t>
      </w:r>
      <w:r>
        <w:fldChar w:fldCharType="end"/>
      </w:r>
      <w:r>
        <w:fldChar w:fldCharType="end"/>
      </w:r>
    </w:p>
    <w:p>
      <w:pPr>
        <w:pStyle w:val="16"/>
        <w:spacing w:before="78" w:after="78"/>
        <w:rPr>
          <w:rFonts w:ascii="Times New Roman"/>
          <w:szCs w:val="24"/>
        </w:rPr>
      </w:pPr>
      <w:r>
        <w:fldChar w:fldCharType="begin" w:fldLock="1"/>
      </w:r>
      <w:r>
        <w:rPr>
          <w:rStyle w:val="34"/>
        </w:rPr>
        <w:instrText xml:space="preserve"> </w:instrText>
      </w:r>
      <w:r>
        <w:instrText xml:space="preserve">HYPERLINK \l "_Toc421111649"</w:instrText>
      </w:r>
      <w:r>
        <w:rPr>
          <w:rStyle w:val="34"/>
        </w:rPr>
        <w:instrText xml:space="preserve"> </w:instrText>
      </w:r>
      <w:r>
        <w:fldChar w:fldCharType="separate"/>
      </w:r>
      <w:r>
        <w:rPr>
          <w:rStyle w:val="34"/>
        </w:rPr>
        <w:t>2</w:t>
      </w:r>
      <w:r>
        <w:rPr>
          <w:rStyle w:val="34"/>
          <w:rFonts w:hint="eastAsia"/>
        </w:rPr>
        <w:t>　规范性引用文件</w:t>
      </w:r>
      <w:r>
        <w:tab/>
      </w:r>
      <w:r>
        <w:fldChar w:fldCharType="begin" w:fldLock="1"/>
      </w:r>
      <w:r>
        <w:instrText xml:space="preserve"> PAGEREF _Toc421111649 \h </w:instrText>
      </w:r>
      <w:r>
        <w:fldChar w:fldCharType="separate"/>
      </w:r>
      <w:r>
        <w:t>1</w:t>
      </w:r>
      <w:r>
        <w:fldChar w:fldCharType="end"/>
      </w:r>
      <w:r>
        <w:fldChar w:fldCharType="end"/>
      </w:r>
    </w:p>
    <w:p>
      <w:pPr>
        <w:pStyle w:val="16"/>
        <w:spacing w:before="78" w:after="78"/>
        <w:rPr>
          <w:rFonts w:ascii="Times New Roman"/>
          <w:szCs w:val="24"/>
        </w:rPr>
      </w:pPr>
      <w:r>
        <w:fldChar w:fldCharType="begin" w:fldLock="1"/>
      </w:r>
      <w:r>
        <w:rPr>
          <w:rStyle w:val="34"/>
        </w:rPr>
        <w:instrText xml:space="preserve"> </w:instrText>
      </w:r>
      <w:r>
        <w:instrText xml:space="preserve">HYPERLINK \l "_Toc421111650"</w:instrText>
      </w:r>
      <w:r>
        <w:rPr>
          <w:rStyle w:val="34"/>
        </w:rPr>
        <w:instrText xml:space="preserve"> </w:instrText>
      </w:r>
      <w:r>
        <w:fldChar w:fldCharType="separate"/>
      </w:r>
      <w:r>
        <w:rPr>
          <w:rStyle w:val="34"/>
        </w:rPr>
        <w:t>3</w:t>
      </w:r>
      <w:r>
        <w:rPr>
          <w:rStyle w:val="34"/>
          <w:rFonts w:hint="eastAsia"/>
        </w:rPr>
        <w:t>　术语和定义</w:t>
      </w:r>
      <w:r>
        <w:tab/>
      </w:r>
      <w:r>
        <w:fldChar w:fldCharType="begin" w:fldLock="1"/>
      </w:r>
      <w:r>
        <w:instrText xml:space="preserve"> PAGEREF _Toc421111650 \h </w:instrText>
      </w:r>
      <w:r>
        <w:fldChar w:fldCharType="separate"/>
      </w:r>
      <w:r>
        <w:t>1</w:t>
      </w:r>
      <w:r>
        <w:fldChar w:fldCharType="end"/>
      </w:r>
      <w:r>
        <w:fldChar w:fldCharType="end"/>
      </w:r>
    </w:p>
    <w:p>
      <w:pPr>
        <w:pStyle w:val="16"/>
        <w:spacing w:before="78" w:after="78"/>
        <w:rPr>
          <w:rFonts w:ascii="Times New Roman"/>
          <w:szCs w:val="24"/>
        </w:rPr>
      </w:pPr>
      <w:r>
        <w:fldChar w:fldCharType="begin" w:fldLock="1"/>
      </w:r>
      <w:r>
        <w:rPr>
          <w:rStyle w:val="34"/>
        </w:rPr>
        <w:instrText xml:space="preserve"> </w:instrText>
      </w:r>
      <w:r>
        <w:instrText xml:space="preserve">HYPERLINK \l "_Toc421111653"</w:instrText>
      </w:r>
      <w:r>
        <w:rPr>
          <w:rStyle w:val="34"/>
        </w:rPr>
        <w:instrText xml:space="preserve"> </w:instrText>
      </w:r>
      <w:r>
        <w:fldChar w:fldCharType="separate"/>
      </w:r>
      <w:r>
        <w:rPr>
          <w:rStyle w:val="34"/>
        </w:rPr>
        <w:t>4</w:t>
      </w:r>
      <w:r>
        <w:rPr>
          <w:rStyle w:val="34"/>
          <w:rFonts w:hint="eastAsia"/>
        </w:rPr>
        <w:t>　型号</w:t>
      </w:r>
      <w:r>
        <w:tab/>
      </w:r>
      <w:r>
        <w:fldChar w:fldCharType="begin" w:fldLock="1"/>
      </w:r>
      <w:r>
        <w:instrText xml:space="preserve"> PAGEREF _Toc421111653 \h </w:instrText>
      </w:r>
      <w:r>
        <w:fldChar w:fldCharType="separate"/>
      </w:r>
      <w:r>
        <w:t>2</w:t>
      </w:r>
      <w:r>
        <w:fldChar w:fldCharType="end"/>
      </w:r>
      <w:r>
        <w:fldChar w:fldCharType="end"/>
      </w:r>
    </w:p>
    <w:p>
      <w:pPr>
        <w:pStyle w:val="16"/>
        <w:spacing w:before="78" w:after="78"/>
        <w:rPr>
          <w:rFonts w:ascii="Times New Roman"/>
          <w:szCs w:val="24"/>
        </w:rPr>
      </w:pPr>
      <w:r>
        <w:fldChar w:fldCharType="begin" w:fldLock="1"/>
      </w:r>
      <w:r>
        <w:rPr>
          <w:rStyle w:val="34"/>
        </w:rPr>
        <w:instrText xml:space="preserve"> </w:instrText>
      </w:r>
      <w:r>
        <w:instrText xml:space="preserve">HYPERLINK \l "_Toc421111654"</w:instrText>
      </w:r>
      <w:r>
        <w:rPr>
          <w:rStyle w:val="34"/>
        </w:rPr>
        <w:instrText xml:space="preserve"> </w:instrText>
      </w:r>
      <w:r>
        <w:fldChar w:fldCharType="separate"/>
      </w:r>
      <w:r>
        <w:rPr>
          <w:rStyle w:val="34"/>
        </w:rPr>
        <w:t>5</w:t>
      </w:r>
      <w:r>
        <w:rPr>
          <w:rStyle w:val="34"/>
          <w:rFonts w:hint="eastAsia"/>
        </w:rPr>
        <w:t>　技术要求</w:t>
      </w:r>
      <w:r>
        <w:tab/>
      </w:r>
      <w:r>
        <w:fldChar w:fldCharType="begin" w:fldLock="1"/>
      </w:r>
      <w:r>
        <w:instrText xml:space="preserve"> PAGEREF _Toc421111654 \h </w:instrText>
      </w:r>
      <w:r>
        <w:fldChar w:fldCharType="separate"/>
      </w:r>
      <w:r>
        <w:t>2</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"_Toc421111655"</w:instrText>
      </w:r>
      <w:r>
        <w:rPr>
          <w:rStyle w:val="34"/>
        </w:rPr>
        <w:instrText xml:space="preserve"> </w:instrText>
      </w:r>
      <w:r>
        <w:fldChar w:fldCharType="separate"/>
      </w:r>
      <w:r>
        <w:rPr>
          <w:rStyle w:val="34"/>
        </w:rPr>
        <w:t>5.1</w:t>
      </w:r>
      <w:r>
        <w:rPr>
          <w:rStyle w:val="34"/>
          <w:rFonts w:hint="eastAsia"/>
        </w:rPr>
        <w:t>　一般技术要求</w:t>
      </w:r>
      <w:r>
        <w:tab/>
      </w:r>
      <w:r>
        <w:fldChar w:fldCharType="begin" w:fldLock="1"/>
      </w:r>
      <w:r>
        <w:instrText xml:space="preserve"> PAGEREF _Toc421111655 \h </w:instrText>
      </w:r>
      <w:r>
        <w:fldChar w:fldCharType="separate"/>
      </w:r>
      <w:r>
        <w:t>2</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"_Toc421111656"</w:instrText>
      </w:r>
      <w:r>
        <w:rPr>
          <w:rStyle w:val="34"/>
        </w:rPr>
        <w:instrText xml:space="preserve"> </w:instrText>
      </w:r>
      <w:r>
        <w:fldChar w:fldCharType="separate"/>
      </w:r>
      <w:r>
        <w:rPr>
          <w:rStyle w:val="34"/>
        </w:rPr>
        <w:t>5.2</w:t>
      </w:r>
      <w:r>
        <w:rPr>
          <w:rStyle w:val="34"/>
          <w:rFonts w:hint="eastAsia"/>
        </w:rPr>
        <w:t>　主要性能指标</w:t>
      </w:r>
      <w:r>
        <w:tab/>
      </w:r>
      <w:r>
        <w:fldChar w:fldCharType="begin" w:fldLock="1"/>
      </w:r>
      <w:r>
        <w:instrText xml:space="preserve"> PAGEREF _Toc421111656 \h </w:instrText>
      </w:r>
      <w:r>
        <w:fldChar w:fldCharType="separate"/>
      </w:r>
      <w:r>
        <w:t>2</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"_Toc421111657"</w:instrText>
      </w:r>
      <w:r>
        <w:rPr>
          <w:rStyle w:val="34"/>
        </w:rPr>
        <w:instrText xml:space="preserve"> </w:instrText>
      </w:r>
      <w:r>
        <w:fldChar w:fldCharType="separate"/>
      </w:r>
      <w:r>
        <w:rPr>
          <w:rStyle w:val="34"/>
        </w:rPr>
        <w:t>5.3</w:t>
      </w:r>
      <w:r>
        <w:rPr>
          <w:rStyle w:val="34"/>
          <w:rFonts w:hint="eastAsia"/>
        </w:rPr>
        <w:t>　装配技术要求</w:t>
      </w:r>
      <w:r>
        <w:tab/>
      </w:r>
      <w:r>
        <w:fldChar w:fldCharType="begin" w:fldLock="1"/>
      </w:r>
      <w:r>
        <w:instrText xml:space="preserve"> PAGEREF _Toc421111657 \h </w:instrText>
      </w:r>
      <w:r>
        <w:fldChar w:fldCharType="separate"/>
      </w:r>
      <w:r>
        <w:t>2</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"_Toc421111658"</w:instrText>
      </w:r>
      <w:r>
        <w:rPr>
          <w:rStyle w:val="34"/>
        </w:rPr>
        <w:instrText xml:space="preserve"> </w:instrText>
      </w:r>
      <w:r>
        <w:fldChar w:fldCharType="separate"/>
      </w:r>
      <w:r>
        <w:rPr>
          <w:rStyle w:val="34"/>
        </w:rPr>
        <w:t>5.4</w:t>
      </w:r>
      <w:r>
        <w:rPr>
          <w:rStyle w:val="34"/>
          <w:rFonts w:hint="eastAsia"/>
        </w:rPr>
        <w:t>　安全要求</w:t>
      </w:r>
      <w:r>
        <w:tab/>
      </w:r>
      <w:r>
        <w:fldChar w:fldCharType="begin" w:fldLock="1"/>
      </w:r>
      <w:r>
        <w:instrText xml:space="preserve"> PAGEREF _Toc421111658 \h </w:instrText>
      </w:r>
      <w:r>
        <w:fldChar w:fldCharType="separate"/>
      </w:r>
      <w:r>
        <w:t>3</w:t>
      </w:r>
      <w:r>
        <w:fldChar w:fldCharType="end"/>
      </w:r>
      <w:r>
        <w:fldChar w:fldCharType="end"/>
      </w:r>
    </w:p>
    <w:p>
      <w:pPr>
        <w:pStyle w:val="16"/>
        <w:spacing w:before="78" w:after="78"/>
        <w:rPr>
          <w:rFonts w:ascii="Times New Roman"/>
          <w:szCs w:val="24"/>
        </w:rPr>
      </w:pPr>
      <w:r>
        <w:fldChar w:fldCharType="begin" w:fldLock="1"/>
      </w:r>
      <w:r>
        <w:rPr>
          <w:rStyle w:val="34"/>
        </w:rPr>
        <w:instrText xml:space="preserve"> </w:instrText>
      </w:r>
      <w:r>
        <w:instrText xml:space="preserve">HYPERLINK \l "_Toc421111659"</w:instrText>
      </w:r>
      <w:r>
        <w:rPr>
          <w:rStyle w:val="34"/>
        </w:rPr>
        <w:instrText xml:space="preserve"> </w:instrText>
      </w:r>
      <w:r>
        <w:fldChar w:fldCharType="separate"/>
      </w:r>
      <w:r>
        <w:rPr>
          <w:rStyle w:val="34"/>
        </w:rPr>
        <w:t>6</w:t>
      </w:r>
      <w:r>
        <w:rPr>
          <w:rStyle w:val="34"/>
          <w:rFonts w:hint="eastAsia"/>
        </w:rPr>
        <w:t>　试验方法</w:t>
      </w:r>
      <w:r>
        <w:tab/>
      </w:r>
      <w:r>
        <w:fldChar w:fldCharType="begin" w:fldLock="1"/>
      </w:r>
      <w:r>
        <w:instrText xml:space="preserve"> PAGEREF _Toc421111659 \h </w:instrText>
      </w:r>
      <w:r>
        <w:fldChar w:fldCharType="separate"/>
      </w:r>
      <w:r>
        <w:t>3</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"_Toc421111660"</w:instrText>
      </w:r>
      <w:r>
        <w:rPr>
          <w:rStyle w:val="34"/>
        </w:rPr>
        <w:instrText xml:space="preserve"> </w:instrText>
      </w:r>
      <w:r>
        <w:fldChar w:fldCharType="separate"/>
      </w:r>
      <w:r>
        <w:rPr>
          <w:rStyle w:val="34"/>
        </w:rPr>
        <w:t>6.1</w:t>
      </w:r>
      <w:r>
        <w:rPr>
          <w:rStyle w:val="34"/>
          <w:rFonts w:hint="eastAsia"/>
        </w:rPr>
        <w:t>　试验条件</w:t>
      </w:r>
      <w:r>
        <w:tab/>
      </w:r>
      <w:r>
        <w:fldChar w:fldCharType="begin" w:fldLock="1"/>
      </w:r>
      <w:r>
        <w:instrText xml:space="preserve"> PAGEREF _Toc421111660 \h </w:instrText>
      </w:r>
      <w:r>
        <w:fldChar w:fldCharType="separate"/>
      </w:r>
      <w:r>
        <w:t>3</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"_Toc421111661"</w:instrText>
      </w:r>
      <w:r>
        <w:rPr>
          <w:rStyle w:val="34"/>
        </w:rPr>
        <w:instrText xml:space="preserve"> </w:instrText>
      </w:r>
      <w:r>
        <w:fldChar w:fldCharType="separate"/>
      </w:r>
      <w:r>
        <w:rPr>
          <w:rStyle w:val="34"/>
        </w:rPr>
        <w:t>6.2</w:t>
      </w:r>
      <w:r>
        <w:rPr>
          <w:rStyle w:val="34"/>
          <w:rFonts w:hint="eastAsia"/>
        </w:rPr>
        <w:t>　性能试验</w:t>
      </w:r>
      <w:r>
        <w:tab/>
      </w:r>
      <w:r>
        <w:fldChar w:fldCharType="begin" w:fldLock="1"/>
      </w:r>
      <w:r>
        <w:instrText xml:space="preserve"> PAGEREF _Toc421111661 \h </w:instrText>
      </w:r>
      <w:r>
        <w:fldChar w:fldCharType="separate"/>
      </w:r>
      <w:r>
        <w:t>3</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"_Toc421111664"</w:instrText>
      </w:r>
      <w:r>
        <w:rPr>
          <w:rStyle w:val="34"/>
        </w:rPr>
        <w:instrText xml:space="preserve"> </w:instrText>
      </w:r>
      <w:r>
        <w:fldChar w:fldCharType="separate"/>
      </w:r>
      <w:r>
        <w:rPr>
          <w:rStyle w:val="34"/>
        </w:rPr>
        <w:t>6.3</w:t>
      </w:r>
      <w:r>
        <w:rPr>
          <w:rStyle w:val="34"/>
          <w:rFonts w:hint="eastAsia"/>
        </w:rPr>
        <w:t>　生产试验</w:t>
      </w:r>
      <w:r>
        <w:tab/>
      </w:r>
      <w:r>
        <w:fldChar w:fldCharType="begin" w:fldLock="1"/>
      </w:r>
      <w:r>
        <w:instrText xml:space="preserve"> PAGEREF _Toc421111664 \h </w:instrText>
      </w:r>
      <w:r>
        <w:fldChar w:fldCharType="separate"/>
      </w:r>
      <w:r>
        <w:t>5</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"_Toc421111665"</w:instrText>
      </w:r>
      <w:r>
        <w:rPr>
          <w:rStyle w:val="34"/>
        </w:rPr>
        <w:instrText xml:space="preserve"> </w:instrText>
      </w:r>
      <w:r>
        <w:fldChar w:fldCharType="separate"/>
      </w:r>
      <w:r>
        <w:rPr>
          <w:rStyle w:val="34"/>
        </w:rPr>
        <w:t>6.4</w:t>
      </w:r>
      <w:r>
        <w:rPr>
          <w:rStyle w:val="34"/>
          <w:rFonts w:hint="eastAsia"/>
        </w:rPr>
        <w:t>　试验报告</w:t>
      </w:r>
      <w:r>
        <w:tab/>
      </w:r>
      <w:r>
        <w:fldChar w:fldCharType="begin" w:fldLock="1"/>
      </w:r>
      <w:r>
        <w:instrText xml:space="preserve"> PAGEREF _Toc421111665 \h </w:instrText>
      </w:r>
      <w:r>
        <w:fldChar w:fldCharType="separate"/>
      </w:r>
      <w:r>
        <w:t>5</w:t>
      </w:r>
      <w:r>
        <w:fldChar w:fldCharType="end"/>
      </w:r>
      <w:r>
        <w:fldChar w:fldCharType="end"/>
      </w:r>
    </w:p>
    <w:p>
      <w:pPr>
        <w:pStyle w:val="16"/>
        <w:spacing w:before="78" w:after="78"/>
        <w:rPr>
          <w:rFonts w:ascii="Times New Roman"/>
          <w:szCs w:val="24"/>
        </w:rPr>
      </w:pPr>
      <w:r>
        <w:fldChar w:fldCharType="begin" w:fldLock="1"/>
      </w:r>
      <w:r>
        <w:rPr>
          <w:rStyle w:val="34"/>
        </w:rPr>
        <w:instrText xml:space="preserve"> </w:instrText>
      </w:r>
      <w:r>
        <w:instrText xml:space="preserve">HYPERLINK \l "_Toc421111666"</w:instrText>
      </w:r>
      <w:r>
        <w:rPr>
          <w:rStyle w:val="34"/>
        </w:rPr>
        <w:instrText xml:space="preserve"> </w:instrText>
      </w:r>
      <w:r>
        <w:fldChar w:fldCharType="separate"/>
      </w:r>
      <w:r>
        <w:rPr>
          <w:rStyle w:val="34"/>
        </w:rPr>
        <w:t>7</w:t>
      </w:r>
      <w:r>
        <w:rPr>
          <w:rStyle w:val="34"/>
          <w:rFonts w:hint="eastAsia"/>
        </w:rPr>
        <w:t>　检验规则</w:t>
      </w:r>
      <w:r>
        <w:tab/>
      </w:r>
      <w:r>
        <w:fldChar w:fldCharType="begin" w:fldLock="1"/>
      </w:r>
      <w:r>
        <w:instrText xml:space="preserve"> PAGEREF _Toc421111666 \h </w:instrText>
      </w:r>
      <w:r>
        <w:fldChar w:fldCharType="separate"/>
      </w:r>
      <w:r>
        <w:t>6</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"_Toc421111667"</w:instrText>
      </w:r>
      <w:r>
        <w:rPr>
          <w:rStyle w:val="34"/>
        </w:rPr>
        <w:instrText xml:space="preserve"> </w:instrText>
      </w:r>
      <w:r>
        <w:fldChar w:fldCharType="separate"/>
      </w:r>
      <w:r>
        <w:rPr>
          <w:rStyle w:val="34"/>
        </w:rPr>
        <w:t>7.1</w:t>
      </w:r>
      <w:r>
        <w:rPr>
          <w:rStyle w:val="34"/>
          <w:rFonts w:hint="eastAsia"/>
        </w:rPr>
        <w:t>　出厂检验</w:t>
      </w:r>
      <w:r>
        <w:tab/>
      </w:r>
      <w:r>
        <w:fldChar w:fldCharType="begin" w:fldLock="1"/>
      </w:r>
      <w:r>
        <w:instrText xml:space="preserve"> PAGEREF _Toc421111667 \h </w:instrText>
      </w:r>
      <w:r>
        <w:fldChar w:fldCharType="separate"/>
      </w:r>
      <w:r>
        <w:t>6</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"_Toc421111668"</w:instrText>
      </w:r>
      <w:r>
        <w:rPr>
          <w:rStyle w:val="34"/>
        </w:rPr>
        <w:instrText xml:space="preserve"> </w:instrText>
      </w:r>
      <w:r>
        <w:fldChar w:fldCharType="separate"/>
      </w:r>
      <w:r>
        <w:rPr>
          <w:rStyle w:val="34"/>
        </w:rPr>
        <w:t>7.2</w:t>
      </w:r>
      <w:r>
        <w:rPr>
          <w:rStyle w:val="34"/>
          <w:rFonts w:hint="eastAsia"/>
        </w:rPr>
        <w:t>　型式检验</w:t>
      </w:r>
      <w:r>
        <w:tab/>
      </w:r>
      <w:r>
        <w:fldChar w:fldCharType="begin" w:fldLock="1"/>
      </w:r>
      <w:r>
        <w:instrText xml:space="preserve"> PAGEREF _Toc421111668 \h </w:instrText>
      </w:r>
      <w:r>
        <w:fldChar w:fldCharType="separate"/>
      </w:r>
      <w:r>
        <w:t>6</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"_Toc421111669"</w:instrText>
      </w:r>
      <w:r>
        <w:rPr>
          <w:rStyle w:val="34"/>
        </w:rPr>
        <w:instrText xml:space="preserve"> </w:instrText>
      </w:r>
      <w:r>
        <w:fldChar w:fldCharType="separate"/>
      </w:r>
      <w:r>
        <w:rPr>
          <w:rStyle w:val="34"/>
        </w:rPr>
        <w:t>7.3</w:t>
      </w:r>
      <w:r>
        <w:rPr>
          <w:rStyle w:val="34"/>
          <w:rFonts w:hint="eastAsia"/>
        </w:rPr>
        <w:t>　判定规则</w:t>
      </w:r>
      <w:r>
        <w:tab/>
      </w:r>
      <w:r>
        <w:fldChar w:fldCharType="begin" w:fldLock="1"/>
      </w:r>
      <w:r>
        <w:instrText xml:space="preserve"> PAGEREF _Toc421111669 \h </w:instrText>
      </w:r>
      <w:r>
        <w:fldChar w:fldCharType="separate"/>
      </w:r>
      <w:r>
        <w:t>7</w:t>
      </w:r>
      <w:r>
        <w:fldChar w:fldCharType="end"/>
      </w:r>
      <w:r>
        <w:fldChar w:fldCharType="end"/>
      </w:r>
    </w:p>
    <w:p>
      <w:pPr>
        <w:pStyle w:val="16"/>
        <w:spacing w:before="78" w:after="78"/>
        <w:rPr>
          <w:rFonts w:ascii="Times New Roman"/>
          <w:szCs w:val="24"/>
        </w:rPr>
      </w:pPr>
      <w:r>
        <w:fldChar w:fldCharType="begin" w:fldLock="1"/>
      </w:r>
      <w:r>
        <w:rPr>
          <w:rStyle w:val="34"/>
        </w:rPr>
        <w:instrText xml:space="preserve"> </w:instrText>
      </w:r>
      <w:r>
        <w:instrText xml:space="preserve">HYPERLINK \l "_Toc421111670"</w:instrText>
      </w:r>
      <w:r>
        <w:rPr>
          <w:rStyle w:val="34"/>
        </w:rPr>
        <w:instrText xml:space="preserve"> </w:instrText>
      </w:r>
      <w:r>
        <w:fldChar w:fldCharType="separate"/>
      </w:r>
      <w:r>
        <w:rPr>
          <w:rStyle w:val="34"/>
        </w:rPr>
        <w:t>8</w:t>
      </w:r>
      <w:r>
        <w:rPr>
          <w:rStyle w:val="34"/>
          <w:rFonts w:hint="eastAsia"/>
        </w:rPr>
        <w:t>　标志、包装、运输与贮存</w:t>
      </w:r>
      <w:r>
        <w:tab/>
      </w:r>
      <w:r>
        <w:fldChar w:fldCharType="begin" w:fldLock="1"/>
      </w:r>
      <w:r>
        <w:instrText xml:space="preserve"> PAGEREF _Toc421111670 \h </w:instrText>
      </w:r>
      <w:r>
        <w:fldChar w:fldCharType="separate"/>
      </w:r>
      <w:r>
        <w:t>7</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"_Toc421111671"</w:instrText>
      </w:r>
      <w:r>
        <w:rPr>
          <w:rStyle w:val="34"/>
        </w:rPr>
        <w:instrText xml:space="preserve"> </w:instrText>
      </w:r>
      <w:r>
        <w:fldChar w:fldCharType="separate"/>
      </w:r>
      <w:r>
        <w:rPr>
          <w:rStyle w:val="34"/>
        </w:rPr>
        <w:t>8.1</w:t>
      </w:r>
      <w:r>
        <w:rPr>
          <w:rStyle w:val="34"/>
          <w:rFonts w:hint="eastAsia"/>
        </w:rPr>
        <w:t>　标志</w:t>
      </w:r>
      <w:r>
        <w:tab/>
      </w:r>
      <w:r>
        <w:fldChar w:fldCharType="begin" w:fldLock="1"/>
      </w:r>
      <w:r>
        <w:instrText xml:space="preserve"> PAGEREF _Toc421111671 \h </w:instrText>
      </w:r>
      <w:r>
        <w:fldChar w:fldCharType="separate"/>
      </w:r>
      <w:r>
        <w:t>7</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"_Toc421111672"</w:instrText>
      </w:r>
      <w:r>
        <w:rPr>
          <w:rStyle w:val="34"/>
        </w:rPr>
        <w:instrText xml:space="preserve"> </w:instrText>
      </w:r>
      <w:r>
        <w:fldChar w:fldCharType="separate"/>
      </w:r>
      <w:r>
        <w:rPr>
          <w:rStyle w:val="34"/>
        </w:rPr>
        <w:t>8.2</w:t>
      </w:r>
      <w:r>
        <w:rPr>
          <w:rStyle w:val="34"/>
          <w:rFonts w:hint="eastAsia"/>
        </w:rPr>
        <w:t>　包装</w:t>
      </w:r>
      <w:r>
        <w:tab/>
      </w:r>
      <w:r>
        <w:fldChar w:fldCharType="begin" w:fldLock="1"/>
      </w:r>
      <w:r>
        <w:instrText xml:space="preserve"> PAGEREF _Toc421111672 \h </w:instrText>
      </w:r>
      <w:r>
        <w:fldChar w:fldCharType="separate"/>
      </w:r>
      <w:r>
        <w:t>7</w:t>
      </w:r>
      <w:r>
        <w:fldChar w:fldCharType="end"/>
      </w:r>
      <w:r>
        <w:fldChar w:fldCharType="end"/>
      </w:r>
    </w:p>
    <w:p>
      <w:pPr>
        <w:pStyle w:val="10"/>
        <w:rPr>
          <w:rFonts w:ascii="Times New Roman"/>
          <w:szCs w:val="24"/>
        </w:rPr>
      </w:pPr>
      <w:r>
        <w:fldChar w:fldCharType="begin" w:fldLock="1"/>
      </w:r>
      <w:r>
        <w:rPr>
          <w:rStyle w:val="34"/>
        </w:rPr>
        <w:instrText xml:space="preserve"> </w:instrText>
      </w:r>
      <w:r>
        <w:instrText xml:space="preserve">HYPERLINK \l "_Toc421111673"</w:instrText>
      </w:r>
      <w:r>
        <w:rPr>
          <w:rStyle w:val="34"/>
        </w:rPr>
        <w:instrText xml:space="preserve"> </w:instrText>
      </w:r>
      <w:r>
        <w:fldChar w:fldCharType="separate"/>
      </w:r>
      <w:r>
        <w:rPr>
          <w:rStyle w:val="34"/>
        </w:rPr>
        <w:t>8.3</w:t>
      </w:r>
      <w:r>
        <w:rPr>
          <w:rStyle w:val="34"/>
          <w:rFonts w:hint="eastAsia"/>
        </w:rPr>
        <w:t>　贮存</w:t>
      </w:r>
      <w:r>
        <w:tab/>
      </w:r>
      <w:r>
        <w:fldChar w:fldCharType="begin" w:fldLock="1"/>
      </w:r>
      <w:r>
        <w:instrText xml:space="preserve"> PAGEREF _Toc421111673 \h </w:instrText>
      </w:r>
      <w:r>
        <w:fldChar w:fldCharType="separate"/>
      </w:r>
      <w:r>
        <w:t>7</w:t>
      </w:r>
      <w:r>
        <w:fldChar w:fldCharType="end"/>
      </w:r>
      <w:r>
        <w:fldChar w:fldCharType="end"/>
      </w:r>
    </w:p>
    <w:p>
      <w:pPr>
        <w:pStyle w:val="16"/>
        <w:spacing w:before="78" w:after="78"/>
        <w:rPr>
          <w:rFonts w:ascii="Times New Roman"/>
          <w:szCs w:val="24"/>
        </w:rPr>
      </w:pPr>
      <w:r>
        <w:fldChar w:fldCharType="begin" w:fldLock="1"/>
      </w:r>
      <w:r>
        <w:rPr>
          <w:rStyle w:val="34"/>
        </w:rPr>
        <w:instrText xml:space="preserve"> </w:instrText>
      </w:r>
      <w:r>
        <w:instrText xml:space="preserve">HYPERLINK \l "_Toc421111674"</w:instrText>
      </w:r>
      <w:r>
        <w:rPr>
          <w:rStyle w:val="34"/>
        </w:rPr>
        <w:instrText xml:space="preserve"> </w:instrText>
      </w:r>
      <w:r>
        <w:fldChar w:fldCharType="separate"/>
      </w:r>
      <w:r>
        <w:rPr>
          <w:rStyle w:val="34"/>
          <w:rFonts w:hint="eastAsia"/>
        </w:rPr>
        <w:t>附录A（资料性附录）</w:t>
      </w:r>
      <w:r>
        <w:rPr>
          <w:rStyle w:val="34"/>
        </w:rPr>
        <w:t>　</w:t>
      </w:r>
      <w:r>
        <w:rPr>
          <w:rStyle w:val="34"/>
          <w:rFonts w:hint="eastAsia"/>
        </w:rPr>
        <w:t>试验用仪器、仪表及工具</w:t>
      </w:r>
      <w:r>
        <w:tab/>
      </w:r>
      <w:r>
        <w:fldChar w:fldCharType="begin" w:fldLock="1"/>
      </w:r>
      <w:r>
        <w:instrText xml:space="preserve"> PAGEREF _Toc421111674 \h </w:instrText>
      </w:r>
      <w:r>
        <w:fldChar w:fldCharType="separate"/>
      </w:r>
      <w:r>
        <w:t>8</w:t>
      </w:r>
      <w:r>
        <w:fldChar w:fldCharType="end"/>
      </w:r>
      <w:r>
        <w:fldChar w:fldCharType="end"/>
      </w:r>
    </w:p>
    <w:p>
      <w:pPr>
        <w:pStyle w:val="20"/>
        <w:rPr>
          <w:rFonts w:hint="eastAsia"/>
        </w:rPr>
      </w:pPr>
      <w:r>
        <w:fldChar w:fldCharType="end"/>
      </w:r>
    </w:p>
    <w:p>
      <w:pPr>
        <w:pStyle w:val="51"/>
        <w:rPr>
          <w:rFonts w:hint="eastAsia"/>
        </w:rPr>
      </w:pPr>
      <w:bookmarkStart w:id="8" w:name="_Toc421111647"/>
      <w:r>
        <w:rPr>
          <w:rFonts w:hint="eastAsia"/>
        </w:rPr>
        <w:t>前</w:t>
      </w:r>
      <w:bookmarkStart w:id="9" w:name="BKQY"/>
      <w:r>
        <w:rPr>
          <w:rFonts w:hAnsi="黑体"/>
        </w:rPr>
        <w:t>  </w:t>
      </w:r>
      <w:r>
        <w:rPr>
          <w:rFonts w:hint="eastAsia"/>
        </w:rPr>
        <w:t>言</w:t>
      </w:r>
      <w:bookmarkEnd w:id="3"/>
      <w:bookmarkEnd w:id="4"/>
      <w:bookmarkEnd w:id="5"/>
      <w:bookmarkEnd w:id="6"/>
      <w:bookmarkEnd w:id="8"/>
      <w:bookmarkEnd w:id="9"/>
    </w:p>
    <w:p>
      <w:pPr>
        <w:pStyle w:val="20"/>
        <w:rPr>
          <w:rFonts w:hint="eastAsia"/>
        </w:rPr>
      </w:pPr>
      <w:r>
        <w:rPr>
          <w:rFonts w:hint="eastAsia"/>
        </w:rPr>
        <w:t>本标准按照GB/T 1.1-2009给出的规则起草。</w:t>
      </w:r>
    </w:p>
    <w:p>
      <w:pPr>
        <w:pStyle w:val="20"/>
        <w:rPr>
          <w:rFonts w:hint="eastAsia"/>
        </w:rPr>
      </w:pPr>
      <w:r>
        <w:rPr>
          <w:rFonts w:hint="eastAsia"/>
        </w:rPr>
        <w:t>本标准由内蒙古</w:t>
      </w:r>
      <w:r>
        <w:rPr>
          <w:rFonts w:hint="eastAsia"/>
          <w:lang w:val="en-US" w:eastAsia="zh-CN"/>
        </w:rPr>
        <w:t>内蒙古农牧业机械工业协会</w:t>
      </w:r>
      <w:r>
        <w:rPr>
          <w:rFonts w:hint="eastAsia"/>
        </w:rPr>
        <w:t>提出并归口。</w:t>
      </w:r>
    </w:p>
    <w:p>
      <w:pPr>
        <w:pStyle w:val="20"/>
        <w:rPr>
          <w:rFonts w:hint="eastAsia"/>
        </w:rPr>
      </w:pPr>
      <w:r>
        <w:rPr>
          <w:rFonts w:hint="eastAsia"/>
        </w:rPr>
        <w:t>本标准起草单位：内蒙古自治区农牧业机械试验鉴定站</w:t>
      </w:r>
      <w:r>
        <w:rPr>
          <w:rFonts w:hint="eastAsia"/>
          <w:lang w:eastAsia="zh-CN"/>
        </w:rPr>
        <w:t>、</w:t>
      </w:r>
      <w:r>
        <w:rPr>
          <w:rFonts w:hint="eastAsia"/>
          <w:lang w:val="en-US" w:eastAsia="zh-CN"/>
        </w:rPr>
        <w:t>内蒙古大匠精工科技发展有限公司</w:t>
      </w:r>
      <w:r>
        <w:rPr>
          <w:rFonts w:hint="eastAsia"/>
        </w:rPr>
        <w:t>。</w:t>
      </w:r>
    </w:p>
    <w:p>
      <w:pPr>
        <w:pStyle w:val="20"/>
        <w:rPr>
          <w:rFonts w:hint="eastAsia"/>
        </w:rPr>
      </w:pPr>
      <w:r>
        <w:rPr>
          <w:rFonts w:hint="eastAsia"/>
        </w:rPr>
        <w:t>本标准主要起草人：王强、吴鸣远、高云燕</w:t>
      </w:r>
      <w:r>
        <w:rPr>
          <w:rFonts w:hint="eastAsia"/>
          <w:lang w:eastAsia="zh-CN"/>
        </w:rPr>
        <w:t>、</w:t>
      </w:r>
      <w:r>
        <w:rPr>
          <w:rFonts w:hint="eastAsia"/>
          <w:lang w:val="en-US" w:eastAsia="zh-CN"/>
        </w:rPr>
        <w:t>王振林、李鹏、王明亮</w:t>
      </w:r>
      <w:r>
        <w:rPr>
          <w:rFonts w:hint="eastAsia"/>
        </w:rPr>
        <w:t>。</w:t>
      </w:r>
    </w:p>
    <w:p>
      <w:pPr>
        <w:pStyle w:val="20"/>
        <w:rPr>
          <w:rFonts w:hint="eastAsia"/>
        </w:rPr>
      </w:pPr>
      <w:r>
        <w:rPr>
          <w:rFonts w:hint="eastAsia"/>
        </w:rPr>
        <w:t>本标准为首次发布。</w:t>
      </w:r>
    </w:p>
    <w:p>
      <w:pPr>
        <w:pStyle w:val="20"/>
        <w:sectPr>
          <w:headerReference r:id="rId5" w:type="default"/>
          <w:footerReference r:id="rId7" w:type="default"/>
          <w:headerReference r:id="rId6" w:type="even"/>
          <w:footerReference r:id="rId8" w:type="even"/>
          <w:pgSz w:w="11906" w:h="16838"/>
          <w:pgMar w:top="567" w:right="1134" w:bottom="1134" w:left="1417" w:header="1418" w:footer="1134" w:gutter="0"/>
          <w:pgNumType w:fmt="upperRoman" w:start="1"/>
          <w:cols w:space="720" w:num="1"/>
          <w:formProt w:val="0"/>
          <w:docGrid w:type="lines" w:linePitch="312" w:charSpace="0"/>
        </w:sectPr>
      </w:pPr>
    </w:p>
    <w:p>
      <w:pPr>
        <w:pStyle w:val="83"/>
        <w:rPr>
          <w:rFonts w:hint="eastAsia"/>
        </w:rPr>
      </w:pPr>
      <w:r>
        <w:rPr>
          <w:rFonts w:hint="eastAsia"/>
        </w:rPr>
        <w:t>自动化饲喂设备</w:t>
      </w:r>
    </w:p>
    <w:p>
      <w:pPr>
        <w:pStyle w:val="41"/>
        <w:ind w:left="0"/>
        <w:rPr>
          <w:rFonts w:hint="eastAsia"/>
        </w:rPr>
      </w:pPr>
      <w:bookmarkStart w:id="10" w:name="_Toc398244161"/>
      <w:bookmarkStart w:id="11" w:name="_Toc421030076"/>
      <w:bookmarkStart w:id="12" w:name="_Toc418675951"/>
      <w:bookmarkStart w:id="13" w:name="_Toc421111648"/>
      <w:bookmarkStart w:id="14" w:name="_Toc418671506"/>
      <w:r>
        <w:rPr>
          <w:rFonts w:hint="eastAsia"/>
        </w:rPr>
        <w:t>范围</w:t>
      </w:r>
      <w:bookmarkEnd w:id="10"/>
      <w:bookmarkEnd w:id="11"/>
      <w:bookmarkEnd w:id="12"/>
      <w:bookmarkEnd w:id="13"/>
      <w:bookmarkEnd w:id="14"/>
    </w:p>
    <w:p>
      <w:pPr>
        <w:pStyle w:val="20"/>
        <w:rPr>
          <w:rFonts w:hint="eastAsia"/>
        </w:rPr>
      </w:pPr>
      <w:r>
        <w:rPr>
          <w:rFonts w:hint="eastAsia"/>
        </w:rPr>
        <w:t>本标准规定了自动化饲喂设备（以下简称饲喂设备）的术语和定义、型号表示方法、技术要求、试验方法、检验规则、标志、包装、运输与贮存。</w:t>
      </w:r>
    </w:p>
    <w:p>
      <w:pPr>
        <w:pStyle w:val="20"/>
        <w:rPr>
          <w:rFonts w:hint="eastAsia"/>
        </w:rPr>
      </w:pPr>
      <w:r>
        <w:rPr>
          <w:rFonts w:hint="eastAsia"/>
        </w:rPr>
        <w:t>本标准适用于采用电动机驱动皮带输送饲草料的饲喂设备。</w:t>
      </w:r>
    </w:p>
    <w:p>
      <w:pPr>
        <w:pStyle w:val="41"/>
        <w:ind w:left="0"/>
        <w:rPr>
          <w:rFonts w:hint="eastAsia"/>
        </w:rPr>
      </w:pPr>
      <w:bookmarkStart w:id="15" w:name="_Toc418675952"/>
      <w:bookmarkStart w:id="16" w:name="_Toc421030077"/>
      <w:bookmarkStart w:id="17" w:name="_Toc398244162"/>
      <w:bookmarkStart w:id="18" w:name="_Toc421111649"/>
      <w:bookmarkStart w:id="19" w:name="_Toc418671507"/>
      <w:r>
        <w:rPr>
          <w:rFonts w:hint="eastAsia"/>
        </w:rPr>
        <w:t>规范性引用文件</w:t>
      </w:r>
      <w:bookmarkEnd w:id="15"/>
      <w:bookmarkEnd w:id="16"/>
      <w:bookmarkEnd w:id="17"/>
      <w:bookmarkEnd w:id="18"/>
      <w:bookmarkEnd w:id="19"/>
    </w:p>
    <w:p>
      <w:pPr>
        <w:pStyle w:val="20"/>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0"/>
        <w:rPr>
          <w:rFonts w:hint="eastAsia" w:hAnsi="宋体"/>
        </w:rPr>
      </w:pPr>
      <w:r>
        <w:rPr>
          <w:rFonts w:hint="eastAsia" w:hAnsi="宋体"/>
        </w:rPr>
        <w:t>GB/T 2828.1  计数抽样检验程序  第1部分：按接收质量限（AQL）检索的逐批检验抽样计划</w:t>
      </w:r>
    </w:p>
    <w:p>
      <w:pPr>
        <w:pStyle w:val="20"/>
        <w:rPr>
          <w:rFonts w:hint="eastAsia"/>
        </w:rPr>
      </w:pPr>
      <w:r>
        <w:rPr>
          <w:rFonts w:hint="eastAsia"/>
        </w:rPr>
        <w:t>GB/T 3768    声学 声压法测定噪声源</w:t>
      </w:r>
      <w:r>
        <w:t xml:space="preserve"> </w:t>
      </w:r>
      <w:r>
        <w:rPr>
          <w:rFonts w:hint="eastAsia"/>
        </w:rPr>
        <w:t>声功率级 反射面上方采用包络测量表面的简易法</w:t>
      </w:r>
    </w:p>
    <w:p>
      <w:pPr>
        <w:pStyle w:val="20"/>
        <w:rPr>
          <w:rFonts w:hint="eastAsia"/>
        </w:rPr>
      </w:pPr>
      <w:r>
        <w:rPr>
          <w:rFonts w:hint="eastAsia"/>
        </w:rPr>
        <w:t>GB 5226.1  机械电气安全  机械电气设备第1部分：通用技术条件</w:t>
      </w:r>
    </w:p>
    <w:p>
      <w:pPr>
        <w:pStyle w:val="20"/>
        <w:rPr>
          <w:rFonts w:hint="eastAsia" w:hAnsi="宋体"/>
        </w:rPr>
      </w:pPr>
      <w:r>
        <w:rPr>
          <w:rFonts w:hint="eastAsia" w:hAnsi="宋体"/>
        </w:rPr>
        <w:t xml:space="preserve">GB/T 5667  </w:t>
      </w:r>
      <w:r>
        <w:rPr>
          <w:rFonts w:hint="eastAsia"/>
        </w:rPr>
        <w:t>农业机械  生产试验方法</w:t>
      </w:r>
    </w:p>
    <w:p>
      <w:pPr>
        <w:pStyle w:val="20"/>
        <w:rPr>
          <w:rFonts w:hint="eastAsia"/>
        </w:rPr>
      </w:pPr>
      <w:r>
        <w:rPr>
          <w:rFonts w:hint="eastAsia"/>
        </w:rPr>
        <w:t>GB/T 8196  机械安全  防护装置  固定式和活动式防护装置设计与制造一般要求</w:t>
      </w:r>
    </w:p>
    <w:p>
      <w:pPr>
        <w:pStyle w:val="20"/>
        <w:rPr>
          <w:rFonts w:hint="eastAsia"/>
        </w:rPr>
      </w:pPr>
      <w:r>
        <w:rPr>
          <w:rFonts w:hint="eastAsia" w:hAnsi="宋体"/>
        </w:rPr>
        <w:t xml:space="preserve">GB/T 9480  </w:t>
      </w:r>
      <w:r>
        <w:rPr>
          <w:rFonts w:hint="eastAsia"/>
          <w:color w:val="000000"/>
        </w:rPr>
        <w:t>农林拖拉机和机械、草坪和园艺动力机械 使用说明书编写规则</w:t>
      </w:r>
    </w:p>
    <w:p>
      <w:pPr>
        <w:pStyle w:val="20"/>
        <w:rPr>
          <w:rFonts w:hint="eastAsia"/>
        </w:rPr>
      </w:pPr>
      <w:r>
        <w:rPr>
          <w:rFonts w:hint="eastAsia"/>
        </w:rPr>
        <w:t>GB 10396  农林拖拉机和机械、草坪和园艺动力机械  安全标志和危险图形  总则</w:t>
      </w:r>
    </w:p>
    <w:p>
      <w:pPr>
        <w:pStyle w:val="20"/>
        <w:rPr>
          <w:rFonts w:hint="eastAsia"/>
        </w:rPr>
      </w:pPr>
      <w:r>
        <w:rPr>
          <w:rFonts w:hint="eastAsia"/>
        </w:rPr>
        <w:t>GB/T 13306   标牌</w:t>
      </w:r>
    </w:p>
    <w:p>
      <w:pPr>
        <w:pStyle w:val="20"/>
        <w:rPr>
          <w:rFonts w:hint="eastAsia"/>
        </w:rPr>
      </w:pPr>
      <w:r>
        <w:rPr>
          <w:rFonts w:hint="eastAsia"/>
        </w:rPr>
        <w:t>GB 14784  带式输送机安全规范</w:t>
      </w:r>
    </w:p>
    <w:p>
      <w:pPr>
        <w:pStyle w:val="20"/>
        <w:rPr>
          <w:rFonts w:hint="eastAsia"/>
        </w:rPr>
      </w:pPr>
      <w:r>
        <w:rPr>
          <w:rFonts w:hint="eastAsia" w:hAnsi="宋体"/>
        </w:rPr>
        <w:t>GB 23821  机械安全  防止上下肢触及危险区的安全距离</w:t>
      </w:r>
    </w:p>
    <w:p>
      <w:pPr>
        <w:pStyle w:val="20"/>
        <w:rPr>
          <w:rFonts w:hint="eastAsia" w:hAnsi="宋体"/>
        </w:rPr>
      </w:pPr>
      <w:r>
        <w:rPr>
          <w:rFonts w:hint="eastAsia"/>
        </w:rPr>
        <w:t xml:space="preserve">JB/T 5673  </w:t>
      </w:r>
      <w:r>
        <w:rPr>
          <w:rFonts w:hint="eastAsia" w:hAnsi="宋体"/>
        </w:rPr>
        <w:t>农林拖拉机及机具  涂漆  通用技术条件</w:t>
      </w:r>
    </w:p>
    <w:p>
      <w:pPr>
        <w:pStyle w:val="20"/>
        <w:rPr>
          <w:rFonts w:hint="eastAsia"/>
        </w:rPr>
      </w:pPr>
      <w:r>
        <w:rPr>
          <w:rFonts w:hint="eastAsia"/>
        </w:rPr>
        <w:t>JB/T 8581  畜牧机械  产品型号编制规则</w:t>
      </w:r>
    </w:p>
    <w:p>
      <w:pPr>
        <w:pStyle w:val="41"/>
        <w:ind w:left="0"/>
        <w:rPr>
          <w:rFonts w:hint="eastAsia"/>
        </w:rPr>
      </w:pPr>
      <w:bookmarkStart w:id="20" w:name="_Toc398244163"/>
      <w:bookmarkStart w:id="21" w:name="_Toc418671508"/>
      <w:bookmarkStart w:id="22" w:name="_Toc393814283"/>
      <w:bookmarkStart w:id="23" w:name="_Toc421111650"/>
      <w:bookmarkStart w:id="24" w:name="_Toc418675953"/>
      <w:bookmarkStart w:id="25" w:name="_Toc421030078"/>
      <w:r>
        <w:rPr>
          <w:rFonts w:hint="eastAsia"/>
        </w:rPr>
        <w:t>术语和定义</w:t>
      </w:r>
      <w:bookmarkEnd w:id="20"/>
      <w:bookmarkEnd w:id="21"/>
      <w:bookmarkEnd w:id="22"/>
      <w:bookmarkEnd w:id="23"/>
      <w:bookmarkEnd w:id="24"/>
      <w:bookmarkEnd w:id="25"/>
    </w:p>
    <w:p>
      <w:pPr>
        <w:pStyle w:val="20"/>
        <w:rPr>
          <w:rFonts w:hint="eastAsia"/>
        </w:rPr>
      </w:pPr>
      <w:r>
        <w:rPr>
          <w:rFonts w:hint="eastAsia"/>
        </w:rPr>
        <w:t>下列术语和定义适用于本文件。</w:t>
      </w:r>
    </w:p>
    <w:p>
      <w:pPr>
        <w:pStyle w:val="44"/>
        <w:ind w:left="0"/>
        <w:rPr>
          <w:rFonts w:hint="eastAsia"/>
        </w:rPr>
      </w:pPr>
      <w:bookmarkStart w:id="26" w:name="_Toc398244164"/>
      <w:bookmarkEnd w:id="26"/>
      <w:bookmarkStart w:id="27" w:name="_Toc421111651"/>
      <w:bookmarkEnd w:id="27"/>
      <w:bookmarkStart w:id="28" w:name="_Toc421030079"/>
      <w:bookmarkEnd w:id="28"/>
      <w:bookmarkStart w:id="29" w:name="_Toc418675954"/>
      <w:bookmarkEnd w:id="29"/>
      <w:bookmarkStart w:id="30" w:name="_Toc418671509"/>
      <w:bookmarkEnd w:id="30"/>
    </w:p>
    <w:p>
      <w:pPr>
        <w:pStyle w:val="20"/>
        <w:spacing w:after="156" w:afterLines="50"/>
        <w:rPr>
          <w:rFonts w:hint="eastAsia" w:ascii="黑体" w:hAnsi="黑体" w:eastAsia="黑体"/>
        </w:rPr>
      </w:pPr>
      <w:r>
        <w:rPr>
          <w:rFonts w:hint="eastAsia" w:ascii="黑体" w:hAnsi="黑体" w:eastAsia="黑体"/>
        </w:rPr>
        <w:t>自动化饲喂设备  a</w:t>
      </w:r>
      <w:r>
        <w:rPr>
          <w:rFonts w:ascii="黑体" w:hAnsi="黑体" w:eastAsia="黑体"/>
        </w:rPr>
        <w:t>utomatic feeding device</w:t>
      </w:r>
    </w:p>
    <w:p>
      <w:pPr>
        <w:pStyle w:val="20"/>
        <w:rPr>
          <w:rFonts w:hint="eastAsia"/>
        </w:rPr>
      </w:pPr>
      <w:r>
        <w:rPr>
          <w:rFonts w:hint="eastAsia"/>
        </w:rPr>
        <w:t>采用电动机驱动皮带运动将搅拌好的饲草料</w:t>
      </w:r>
      <w:r>
        <w:rPr>
          <w:rFonts w:hint="eastAsia" w:cs="宋体"/>
          <w:szCs w:val="21"/>
        </w:rPr>
        <w:t>均匀的分布在饲喂设备输送带上</w:t>
      </w:r>
      <w:r>
        <w:rPr>
          <w:rFonts w:hint="eastAsia"/>
        </w:rPr>
        <w:t>，且具有料满自动停机功能的机械设备。</w:t>
      </w:r>
    </w:p>
    <w:p>
      <w:pPr>
        <w:pStyle w:val="44"/>
        <w:ind w:left="0"/>
        <w:rPr>
          <w:rFonts w:hint="eastAsia"/>
        </w:rPr>
      </w:pPr>
      <w:bookmarkStart w:id="31" w:name="_Toc421030080"/>
      <w:bookmarkEnd w:id="31"/>
      <w:bookmarkStart w:id="32" w:name="_Toc398244165"/>
      <w:bookmarkEnd w:id="32"/>
      <w:bookmarkStart w:id="33" w:name="_Toc421111652"/>
      <w:bookmarkEnd w:id="33"/>
      <w:bookmarkStart w:id="34" w:name="_Toc418671510"/>
      <w:bookmarkEnd w:id="34"/>
      <w:bookmarkStart w:id="35" w:name="_Toc418675955"/>
      <w:bookmarkEnd w:id="35"/>
    </w:p>
    <w:p>
      <w:pPr>
        <w:autoSpaceDE w:val="0"/>
        <w:autoSpaceDN w:val="0"/>
        <w:adjustRightInd w:val="0"/>
        <w:ind w:firstLine="420"/>
        <w:jc w:val="left"/>
        <w:rPr>
          <w:rFonts w:hint="eastAsia" w:ascii="黑体" w:eastAsia="黑体" w:cs="黑体"/>
          <w:color w:val="000000"/>
          <w:kern w:val="0"/>
          <w:szCs w:val="21"/>
        </w:rPr>
      </w:pPr>
      <w:r>
        <w:rPr>
          <w:rFonts w:hint="eastAsia" w:ascii="黑体" w:eastAsia="黑体" w:cs="黑体"/>
          <w:color w:val="000000"/>
          <w:kern w:val="0"/>
          <w:szCs w:val="21"/>
        </w:rPr>
        <w:t xml:space="preserve">喂料批次  </w:t>
      </w:r>
      <w:r>
        <w:rPr>
          <w:rFonts w:ascii="黑体" w:hAnsi="黑体" w:eastAsia="黑体"/>
        </w:rPr>
        <w:t>feed</w:t>
      </w:r>
      <w:r>
        <w:rPr>
          <w:rFonts w:hint="eastAsia" w:ascii="黑体" w:hAnsi="黑体" w:eastAsia="黑体"/>
        </w:rPr>
        <w:t xml:space="preserve"> batch</w:t>
      </w:r>
    </w:p>
    <w:p>
      <w:pPr>
        <w:pStyle w:val="20"/>
        <w:rPr>
          <w:rFonts w:hint="eastAsia"/>
        </w:rPr>
      </w:pPr>
      <w:r>
        <w:rPr>
          <w:rFonts w:hint="eastAsia" w:cs="宋体"/>
          <w:color w:val="000000"/>
          <w:szCs w:val="21"/>
        </w:rPr>
        <w:t>将规定数量的试验物料均匀的分布在饲喂设备输送带上，从物料进入输送带开始直至饲喂设备自动停机为止作为一个喂料批次。</w:t>
      </w:r>
    </w:p>
    <w:p>
      <w:pPr>
        <w:pStyle w:val="41"/>
        <w:ind w:left="0"/>
        <w:rPr>
          <w:rFonts w:hint="eastAsia"/>
        </w:rPr>
      </w:pPr>
      <w:bookmarkStart w:id="36" w:name="_Toc381018254"/>
      <w:bookmarkStart w:id="37" w:name="_Toc381018200"/>
      <w:bookmarkStart w:id="38" w:name="_Toc398244166"/>
      <w:bookmarkStart w:id="39" w:name="_Toc418671511"/>
      <w:bookmarkStart w:id="40" w:name="_Toc418675956"/>
      <w:bookmarkStart w:id="41" w:name="_Toc421030081"/>
      <w:bookmarkStart w:id="42" w:name="_Toc421111653"/>
      <w:bookmarkStart w:id="43" w:name="_Toc393814286"/>
      <w:r>
        <w:rPr>
          <w:rFonts w:hint="eastAsia"/>
        </w:rPr>
        <w:t>型号</w:t>
      </w:r>
      <w:bookmarkEnd w:id="36"/>
      <w:bookmarkEnd w:id="37"/>
      <w:bookmarkEnd w:id="38"/>
      <w:bookmarkEnd w:id="39"/>
      <w:bookmarkEnd w:id="40"/>
      <w:bookmarkEnd w:id="41"/>
      <w:bookmarkEnd w:id="42"/>
      <w:bookmarkEnd w:id="43"/>
    </w:p>
    <w:p>
      <w:pPr>
        <w:pStyle w:val="20"/>
        <w:rPr>
          <w:rFonts w:hint="eastAsia"/>
        </w:rPr>
      </w:pPr>
      <w:r>
        <w:rPr>
          <w:rFonts w:hint="eastAsia"/>
        </w:rPr>
        <w:t>产品型号的表示方法应符合JB/T 8581的规定。</w:t>
      </w:r>
    </w:p>
    <w:p>
      <w:pPr>
        <w:numPr>
          <w:ilvl w:val="0"/>
          <w:numId w:val="11"/>
        </w:numPr>
        <w:rPr>
          <w:rFonts w:hint="eastAsia" w:ascii="宋体" w:hAnsi="宋体"/>
          <w:sz w:val="28"/>
          <w:szCs w:val="28"/>
        </w:rPr>
      </w:pPr>
      <w:r>
        <w:rPr>
          <w:rFonts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318135</wp:posOffset>
                </wp:positionV>
                <wp:extent cx="173990" cy="0"/>
                <wp:effectExtent l="0" t="0" r="0" b="0"/>
                <wp:wrapNone/>
                <wp:docPr id="1" name="直线 16"/>
                <wp:cNvGraphicFramePr/>
                <a:graphic xmlns:a="http://schemas.openxmlformats.org/drawingml/2006/main">
                  <a:graphicData uri="http://schemas.microsoft.com/office/word/2010/wordprocessingShape">
                    <wps:wsp>
                      <wps:cNvCnPr/>
                      <wps:spPr>
                        <a:xfrm>
                          <a:off x="0" y="0"/>
                          <a:ext cx="17399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27pt;margin-top:25.05pt;height:0pt;width:13.7pt;z-index:251662336;mso-width-relative:page;mso-height-relative:page;" filled="f" stroked="t" coordsize="21600,21600" o:gfxdata="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HOee1QAAAAcBAAAPAAAAAAAAAAEAIAAAACIAAABkcnMv&#10;ZG93bnJldi54bWxQSwECFAAUAAAACACHTuJAxtjn3c0BAACOAwAADgAAAAAAAAABACAAAAAkAQAA&#10;ZHJzL2Uyb0RvYy54bWxQSwUGAAAAAAYABgBZAQAAYwUAAAAA&#10;">
                <v:fill on="f" focussize="0,0"/>
                <v:stroke weight="1.25pt"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75648" behindDoc="0" locked="0" layoutInCell="1" allowOverlap="1">
                <wp:simplePos x="0" y="0"/>
                <wp:positionH relativeFrom="column">
                  <wp:posOffset>423545</wp:posOffset>
                </wp:positionH>
                <wp:positionV relativeFrom="paragraph">
                  <wp:posOffset>318135</wp:posOffset>
                </wp:positionV>
                <wp:extent cx="0" cy="781050"/>
                <wp:effectExtent l="4445" t="0" r="14605" b="0"/>
                <wp:wrapNone/>
                <wp:docPr id="14" name="直线 29"/>
                <wp:cNvGraphicFramePr/>
                <a:graphic xmlns:a="http://schemas.openxmlformats.org/drawingml/2006/main">
                  <a:graphicData uri="http://schemas.microsoft.com/office/word/2010/wordprocessingShape">
                    <wps:wsp>
                      <wps:cNvCnPr/>
                      <wps:spPr>
                        <a:xfrm>
                          <a:off x="0" y="0"/>
                          <a:ext cx="0" cy="781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33.35pt;margin-top:25.05pt;height:61.5pt;width:0pt;z-index:251675648;mso-width-relative:page;mso-height-relative:page;" filled="f" stroked="t" coordsize="21600,21600" o:gfxdata="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jDJDVAAAACAEAAA8AAAAAAAAAAQAgAAAAIgAAAGRy&#10;cy9kb3ducmV2LnhtbFBLAQIUABQAAAAIAIdO4kAXpMz6zwEAAI4DAAAOAAAAAAAAAAEAIAAAACQB&#10;AABkcnMvZTJvRG9jLnhtbFBLBQYAAAAABgAGAFkBAABlBQ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1582420</wp:posOffset>
                </wp:positionH>
                <wp:positionV relativeFrom="paragraph">
                  <wp:posOffset>320040</wp:posOffset>
                </wp:positionV>
                <wp:extent cx="0" cy="198120"/>
                <wp:effectExtent l="4445" t="0" r="14605" b="11430"/>
                <wp:wrapNone/>
                <wp:docPr id="2" name="直线 17"/>
                <wp:cNvGraphicFramePr/>
                <a:graphic xmlns:a="http://schemas.openxmlformats.org/drawingml/2006/main">
                  <a:graphicData uri="http://schemas.microsoft.com/office/word/2010/wordprocessingShape">
                    <wps:wsp>
                      <wps:cNvCnPr/>
                      <wps:spPr>
                        <a:xfrm flipV="1">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flip:y;margin-left:124.6pt;margin-top:25.2pt;height:15.6pt;width:0pt;z-index:251663360;mso-width-relative:page;mso-height-relative:page;" filled="f" stroked="t" coordsize="21600,21600" o:gfxdata="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Ks+BG1gAAAAkBAAAPAAAAAAAAAAEAIAAA&#10;ACIAAABkcnMvZG93bnJldi54bWxQSwECFAAUAAAACACHTuJAtVPdhtUBAACXAwAADgAAAAAAAAAB&#10;ACAAAAAlAQAAZHJzL2Uyb0RvYy54bWxQSwUGAAAAAAYABgBZAQAAbAU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71552" behindDoc="0" locked="0" layoutInCell="1" allowOverlap="1">
                <wp:simplePos x="0" y="0"/>
                <wp:positionH relativeFrom="column">
                  <wp:posOffset>1104900</wp:posOffset>
                </wp:positionH>
                <wp:positionV relativeFrom="paragraph">
                  <wp:posOffset>320040</wp:posOffset>
                </wp:positionV>
                <wp:extent cx="0" cy="396240"/>
                <wp:effectExtent l="4445" t="0" r="14605" b="3810"/>
                <wp:wrapNone/>
                <wp:docPr id="10" name="直线 2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87pt;margin-top:25.2pt;height:31.2pt;width:0pt;z-index:251671552;mso-width-relative:page;mso-height-relative:page;" filled="f" stroked="t" coordsize="21600,21600" o:gfxdata="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&#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lVhr1wAAAAoBAAAPAAAAAAAAAAEAIAAAACIAAABk&#10;cnMvZG93bnJldi54bWxQSwECFAAUAAAACACHTuJAtd6bCc4BAACOAwAADgAAAAAAAAABACAAAAAm&#10;AQAAZHJzL2Uyb0RvYy54bWxQSwUGAAAAAAYABgBZAQAAZgU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5408" behindDoc="0" locked="0" layoutInCell="1" allowOverlap="1">
                <wp:simplePos x="0" y="0"/>
                <wp:positionH relativeFrom="column">
                  <wp:posOffset>1016635</wp:posOffset>
                </wp:positionH>
                <wp:positionV relativeFrom="paragraph">
                  <wp:posOffset>318135</wp:posOffset>
                </wp:positionV>
                <wp:extent cx="191135" cy="1905"/>
                <wp:effectExtent l="0" t="0" r="0" b="0"/>
                <wp:wrapNone/>
                <wp:docPr id="4" name="直线 19"/>
                <wp:cNvGraphicFramePr/>
                <a:graphic xmlns:a="http://schemas.openxmlformats.org/drawingml/2006/main">
                  <a:graphicData uri="http://schemas.microsoft.com/office/word/2010/wordprocessingShape">
                    <wps:wsp>
                      <wps:cNvCnPr/>
                      <wps:spPr>
                        <a:xfrm>
                          <a:off x="0" y="0"/>
                          <a:ext cx="191135" cy="19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80.05pt;margin-top:25.05pt;height:0.15pt;width:15.05pt;z-index:251665408;mso-width-relative:page;mso-height-relative:page;" filled="f" stroked="t" coordsize="21600,21600" o:gfxdata="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xszmtcAAAAJAQAADwAAAAAAAAABACAAAAAiAAAA&#10;ZHJzL2Rvd25yZXYueG1sUEsBAhQAFAAAAAgAh07iQBtDm+LPAQAAkQMAAA4AAAAAAAAAAQAgAAAA&#10;JgEAAGRycy9lMm9Eb2MueG1sUEsFBgAAAAAGAAYAWQEAAGcFAAAAAA==&#10;">
                <v:fill on="f" focussize="0,0"/>
                <v:stroke weight="1.25pt"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6432" behindDoc="0" locked="0" layoutInCell="1" allowOverlap="1">
                <wp:simplePos x="0" y="0"/>
                <wp:positionH relativeFrom="column">
                  <wp:posOffset>1508760</wp:posOffset>
                </wp:positionH>
                <wp:positionV relativeFrom="paragraph">
                  <wp:posOffset>320040</wp:posOffset>
                </wp:positionV>
                <wp:extent cx="180340" cy="0"/>
                <wp:effectExtent l="0" t="0" r="0" b="0"/>
                <wp:wrapNone/>
                <wp:docPr id="5" name="直线 20"/>
                <wp:cNvGraphicFramePr/>
                <a:graphic xmlns:a="http://schemas.openxmlformats.org/drawingml/2006/main">
                  <a:graphicData uri="http://schemas.microsoft.com/office/word/2010/wordprocessingShape">
                    <wps:wsp>
                      <wps:cNvCnPr/>
                      <wps:spPr>
                        <a:xfrm flipV="1">
                          <a:off x="0" y="0"/>
                          <a:ext cx="1803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flip:y;margin-left:118.8pt;margin-top:25.2pt;height:0pt;width:14.2pt;z-index:251666432;mso-width-relative:page;mso-height-relative:page;" filled="f" stroked="t" coordsize="21600,21600" o:gfxdata="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C6xUNUAAAAJAQAADwAAAAAAAAABACAAAAAi&#10;AAAAZHJzL2Rvd25yZXYueG1sUEsBAhQAFAAAAAgAh07iQBVfJIjUAQAAmAMAAA4AAAAAAAAAAQAg&#10;AAAAJAEAAGRycy9lMm9Eb2MueG1sUEsFBgAAAAAGAAYAWQEAAGoFAAAAAA==&#10;">
                <v:fill on="f" focussize="0,0"/>
                <v:stroke weight="1.25pt"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73600" behindDoc="0" locked="0" layoutInCell="1" allowOverlap="1">
                <wp:simplePos x="0" y="0"/>
                <wp:positionH relativeFrom="column">
                  <wp:posOffset>788035</wp:posOffset>
                </wp:positionH>
                <wp:positionV relativeFrom="paragraph">
                  <wp:posOffset>320040</wp:posOffset>
                </wp:positionV>
                <wp:extent cx="0" cy="594360"/>
                <wp:effectExtent l="4445" t="0" r="14605" b="15240"/>
                <wp:wrapNone/>
                <wp:docPr id="12" name="直线 27"/>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62.05pt;margin-top:25.2pt;height:46.8pt;width:0pt;z-index:251673600;mso-width-relative:page;mso-height-relative:page;" filled="f" stroked="t" coordsize="21600,21600" o:gfxdata="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&#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CNUT1gAAAAoBAAAPAAAAAAAAAAEAIAAAACIAAABk&#10;cnMvZG93bnJldi54bWxQSwECFAAUAAAACACHTuJAD0QRF88BAACOAwAADgAAAAAAAAABACAAAAAl&#10;AQAAZHJzL2Uyb0RvYy54bWxQSwUGAAAAAAYABgBZAQAAZgU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4384" behindDoc="0" locked="0" layoutInCell="1" allowOverlap="1">
                <wp:simplePos x="0" y="0"/>
                <wp:positionH relativeFrom="column">
                  <wp:posOffset>730250</wp:posOffset>
                </wp:positionH>
                <wp:positionV relativeFrom="paragraph">
                  <wp:posOffset>318135</wp:posOffset>
                </wp:positionV>
                <wp:extent cx="126365" cy="0"/>
                <wp:effectExtent l="0" t="0" r="0" b="0"/>
                <wp:wrapNone/>
                <wp:docPr id="3" name="直线 18"/>
                <wp:cNvGraphicFramePr/>
                <a:graphic xmlns:a="http://schemas.openxmlformats.org/drawingml/2006/main">
                  <a:graphicData uri="http://schemas.microsoft.com/office/word/2010/wordprocessingShape">
                    <wps:wsp>
                      <wps:cNvCnPr/>
                      <wps:spPr>
                        <a:xfrm>
                          <a:off x="0" y="0"/>
                          <a:ext cx="12636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57.5pt;margin-top:25.05pt;height:0pt;width:9.95pt;z-index:251664384;mso-width-relative:page;mso-height-relative:page;" filled="f" stroked="t" coordsize="21600,21600" o:gfxdata="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kdN11wAAAAkBAAAPAAAAAAAAAAEAIAAAACIAAABk&#10;cnMvZG93bnJldi54bWxQSwECFAAUAAAACACHTuJAmbUvS84BAACOAwAADgAAAAAAAAABACAAAAAm&#10;AQAAZHJzL2Uyb0RvYy54bWxQSwUGAAAAAAYABgBZAQAAZgUAAAAA&#10;">
                <v:fill on="f" focussize="0,0"/>
                <v:stroke weight="1.25pt"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297180</wp:posOffset>
                </wp:positionV>
                <wp:extent cx="635" cy="0"/>
                <wp:effectExtent l="0" t="0" r="0" b="0"/>
                <wp:wrapNone/>
                <wp:docPr id="7" name="直线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90pt;margin-top:23.4pt;height:0pt;width:0.05pt;z-index:251668480;mso-width-relative:page;mso-height-relative:page;" filled="f" stroked="t" coordsize="21600,21600" o:gfxdata="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cZhl9UAAAAJAQAADwAAAAAAAAABACAAAAAiAAAAZHJzL2Rv&#10;d25yZXYueG1sUEsBAhQAFAAAAAgAh07iQNRakInLAQAAigMAAA4AAAAAAAAAAQAgAAAAJAEAAGRy&#10;cy9lMm9Eb2MueG1sUEsFBgAAAAAGAAYAWQEAAGEFA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297180</wp:posOffset>
                </wp:positionV>
                <wp:extent cx="635" cy="0"/>
                <wp:effectExtent l="0" t="0" r="0" b="0"/>
                <wp:wrapNone/>
                <wp:docPr id="6" name="直线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108pt;margin-top:23.4pt;height:0pt;width:0.05pt;z-index:251667456;mso-width-relative:page;mso-height-relative:page;" filled="f" stroked="t" coordsize="21600,21600" o:gfxdata="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1Wt3o1QAAAAkBAAAPAAAAAAAAAAEAIAAAACIAAABkcnMvZG93&#10;bnJldi54bWxQSwECFAAUAAAACACHTuJAYLgVgsoBAACKAwAADgAAAAAAAAABACAAAAAkAQAAZHJz&#10;L2Uyb0RvYy54bWxQSwUGAAAAAAYABgBZAQAAYAUAAAAA&#10;">
                <v:fill on="f" focussize="0,0"/>
                <v:stroke color="#000000" joinstyle="round"/>
                <v:imagedata o:title=""/>
                <o:lock v:ext="edit" aspectratio="f"/>
              </v:line>
            </w:pict>
          </mc:Fallback>
        </mc:AlternateContent>
      </w:r>
      <w:r>
        <w:rPr>
          <w:rFonts w:hint="eastAsia" w:ascii="宋体" w:hAnsi="宋体"/>
          <w:sz w:val="28"/>
          <w:szCs w:val="28"/>
        </w:rPr>
        <w:t xml:space="preserve"> </w:t>
      </w:r>
      <w:r>
        <w:rPr>
          <w:rFonts w:hint="eastAsia" w:ascii="宋体" w:hAnsi="宋体"/>
          <w:szCs w:val="21"/>
        </w:rPr>
        <w:t>W</w:t>
      </w:r>
      <w:r>
        <w:rPr>
          <w:rFonts w:hint="eastAsia" w:ascii="宋体" w:hAnsi="宋体"/>
          <w:sz w:val="28"/>
          <w:szCs w:val="28"/>
        </w:rPr>
        <w:t xml:space="preserve">   </w:t>
      </w:r>
      <w:r>
        <w:rPr>
          <w:rFonts w:hint="eastAsia" w:ascii="宋体" w:hAnsi="宋体"/>
          <w:szCs w:val="21"/>
        </w:rPr>
        <w:t>Z</w:t>
      </w:r>
      <w:r>
        <w:rPr>
          <w:rFonts w:hint="eastAsia" w:ascii="宋体" w:hAnsi="宋体"/>
          <w:sz w:val="28"/>
          <w:szCs w:val="28"/>
        </w:rPr>
        <w:t xml:space="preserve"> — </w:t>
      </w:r>
      <w:r>
        <w:rPr>
          <w:rFonts w:hint="eastAsia" w:ascii="宋体" w:hAnsi="宋体"/>
          <w:szCs w:val="21"/>
        </w:rPr>
        <w:t>XXX</w:t>
      </w:r>
    </w:p>
    <w:p>
      <w:pPr>
        <w:ind w:firstLine="4320" w:firstLineChars="2400"/>
        <w:rPr>
          <w:rFonts w:hint="eastAsia" w:ascii="宋体" w:hAnsi="宋体"/>
          <w:sz w:val="18"/>
          <w:szCs w:val="18"/>
        </w:rPr>
      </w:pPr>
      <w:r>
        <w:rPr>
          <w:rFonts w:ascii="宋体" w:hAnsi="宋体"/>
          <w:sz w:val="18"/>
          <w:szCs w:val="18"/>
        </w:rPr>
        <mc:AlternateContent>
          <mc:Choice Requires="wps">
            <w:drawing>
              <wp:anchor distT="0" distB="0" distL="114300" distR="114300" simplePos="0" relativeHeight="251670528" behindDoc="0" locked="0" layoutInCell="1" allowOverlap="1">
                <wp:simplePos x="0" y="0"/>
                <wp:positionH relativeFrom="column">
                  <wp:posOffset>1582420</wp:posOffset>
                </wp:positionH>
                <wp:positionV relativeFrom="paragraph">
                  <wp:posOffset>121920</wp:posOffset>
                </wp:positionV>
                <wp:extent cx="1046480" cy="0"/>
                <wp:effectExtent l="0" t="0" r="0" b="0"/>
                <wp:wrapNone/>
                <wp:docPr id="9" name="直线 24"/>
                <wp:cNvGraphicFramePr/>
                <a:graphic xmlns:a="http://schemas.openxmlformats.org/drawingml/2006/main">
                  <a:graphicData uri="http://schemas.microsoft.com/office/word/2010/wordprocessingShape">
                    <wps:wsp>
                      <wps:cNvCnPr/>
                      <wps:spPr>
                        <a:xfrm>
                          <a:off x="0" y="0"/>
                          <a:ext cx="1046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124.6pt;margin-top:9.6pt;height:0pt;width:82.4pt;z-index:251670528;mso-width-relative:page;mso-height-relative:page;" filled="f" stroked="t" coordsize="21600,21600" o:gfxdata="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MBl8NUAAAAJAQAADwAAAAAAAAABACAAAAAiAAAAZHJz&#10;L2Rvd25yZXYueG1sUEsBAhQAFAAAAAgAh07iQK++JDnOAQAAjgMAAA4AAAAAAAAAAQAgAAAAJAEA&#10;AGRycy9lMm9Eb2MueG1sUEsFBgAAAAAGAAYAWQEAAGQFAAAAAA==&#10;">
                <v:fill on="f" focussize="0,0"/>
                <v:stroke color="#000000" joinstyle="round"/>
                <v:imagedata o:title=""/>
                <o:lock v:ext="edit" aspectratio="f"/>
              </v:line>
            </w:pict>
          </mc:Fallback>
        </mc:AlternateContent>
      </w:r>
      <w:r>
        <w:rPr>
          <w:rFonts w:ascii="宋体" w:hAnsi="宋体"/>
          <w:sz w:val="18"/>
          <w:szCs w:val="18"/>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198120</wp:posOffset>
                </wp:positionV>
                <wp:extent cx="635" cy="0"/>
                <wp:effectExtent l="0" t="0" r="0" b="0"/>
                <wp:wrapNone/>
                <wp:docPr id="8" name="直线 2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117pt;margin-top:15.6pt;height:0pt;width:0.05pt;z-index:251669504;mso-width-relative:page;mso-height-relative:page;" filled="f" stroked="t" coordsize="21600,21600" o:gfxdata="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cKbGNUAAAAJAQAADwAAAAAAAAABACAAAAAiAAAAZHJzL2Rv&#10;d25yZXYueG1sUEsBAhQAFAAAAAgAh07iQCTORTLLAQAAigMAAA4AAAAAAAAAAQAgAAAAJAEAAGRy&#10;cy9lMm9Eb2MueG1sUEsFBgAAAAAGAAYAWQEAAGEFAAAAAA==&#10;">
                <v:fill on="f" focussize="0,0"/>
                <v:stroke color="#000000" joinstyle="round"/>
                <v:imagedata o:title=""/>
                <o:lock v:ext="edit" aspectratio="f"/>
              </v:line>
            </w:pict>
          </mc:Fallback>
        </mc:AlternateContent>
      </w:r>
      <w:r>
        <w:rPr>
          <w:rFonts w:hint="eastAsia" w:ascii="宋体" w:hAnsi="宋体"/>
          <w:sz w:val="18"/>
          <w:szCs w:val="18"/>
        </w:rPr>
        <w:t>饲喂设备长度</w:t>
      </w:r>
    </w:p>
    <w:p>
      <w:pPr>
        <w:ind w:left="630" w:firstLine="3675"/>
        <w:rPr>
          <w:rFonts w:hint="eastAsia" w:ascii="宋体" w:hAnsi="宋体"/>
          <w:sz w:val="18"/>
          <w:szCs w:val="18"/>
        </w:rPr>
      </w:pPr>
      <w:r>
        <w:rPr>
          <w:rFonts w:ascii="宋体" w:hAnsi="宋体"/>
          <w:sz w:val="18"/>
          <w:szCs w:val="18"/>
        </w:rPr>
        <mc:AlternateContent>
          <mc:Choice Requires="wps">
            <w:drawing>
              <wp:anchor distT="0" distB="0" distL="114300" distR="114300" simplePos="0" relativeHeight="251672576" behindDoc="0" locked="0" layoutInCell="1" allowOverlap="1">
                <wp:simplePos x="0" y="0"/>
                <wp:positionH relativeFrom="column">
                  <wp:posOffset>1104900</wp:posOffset>
                </wp:positionH>
                <wp:positionV relativeFrom="paragraph">
                  <wp:posOffset>121920</wp:posOffset>
                </wp:positionV>
                <wp:extent cx="1533525" cy="0"/>
                <wp:effectExtent l="0" t="0" r="0" b="0"/>
                <wp:wrapNone/>
                <wp:docPr id="11" name="直线 26"/>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87pt;margin-top:9.6pt;height:0pt;width:120.75pt;z-index:251672576;mso-width-relative:page;mso-height-relative:page;" filled="f" stroked="t" coordsize="21600,21600" o:gfxdata="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14nzdYAAAAJAQAADwAAAAAAAAABACAAAAAiAAAAZHJz&#10;L2Rvd25yZXYueG1sUEsBAhQAFAAAAAgAh07iQJF6r5zNAQAAjwMAAA4AAAAAAAAAAQAgAAAAJQEA&#10;AGRycy9lMm9Eb2MueG1sUEsFBgAAAAAGAAYAWQEAAGQFAAAAAA==&#10;">
                <v:fill on="f" focussize="0,0"/>
                <v:stroke color="#000000" joinstyle="round"/>
                <v:imagedata o:title=""/>
                <o:lock v:ext="edit" aspectratio="f"/>
              </v:line>
            </w:pict>
          </mc:Fallback>
        </mc:AlternateContent>
      </w:r>
      <w:r>
        <w:rPr>
          <w:rFonts w:hint="eastAsia" w:ascii="宋体" w:hAnsi="宋体"/>
          <w:sz w:val="18"/>
          <w:szCs w:val="18"/>
        </w:rPr>
        <w:t>自动</w:t>
      </w:r>
    </w:p>
    <w:p>
      <w:pPr>
        <w:ind w:left="630" w:firstLine="3675"/>
        <w:rPr>
          <w:rFonts w:hint="eastAsia" w:ascii="宋体" w:hAnsi="宋体"/>
          <w:sz w:val="18"/>
          <w:szCs w:val="18"/>
        </w:rPr>
      </w:pPr>
      <w:r>
        <w:rPr>
          <w:rFonts w:ascii="宋体" w:hAnsi="宋体"/>
          <w:sz w:val="18"/>
          <w:szCs w:val="18"/>
        </w:rPr>
        <mc:AlternateContent>
          <mc:Choice Requires="wps">
            <w:drawing>
              <wp:anchor distT="0" distB="0" distL="114300" distR="114300" simplePos="0" relativeHeight="251674624" behindDoc="0" locked="0" layoutInCell="1" allowOverlap="1">
                <wp:simplePos x="0" y="0"/>
                <wp:positionH relativeFrom="column">
                  <wp:posOffset>797560</wp:posOffset>
                </wp:positionH>
                <wp:positionV relativeFrom="paragraph">
                  <wp:posOffset>121920</wp:posOffset>
                </wp:positionV>
                <wp:extent cx="1840865" cy="0"/>
                <wp:effectExtent l="0" t="0" r="0" b="0"/>
                <wp:wrapNone/>
                <wp:docPr id="13" name="直线 28"/>
                <wp:cNvGraphicFramePr/>
                <a:graphic xmlns:a="http://schemas.openxmlformats.org/drawingml/2006/main">
                  <a:graphicData uri="http://schemas.microsoft.com/office/word/2010/wordprocessingShape">
                    <wps:wsp>
                      <wps:cNvCnPr/>
                      <wps:spPr>
                        <a:xfrm>
                          <a:off x="0" y="0"/>
                          <a:ext cx="18408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62.8pt;margin-top:9.6pt;height:0pt;width:144.95pt;z-index:251674624;mso-width-relative:page;mso-height-relative:page;" filled="f" stroked="t" coordsize="21600,21600" o:gfxdata="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kU38nWAAAACQEAAA8AAAAAAAAAAQAgAAAAIgAAAGRy&#10;cy9kb3ducmV2LnhtbFBLAQIUABQAAAAIAIdO4kAXucjAzgEAAI8DAAAOAAAAAAAAAAEAIAAAACUB&#10;AABkcnMvZTJvRG9jLnhtbFBLBQYAAAAABgAGAFkBAABlBQAAAAA=&#10;">
                <v:fill on="f" focussize="0,0"/>
                <v:stroke color="#000000" joinstyle="round"/>
                <v:imagedata o:title=""/>
                <o:lock v:ext="edit" aspectratio="f"/>
              </v:line>
            </w:pict>
          </mc:Fallback>
        </mc:AlternateContent>
      </w:r>
      <w:r>
        <w:rPr>
          <w:rFonts w:hint="eastAsia" w:ascii="宋体" w:hAnsi="宋体"/>
          <w:sz w:val="18"/>
          <w:szCs w:val="18"/>
        </w:rPr>
        <w:t>喂料设备</w:t>
      </w:r>
    </w:p>
    <w:p>
      <w:pPr>
        <w:ind w:left="630" w:firstLine="3675"/>
        <w:rPr>
          <w:rFonts w:hint="eastAsia" w:ascii="宋体" w:hAnsi="宋体"/>
          <w:szCs w:val="21"/>
        </w:rPr>
      </w:pPr>
      <w:r>
        <w:rPr>
          <w:rFonts w:ascii="宋体" w:hAnsi="宋体"/>
          <w:sz w:val="18"/>
          <w:szCs w:val="18"/>
        </w:rPr>
        <mc:AlternateContent>
          <mc:Choice Requires="wps">
            <w:drawing>
              <wp:anchor distT="0" distB="0" distL="114300" distR="114300" simplePos="0" relativeHeight="251676672" behindDoc="0" locked="0" layoutInCell="1" allowOverlap="1">
                <wp:simplePos x="0" y="0"/>
                <wp:positionH relativeFrom="column">
                  <wp:posOffset>423545</wp:posOffset>
                </wp:positionH>
                <wp:positionV relativeFrom="paragraph">
                  <wp:posOffset>110490</wp:posOffset>
                </wp:positionV>
                <wp:extent cx="2214880" cy="0"/>
                <wp:effectExtent l="0" t="0" r="0" b="0"/>
                <wp:wrapNone/>
                <wp:docPr id="15" name="直线 30"/>
                <wp:cNvGraphicFramePr/>
                <a:graphic xmlns:a="http://schemas.openxmlformats.org/drawingml/2006/main">
                  <a:graphicData uri="http://schemas.microsoft.com/office/word/2010/wordprocessingShape">
                    <wps:wsp>
                      <wps:cNvCnPr/>
                      <wps:spPr>
                        <a:xfrm>
                          <a:off x="0" y="0"/>
                          <a:ext cx="2214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33.35pt;margin-top:8.7pt;height:0pt;width:174.4pt;z-index:251676672;mso-width-relative:page;mso-height-relative:page;" filled="f" stroked="t" coordsize="21600,21600" o:gfxdata="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wLHstYAAAAIAQAADwAAAAAAAAABACAAAAAiAAAAZHJz&#10;L2Rvd25yZXYueG1sUEsBAhQAFAAAAAgAh07iQBPBKg/NAQAAjwMAAA4AAAAAAAAAAQAgAAAAJQEA&#10;AGRycy9lMm9Eb2MueG1sUEsFBgAAAAAGAAYAWQEAAGQFAAAAAA==&#10;">
                <v:fill on="f" focussize="0,0"/>
                <v:stroke color="#000000" joinstyle="round"/>
                <v:imagedata o:title=""/>
                <o:lock v:ext="edit" aspectratio="f"/>
              </v:line>
            </w:pict>
          </mc:Fallback>
        </mc:AlternateContent>
      </w:r>
      <w:r>
        <w:rPr>
          <w:rFonts w:hint="eastAsia" w:ascii="宋体" w:hAnsi="宋体"/>
          <w:sz w:val="18"/>
          <w:szCs w:val="18"/>
        </w:rPr>
        <w:t>畜牧机械代号</w:t>
      </w:r>
    </w:p>
    <w:p>
      <w:pPr>
        <w:pStyle w:val="56"/>
        <w:ind w:firstLine="360" w:firstLineChars="200"/>
        <w:rPr>
          <w:rFonts w:hint="eastAsia" w:ascii="黑体" w:eastAsia="黑体"/>
        </w:rPr>
      </w:pPr>
      <w:r>
        <w:rPr>
          <w:rFonts w:hint="eastAsia" w:ascii="黑体" w:eastAsia="黑体"/>
        </w:rPr>
        <w:t>示例：</w:t>
      </w:r>
    </w:p>
    <w:p>
      <w:pPr>
        <w:pStyle w:val="20"/>
        <w:ind w:firstLine="360"/>
        <w:rPr>
          <w:rFonts w:hint="eastAsia"/>
          <w:sz w:val="18"/>
          <w:szCs w:val="18"/>
        </w:rPr>
      </w:pPr>
      <w:r>
        <w:rPr>
          <w:rFonts w:hint="eastAsia"/>
          <w:sz w:val="18"/>
          <w:szCs w:val="18"/>
        </w:rPr>
        <w:t>9WZ—40表示长度为40m的自动化饲喂设备。</w:t>
      </w:r>
    </w:p>
    <w:p>
      <w:pPr>
        <w:pStyle w:val="41"/>
        <w:ind w:left="0"/>
        <w:rPr>
          <w:rFonts w:hint="eastAsia"/>
        </w:rPr>
      </w:pPr>
      <w:bookmarkStart w:id="44" w:name="_Toc398244167"/>
      <w:bookmarkStart w:id="45" w:name="_Toc418671512"/>
      <w:bookmarkStart w:id="46" w:name="_Toc421030082"/>
      <w:bookmarkStart w:id="47" w:name="_Toc418675957"/>
      <w:bookmarkStart w:id="48" w:name="_Toc421111654"/>
      <w:r>
        <w:rPr>
          <w:rFonts w:hint="eastAsia"/>
        </w:rPr>
        <w:t>技术要求</w:t>
      </w:r>
      <w:bookmarkEnd w:id="44"/>
      <w:bookmarkEnd w:id="45"/>
      <w:bookmarkEnd w:id="46"/>
      <w:bookmarkEnd w:id="47"/>
      <w:bookmarkEnd w:id="48"/>
    </w:p>
    <w:p>
      <w:pPr>
        <w:pStyle w:val="44"/>
        <w:ind w:left="0"/>
        <w:rPr>
          <w:rFonts w:hint="eastAsia"/>
        </w:rPr>
      </w:pPr>
      <w:bookmarkStart w:id="49" w:name="_Toc393814288"/>
      <w:bookmarkStart w:id="50" w:name="_Toc398244168"/>
      <w:bookmarkStart w:id="51" w:name="_Toc418675958"/>
      <w:bookmarkStart w:id="52" w:name="_Toc418671513"/>
      <w:bookmarkStart w:id="53" w:name="_Toc421111655"/>
      <w:bookmarkStart w:id="54" w:name="_Toc421030083"/>
      <w:r>
        <w:rPr>
          <w:rFonts w:hint="eastAsia"/>
        </w:rPr>
        <w:t>一般技术要求</w:t>
      </w:r>
      <w:bookmarkEnd w:id="49"/>
      <w:bookmarkEnd w:id="50"/>
      <w:bookmarkEnd w:id="51"/>
      <w:bookmarkEnd w:id="52"/>
      <w:bookmarkEnd w:id="53"/>
      <w:bookmarkEnd w:id="54"/>
    </w:p>
    <w:p>
      <w:pPr>
        <w:pStyle w:val="42"/>
        <w:rPr>
          <w:rFonts w:hint="eastAsia"/>
        </w:rPr>
      </w:pPr>
      <w:r>
        <w:rPr>
          <w:rFonts w:hint="eastAsia"/>
        </w:rPr>
        <w:t>饲喂设备应按经规定程序批准的图样和技术文件制造。</w:t>
      </w:r>
    </w:p>
    <w:p>
      <w:pPr>
        <w:pStyle w:val="42"/>
        <w:rPr>
          <w:rFonts w:hint="eastAsia"/>
        </w:rPr>
      </w:pPr>
      <w:r>
        <w:rPr>
          <w:rFonts w:hint="eastAsia"/>
        </w:rPr>
        <w:t>所有焊接件的焊接表面应清渣，焊缝应均匀、牢固，不应有脱焊、漏焊、烧穿、夹渣、气孔等影响强度的缺陷。</w:t>
      </w:r>
    </w:p>
    <w:p>
      <w:pPr>
        <w:pStyle w:val="42"/>
        <w:rPr>
          <w:rFonts w:hint="eastAsia"/>
        </w:rPr>
      </w:pPr>
      <w:r>
        <w:rPr>
          <w:rFonts w:hint="eastAsia"/>
        </w:rPr>
        <w:t>所有铸件不应有影响强度的气孔、缩松、砂眼等铸造缺陷，不应有裂纹。</w:t>
      </w:r>
    </w:p>
    <w:p>
      <w:pPr>
        <w:pStyle w:val="42"/>
        <w:rPr>
          <w:rFonts w:hint="eastAsia"/>
        </w:rPr>
      </w:pPr>
      <w:r>
        <w:rPr>
          <w:rFonts w:hint="eastAsia"/>
        </w:rPr>
        <w:t>饲喂设备的涂漆应符合JB/T 5673的规定，涂漆表面应均匀、光滑、色调一致，不应有裂纹、脱皮、气泡、漏涂及其他影响外观质量的缺陷。漆膜厚度应</w:t>
      </w:r>
      <w:r>
        <w:rPr>
          <w:rFonts w:hint="eastAsia" w:cs="宋体"/>
        </w:rPr>
        <w:t>不低于</w:t>
      </w:r>
      <w:r>
        <w:t>40</w:t>
      </w:r>
      <w:r>
        <w:rPr>
          <w:rFonts w:hint="eastAsia" w:cs="宋体"/>
        </w:rPr>
        <w:t>μ</w:t>
      </w:r>
      <w:r>
        <w:t>m</w:t>
      </w:r>
      <w:r>
        <w:rPr>
          <w:rFonts w:hint="eastAsia"/>
        </w:rPr>
        <w:t>。</w:t>
      </w:r>
    </w:p>
    <w:p>
      <w:pPr>
        <w:pStyle w:val="42"/>
        <w:rPr>
          <w:rFonts w:hint="eastAsia"/>
        </w:rPr>
      </w:pPr>
      <w:r>
        <w:rPr>
          <w:rFonts w:hint="eastAsia" w:hAnsi="宋体"/>
          <w:lang w:val="fr-FR"/>
        </w:rPr>
        <w:t>外露的机械加工表面、附件、备件及紧固件均应作防锈处理。</w:t>
      </w:r>
    </w:p>
    <w:p>
      <w:pPr>
        <w:pStyle w:val="42"/>
        <w:rPr>
          <w:rFonts w:hint="eastAsia" w:hAnsi="宋体"/>
        </w:rPr>
      </w:pPr>
      <w:r>
        <w:rPr>
          <w:rFonts w:hint="eastAsia"/>
        </w:rPr>
        <w:t>产品使用说</w:t>
      </w:r>
      <w:r>
        <w:rPr>
          <w:rFonts w:hint="eastAsia" w:hAnsi="宋体"/>
        </w:rPr>
        <w:t>明书的编写应符合GB/T 9480的规定。</w:t>
      </w:r>
    </w:p>
    <w:p>
      <w:pPr>
        <w:pStyle w:val="44"/>
        <w:ind w:left="0"/>
        <w:rPr>
          <w:rFonts w:hint="eastAsia"/>
        </w:rPr>
      </w:pPr>
      <w:bookmarkStart w:id="55" w:name="_Toc393814289"/>
      <w:bookmarkStart w:id="56" w:name="_Toc418671514"/>
      <w:bookmarkStart w:id="57" w:name="_Toc421030084"/>
      <w:bookmarkStart w:id="58" w:name="_Toc398244169"/>
      <w:bookmarkStart w:id="59" w:name="_Toc421111656"/>
      <w:bookmarkStart w:id="60" w:name="_Toc418675959"/>
      <w:r>
        <w:rPr>
          <w:rFonts w:hint="eastAsia"/>
        </w:rPr>
        <w:t>主要性能指标</w:t>
      </w:r>
      <w:bookmarkEnd w:id="55"/>
      <w:bookmarkEnd w:id="56"/>
      <w:bookmarkEnd w:id="57"/>
      <w:bookmarkEnd w:id="58"/>
      <w:bookmarkEnd w:id="59"/>
      <w:bookmarkEnd w:id="60"/>
    </w:p>
    <w:p>
      <w:pPr>
        <w:pStyle w:val="20"/>
        <w:rPr>
          <w:rFonts w:hint="eastAsia"/>
        </w:rPr>
      </w:pPr>
      <w:r>
        <w:rPr>
          <w:rFonts w:hint="eastAsia"/>
        </w:rPr>
        <w:t>饲喂设备正常条件下作业，性能指标应符合表1的规定。</w:t>
      </w:r>
    </w:p>
    <w:p>
      <w:pPr>
        <w:pStyle w:val="116"/>
        <w:numPr>
          <w:ilvl w:val="0"/>
          <w:numId w:val="12"/>
        </w:numPr>
        <w:rPr>
          <w:rFonts w:hint="eastAsia"/>
        </w:rPr>
      </w:pPr>
      <w:r>
        <w:rPr>
          <w:rFonts w:hint="eastAsia"/>
        </w:rPr>
        <w:t>主要性能指标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394"/>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jc w:val="center"/>
              <w:rPr>
                <w:rFonts w:hint="eastAsia" w:ascii="宋体"/>
                <w:sz w:val="18"/>
              </w:rPr>
            </w:pPr>
            <w:r>
              <w:rPr>
                <w:rFonts w:hint="eastAsia" w:ascii="宋体"/>
                <w:sz w:val="18"/>
              </w:rPr>
              <w:t>序  号</w:t>
            </w:r>
          </w:p>
        </w:tc>
        <w:tc>
          <w:tcPr>
            <w:tcW w:w="4394" w:type="dxa"/>
            <w:noWrap w:val="0"/>
            <w:vAlign w:val="center"/>
          </w:tcPr>
          <w:p>
            <w:pPr>
              <w:jc w:val="center"/>
              <w:rPr>
                <w:rFonts w:hint="eastAsia" w:ascii="宋体"/>
                <w:sz w:val="18"/>
              </w:rPr>
            </w:pPr>
            <w:r>
              <w:rPr>
                <w:rFonts w:hint="eastAsia" w:ascii="宋体"/>
                <w:sz w:val="18"/>
              </w:rPr>
              <w:t>项    目</w:t>
            </w:r>
          </w:p>
        </w:tc>
        <w:tc>
          <w:tcPr>
            <w:tcW w:w="3792" w:type="dxa"/>
            <w:noWrap w:val="0"/>
            <w:vAlign w:val="center"/>
          </w:tcPr>
          <w:p>
            <w:pPr>
              <w:jc w:val="center"/>
              <w:rPr>
                <w:rFonts w:hint="eastAsia" w:ascii="宋体"/>
                <w:sz w:val="18"/>
              </w:rPr>
            </w:pPr>
            <w:r>
              <w:rPr>
                <w:rFonts w:hint="eastAsia" w:ascii="宋体"/>
                <w:sz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84" w:type="dxa"/>
            <w:noWrap w:val="0"/>
            <w:vAlign w:val="center"/>
          </w:tcPr>
          <w:p>
            <w:pPr>
              <w:pStyle w:val="20"/>
              <w:adjustRightInd w:val="0"/>
              <w:snapToGrid w:val="0"/>
              <w:ind w:firstLine="0" w:firstLineChars="0"/>
              <w:jc w:val="center"/>
              <w:rPr>
                <w:rFonts w:hint="eastAsia"/>
                <w:sz w:val="18"/>
                <w:szCs w:val="18"/>
              </w:rPr>
            </w:pPr>
            <w:r>
              <w:rPr>
                <w:rFonts w:hint="eastAsia"/>
                <w:sz w:val="18"/>
                <w:szCs w:val="18"/>
              </w:rPr>
              <w:t>1</w:t>
            </w:r>
          </w:p>
        </w:tc>
        <w:tc>
          <w:tcPr>
            <w:tcW w:w="4394" w:type="dxa"/>
            <w:noWrap w:val="0"/>
            <w:vAlign w:val="top"/>
          </w:tcPr>
          <w:p>
            <w:pPr>
              <w:pStyle w:val="20"/>
              <w:adjustRightInd w:val="0"/>
              <w:snapToGrid w:val="0"/>
              <w:ind w:firstLine="0" w:firstLineChars="0"/>
              <w:jc w:val="center"/>
              <w:rPr>
                <w:rFonts w:hint="eastAsia"/>
                <w:sz w:val="18"/>
                <w:szCs w:val="18"/>
              </w:rPr>
            </w:pPr>
            <w:r>
              <w:rPr>
                <w:rFonts w:hint="eastAsia"/>
                <w:sz w:val="18"/>
                <w:szCs w:val="18"/>
              </w:rPr>
              <w:t xml:space="preserve">饲喂能力  </w:t>
            </w:r>
          </w:p>
          <w:p>
            <w:pPr>
              <w:pStyle w:val="20"/>
              <w:adjustRightInd w:val="0"/>
              <w:snapToGrid w:val="0"/>
              <w:ind w:firstLine="0" w:firstLineChars="0"/>
              <w:jc w:val="center"/>
              <w:rPr>
                <w:rFonts w:hint="eastAsia"/>
                <w:sz w:val="18"/>
                <w:szCs w:val="18"/>
              </w:rPr>
            </w:pPr>
            <w:r>
              <w:rPr>
                <w:rFonts w:hint="eastAsia"/>
                <w:sz w:val="18"/>
                <w:szCs w:val="18"/>
              </w:rPr>
              <w:t>kg</w:t>
            </w:r>
            <w:r>
              <w:rPr>
                <w:sz w:val="18"/>
                <w:szCs w:val="18"/>
              </w:rPr>
              <w:t>/h</w:t>
            </w:r>
          </w:p>
        </w:tc>
        <w:tc>
          <w:tcPr>
            <w:tcW w:w="3792" w:type="dxa"/>
            <w:noWrap w:val="0"/>
            <w:vAlign w:val="center"/>
          </w:tcPr>
          <w:p>
            <w:pPr>
              <w:pStyle w:val="20"/>
              <w:ind w:firstLine="0" w:firstLineChars="0"/>
              <w:jc w:val="center"/>
              <w:rPr>
                <w:rFonts w:hint="eastAsia"/>
                <w:sz w:val="18"/>
                <w:szCs w:val="18"/>
              </w:rPr>
            </w:pPr>
            <w:r>
              <w:rPr>
                <w:rFonts w:hint="eastAsia"/>
                <w:sz w:val="18"/>
                <w:szCs w:val="18"/>
              </w:rPr>
              <w:t>达到设计值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84" w:type="dxa"/>
            <w:noWrap w:val="0"/>
            <w:vAlign w:val="center"/>
          </w:tcPr>
          <w:p>
            <w:pPr>
              <w:pStyle w:val="20"/>
              <w:adjustRightInd w:val="0"/>
              <w:snapToGrid w:val="0"/>
              <w:ind w:firstLine="0" w:firstLineChars="0"/>
              <w:jc w:val="center"/>
              <w:rPr>
                <w:rFonts w:hint="eastAsia"/>
                <w:sz w:val="18"/>
                <w:szCs w:val="18"/>
              </w:rPr>
            </w:pPr>
            <w:r>
              <w:rPr>
                <w:rFonts w:hint="eastAsia"/>
                <w:sz w:val="18"/>
                <w:szCs w:val="18"/>
              </w:rPr>
              <w:t>2</w:t>
            </w:r>
          </w:p>
        </w:tc>
        <w:tc>
          <w:tcPr>
            <w:tcW w:w="4394" w:type="dxa"/>
            <w:noWrap w:val="0"/>
            <w:vAlign w:val="top"/>
          </w:tcPr>
          <w:p>
            <w:pPr>
              <w:pStyle w:val="20"/>
              <w:adjustRightInd w:val="0"/>
              <w:snapToGrid w:val="0"/>
              <w:ind w:firstLine="0" w:firstLineChars="0"/>
              <w:jc w:val="center"/>
              <w:rPr>
                <w:rFonts w:hint="eastAsia"/>
                <w:sz w:val="18"/>
                <w:szCs w:val="18"/>
              </w:rPr>
            </w:pPr>
            <w:r>
              <w:rPr>
                <w:rFonts w:hint="eastAsia"/>
                <w:sz w:val="18"/>
                <w:szCs w:val="18"/>
              </w:rPr>
              <w:t xml:space="preserve">送料均匀度  </w:t>
            </w:r>
          </w:p>
          <w:p>
            <w:pPr>
              <w:pStyle w:val="20"/>
              <w:adjustRightInd w:val="0"/>
              <w:snapToGrid w:val="0"/>
              <w:ind w:firstLine="0" w:firstLineChars="0"/>
              <w:jc w:val="center"/>
              <w:rPr>
                <w:rFonts w:hint="eastAsia"/>
                <w:sz w:val="18"/>
                <w:szCs w:val="18"/>
              </w:rPr>
            </w:pPr>
            <w:r>
              <w:rPr>
                <w:rFonts w:hint="eastAsia"/>
                <w:sz w:val="18"/>
                <w:szCs w:val="18"/>
              </w:rPr>
              <w:t>%</w:t>
            </w:r>
          </w:p>
        </w:tc>
        <w:tc>
          <w:tcPr>
            <w:tcW w:w="3792" w:type="dxa"/>
            <w:noWrap w:val="0"/>
            <w:vAlign w:val="center"/>
          </w:tcPr>
          <w:p>
            <w:pPr>
              <w:pStyle w:val="20"/>
              <w:ind w:firstLine="0" w:firstLineChars="0"/>
              <w:jc w:val="center"/>
              <w:rPr>
                <w:rFonts w:hint="eastAsia"/>
                <w:sz w:val="18"/>
                <w:szCs w:val="18"/>
              </w:rPr>
            </w:pPr>
            <w:r>
              <w:rPr>
                <w:rFonts w:hint="eastAsia"/>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84" w:type="dxa"/>
            <w:noWrap w:val="0"/>
            <w:vAlign w:val="center"/>
          </w:tcPr>
          <w:p>
            <w:pPr>
              <w:pStyle w:val="20"/>
              <w:adjustRightInd w:val="0"/>
              <w:snapToGrid w:val="0"/>
              <w:ind w:firstLine="0" w:firstLineChars="0"/>
              <w:jc w:val="center"/>
              <w:rPr>
                <w:rFonts w:hint="eastAsia"/>
                <w:sz w:val="18"/>
                <w:szCs w:val="18"/>
              </w:rPr>
            </w:pPr>
            <w:r>
              <w:rPr>
                <w:rFonts w:hint="eastAsia"/>
                <w:sz w:val="18"/>
                <w:szCs w:val="18"/>
              </w:rPr>
              <w:t>3</w:t>
            </w:r>
          </w:p>
        </w:tc>
        <w:tc>
          <w:tcPr>
            <w:tcW w:w="4394" w:type="dxa"/>
            <w:noWrap w:val="0"/>
            <w:vAlign w:val="top"/>
          </w:tcPr>
          <w:p>
            <w:pPr>
              <w:pStyle w:val="20"/>
              <w:adjustRightInd w:val="0"/>
              <w:snapToGrid w:val="0"/>
              <w:ind w:firstLine="0" w:firstLineChars="0"/>
              <w:jc w:val="center"/>
              <w:rPr>
                <w:rFonts w:hint="eastAsia"/>
                <w:sz w:val="18"/>
                <w:szCs w:val="18"/>
              </w:rPr>
            </w:pPr>
            <w:r>
              <w:rPr>
                <w:rFonts w:hint="eastAsia"/>
                <w:sz w:val="18"/>
                <w:szCs w:val="18"/>
              </w:rPr>
              <w:t xml:space="preserve">输送带速度  </w:t>
            </w:r>
          </w:p>
          <w:p>
            <w:pPr>
              <w:pStyle w:val="20"/>
              <w:adjustRightInd w:val="0"/>
              <w:snapToGrid w:val="0"/>
              <w:ind w:firstLine="0" w:firstLineChars="0"/>
              <w:jc w:val="center"/>
              <w:rPr>
                <w:rFonts w:hint="eastAsia"/>
                <w:sz w:val="18"/>
                <w:szCs w:val="18"/>
              </w:rPr>
            </w:pPr>
            <w:r>
              <w:rPr>
                <w:rFonts w:hint="eastAsia"/>
                <w:sz w:val="18"/>
                <w:szCs w:val="18"/>
              </w:rPr>
              <w:t>m/min</w:t>
            </w:r>
          </w:p>
        </w:tc>
        <w:tc>
          <w:tcPr>
            <w:tcW w:w="3792" w:type="dxa"/>
            <w:noWrap w:val="0"/>
            <w:vAlign w:val="center"/>
          </w:tcPr>
          <w:p>
            <w:pPr>
              <w:pStyle w:val="20"/>
              <w:ind w:firstLine="0" w:firstLineChars="0"/>
              <w:jc w:val="center"/>
              <w:rPr>
                <w:rFonts w:hint="eastAsia"/>
                <w:sz w:val="18"/>
                <w:szCs w:val="18"/>
              </w:rPr>
            </w:pPr>
            <w:r>
              <w:rPr>
                <w:rFonts w:hint="eastAsia"/>
                <w:sz w:val="18"/>
                <w:szCs w:val="18"/>
              </w:rPr>
              <w:t>达到设计值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84" w:type="dxa"/>
            <w:noWrap w:val="0"/>
            <w:vAlign w:val="center"/>
          </w:tcPr>
          <w:p>
            <w:pPr>
              <w:pStyle w:val="20"/>
              <w:adjustRightInd w:val="0"/>
              <w:snapToGrid w:val="0"/>
              <w:ind w:firstLine="0" w:firstLineChars="0"/>
              <w:jc w:val="center"/>
              <w:rPr>
                <w:rFonts w:hint="eastAsia"/>
                <w:sz w:val="18"/>
                <w:szCs w:val="18"/>
              </w:rPr>
            </w:pPr>
            <w:r>
              <w:rPr>
                <w:rFonts w:hint="eastAsia"/>
                <w:sz w:val="18"/>
                <w:szCs w:val="18"/>
              </w:rPr>
              <w:t>4</w:t>
            </w:r>
          </w:p>
        </w:tc>
        <w:tc>
          <w:tcPr>
            <w:tcW w:w="4394" w:type="dxa"/>
            <w:noWrap w:val="0"/>
            <w:vAlign w:val="top"/>
          </w:tcPr>
          <w:p>
            <w:pPr>
              <w:pStyle w:val="20"/>
              <w:adjustRightInd w:val="0"/>
              <w:snapToGrid w:val="0"/>
              <w:ind w:firstLine="0" w:firstLineChars="0"/>
              <w:jc w:val="center"/>
              <w:rPr>
                <w:rFonts w:hint="eastAsia"/>
                <w:sz w:val="18"/>
                <w:szCs w:val="18"/>
              </w:rPr>
            </w:pPr>
            <w:r>
              <w:rPr>
                <w:rFonts w:hint="eastAsia"/>
                <w:sz w:val="18"/>
                <w:szCs w:val="18"/>
              </w:rPr>
              <w:t>饲料损失率</w:t>
            </w:r>
          </w:p>
          <w:p>
            <w:pPr>
              <w:pStyle w:val="20"/>
              <w:adjustRightInd w:val="0"/>
              <w:snapToGrid w:val="0"/>
              <w:ind w:firstLine="0" w:firstLineChars="0"/>
              <w:jc w:val="center"/>
              <w:rPr>
                <w:rFonts w:hint="eastAsia"/>
                <w:sz w:val="18"/>
                <w:szCs w:val="18"/>
              </w:rPr>
            </w:pPr>
            <w:r>
              <w:rPr>
                <w:rFonts w:hint="eastAsia"/>
                <w:sz w:val="18"/>
                <w:szCs w:val="18"/>
              </w:rPr>
              <w:t>%</w:t>
            </w:r>
          </w:p>
        </w:tc>
        <w:tc>
          <w:tcPr>
            <w:tcW w:w="3792" w:type="dxa"/>
            <w:noWrap w:val="0"/>
            <w:vAlign w:val="center"/>
          </w:tcPr>
          <w:p>
            <w:pPr>
              <w:pStyle w:val="20"/>
              <w:ind w:firstLine="0" w:firstLineChars="0"/>
              <w:jc w:val="center"/>
              <w:rPr>
                <w:rFonts w:hint="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pStyle w:val="20"/>
              <w:adjustRightInd w:val="0"/>
              <w:snapToGrid w:val="0"/>
              <w:ind w:firstLine="0" w:firstLineChars="0"/>
              <w:jc w:val="center"/>
              <w:rPr>
                <w:rFonts w:hint="eastAsia"/>
                <w:sz w:val="18"/>
                <w:szCs w:val="18"/>
              </w:rPr>
            </w:pPr>
            <w:r>
              <w:rPr>
                <w:rFonts w:hint="eastAsia"/>
                <w:sz w:val="18"/>
                <w:szCs w:val="18"/>
              </w:rPr>
              <w:t>5</w:t>
            </w:r>
          </w:p>
        </w:tc>
        <w:tc>
          <w:tcPr>
            <w:tcW w:w="4394" w:type="dxa"/>
            <w:noWrap w:val="0"/>
            <w:vAlign w:val="top"/>
          </w:tcPr>
          <w:p>
            <w:pPr>
              <w:pStyle w:val="20"/>
              <w:adjustRightInd w:val="0"/>
              <w:snapToGrid w:val="0"/>
              <w:ind w:firstLine="0" w:firstLineChars="0"/>
              <w:jc w:val="center"/>
              <w:rPr>
                <w:rFonts w:hint="eastAsia"/>
                <w:sz w:val="18"/>
                <w:szCs w:val="18"/>
              </w:rPr>
            </w:pPr>
            <w:r>
              <w:rPr>
                <w:rFonts w:hint="eastAsia"/>
                <w:sz w:val="18"/>
                <w:szCs w:val="18"/>
              </w:rPr>
              <w:t xml:space="preserve">吨料电耗  </w:t>
            </w:r>
          </w:p>
          <w:p>
            <w:pPr>
              <w:pStyle w:val="20"/>
              <w:adjustRightInd w:val="0"/>
              <w:snapToGrid w:val="0"/>
              <w:ind w:firstLine="0" w:firstLineChars="0"/>
              <w:jc w:val="center"/>
              <w:rPr>
                <w:rFonts w:hint="eastAsia"/>
                <w:sz w:val="18"/>
                <w:szCs w:val="18"/>
              </w:rPr>
            </w:pPr>
            <w:r>
              <w:rPr>
                <w:rFonts w:hint="eastAsia"/>
                <w:sz w:val="18"/>
                <w:szCs w:val="18"/>
              </w:rPr>
              <w:t>（kW·h）/t</w:t>
            </w:r>
          </w:p>
        </w:tc>
        <w:tc>
          <w:tcPr>
            <w:tcW w:w="3792" w:type="dxa"/>
            <w:noWrap w:val="0"/>
            <w:vAlign w:val="center"/>
          </w:tcPr>
          <w:p>
            <w:pPr>
              <w:pStyle w:val="20"/>
              <w:ind w:firstLine="0" w:firstLineChars="0"/>
              <w:jc w:val="center"/>
              <w:rPr>
                <w:rFonts w:hint="eastAsia"/>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84" w:type="dxa"/>
            <w:noWrap w:val="0"/>
            <w:vAlign w:val="center"/>
          </w:tcPr>
          <w:p>
            <w:pPr>
              <w:pStyle w:val="20"/>
              <w:adjustRightInd w:val="0"/>
              <w:snapToGrid w:val="0"/>
              <w:ind w:firstLine="0" w:firstLineChars="0"/>
              <w:jc w:val="center"/>
              <w:rPr>
                <w:rFonts w:hint="eastAsia"/>
                <w:sz w:val="18"/>
                <w:szCs w:val="18"/>
              </w:rPr>
            </w:pPr>
            <w:r>
              <w:rPr>
                <w:rFonts w:hint="eastAsia"/>
                <w:sz w:val="18"/>
                <w:szCs w:val="18"/>
              </w:rPr>
              <w:t>6</w:t>
            </w:r>
          </w:p>
        </w:tc>
        <w:tc>
          <w:tcPr>
            <w:tcW w:w="4394" w:type="dxa"/>
            <w:noWrap w:val="0"/>
            <w:vAlign w:val="top"/>
          </w:tcPr>
          <w:p>
            <w:pPr>
              <w:pStyle w:val="20"/>
              <w:adjustRightInd w:val="0"/>
              <w:snapToGrid w:val="0"/>
              <w:ind w:firstLine="0" w:firstLineChars="0"/>
              <w:jc w:val="center"/>
              <w:rPr>
                <w:rFonts w:hint="eastAsia"/>
                <w:sz w:val="18"/>
                <w:szCs w:val="18"/>
              </w:rPr>
            </w:pPr>
            <w:r>
              <w:rPr>
                <w:rFonts w:hint="eastAsia"/>
                <w:sz w:val="18"/>
                <w:szCs w:val="18"/>
              </w:rPr>
              <w:t xml:space="preserve">轴承温升 </w:t>
            </w:r>
          </w:p>
          <w:p>
            <w:pPr>
              <w:pStyle w:val="20"/>
              <w:adjustRightInd w:val="0"/>
              <w:snapToGrid w:val="0"/>
              <w:ind w:firstLine="0" w:firstLineChars="0"/>
              <w:jc w:val="center"/>
              <w:rPr>
                <w:rFonts w:hint="eastAsia"/>
                <w:sz w:val="18"/>
                <w:szCs w:val="18"/>
              </w:rPr>
            </w:pPr>
            <w:r>
              <w:rPr>
                <w:rFonts w:hint="eastAsia"/>
                <w:sz w:val="18"/>
                <w:szCs w:val="18"/>
              </w:rPr>
              <w:t>℃</w:t>
            </w:r>
          </w:p>
        </w:tc>
        <w:tc>
          <w:tcPr>
            <w:tcW w:w="3792" w:type="dxa"/>
            <w:noWrap w:val="0"/>
            <w:vAlign w:val="center"/>
          </w:tcPr>
          <w:p>
            <w:pPr>
              <w:pStyle w:val="20"/>
              <w:ind w:firstLine="0" w:firstLineChars="0"/>
              <w:jc w:val="center"/>
              <w:rPr>
                <w:rFonts w:hint="eastAsia"/>
                <w:sz w:val="18"/>
                <w:szCs w:val="18"/>
              </w:rPr>
            </w:pPr>
            <w:r>
              <w:rPr>
                <w:rFonts w:hint="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pStyle w:val="20"/>
              <w:adjustRightInd w:val="0"/>
              <w:snapToGrid w:val="0"/>
              <w:ind w:firstLine="0" w:firstLineChars="0"/>
              <w:jc w:val="center"/>
              <w:rPr>
                <w:rFonts w:hint="eastAsia"/>
                <w:sz w:val="18"/>
                <w:szCs w:val="18"/>
              </w:rPr>
            </w:pPr>
            <w:r>
              <w:rPr>
                <w:rFonts w:hint="eastAsia"/>
                <w:sz w:val="18"/>
                <w:szCs w:val="18"/>
              </w:rPr>
              <w:t>7</w:t>
            </w:r>
          </w:p>
        </w:tc>
        <w:tc>
          <w:tcPr>
            <w:tcW w:w="4394" w:type="dxa"/>
            <w:noWrap w:val="0"/>
            <w:vAlign w:val="top"/>
          </w:tcPr>
          <w:p>
            <w:pPr>
              <w:pStyle w:val="20"/>
              <w:adjustRightInd w:val="0"/>
              <w:snapToGrid w:val="0"/>
              <w:ind w:firstLine="0" w:firstLineChars="0"/>
              <w:jc w:val="center"/>
              <w:rPr>
                <w:rFonts w:hint="eastAsia"/>
                <w:sz w:val="18"/>
                <w:szCs w:val="18"/>
              </w:rPr>
            </w:pPr>
            <w:r>
              <w:rPr>
                <w:rFonts w:hint="eastAsia"/>
                <w:sz w:val="18"/>
                <w:szCs w:val="18"/>
              </w:rPr>
              <w:t xml:space="preserve">平均首次故障前工作时间（MTTFF）  </w:t>
            </w:r>
          </w:p>
          <w:p>
            <w:pPr>
              <w:pStyle w:val="20"/>
              <w:adjustRightInd w:val="0"/>
              <w:snapToGrid w:val="0"/>
              <w:ind w:firstLine="0" w:firstLineChars="0"/>
              <w:jc w:val="center"/>
              <w:rPr>
                <w:rFonts w:hint="eastAsia"/>
                <w:sz w:val="18"/>
                <w:szCs w:val="18"/>
              </w:rPr>
            </w:pPr>
            <w:r>
              <w:rPr>
                <w:rFonts w:hint="eastAsia"/>
                <w:sz w:val="18"/>
                <w:szCs w:val="18"/>
              </w:rPr>
              <w:t>h</w:t>
            </w:r>
          </w:p>
        </w:tc>
        <w:tc>
          <w:tcPr>
            <w:tcW w:w="3792" w:type="dxa"/>
            <w:noWrap w:val="0"/>
            <w:vAlign w:val="center"/>
          </w:tcPr>
          <w:p>
            <w:pPr>
              <w:pStyle w:val="20"/>
              <w:ind w:firstLine="0" w:firstLineChars="0"/>
              <w:jc w:val="center"/>
              <w:rPr>
                <w:rFonts w:hint="eastAsia"/>
                <w:sz w:val="18"/>
                <w:szCs w:val="18"/>
              </w:rPr>
            </w:pPr>
            <w:r>
              <w:rPr>
                <w:rFonts w:hint="eastAsia"/>
                <w:sz w:val="18"/>
                <w:szCs w:val="18"/>
              </w:rPr>
              <w:t>≥40</w:t>
            </w:r>
          </w:p>
        </w:tc>
      </w:tr>
    </w:tbl>
    <w:p>
      <w:pPr>
        <w:pStyle w:val="44"/>
        <w:ind w:left="0"/>
        <w:rPr>
          <w:rFonts w:hint="eastAsia"/>
        </w:rPr>
      </w:pPr>
      <w:bookmarkStart w:id="61" w:name="_Toc398244170"/>
      <w:bookmarkStart w:id="62" w:name="_Toc418671515"/>
      <w:bookmarkStart w:id="63" w:name="_Toc421030085"/>
      <w:bookmarkStart w:id="64" w:name="_Toc421111657"/>
      <w:bookmarkStart w:id="65" w:name="_Toc418675960"/>
      <w:bookmarkStart w:id="66" w:name="_Toc393814290"/>
      <w:r>
        <w:rPr>
          <w:rFonts w:hint="eastAsia"/>
        </w:rPr>
        <w:t>装配技术要求</w:t>
      </w:r>
      <w:bookmarkEnd w:id="61"/>
      <w:bookmarkEnd w:id="62"/>
      <w:bookmarkEnd w:id="63"/>
      <w:bookmarkEnd w:id="64"/>
      <w:bookmarkEnd w:id="65"/>
      <w:bookmarkEnd w:id="66"/>
    </w:p>
    <w:p>
      <w:pPr>
        <w:pStyle w:val="42"/>
        <w:rPr>
          <w:rFonts w:hint="eastAsia"/>
        </w:rPr>
      </w:pPr>
      <w:r>
        <w:rPr>
          <w:rFonts w:hint="eastAsia"/>
        </w:rPr>
        <w:t>饲喂设备</w:t>
      </w:r>
      <w:r>
        <w:rPr>
          <w:rFonts w:hint="eastAsia" w:hAnsi="宋体"/>
          <w:lang w:val="fr-FR"/>
        </w:rPr>
        <w:t>的所有零、部件须检验合格</w:t>
      </w:r>
      <w:r>
        <w:rPr>
          <w:rFonts w:hint="eastAsia"/>
        </w:rPr>
        <w:t>，外购件、外协件应有合格证并经抽检合格后方可进行装配。</w:t>
      </w:r>
    </w:p>
    <w:p>
      <w:pPr>
        <w:pStyle w:val="42"/>
        <w:rPr>
          <w:rFonts w:hint="eastAsia"/>
        </w:rPr>
      </w:pPr>
      <w:r>
        <w:rPr>
          <w:rFonts w:hint="eastAsia"/>
        </w:rPr>
        <w:t>饲喂设备</w:t>
      </w:r>
      <w:r>
        <w:rPr>
          <w:rFonts w:hint="eastAsia" w:cs="宋体"/>
        </w:rPr>
        <w:t>在使用现场总装</w:t>
      </w:r>
      <w:r>
        <w:rPr>
          <w:rFonts w:hint="eastAsia"/>
        </w:rPr>
        <w:t>，但驱动装置应在出厂前组装或试装。</w:t>
      </w:r>
    </w:p>
    <w:p>
      <w:pPr>
        <w:pStyle w:val="42"/>
        <w:rPr>
          <w:rFonts w:hint="eastAsia"/>
        </w:rPr>
      </w:pPr>
      <w:r>
        <w:rPr>
          <w:rFonts w:hint="eastAsia"/>
        </w:rPr>
        <w:t>输送带应能在全长范围内对中运行，输送带中心线与整机中心线最大偏差应不大于50mm。</w:t>
      </w:r>
    </w:p>
    <w:p>
      <w:pPr>
        <w:pStyle w:val="42"/>
        <w:rPr>
          <w:rFonts w:hint="eastAsia"/>
        </w:rPr>
      </w:pPr>
      <w:r>
        <w:rPr>
          <w:rFonts w:hint="eastAsia" w:hAnsi="宋体"/>
        </w:rPr>
        <w:t>在</w:t>
      </w:r>
      <w:r>
        <w:rPr>
          <w:rFonts w:hint="eastAsia"/>
        </w:rPr>
        <w:t>饲喂设备</w:t>
      </w:r>
      <w:r>
        <w:rPr>
          <w:rFonts w:hint="eastAsia" w:hAnsi="宋体"/>
        </w:rPr>
        <w:t>工作转速范围内空运转30min。运转应平稳、转动灵活；各连接件、紧固件不应松动；整机不应有卡、碰、异常响声；变速箱不应有渗、漏油</w:t>
      </w:r>
      <w:r>
        <w:rPr>
          <w:rFonts w:hAnsi="宋体"/>
        </w:rPr>
        <w:t>现象</w:t>
      </w:r>
      <w:r>
        <w:rPr>
          <w:rFonts w:hint="eastAsia"/>
        </w:rPr>
        <w:t>。</w:t>
      </w:r>
    </w:p>
    <w:p>
      <w:pPr>
        <w:pStyle w:val="42"/>
        <w:rPr>
          <w:rFonts w:hint="eastAsia"/>
        </w:rPr>
      </w:pPr>
      <w:r>
        <w:rPr>
          <w:rFonts w:hint="eastAsia"/>
        </w:rPr>
        <w:t>饲喂设备</w:t>
      </w:r>
      <w:r>
        <w:rPr>
          <w:rFonts w:hint="eastAsia" w:cs="宋体"/>
        </w:rPr>
        <w:t>工作应平稳，无冲击、间歇现象。</w:t>
      </w:r>
    </w:p>
    <w:p>
      <w:pPr>
        <w:pStyle w:val="42"/>
        <w:rPr>
          <w:rFonts w:hint="eastAsia"/>
        </w:rPr>
      </w:pPr>
      <w:r>
        <w:rPr>
          <w:rFonts w:hint="eastAsia" w:hAnsi="宋体"/>
        </w:rPr>
        <w:t>润滑部位应加润滑油或润滑脂。</w:t>
      </w:r>
    </w:p>
    <w:p>
      <w:pPr>
        <w:pStyle w:val="44"/>
        <w:ind w:left="0"/>
        <w:rPr>
          <w:rFonts w:hint="eastAsia"/>
        </w:rPr>
      </w:pPr>
      <w:bookmarkStart w:id="67" w:name="_Toc418671516"/>
      <w:bookmarkStart w:id="68" w:name="_Toc421111658"/>
      <w:bookmarkStart w:id="69" w:name="_Toc393814291"/>
      <w:bookmarkStart w:id="70" w:name="_Toc421030086"/>
      <w:bookmarkStart w:id="71" w:name="_Toc398244171"/>
      <w:bookmarkStart w:id="72" w:name="_Toc418675961"/>
      <w:r>
        <w:rPr>
          <w:rFonts w:hint="eastAsia"/>
        </w:rPr>
        <w:t>安全要求</w:t>
      </w:r>
      <w:bookmarkEnd w:id="67"/>
      <w:bookmarkEnd w:id="68"/>
      <w:bookmarkEnd w:id="69"/>
      <w:bookmarkEnd w:id="70"/>
      <w:bookmarkEnd w:id="71"/>
      <w:bookmarkEnd w:id="72"/>
    </w:p>
    <w:p>
      <w:pPr>
        <w:pStyle w:val="42"/>
        <w:rPr>
          <w:rFonts w:hint="eastAsia"/>
        </w:rPr>
      </w:pPr>
      <w:r>
        <w:rPr>
          <w:rFonts w:hint="eastAsia"/>
        </w:rPr>
        <w:t>饲喂设备的安全防护应符合GB 14784的规定。</w:t>
      </w:r>
    </w:p>
    <w:p>
      <w:pPr>
        <w:pStyle w:val="42"/>
        <w:rPr>
          <w:rFonts w:hint="eastAsia"/>
        </w:rPr>
      </w:pPr>
      <w:r>
        <w:rPr>
          <w:rFonts w:hint="eastAsia"/>
        </w:rPr>
        <w:t>饲喂设备驱动电机的外露运转部件应有防护装置。防护罩应符合GB/T 8196的规定，</w:t>
      </w:r>
      <w:r>
        <w:rPr>
          <w:rFonts w:hint="eastAsia" w:hAnsi="宋体"/>
        </w:rPr>
        <w:t>防护罩上的孔、网，其缝隙或直径及安全距离应符合GB 23821中相关规定</w:t>
      </w:r>
      <w:r>
        <w:rPr>
          <w:rFonts w:hint="eastAsia"/>
        </w:rPr>
        <w:t>。</w:t>
      </w:r>
    </w:p>
    <w:p>
      <w:pPr>
        <w:pStyle w:val="42"/>
        <w:rPr>
          <w:rFonts w:hint="eastAsia"/>
        </w:rPr>
      </w:pPr>
      <w:r>
        <w:rPr>
          <w:rFonts w:hint="eastAsia"/>
        </w:rPr>
        <w:t>有危险的传动件和工作部件处,应有明显的安全标志。安全标志应符合GB 10396的规定。</w:t>
      </w:r>
    </w:p>
    <w:p>
      <w:pPr>
        <w:pStyle w:val="42"/>
        <w:rPr>
          <w:rFonts w:hint="eastAsia"/>
        </w:rPr>
      </w:pPr>
      <w:r>
        <w:rPr>
          <w:rFonts w:hint="eastAsia"/>
        </w:rPr>
        <w:t>防护罩涂漆颜色应醒目且区别于机器本色。</w:t>
      </w:r>
    </w:p>
    <w:p>
      <w:pPr>
        <w:pStyle w:val="42"/>
        <w:rPr>
          <w:rFonts w:hint="eastAsia"/>
        </w:rPr>
      </w:pPr>
      <w:r>
        <w:rPr>
          <w:rFonts w:hint="eastAsia"/>
        </w:rPr>
        <w:t>在人员作业位置附近应设有紧急停机开关。</w:t>
      </w:r>
    </w:p>
    <w:p>
      <w:pPr>
        <w:pStyle w:val="42"/>
        <w:rPr>
          <w:rFonts w:hint="eastAsia"/>
        </w:rPr>
      </w:pPr>
      <w:r>
        <w:rPr>
          <w:rFonts w:hint="eastAsia"/>
        </w:rPr>
        <w:t>饲喂设备中人和牲畜经常接触的地方，不应有引起伤害的尖角。</w:t>
      </w:r>
    </w:p>
    <w:p>
      <w:pPr>
        <w:pStyle w:val="42"/>
        <w:rPr>
          <w:rFonts w:hint="eastAsia"/>
        </w:rPr>
      </w:pPr>
      <w:r>
        <w:rPr>
          <w:rFonts w:hint="eastAsia"/>
        </w:rPr>
        <w:t>输送带应有料位控制开关，当饲草料到达饲喂设备末端时控制开关应能够反应灵敏，动作可靠，避免饲草料排出至设备外面。</w:t>
      </w:r>
    </w:p>
    <w:p>
      <w:pPr>
        <w:pStyle w:val="42"/>
        <w:rPr>
          <w:rFonts w:hint="eastAsia"/>
        </w:rPr>
      </w:pPr>
      <w:r>
        <w:rPr>
          <w:rFonts w:hint="eastAsia"/>
        </w:rPr>
        <w:t>电控系统应有过载保护装置。电器保护装置应符合GB 5226.1的规定。</w:t>
      </w:r>
    </w:p>
    <w:p>
      <w:pPr>
        <w:pStyle w:val="42"/>
        <w:rPr>
          <w:rFonts w:hint="eastAsia"/>
        </w:rPr>
      </w:pPr>
      <w:r>
        <w:rPr>
          <w:rFonts w:hint="eastAsia"/>
        </w:rPr>
        <w:t>使用说明书应提供正常操作和维修机器所必需的安全说明，包括保护装备的使用说明。</w:t>
      </w:r>
    </w:p>
    <w:p>
      <w:pPr>
        <w:pStyle w:val="41"/>
        <w:ind w:left="0"/>
        <w:rPr>
          <w:rFonts w:hint="eastAsia"/>
        </w:rPr>
      </w:pPr>
      <w:bookmarkStart w:id="73" w:name="_Toc381018202"/>
      <w:bookmarkStart w:id="74" w:name="_Toc381018256"/>
      <w:bookmarkStart w:id="75" w:name="_Toc398244172"/>
      <w:bookmarkStart w:id="76" w:name="_Toc393814292"/>
      <w:bookmarkStart w:id="77" w:name="_Toc418675962"/>
      <w:bookmarkStart w:id="78" w:name="_Toc421111659"/>
      <w:bookmarkStart w:id="79" w:name="_Toc418671517"/>
      <w:bookmarkStart w:id="80" w:name="_Toc421030087"/>
      <w:r>
        <w:rPr>
          <w:rFonts w:hint="eastAsia"/>
        </w:rPr>
        <w:t>试验方法</w:t>
      </w:r>
      <w:bookmarkEnd w:id="73"/>
      <w:bookmarkEnd w:id="74"/>
      <w:bookmarkEnd w:id="75"/>
      <w:bookmarkEnd w:id="76"/>
      <w:bookmarkEnd w:id="77"/>
      <w:bookmarkEnd w:id="78"/>
      <w:bookmarkEnd w:id="79"/>
      <w:bookmarkEnd w:id="80"/>
    </w:p>
    <w:p>
      <w:pPr>
        <w:pStyle w:val="44"/>
        <w:ind w:left="0"/>
        <w:rPr>
          <w:rFonts w:hint="eastAsia"/>
        </w:rPr>
      </w:pPr>
      <w:bookmarkStart w:id="81" w:name="_Toc418671518"/>
      <w:bookmarkStart w:id="82" w:name="_Toc421030088"/>
      <w:bookmarkStart w:id="83" w:name="_Toc393814293"/>
      <w:bookmarkStart w:id="84" w:name="_Toc418675963"/>
      <w:bookmarkStart w:id="85" w:name="_Toc421111660"/>
      <w:bookmarkStart w:id="86" w:name="_Toc398244173"/>
      <w:r>
        <w:rPr>
          <w:rFonts w:hint="eastAsia"/>
        </w:rPr>
        <w:t>试验条件</w:t>
      </w:r>
      <w:bookmarkEnd w:id="81"/>
      <w:bookmarkEnd w:id="82"/>
      <w:bookmarkEnd w:id="83"/>
      <w:bookmarkEnd w:id="84"/>
      <w:bookmarkEnd w:id="85"/>
      <w:bookmarkEnd w:id="86"/>
    </w:p>
    <w:p>
      <w:pPr>
        <w:pStyle w:val="42"/>
        <w:rPr>
          <w:rFonts w:hint="eastAsia"/>
        </w:rPr>
      </w:pPr>
      <w:r>
        <w:rPr>
          <w:rFonts w:hint="eastAsia" w:hAnsi="宋体" w:cs="宋体"/>
          <w:lang w:val="zh-CN"/>
        </w:rPr>
        <w:t>试验场地应能满足各项性能试验的要求。</w:t>
      </w:r>
    </w:p>
    <w:p>
      <w:pPr>
        <w:pStyle w:val="42"/>
        <w:rPr>
          <w:rFonts w:hint="eastAsia"/>
        </w:rPr>
      </w:pPr>
      <w:r>
        <w:rPr>
          <w:rFonts w:hint="eastAsia" w:hAnsi="宋体" w:cs="宋体"/>
          <w:lang w:val="zh-CN"/>
        </w:rPr>
        <w:t>试验前应按使用说明书的要求对样机进行调整，并记录机器的技术特征。</w:t>
      </w:r>
    </w:p>
    <w:p>
      <w:pPr>
        <w:pStyle w:val="42"/>
        <w:rPr>
          <w:rFonts w:hint="eastAsia"/>
        </w:rPr>
      </w:pPr>
      <w:r>
        <w:rPr>
          <w:rFonts w:hint="eastAsia"/>
        </w:rPr>
        <w:t>试验时上料机构应保证连续均匀稳定上料。</w:t>
      </w:r>
    </w:p>
    <w:p>
      <w:pPr>
        <w:pStyle w:val="42"/>
        <w:rPr>
          <w:rFonts w:hint="eastAsia"/>
        </w:rPr>
      </w:pPr>
      <w:r>
        <w:rPr>
          <w:rFonts w:hint="eastAsia" w:hAnsi="宋体"/>
        </w:rPr>
        <w:t>试验电压与额定工作电压的偏差不超过额定工作电压的±5%。</w:t>
      </w:r>
    </w:p>
    <w:p>
      <w:pPr>
        <w:pStyle w:val="42"/>
        <w:rPr>
          <w:rFonts w:hint="eastAsia"/>
        </w:rPr>
      </w:pPr>
      <w:r>
        <w:rPr>
          <w:rFonts w:hint="eastAsia" w:hAnsi="宋体"/>
        </w:rPr>
        <w:t>试验电动机的负荷程度不得超出额定功率的110%。</w:t>
      </w:r>
    </w:p>
    <w:p>
      <w:pPr>
        <w:pStyle w:val="42"/>
        <w:rPr>
          <w:rFonts w:hint="eastAsia"/>
        </w:rPr>
      </w:pPr>
      <w:r>
        <w:rPr>
          <w:rFonts w:hint="eastAsia"/>
        </w:rPr>
        <w:t>试验用仪器、仪表应在有效检定周期内。精度应符合附录A的规定。</w:t>
      </w:r>
    </w:p>
    <w:p>
      <w:pPr>
        <w:pStyle w:val="44"/>
        <w:ind w:left="0"/>
        <w:rPr>
          <w:rFonts w:hint="eastAsia"/>
        </w:rPr>
      </w:pPr>
      <w:bookmarkStart w:id="87" w:name="_Toc418675964"/>
      <w:bookmarkStart w:id="88" w:name="_Toc398244174"/>
      <w:bookmarkStart w:id="89" w:name="_Toc421030089"/>
      <w:bookmarkStart w:id="90" w:name="_Toc418671519"/>
      <w:bookmarkStart w:id="91" w:name="_Toc421111661"/>
      <w:bookmarkStart w:id="92" w:name="_Toc393814294"/>
      <w:r>
        <w:rPr>
          <w:rFonts w:hint="eastAsia"/>
        </w:rPr>
        <w:t>性能试验</w:t>
      </w:r>
      <w:bookmarkEnd w:id="87"/>
      <w:bookmarkEnd w:id="88"/>
      <w:bookmarkEnd w:id="89"/>
      <w:bookmarkEnd w:id="90"/>
      <w:bookmarkEnd w:id="91"/>
      <w:bookmarkEnd w:id="92"/>
    </w:p>
    <w:p>
      <w:pPr>
        <w:pStyle w:val="43"/>
        <w:spacing w:before="156" w:after="156"/>
        <w:ind w:left="0"/>
        <w:rPr>
          <w:rFonts w:hint="eastAsia"/>
        </w:rPr>
      </w:pPr>
      <w:bookmarkStart w:id="93" w:name="_Toc421030090"/>
      <w:r>
        <w:rPr>
          <w:rFonts w:hint="eastAsia"/>
        </w:rPr>
        <w:t>饲喂能力</w:t>
      </w:r>
      <w:bookmarkEnd w:id="93"/>
    </w:p>
    <w:p>
      <w:pPr>
        <w:pStyle w:val="122"/>
        <w:ind w:firstLine="420"/>
        <w:jc w:val="both"/>
        <w:rPr>
          <w:color w:val="auto"/>
          <w:sz w:val="21"/>
          <w:szCs w:val="21"/>
        </w:rPr>
      </w:pPr>
      <w:r>
        <w:rPr>
          <w:rFonts w:hint="eastAsia"/>
          <w:color w:val="auto"/>
          <w:sz w:val="21"/>
          <w:szCs w:val="21"/>
        </w:rPr>
        <w:t>在样机稳定工作状态下，记录一个喂料批次所用时间和输送物料总质量，按式（1）计算生产率，共</w:t>
      </w:r>
      <w:r>
        <w:rPr>
          <w:rFonts w:hint="eastAsia" w:hAnsi="宋体"/>
          <w:color w:val="auto"/>
          <w:sz w:val="21"/>
          <w:szCs w:val="21"/>
        </w:rPr>
        <w:t>测试3次，</w:t>
      </w:r>
      <w:r>
        <w:rPr>
          <w:rFonts w:hint="eastAsia"/>
          <w:color w:val="auto"/>
          <w:sz w:val="21"/>
          <w:szCs w:val="21"/>
        </w:rPr>
        <w:t>结果取算数平均值。</w:t>
      </w:r>
      <w:r>
        <w:rPr>
          <w:color w:val="auto"/>
          <w:sz w:val="21"/>
          <w:szCs w:val="21"/>
        </w:rPr>
        <w:t xml:space="preserve"> </w:t>
      </w:r>
    </w:p>
    <w:p>
      <w:pPr>
        <w:pStyle w:val="76"/>
      </w:pPr>
      <w:r>
        <w:rPr>
          <w:szCs w:val="21"/>
        </w:rPr>
        <w:tab/>
      </w:r>
      <w:r>
        <w:rPr>
          <w:position w:val="-30"/>
        </w:rPr>
        <w:object>
          <v:shape id="_x0000_i1025" o:spt="75" type="#_x0000_t75" style="height:35pt;width:71pt;" o:ole="t" filled="f" o:preferrelative="t" stroked="f" coordsize="21600,21600">
            <v:path/>
            <v:fill on="f" alignshape="1" focussize="0,0"/>
            <v:stroke on="f"/>
            <v:imagedata r:id="rId15" o:title=""/>
            <o:lock v:ext="edit" aspectratio="t"/>
            <w10:wrap type="none"/>
            <w10:anchorlock/>
          </v:shape>
          <o:OLEObject Type="Embed" ProgID="Equation.3" ShapeID="_x0000_i1025" DrawAspect="Content" ObjectID="_1468075725" r:id="rId14">
            <o:LockedField>false</o:LockedField>
          </o:OLEObject>
        </w:object>
      </w:r>
      <w:r>
        <w:tab/>
      </w:r>
      <w:r>
        <w:t>(</w:t>
      </w:r>
      <w:r>
        <w:fldChar w:fldCharType="begin"/>
      </w:r>
      <w:r>
        <w:instrText xml:space="preserve"> SEQ 标准自动公式 \* ARABIC </w:instrText>
      </w:r>
      <w:r>
        <w:fldChar w:fldCharType="separate"/>
      </w:r>
      <w:r>
        <w:t>1</w:t>
      </w:r>
      <w:r>
        <w:fldChar w:fldCharType="end"/>
      </w:r>
      <w:r>
        <w:t>)</w:t>
      </w:r>
    </w:p>
    <w:p>
      <w:pPr>
        <w:pStyle w:val="20"/>
        <w:rPr>
          <w:rFonts w:hint="eastAsia"/>
        </w:rPr>
      </w:pPr>
      <w:r>
        <w:rPr>
          <w:rFonts w:hint="eastAsia"/>
        </w:rPr>
        <w:t>式中：</w:t>
      </w:r>
    </w:p>
    <w:p>
      <w:pPr>
        <w:pStyle w:val="41"/>
        <w:numPr>
          <w:ilvl w:val="0"/>
          <w:numId w:val="0"/>
        </w:numPr>
        <w:snapToGrid w:val="0"/>
        <w:spacing w:before="0" w:beforeLines="0" w:after="0" w:afterLines="0"/>
        <w:ind w:firstLine="420" w:firstLineChars="200"/>
        <w:rPr>
          <w:rFonts w:ascii="宋体" w:hAnsi="宋体" w:eastAsia="宋体"/>
        </w:rPr>
      </w:pPr>
      <w:bookmarkStart w:id="94" w:name="_Toc398244175"/>
      <w:bookmarkStart w:id="95" w:name="_Toc421111662"/>
      <w:bookmarkStart w:id="96" w:name="_Toc381018204"/>
      <w:bookmarkStart w:id="97" w:name="_Toc418671520"/>
      <w:bookmarkStart w:id="98" w:name="_Toc418675965"/>
      <w:bookmarkStart w:id="99" w:name="_Toc393814296"/>
      <w:bookmarkStart w:id="100" w:name="_Toc381018258"/>
      <w:bookmarkStart w:id="101" w:name="_Toc421030091"/>
      <w:r>
        <w:rPr>
          <w:rFonts w:hint="eastAsia" w:ascii="宋体" w:hAnsi="宋体" w:eastAsia="宋体"/>
          <w:i/>
        </w:rPr>
        <w:t>E</w:t>
      </w:r>
      <w:r>
        <w:rPr>
          <w:rFonts w:hint="eastAsia" w:ascii="宋体" w:hAnsi="宋体" w:eastAsia="宋体"/>
          <w:i/>
          <w:szCs w:val="21"/>
          <w:vertAlign w:val="subscript"/>
        </w:rPr>
        <w:t>c</w:t>
      </w:r>
      <w:r>
        <w:rPr>
          <w:rFonts w:hint="eastAsia" w:ascii="宋体" w:hAnsi="宋体" w:eastAsia="宋体"/>
        </w:rPr>
        <w:t>——饲喂能力，单位为千克每小时（kg/h）；</w:t>
      </w:r>
      <w:bookmarkEnd w:id="94"/>
      <w:bookmarkEnd w:id="95"/>
      <w:bookmarkEnd w:id="96"/>
      <w:bookmarkEnd w:id="97"/>
      <w:bookmarkEnd w:id="98"/>
      <w:bookmarkEnd w:id="99"/>
      <w:bookmarkEnd w:id="100"/>
      <w:bookmarkEnd w:id="101"/>
    </w:p>
    <w:p>
      <w:pPr>
        <w:pStyle w:val="41"/>
        <w:numPr>
          <w:ilvl w:val="0"/>
          <w:numId w:val="0"/>
        </w:numPr>
        <w:snapToGrid w:val="0"/>
        <w:spacing w:before="0" w:beforeLines="0" w:after="0" w:afterLines="0"/>
        <w:ind w:firstLine="420" w:firstLineChars="200"/>
        <w:rPr>
          <w:rFonts w:ascii="宋体" w:hAnsi="宋体" w:eastAsia="宋体"/>
        </w:rPr>
      </w:pPr>
      <w:bookmarkStart w:id="102" w:name="_Toc381018259"/>
      <w:bookmarkStart w:id="103" w:name="_Toc418671521"/>
      <w:bookmarkStart w:id="104" w:name="_Toc421111663"/>
      <w:bookmarkStart w:id="105" w:name="_Toc381018205"/>
      <w:bookmarkStart w:id="106" w:name="_Toc418675966"/>
      <w:bookmarkStart w:id="107" w:name="_Toc421030092"/>
      <w:bookmarkStart w:id="108" w:name="_Toc393814297"/>
      <w:bookmarkStart w:id="109" w:name="_Toc398244176"/>
      <w:r>
        <w:rPr>
          <w:rFonts w:hint="eastAsia" w:ascii="宋体" w:hAnsi="宋体" w:eastAsia="宋体"/>
          <w:i/>
        </w:rPr>
        <w:t>m</w:t>
      </w:r>
      <w:r>
        <w:rPr>
          <w:rFonts w:hint="eastAsia" w:ascii="宋体" w:hAnsi="宋体" w:eastAsia="宋体"/>
          <w:i/>
          <w:szCs w:val="21"/>
          <w:vertAlign w:val="subscript"/>
        </w:rPr>
        <w:t>z</w:t>
      </w:r>
      <w:r>
        <w:rPr>
          <w:rFonts w:hint="eastAsia" w:ascii="宋体" w:hAnsi="宋体" w:eastAsia="宋体"/>
        </w:rPr>
        <w:t>——</w:t>
      </w:r>
      <w:r>
        <w:rPr>
          <w:rFonts w:hint="eastAsia" w:ascii="宋体" w:hAnsi="宋体" w:eastAsia="宋体"/>
          <w:szCs w:val="21"/>
        </w:rPr>
        <w:t>喂料批次输送物料总质量</w:t>
      </w:r>
      <w:r>
        <w:rPr>
          <w:rFonts w:hint="eastAsia" w:ascii="宋体" w:hAnsi="宋体" w:eastAsia="宋体"/>
        </w:rPr>
        <w:t>，单位为千克（kg）；</w:t>
      </w:r>
      <w:bookmarkEnd w:id="102"/>
      <w:bookmarkEnd w:id="103"/>
      <w:bookmarkEnd w:id="104"/>
      <w:bookmarkEnd w:id="105"/>
      <w:bookmarkEnd w:id="106"/>
      <w:bookmarkEnd w:id="107"/>
      <w:bookmarkEnd w:id="108"/>
      <w:bookmarkEnd w:id="109"/>
    </w:p>
    <w:p>
      <w:pPr>
        <w:pStyle w:val="20"/>
        <w:ind w:left="422" w:leftChars="201" w:firstLine="2" w:firstLineChars="0"/>
        <w:rPr>
          <w:rFonts w:hint="eastAsia"/>
        </w:rPr>
      </w:pPr>
      <w:r>
        <w:rPr>
          <w:rFonts w:hint="eastAsia" w:hAnsi="宋体"/>
          <w:i/>
        </w:rPr>
        <w:t>T</w:t>
      </w:r>
      <w:r>
        <w:rPr>
          <w:rFonts w:hint="eastAsia" w:hAnsi="宋体"/>
          <w:i/>
          <w:szCs w:val="21"/>
          <w:vertAlign w:val="subscript"/>
        </w:rPr>
        <w:t>c</w:t>
      </w:r>
      <w:r>
        <w:rPr>
          <w:rFonts w:hint="eastAsia" w:hAnsi="宋体"/>
        </w:rPr>
        <w:t>——测试时间，单位为秒（s）</w:t>
      </w:r>
      <w:r>
        <w:rPr>
          <w:rFonts w:hint="eastAsia"/>
        </w:rPr>
        <w:t>。</w:t>
      </w:r>
    </w:p>
    <w:p>
      <w:pPr>
        <w:pStyle w:val="43"/>
        <w:spacing w:before="156" w:after="156"/>
        <w:ind w:left="0"/>
        <w:rPr>
          <w:rFonts w:hint="eastAsia"/>
        </w:rPr>
      </w:pPr>
      <w:bookmarkStart w:id="110" w:name="_Toc421030093"/>
      <w:r>
        <w:rPr>
          <w:rFonts w:hint="eastAsia"/>
        </w:rPr>
        <w:t>送料均匀度</w:t>
      </w:r>
      <w:bookmarkEnd w:id="110"/>
    </w:p>
    <w:p>
      <w:pPr>
        <w:pStyle w:val="122"/>
        <w:ind w:firstLine="420" w:firstLineChars="200"/>
        <w:rPr>
          <w:rFonts w:hint="eastAsia"/>
          <w:sz w:val="21"/>
          <w:szCs w:val="21"/>
        </w:rPr>
      </w:pPr>
      <w:r>
        <w:rPr>
          <w:rFonts w:hint="eastAsia"/>
          <w:sz w:val="21"/>
          <w:szCs w:val="21"/>
        </w:rPr>
        <w:t>在一个喂料批次结束后，沿输送带前进方向在整个喂料区等间距选取不少于10个测点，每测点长度为0.5m,宽度为输送皮带的宽度。收集每测点内的所有物料并称重，按式（2）计算样本标准差，按式（3）计算送料均匀度，</w:t>
      </w:r>
      <w:r>
        <w:rPr>
          <w:rFonts w:hint="eastAsia"/>
          <w:color w:val="auto"/>
          <w:sz w:val="21"/>
          <w:szCs w:val="21"/>
        </w:rPr>
        <w:t>共测试3次，结果取算数平均值。</w:t>
      </w:r>
    </w:p>
    <w:p>
      <w:pPr>
        <w:pStyle w:val="76"/>
      </w:pPr>
      <w:r>
        <w:tab/>
      </w:r>
      <w:r>
        <w:rPr>
          <w:position w:val="-26"/>
        </w:rPr>
        <w:object>
          <v:shape id="_x0000_i1026" o:spt="75" type="#_x0000_t75" style="height:52pt;width:100pt;" o:ole="t" filled="f" o:preferrelative="t" stroked="f" coordsize="21600,21600">
            <v:path/>
            <v:fill on="f" alignshape="1" focussize="0,0"/>
            <v:stroke on="f"/>
            <v:imagedata r:id="rId17" o:title=""/>
            <o:lock v:ext="edit" aspectratio="t"/>
            <w10:wrap type="none"/>
            <w10:anchorlock/>
          </v:shape>
          <o:OLEObject Type="Embed" ProgID="Equation.3" ShapeID="_x0000_i1026" DrawAspect="Content" ObjectID="_1468075726" r:id="rId16">
            <o:LockedField>false</o:LockedField>
          </o:OLEObject>
        </w:object>
      </w:r>
      <w:r>
        <w:tab/>
      </w:r>
      <w:r>
        <w:t>(</w:t>
      </w:r>
      <w:r>
        <w:fldChar w:fldCharType="begin"/>
      </w:r>
      <w:r>
        <w:instrText xml:space="preserve"> SEQ 标准自动公式 \* ARABIC </w:instrText>
      </w:r>
      <w:r>
        <w:fldChar w:fldCharType="separate"/>
      </w:r>
      <w:r>
        <w:t>2</w:t>
      </w:r>
      <w:r>
        <w:fldChar w:fldCharType="end"/>
      </w:r>
      <w:r>
        <w:t>)</w:t>
      </w:r>
    </w:p>
    <w:p>
      <w:pPr>
        <w:pStyle w:val="20"/>
        <w:rPr>
          <w:rFonts w:hint="eastAsia"/>
        </w:rPr>
      </w:pPr>
      <w:r>
        <w:rPr>
          <w:rFonts w:hint="eastAsia"/>
        </w:rPr>
        <w:t>式中：</w:t>
      </w:r>
    </w:p>
    <w:p>
      <w:pPr>
        <w:pStyle w:val="20"/>
        <w:rPr>
          <w:rFonts w:hint="eastAsia" w:hAnsi="宋体"/>
        </w:rPr>
      </w:pPr>
      <w:r>
        <w:rPr>
          <w:rFonts w:hint="eastAsia"/>
          <w:i/>
        </w:rPr>
        <w:t>S</w:t>
      </w:r>
      <w:r>
        <w:rPr>
          <w:rFonts w:hint="eastAsia"/>
          <w:i/>
          <w:szCs w:val="21"/>
          <w:vertAlign w:val="subscript"/>
        </w:rPr>
        <w:t>s</w:t>
      </w:r>
      <w:r>
        <w:rPr>
          <w:rFonts w:hint="eastAsia" w:hAnsi="宋体"/>
        </w:rPr>
        <w:t>——样本标准差；</w:t>
      </w:r>
    </w:p>
    <w:p>
      <w:pPr>
        <w:pStyle w:val="20"/>
        <w:rPr>
          <w:rFonts w:hint="eastAsia" w:hAnsi="宋体"/>
        </w:rPr>
      </w:pPr>
      <w:r>
        <w:rPr>
          <w:rFonts w:hint="eastAsia"/>
          <w:i/>
        </w:rPr>
        <w:t>m</w:t>
      </w:r>
      <w:r>
        <w:rPr>
          <w:rFonts w:hint="eastAsia"/>
          <w:i/>
          <w:szCs w:val="21"/>
          <w:vertAlign w:val="subscript"/>
        </w:rPr>
        <w:t>i</w:t>
      </w:r>
      <w:r>
        <w:rPr>
          <w:rFonts w:hint="eastAsia" w:hAnsi="宋体"/>
        </w:rPr>
        <w:t>——第</w:t>
      </w:r>
      <w:r>
        <w:rPr>
          <w:rFonts w:hint="eastAsia" w:hAnsi="宋体"/>
          <w:i/>
        </w:rPr>
        <w:t>i</w:t>
      </w:r>
      <w:r>
        <w:rPr>
          <w:rFonts w:hint="eastAsia" w:hAnsi="宋体"/>
        </w:rPr>
        <w:t>个测点内物料质量，单位为千克（kg）；</w:t>
      </w:r>
    </w:p>
    <w:p>
      <w:pPr>
        <w:pStyle w:val="20"/>
        <w:rPr>
          <w:rFonts w:hint="eastAsia" w:hAnsi="宋体"/>
        </w:rPr>
      </w:pPr>
      <w:r>
        <w:rPr>
          <w:rFonts w:hint="eastAsia"/>
          <w:i/>
        </w:rPr>
        <w:t>m</w:t>
      </w:r>
      <w:r>
        <w:rPr>
          <w:rFonts w:hint="eastAsia" w:hAnsi="宋体"/>
        </w:rPr>
        <w:t>——各测点内物料质量平均值，单位为千克（kg）；</w:t>
      </w:r>
    </w:p>
    <w:p>
      <w:pPr>
        <w:pStyle w:val="20"/>
        <w:rPr>
          <w:rFonts w:hint="eastAsia" w:hAnsi="宋体"/>
        </w:rPr>
      </w:pPr>
      <w:r>
        <w:rPr>
          <w:rFonts w:hint="eastAsia"/>
          <w:i/>
        </w:rPr>
        <w:t>n</w:t>
      </w:r>
      <w:r>
        <w:rPr>
          <w:rFonts w:hint="eastAsia" w:hAnsi="宋体"/>
        </w:rPr>
        <w:t>——测点数量。</w:t>
      </w:r>
    </w:p>
    <w:p>
      <w:pPr>
        <w:pStyle w:val="76"/>
      </w:pPr>
      <w:r>
        <w:tab/>
      </w:r>
      <w:r>
        <w:rPr>
          <w:position w:val="-30"/>
        </w:rPr>
        <w:object>
          <v:shape id="_x0000_i1027" o:spt="75" type="#_x0000_t75" style="height:36pt;width:100pt;" o:ole="t" filled="f" o:preferrelative="t" stroked="f" coordsize="21600,21600">
            <v:path/>
            <v:fill on="f" alignshape="1" focussize="0,0"/>
            <v:stroke on="f"/>
            <v:imagedata r:id="rId19" o:title=""/>
            <o:lock v:ext="edit" aspectratio="t"/>
            <w10:wrap type="none"/>
            <w10:anchorlock/>
          </v:shape>
          <o:OLEObject Type="Embed" ProgID="Equation.3" ShapeID="_x0000_i1027" DrawAspect="Content" ObjectID="_1468075727" r:id="rId18">
            <o:LockedField>false</o:LockedField>
          </o:OLEObject>
        </w:object>
      </w:r>
      <w:r>
        <w:tab/>
      </w:r>
      <w:r>
        <w:t>(</w:t>
      </w:r>
      <w:r>
        <w:fldChar w:fldCharType="begin"/>
      </w:r>
      <w:r>
        <w:instrText xml:space="preserve"> SEQ 标准自动公式 \* ARABIC </w:instrText>
      </w:r>
      <w:r>
        <w:fldChar w:fldCharType="separate"/>
      </w:r>
      <w:r>
        <w:t>3</w:t>
      </w:r>
      <w:r>
        <w:fldChar w:fldCharType="end"/>
      </w:r>
      <w:r>
        <w:t>)</w:t>
      </w:r>
    </w:p>
    <w:p>
      <w:pPr>
        <w:pStyle w:val="20"/>
        <w:rPr>
          <w:rFonts w:hint="eastAsia"/>
        </w:rPr>
      </w:pPr>
      <w:r>
        <w:rPr>
          <w:rFonts w:hint="eastAsia"/>
        </w:rPr>
        <w:t>式中：</w:t>
      </w:r>
    </w:p>
    <w:p>
      <w:pPr>
        <w:pStyle w:val="20"/>
        <w:rPr>
          <w:rFonts w:hint="eastAsia"/>
          <w:i/>
          <w:szCs w:val="21"/>
          <w:vertAlign w:val="subscript"/>
        </w:rPr>
      </w:pPr>
      <w:r>
        <w:rPr>
          <w:rFonts w:hint="eastAsia"/>
          <w:i/>
        </w:rPr>
        <w:t>M</w:t>
      </w:r>
      <w:r>
        <w:rPr>
          <w:rFonts w:hint="eastAsia"/>
          <w:i/>
          <w:szCs w:val="21"/>
          <w:vertAlign w:val="subscript"/>
        </w:rPr>
        <w:t>s</w:t>
      </w:r>
      <w:r>
        <w:rPr>
          <w:rFonts w:hint="eastAsia" w:hAnsi="宋体"/>
        </w:rPr>
        <w:t>——送料均匀度，%。</w:t>
      </w:r>
    </w:p>
    <w:p>
      <w:pPr>
        <w:pStyle w:val="43"/>
        <w:spacing w:before="156" w:after="156"/>
        <w:ind w:left="0"/>
        <w:rPr>
          <w:rFonts w:hint="eastAsia"/>
        </w:rPr>
      </w:pPr>
      <w:bookmarkStart w:id="111" w:name="_Toc421030094"/>
      <w:r>
        <w:rPr>
          <w:rFonts w:hint="eastAsia"/>
        </w:rPr>
        <w:t>输送带速度</w:t>
      </w:r>
      <w:bookmarkEnd w:id="111"/>
    </w:p>
    <w:p>
      <w:pPr>
        <w:pStyle w:val="20"/>
        <w:rPr>
          <w:rFonts w:hint="eastAsia" w:ascii="黑体" w:hAnsi="宋体"/>
        </w:rPr>
      </w:pPr>
      <w:r>
        <w:rPr>
          <w:rFonts w:hint="eastAsia"/>
          <w:szCs w:val="21"/>
        </w:rPr>
        <w:t>在样机空载工作状态，在输送带前端做一处标记，在机架处选取不低于20m长度作为测区，记录标记处通过测区的时间，按式（4）</w:t>
      </w:r>
      <w:r>
        <w:rPr>
          <w:rFonts w:hint="eastAsia"/>
        </w:rPr>
        <w:t>计算输送带速度，共测试3次，结果取算数平均值</w:t>
      </w:r>
      <w:r>
        <w:rPr>
          <w:rFonts w:hint="eastAsia" w:ascii="黑体" w:hAnsi="宋体"/>
        </w:rPr>
        <w:t>。</w:t>
      </w:r>
    </w:p>
    <w:p>
      <w:pPr>
        <w:pStyle w:val="76"/>
      </w:pPr>
      <w:r>
        <w:tab/>
      </w:r>
      <w:r>
        <w:rPr>
          <w:position w:val="-30"/>
        </w:rPr>
        <w:object>
          <v:shape id="_x0000_i1028" o:spt="75" type="#_x0000_t75" style="height:35pt;width:53pt;" o:ole="t" filled="f" o:preferrelative="t" stroked="f" coordsize="21600,21600">
            <v:path/>
            <v:fill on="f" alignshape="1" focussize="0,0"/>
            <v:stroke on="f"/>
            <v:imagedata r:id="rId21" o:title=""/>
            <o:lock v:ext="edit" aspectratio="t"/>
            <w10:wrap type="none"/>
            <w10:anchorlock/>
          </v:shape>
          <o:OLEObject Type="Embed" ProgID="Equation.3" ShapeID="_x0000_i1028" DrawAspect="Content" ObjectID="_1468075728" r:id="rId20">
            <o:LockedField>false</o:LockedField>
          </o:OLEObject>
        </w:object>
      </w:r>
      <w:r>
        <w:tab/>
      </w:r>
      <w:r>
        <w:t>(</w:t>
      </w:r>
      <w:r>
        <w:fldChar w:fldCharType="begin"/>
      </w:r>
      <w:r>
        <w:instrText xml:space="preserve"> SEQ 标准自动公式 \* ARABIC </w:instrText>
      </w:r>
      <w:r>
        <w:fldChar w:fldCharType="separate"/>
      </w:r>
      <w:r>
        <w:t>4</w:t>
      </w:r>
      <w:r>
        <w:fldChar w:fldCharType="end"/>
      </w:r>
      <w:r>
        <w:t>)</w:t>
      </w:r>
    </w:p>
    <w:p>
      <w:pPr>
        <w:pStyle w:val="20"/>
        <w:rPr>
          <w:rFonts w:hint="eastAsia"/>
        </w:rPr>
      </w:pPr>
      <w:r>
        <w:rPr>
          <w:rFonts w:hint="eastAsia"/>
        </w:rPr>
        <w:t>式中：</w:t>
      </w:r>
    </w:p>
    <w:p>
      <w:pPr>
        <w:pStyle w:val="20"/>
        <w:rPr>
          <w:rFonts w:hint="eastAsia" w:hAnsi="宋体"/>
        </w:rPr>
      </w:pPr>
      <w:r>
        <w:rPr>
          <w:rFonts w:hint="eastAsia"/>
          <w:i/>
        </w:rPr>
        <w:t>V</w:t>
      </w:r>
      <w:r>
        <w:rPr>
          <w:rFonts w:hint="eastAsia"/>
          <w:i/>
          <w:szCs w:val="21"/>
          <w:vertAlign w:val="subscript"/>
        </w:rPr>
        <w:t>s</w:t>
      </w:r>
      <w:r>
        <w:rPr>
          <w:rFonts w:hint="eastAsia" w:hAnsi="宋体"/>
        </w:rPr>
        <w:t>——</w:t>
      </w:r>
      <w:r>
        <w:rPr>
          <w:rFonts w:hint="eastAsia"/>
        </w:rPr>
        <w:t>输送带速度</w:t>
      </w:r>
      <w:r>
        <w:rPr>
          <w:rFonts w:hint="eastAsia" w:hAnsi="宋体"/>
        </w:rPr>
        <w:t>，单位为米每分钟（m/min）；</w:t>
      </w:r>
    </w:p>
    <w:p>
      <w:pPr>
        <w:pStyle w:val="20"/>
        <w:rPr>
          <w:rFonts w:hint="eastAsia" w:hAnsi="宋体"/>
        </w:rPr>
      </w:pPr>
      <w:r>
        <w:rPr>
          <w:rFonts w:hint="eastAsia" w:hAnsi="宋体"/>
          <w:i/>
        </w:rPr>
        <w:t>L</w:t>
      </w:r>
      <w:r>
        <w:rPr>
          <w:rFonts w:hint="eastAsia" w:hAnsi="宋体"/>
          <w:i/>
          <w:szCs w:val="21"/>
          <w:vertAlign w:val="subscript"/>
        </w:rPr>
        <w:t>c</w:t>
      </w:r>
      <w:r>
        <w:rPr>
          <w:rFonts w:hint="eastAsia" w:hAnsi="宋体"/>
        </w:rPr>
        <w:t>——</w:t>
      </w:r>
      <w:r>
        <w:rPr>
          <w:rFonts w:hint="eastAsia"/>
        </w:rPr>
        <w:t>测区长度</w:t>
      </w:r>
      <w:r>
        <w:rPr>
          <w:rFonts w:hint="eastAsia" w:hAnsi="宋体"/>
        </w:rPr>
        <w:t>，单位为米（m）；</w:t>
      </w:r>
    </w:p>
    <w:p>
      <w:pPr>
        <w:pStyle w:val="20"/>
        <w:rPr>
          <w:rFonts w:hint="eastAsia"/>
          <w:i/>
          <w:szCs w:val="21"/>
          <w:vertAlign w:val="subscript"/>
        </w:rPr>
      </w:pPr>
      <w:r>
        <w:rPr>
          <w:rFonts w:hint="eastAsia" w:hAnsi="宋体"/>
          <w:i/>
        </w:rPr>
        <w:t>T</w:t>
      </w:r>
      <w:r>
        <w:rPr>
          <w:rFonts w:hint="eastAsia" w:hAnsi="宋体"/>
          <w:i/>
          <w:szCs w:val="21"/>
          <w:vertAlign w:val="subscript"/>
        </w:rPr>
        <w:t>t</w:t>
      </w:r>
      <w:r>
        <w:rPr>
          <w:rFonts w:hint="eastAsia" w:hAnsi="宋体"/>
        </w:rPr>
        <w:t>——输送带通过</w:t>
      </w:r>
      <w:r>
        <w:rPr>
          <w:rFonts w:hint="eastAsia"/>
        </w:rPr>
        <w:t>测区所用时间</w:t>
      </w:r>
      <w:r>
        <w:rPr>
          <w:rFonts w:hint="eastAsia" w:hAnsi="宋体"/>
        </w:rPr>
        <w:t>，单位为秒（s）。</w:t>
      </w:r>
    </w:p>
    <w:p>
      <w:pPr>
        <w:pStyle w:val="43"/>
        <w:spacing w:before="156" w:after="156"/>
        <w:ind w:left="0"/>
        <w:rPr>
          <w:rFonts w:hint="eastAsia"/>
        </w:rPr>
      </w:pPr>
      <w:bookmarkStart w:id="112" w:name="_Toc421030095"/>
      <w:r>
        <w:rPr>
          <w:rFonts w:hint="eastAsia"/>
        </w:rPr>
        <w:t>饲料损失率</w:t>
      </w:r>
      <w:bookmarkEnd w:id="112"/>
    </w:p>
    <w:p>
      <w:pPr>
        <w:pStyle w:val="20"/>
        <w:rPr>
          <w:rFonts w:hint="eastAsia" w:ascii="黑体" w:hAnsi="宋体"/>
        </w:rPr>
      </w:pPr>
      <w:r>
        <w:rPr>
          <w:rFonts w:hint="eastAsia"/>
        </w:rPr>
        <w:t>在测试饲喂能力的同时收集散落在饲喂设备外的</w:t>
      </w:r>
      <w:r>
        <w:rPr>
          <w:rFonts w:hint="eastAsia"/>
          <w:szCs w:val="21"/>
        </w:rPr>
        <w:t>所有物料并称重</w:t>
      </w:r>
      <w:r>
        <w:rPr>
          <w:rFonts w:hint="eastAsia"/>
        </w:rPr>
        <w:t>，按式（5）计算饲料损失率，共测试3次，结果取算数平均值</w:t>
      </w:r>
      <w:r>
        <w:rPr>
          <w:rFonts w:hint="eastAsia" w:ascii="黑体" w:hAnsi="宋体"/>
        </w:rPr>
        <w:t>。</w:t>
      </w:r>
    </w:p>
    <w:p>
      <w:pPr>
        <w:pStyle w:val="76"/>
      </w:pPr>
      <w:r>
        <w:tab/>
      </w:r>
      <w:r>
        <w:rPr>
          <w:position w:val="-30"/>
        </w:rPr>
        <w:object>
          <v:shape id="_x0000_i1029" o:spt="75" type="#_x0000_t75" style="height:33.35pt;width:101.1pt;" o:ole="t" filled="f" o:preferrelative="t" stroked="f" coordsize="21600,21600">
            <v:path/>
            <v:fill on="f" alignshape="1" focussize="0,0"/>
            <v:stroke on="f"/>
            <v:imagedata r:id="rId23" o:title=""/>
            <o:lock v:ext="edit" aspectratio="t"/>
            <w10:wrap type="none"/>
            <w10:anchorlock/>
          </v:shape>
          <o:OLEObject Type="Embed" ProgID="Equation.3" ShapeID="_x0000_i1029" DrawAspect="Content" ObjectID="_1468075729" r:id="rId22">
            <o:LockedField>false</o:LockedField>
          </o:OLEObject>
        </w:object>
      </w:r>
      <w:r>
        <w:tab/>
      </w:r>
      <w:r>
        <w:t>(</w:t>
      </w:r>
      <w:r>
        <w:fldChar w:fldCharType="begin"/>
      </w:r>
      <w:r>
        <w:instrText xml:space="preserve"> SEQ 标准自动公式 \* ARABIC </w:instrText>
      </w:r>
      <w:r>
        <w:fldChar w:fldCharType="separate"/>
      </w:r>
      <w:r>
        <w:t>5</w:t>
      </w:r>
      <w:r>
        <w:fldChar w:fldCharType="end"/>
      </w:r>
      <w:r>
        <w:t>)</w:t>
      </w:r>
    </w:p>
    <w:p>
      <w:pPr>
        <w:pStyle w:val="20"/>
        <w:rPr>
          <w:rFonts w:hint="eastAsia"/>
        </w:rPr>
      </w:pPr>
      <w:r>
        <w:rPr>
          <w:rFonts w:hint="eastAsia"/>
        </w:rPr>
        <w:t>式中：</w:t>
      </w:r>
    </w:p>
    <w:p>
      <w:pPr>
        <w:pStyle w:val="20"/>
        <w:rPr>
          <w:rFonts w:hint="eastAsia" w:hAnsi="宋体"/>
        </w:rPr>
      </w:pPr>
      <w:r>
        <w:rPr>
          <w:rFonts w:hint="eastAsia"/>
          <w:i/>
        </w:rPr>
        <w:t>S</w:t>
      </w:r>
      <w:r>
        <w:rPr>
          <w:rFonts w:hint="eastAsia"/>
          <w:i/>
          <w:szCs w:val="21"/>
          <w:vertAlign w:val="subscript"/>
        </w:rPr>
        <w:t>s</w:t>
      </w:r>
      <w:r>
        <w:rPr>
          <w:rFonts w:hint="eastAsia" w:hAnsi="宋体"/>
        </w:rPr>
        <w:t>——</w:t>
      </w:r>
      <w:r>
        <w:rPr>
          <w:rFonts w:hint="eastAsia"/>
        </w:rPr>
        <w:t>饲料损失率,</w:t>
      </w:r>
      <w:r>
        <w:rPr>
          <w:rFonts w:hint="eastAsia" w:hAnsi="宋体"/>
        </w:rPr>
        <w:t xml:space="preserve"> %。</w:t>
      </w:r>
    </w:p>
    <w:p>
      <w:pPr>
        <w:pStyle w:val="20"/>
        <w:rPr>
          <w:rFonts w:hint="eastAsia"/>
          <w:szCs w:val="21"/>
        </w:rPr>
      </w:pPr>
      <w:r>
        <w:rPr>
          <w:rFonts w:hint="eastAsia" w:hAnsi="宋体"/>
          <w:i/>
        </w:rPr>
        <w:t>m</w:t>
      </w:r>
      <w:r>
        <w:rPr>
          <w:rFonts w:hint="eastAsia" w:hAnsi="宋体"/>
          <w:i/>
          <w:szCs w:val="21"/>
          <w:vertAlign w:val="subscript"/>
        </w:rPr>
        <w:t>s</w:t>
      </w:r>
      <w:r>
        <w:rPr>
          <w:rFonts w:hint="eastAsia" w:hAnsi="宋体"/>
        </w:rPr>
        <w:t>——</w:t>
      </w:r>
      <w:r>
        <w:rPr>
          <w:rFonts w:hint="eastAsia"/>
        </w:rPr>
        <w:t>散落在饲喂设备外的物料</w:t>
      </w:r>
      <w:r>
        <w:rPr>
          <w:rFonts w:hint="eastAsia" w:hAnsi="宋体"/>
          <w:szCs w:val="21"/>
        </w:rPr>
        <w:t>质量</w:t>
      </w:r>
      <w:r>
        <w:rPr>
          <w:rFonts w:hint="eastAsia" w:hAnsi="宋体"/>
        </w:rPr>
        <w:t>，单位为千克（kg）。</w:t>
      </w:r>
    </w:p>
    <w:p>
      <w:pPr>
        <w:pStyle w:val="43"/>
        <w:spacing w:before="156" w:after="156"/>
        <w:ind w:left="0"/>
        <w:rPr>
          <w:rFonts w:hint="eastAsia"/>
        </w:rPr>
      </w:pPr>
      <w:bookmarkStart w:id="113" w:name="_Toc421030096"/>
      <w:r>
        <w:rPr>
          <w:rFonts w:hint="eastAsia"/>
        </w:rPr>
        <w:t>吨料电耗</w:t>
      </w:r>
      <w:bookmarkEnd w:id="113"/>
    </w:p>
    <w:p>
      <w:pPr>
        <w:pStyle w:val="20"/>
        <w:rPr>
          <w:rFonts w:hint="eastAsia" w:ascii="黑体" w:hAnsi="宋体"/>
        </w:rPr>
      </w:pPr>
      <w:r>
        <w:rPr>
          <w:rFonts w:hint="eastAsia"/>
        </w:rPr>
        <w:t>在测试饲喂能力的同时记录耗电量，按式（6）计算吨料电耗，共测试3次，结果取算数平均值</w:t>
      </w:r>
      <w:r>
        <w:rPr>
          <w:rFonts w:hint="eastAsia" w:ascii="黑体" w:hAnsi="宋体"/>
        </w:rPr>
        <w:t>。</w:t>
      </w:r>
    </w:p>
    <w:p>
      <w:pPr>
        <w:pStyle w:val="76"/>
      </w:pPr>
      <w:r>
        <w:tab/>
      </w:r>
      <w:r>
        <w:rPr>
          <w:position w:val="-30"/>
        </w:rPr>
        <w:object>
          <v:shape id="_x0000_i1030" o:spt="75" type="#_x0000_t75" style="height:34pt;width:66pt;" o:ole="t" filled="f" o:preferrelative="t" stroked="f" coordsize="21600,21600">
            <v:path/>
            <v:fill on="f" alignshape="1" focussize="0,0"/>
            <v:stroke on="f"/>
            <v:imagedata r:id="rId25" o:title=""/>
            <o:lock v:ext="edit" aspectratio="t"/>
            <w10:wrap type="none"/>
            <w10:anchorlock/>
          </v:shape>
          <o:OLEObject Type="Embed" ProgID="Equation.3" ShapeID="_x0000_i1030" DrawAspect="Content" ObjectID="_1468075730" r:id="rId24">
            <o:LockedField>false</o:LockedField>
          </o:OLEObject>
        </w:object>
      </w:r>
      <w:r>
        <w:tab/>
      </w:r>
      <w:r>
        <w:t>(</w:t>
      </w:r>
      <w:r>
        <w:fldChar w:fldCharType="begin"/>
      </w:r>
      <w:r>
        <w:instrText xml:space="preserve"> SEQ 标准自动公式 \* ARABIC </w:instrText>
      </w:r>
      <w:r>
        <w:fldChar w:fldCharType="separate"/>
      </w:r>
      <w:r>
        <w:t>6</w:t>
      </w:r>
      <w:r>
        <w:fldChar w:fldCharType="end"/>
      </w:r>
      <w:r>
        <w:t>)</w:t>
      </w:r>
    </w:p>
    <w:p>
      <w:pPr>
        <w:pStyle w:val="20"/>
        <w:rPr>
          <w:rFonts w:hint="eastAsia"/>
        </w:rPr>
      </w:pPr>
      <w:r>
        <w:rPr>
          <w:rFonts w:hint="eastAsia"/>
        </w:rPr>
        <w:t>式中：</w:t>
      </w:r>
    </w:p>
    <w:p>
      <w:pPr>
        <w:pStyle w:val="20"/>
        <w:rPr>
          <w:rFonts w:hint="eastAsia"/>
        </w:rPr>
      </w:pPr>
      <w:r>
        <w:rPr>
          <w:rFonts w:hint="eastAsia"/>
          <w:i/>
        </w:rPr>
        <w:t>G</w:t>
      </w:r>
      <w:r>
        <w:rPr>
          <w:rFonts w:hint="eastAsia"/>
          <w:i/>
          <w:szCs w:val="21"/>
          <w:vertAlign w:val="subscript"/>
        </w:rPr>
        <w:t>a</w:t>
      </w:r>
      <w:r>
        <w:rPr>
          <w:rFonts w:hint="eastAsia" w:hAnsi="宋体"/>
        </w:rPr>
        <w:t>——</w:t>
      </w:r>
      <w:r>
        <w:rPr>
          <w:rFonts w:hint="eastAsia"/>
        </w:rPr>
        <w:t>吨料电耗，单位为千瓦小时每吨[（kW·h）/t]；</w:t>
      </w:r>
    </w:p>
    <w:p>
      <w:pPr>
        <w:pStyle w:val="20"/>
        <w:rPr>
          <w:rFonts w:hint="eastAsia"/>
        </w:rPr>
      </w:pPr>
      <w:r>
        <w:rPr>
          <w:rFonts w:hint="eastAsia"/>
          <w:i/>
        </w:rPr>
        <w:t>W</w:t>
      </w:r>
      <w:r>
        <w:rPr>
          <w:rFonts w:hint="eastAsia" w:hAnsi="宋体"/>
        </w:rPr>
        <w:t>——</w:t>
      </w:r>
      <w:r>
        <w:rPr>
          <w:rFonts w:hint="eastAsia"/>
        </w:rPr>
        <w:t>纯工作时间内总耗电量，单位为千瓦小时(kW·h)。</w:t>
      </w:r>
    </w:p>
    <w:p>
      <w:pPr>
        <w:pStyle w:val="43"/>
        <w:spacing w:before="156" w:after="156"/>
        <w:ind w:left="0"/>
        <w:rPr>
          <w:rFonts w:hint="eastAsia"/>
        </w:rPr>
      </w:pPr>
      <w:bookmarkStart w:id="114" w:name="_Toc421030097"/>
      <w:r>
        <w:rPr>
          <w:rFonts w:hint="eastAsia"/>
        </w:rPr>
        <w:t>轴承温升</w:t>
      </w:r>
      <w:bookmarkEnd w:id="114"/>
    </w:p>
    <w:p>
      <w:pPr>
        <w:pStyle w:val="20"/>
        <w:rPr>
          <w:rFonts w:hint="eastAsia"/>
        </w:rPr>
      </w:pPr>
      <w:r>
        <w:rPr>
          <w:rFonts w:hint="eastAsia"/>
        </w:rPr>
        <w:t>试验前测定轴承壳外表面的温度。每次生产率测试试验结束后，立即测定每个轴承壳外表面的温度，测3点，取最大值。</w:t>
      </w:r>
    </w:p>
    <w:p>
      <w:pPr>
        <w:pStyle w:val="76"/>
      </w:pPr>
      <w:r>
        <w:tab/>
      </w:r>
      <w:r>
        <w:rPr>
          <w:position w:val="-12"/>
        </w:rPr>
        <w:object>
          <v:shape id="_x0000_i1031" o:spt="75" type="#_x0000_t75" style="height:18pt;width:60.95pt;" o:ole="t" filled="f" o:preferrelative="t" stroked="f" coordsize="21600,21600">
            <v:path/>
            <v:fill on="f" alignshape="1" focussize="0,0"/>
            <v:stroke on="f"/>
            <v:imagedata r:id="rId27" o:title=""/>
            <o:lock v:ext="edit" aspectratio="t"/>
            <w10:wrap type="none"/>
            <w10:anchorlock/>
          </v:shape>
          <o:OLEObject Type="Embed" ProgID="Equation.3" ShapeID="_x0000_i1031" DrawAspect="Content" ObjectID="_1468075731" r:id="rId26">
            <o:LockedField>false</o:LockedField>
          </o:OLEObject>
        </w:object>
      </w:r>
      <w:r>
        <w:rPr>
          <w:position w:val="-12"/>
        </w:rPr>
        <w:tab/>
      </w:r>
      <w:r>
        <w:rPr>
          <w:position w:val="-12"/>
        </w:rPr>
        <w:t>(7)</w:t>
      </w:r>
      <w:r>
        <w:tab/>
      </w:r>
    </w:p>
    <w:p>
      <w:pPr>
        <w:pStyle w:val="20"/>
        <w:rPr>
          <w:rFonts w:hint="eastAsia"/>
        </w:rPr>
      </w:pPr>
      <w:r>
        <w:rPr>
          <w:rFonts w:hint="eastAsia"/>
        </w:rPr>
        <w:t>式中：</w:t>
      </w:r>
    </w:p>
    <w:p>
      <w:pPr>
        <w:pStyle w:val="20"/>
        <w:rPr>
          <w:rFonts w:hint="eastAsia"/>
        </w:rPr>
      </w:pPr>
      <w:r>
        <w:rPr>
          <w:rFonts w:hint="eastAsia"/>
          <w:i/>
        </w:rPr>
        <w:t>T</w:t>
      </w:r>
      <w:r>
        <w:rPr>
          <w:rFonts w:hint="eastAsia"/>
          <w:i/>
          <w:szCs w:val="21"/>
          <w:vertAlign w:val="subscript"/>
        </w:rPr>
        <w:t>W</w:t>
      </w:r>
      <w:r>
        <w:rPr>
          <w:rFonts w:hint="eastAsia" w:hAnsi="宋体"/>
        </w:rPr>
        <w:t>——</w:t>
      </w:r>
      <w:r>
        <w:rPr>
          <w:rFonts w:hint="eastAsia"/>
        </w:rPr>
        <w:t>轴承温升，单位为摄氏度（</w:t>
      </w:r>
      <w:r>
        <w:rPr>
          <w:rFonts w:hint="eastAsia" w:hAnsi="宋体"/>
        </w:rPr>
        <w:t>℃</w:t>
      </w:r>
      <w:r>
        <w:rPr>
          <w:rFonts w:hint="eastAsia"/>
        </w:rPr>
        <w:t>）；</w:t>
      </w:r>
    </w:p>
    <w:p>
      <w:pPr>
        <w:pStyle w:val="20"/>
        <w:rPr>
          <w:rFonts w:hint="eastAsia"/>
        </w:rPr>
      </w:pPr>
      <w:r>
        <w:rPr>
          <w:rFonts w:hint="eastAsia"/>
          <w:i/>
        </w:rPr>
        <w:t>T</w:t>
      </w:r>
      <w:r>
        <w:rPr>
          <w:rFonts w:hint="eastAsia"/>
          <w:i/>
          <w:szCs w:val="21"/>
          <w:vertAlign w:val="subscript"/>
        </w:rPr>
        <w:t>o</w:t>
      </w:r>
      <w:r>
        <w:rPr>
          <w:rFonts w:hint="eastAsia" w:hAnsi="宋体"/>
        </w:rPr>
        <w:t>——试验前</w:t>
      </w:r>
      <w:r>
        <w:rPr>
          <w:rFonts w:hint="eastAsia"/>
        </w:rPr>
        <w:t>轴承温度，单位为摄氏度（</w:t>
      </w:r>
      <w:r>
        <w:rPr>
          <w:rFonts w:hint="eastAsia" w:hAnsi="宋体"/>
        </w:rPr>
        <w:t>℃</w:t>
      </w:r>
      <w:r>
        <w:rPr>
          <w:rFonts w:hint="eastAsia"/>
        </w:rPr>
        <w:t>）；</w:t>
      </w:r>
    </w:p>
    <w:p>
      <w:pPr>
        <w:pStyle w:val="20"/>
      </w:pPr>
      <w:r>
        <w:rPr>
          <w:rFonts w:hint="eastAsia"/>
          <w:i/>
        </w:rPr>
        <w:t>T</w:t>
      </w:r>
      <w:r>
        <w:rPr>
          <w:rFonts w:hint="eastAsia"/>
          <w:i/>
          <w:szCs w:val="21"/>
          <w:vertAlign w:val="subscript"/>
        </w:rPr>
        <w:t>i</w:t>
      </w:r>
      <w:r>
        <w:rPr>
          <w:rFonts w:hint="eastAsia" w:hAnsi="宋体"/>
        </w:rPr>
        <w:t>——试验后</w:t>
      </w:r>
      <w:r>
        <w:rPr>
          <w:rFonts w:hint="eastAsia"/>
        </w:rPr>
        <w:t>轴承温度，单位为摄氏度（</w:t>
      </w:r>
      <w:r>
        <w:rPr>
          <w:rFonts w:hint="eastAsia" w:hAnsi="宋体"/>
        </w:rPr>
        <w:t>℃</w:t>
      </w:r>
      <w:r>
        <w:rPr>
          <w:rFonts w:hint="eastAsia"/>
        </w:rPr>
        <w:t>）。</w:t>
      </w:r>
    </w:p>
    <w:p>
      <w:pPr>
        <w:pStyle w:val="44"/>
        <w:ind w:left="0"/>
        <w:rPr>
          <w:rFonts w:hint="eastAsia"/>
        </w:rPr>
      </w:pPr>
      <w:bookmarkStart w:id="115" w:name="_Toc398244177"/>
      <w:bookmarkStart w:id="116" w:name="_Toc418671522"/>
      <w:bookmarkStart w:id="117" w:name="_Toc421030098"/>
      <w:bookmarkStart w:id="118" w:name="_Toc418675967"/>
      <w:bookmarkStart w:id="119" w:name="_Toc421111664"/>
      <w:bookmarkStart w:id="120" w:name="_Toc393814298"/>
      <w:r>
        <w:rPr>
          <w:rFonts w:hint="eastAsia"/>
        </w:rPr>
        <w:t>生产试验</w:t>
      </w:r>
      <w:bookmarkEnd w:id="115"/>
      <w:bookmarkEnd w:id="116"/>
      <w:bookmarkEnd w:id="117"/>
      <w:bookmarkEnd w:id="118"/>
      <w:bookmarkEnd w:id="119"/>
      <w:bookmarkEnd w:id="120"/>
    </w:p>
    <w:p>
      <w:pPr>
        <w:pStyle w:val="43"/>
        <w:spacing w:before="156" w:after="156"/>
        <w:ind w:left="0"/>
        <w:rPr>
          <w:rFonts w:hint="eastAsia" w:ascii="宋体" w:hAnsi="宋体" w:eastAsia="宋体"/>
        </w:rPr>
      </w:pPr>
      <w:bookmarkStart w:id="121" w:name="_Toc421030099"/>
      <w:r>
        <w:rPr>
          <w:rFonts w:hint="eastAsia" w:ascii="宋体" w:hAnsi="宋体" w:eastAsia="宋体"/>
        </w:rPr>
        <w:t>生产试验的纯工作时间不得少于50</w:t>
      </w:r>
      <w:r>
        <w:rPr>
          <w:rFonts w:hint="eastAsia" w:ascii="宋体" w:hAnsi="宋体" w:eastAsia="宋体"/>
          <w:color w:val="FF0000"/>
        </w:rPr>
        <w:t>h</w:t>
      </w:r>
      <w:r>
        <w:rPr>
          <w:rFonts w:hint="eastAsia" w:ascii="宋体" w:hAnsi="宋体" w:eastAsia="宋体"/>
        </w:rPr>
        <w:t>。</w:t>
      </w:r>
      <w:bookmarkEnd w:id="121"/>
    </w:p>
    <w:p>
      <w:pPr>
        <w:pStyle w:val="43"/>
        <w:spacing w:before="156" w:after="156"/>
        <w:ind w:left="0"/>
        <w:rPr>
          <w:rFonts w:hint="eastAsia"/>
        </w:rPr>
      </w:pPr>
      <w:bookmarkStart w:id="122" w:name="_Toc421030100"/>
      <w:r>
        <w:rPr>
          <w:rFonts w:hint="eastAsia"/>
        </w:rPr>
        <w:t>故障分类和时间查定</w:t>
      </w:r>
      <w:bookmarkEnd w:id="122"/>
    </w:p>
    <w:p>
      <w:pPr>
        <w:pStyle w:val="20"/>
        <w:rPr>
          <w:rFonts w:hint="eastAsia"/>
        </w:rPr>
      </w:pPr>
      <w:r>
        <w:rPr>
          <w:rFonts w:hint="eastAsia"/>
        </w:rPr>
        <w:t>故障的分类和时间的查定应符合GB/T 5667的规定。</w:t>
      </w:r>
    </w:p>
    <w:p>
      <w:pPr>
        <w:pStyle w:val="43"/>
        <w:spacing w:before="156" w:after="156"/>
        <w:ind w:left="0"/>
        <w:rPr>
          <w:rFonts w:hint="eastAsia"/>
        </w:rPr>
      </w:pPr>
      <w:bookmarkStart w:id="123" w:name="_Toc421030101"/>
      <w:r>
        <w:rPr>
          <w:rFonts w:hint="eastAsia"/>
        </w:rPr>
        <w:t>平均首次故障前工作时间</w:t>
      </w:r>
      <w:bookmarkEnd w:id="123"/>
    </w:p>
    <w:p>
      <w:pPr>
        <w:ind w:firstLine="420" w:firstLineChars="200"/>
        <w:rPr>
          <w:rFonts w:hint="eastAsia"/>
        </w:rPr>
      </w:pPr>
      <w:r>
        <w:rPr>
          <w:rFonts w:hint="eastAsia"/>
        </w:rPr>
        <w:t>平均首次故障前工作时间按照</w:t>
      </w:r>
      <w:r>
        <w:rPr>
          <w:rFonts w:hint="eastAsia" w:ascii="宋体" w:hAnsi="宋体"/>
        </w:rPr>
        <w:t>GB/T 5667</w:t>
      </w:r>
      <w:r>
        <w:rPr>
          <w:rFonts w:hint="eastAsia"/>
        </w:rPr>
        <w:t>的规定测定。</w:t>
      </w:r>
    </w:p>
    <w:p>
      <w:pPr>
        <w:pStyle w:val="44"/>
        <w:ind w:left="0"/>
        <w:rPr>
          <w:rFonts w:hint="eastAsia"/>
        </w:rPr>
      </w:pPr>
      <w:bookmarkStart w:id="124" w:name="_Toc398244178"/>
      <w:bookmarkStart w:id="125" w:name="_Toc393814299"/>
      <w:bookmarkStart w:id="126" w:name="_Toc421030102"/>
      <w:bookmarkStart w:id="127" w:name="_Toc421111665"/>
      <w:bookmarkStart w:id="128" w:name="_Toc418671523"/>
      <w:bookmarkStart w:id="129" w:name="_Toc418675968"/>
      <w:r>
        <w:rPr>
          <w:rFonts w:hint="eastAsia"/>
        </w:rPr>
        <w:t>试验报告</w:t>
      </w:r>
      <w:bookmarkEnd w:id="124"/>
      <w:bookmarkEnd w:id="125"/>
      <w:bookmarkEnd w:id="126"/>
      <w:bookmarkEnd w:id="127"/>
      <w:bookmarkEnd w:id="128"/>
      <w:bookmarkEnd w:id="129"/>
    </w:p>
    <w:p>
      <w:pPr>
        <w:pStyle w:val="20"/>
        <w:rPr>
          <w:rFonts w:hint="eastAsia" w:cs="宋体"/>
          <w:lang w:val="zh-CN"/>
        </w:rPr>
      </w:pPr>
      <w:r>
        <w:rPr>
          <w:rFonts w:hint="eastAsia" w:cs="宋体"/>
        </w:rPr>
        <w:t>性能试验和生产</w:t>
      </w:r>
      <w:r>
        <w:rPr>
          <w:rFonts w:hint="eastAsia" w:cs="宋体"/>
          <w:lang w:val="zh-CN"/>
        </w:rPr>
        <w:t>试验结束后，对试验结果进行整理、分析并提出试验报告，试验报告的主要内容应包括：</w:t>
      </w:r>
    </w:p>
    <w:p>
      <w:pPr>
        <w:pStyle w:val="84"/>
        <w:rPr>
          <w:rFonts w:hint="eastAsia"/>
        </w:rPr>
      </w:pPr>
      <w:r>
        <w:rPr>
          <w:rFonts w:hint="eastAsia"/>
        </w:rPr>
        <w:t>试验目的和要求；</w:t>
      </w:r>
    </w:p>
    <w:p>
      <w:pPr>
        <w:pStyle w:val="84"/>
        <w:rPr>
          <w:rFonts w:hint="eastAsia"/>
        </w:rPr>
      </w:pPr>
      <w:r>
        <w:rPr>
          <w:rFonts w:hint="eastAsia"/>
        </w:rPr>
        <w:t>试验样机的技术特征；</w:t>
      </w:r>
    </w:p>
    <w:p>
      <w:pPr>
        <w:pStyle w:val="84"/>
        <w:rPr>
          <w:rFonts w:hint="eastAsia"/>
        </w:rPr>
      </w:pPr>
      <w:r>
        <w:rPr>
          <w:rFonts w:hint="eastAsia"/>
        </w:rPr>
        <w:t>试验地点和条件；</w:t>
      </w:r>
    </w:p>
    <w:p>
      <w:pPr>
        <w:pStyle w:val="84"/>
        <w:rPr>
          <w:rFonts w:hint="eastAsia"/>
        </w:rPr>
      </w:pPr>
      <w:r>
        <w:rPr>
          <w:rFonts w:hint="eastAsia"/>
        </w:rPr>
        <w:t>试验结果和分析；</w:t>
      </w:r>
    </w:p>
    <w:p>
      <w:pPr>
        <w:pStyle w:val="84"/>
        <w:rPr>
          <w:rFonts w:hint="eastAsia"/>
        </w:rPr>
      </w:pPr>
      <w:r>
        <w:rPr>
          <w:rFonts w:hint="eastAsia"/>
        </w:rPr>
        <w:t>性能试验报告</w:t>
      </w:r>
      <w:r>
        <w:rPr>
          <w:rFonts w:hint="eastAsia"/>
          <w:color w:val="FF0000"/>
        </w:rPr>
        <w:t>；</w:t>
      </w:r>
    </w:p>
    <w:p>
      <w:pPr>
        <w:pStyle w:val="84"/>
        <w:rPr>
          <w:rFonts w:hint="eastAsia"/>
        </w:rPr>
      </w:pPr>
      <w:r>
        <w:rPr>
          <w:rFonts w:hint="eastAsia"/>
        </w:rPr>
        <w:t>生产试验报告；</w:t>
      </w:r>
    </w:p>
    <w:p>
      <w:pPr>
        <w:pStyle w:val="84"/>
        <w:rPr>
          <w:rFonts w:hint="eastAsia"/>
        </w:rPr>
      </w:pPr>
      <w:r>
        <w:rPr>
          <w:rFonts w:hint="eastAsia"/>
        </w:rPr>
        <w:t>对试验样机进行评价，提出改进意见和建议；</w:t>
      </w:r>
    </w:p>
    <w:p>
      <w:pPr>
        <w:pStyle w:val="84"/>
        <w:rPr>
          <w:rFonts w:hint="eastAsia"/>
        </w:rPr>
      </w:pPr>
      <w:r>
        <w:rPr>
          <w:rFonts w:hint="eastAsia"/>
        </w:rPr>
        <w:t>结论意见。</w:t>
      </w:r>
    </w:p>
    <w:p>
      <w:pPr>
        <w:pStyle w:val="41"/>
        <w:ind w:left="0"/>
        <w:rPr>
          <w:rFonts w:hint="eastAsia"/>
        </w:rPr>
      </w:pPr>
      <w:bookmarkStart w:id="130" w:name="_Toc381018206"/>
      <w:bookmarkStart w:id="131" w:name="_Toc398244179"/>
      <w:bookmarkStart w:id="132" w:name="_Toc418675969"/>
      <w:bookmarkStart w:id="133" w:name="_Toc418671524"/>
      <w:bookmarkStart w:id="134" w:name="_Toc421030103"/>
      <w:bookmarkStart w:id="135" w:name="_Toc381018260"/>
      <w:bookmarkStart w:id="136" w:name="_Toc393814300"/>
      <w:bookmarkStart w:id="137" w:name="_Toc421111666"/>
      <w:r>
        <w:rPr>
          <w:rFonts w:hint="eastAsia"/>
        </w:rPr>
        <w:t>检验规则</w:t>
      </w:r>
      <w:bookmarkEnd w:id="130"/>
      <w:bookmarkEnd w:id="131"/>
      <w:bookmarkEnd w:id="132"/>
      <w:bookmarkEnd w:id="133"/>
      <w:bookmarkEnd w:id="134"/>
      <w:bookmarkEnd w:id="135"/>
      <w:bookmarkEnd w:id="136"/>
      <w:bookmarkEnd w:id="137"/>
    </w:p>
    <w:p>
      <w:pPr>
        <w:pStyle w:val="44"/>
        <w:ind w:left="0"/>
        <w:rPr>
          <w:rFonts w:hint="eastAsia"/>
        </w:rPr>
      </w:pPr>
      <w:bookmarkStart w:id="138" w:name="_Toc421030104"/>
      <w:bookmarkStart w:id="139" w:name="_Toc418671525"/>
      <w:bookmarkStart w:id="140" w:name="_Toc418675970"/>
      <w:bookmarkStart w:id="141" w:name="_Toc421111667"/>
      <w:bookmarkStart w:id="142" w:name="_Toc393814301"/>
      <w:bookmarkStart w:id="143" w:name="_Toc398244180"/>
      <w:r>
        <w:rPr>
          <w:rFonts w:hint="eastAsia"/>
        </w:rPr>
        <w:t>出厂检验</w:t>
      </w:r>
      <w:bookmarkEnd w:id="138"/>
      <w:bookmarkEnd w:id="139"/>
      <w:bookmarkEnd w:id="140"/>
      <w:bookmarkEnd w:id="141"/>
      <w:bookmarkEnd w:id="142"/>
      <w:bookmarkEnd w:id="143"/>
    </w:p>
    <w:p>
      <w:pPr>
        <w:pStyle w:val="42"/>
        <w:rPr>
          <w:rFonts w:hint="eastAsia"/>
        </w:rPr>
      </w:pPr>
      <w:r>
        <w:rPr>
          <w:rFonts w:hint="eastAsia"/>
        </w:rPr>
        <w:t>每台饲喂设备应经制造厂质量检验部门检验合格并附有产品合格证方可出厂。</w:t>
      </w:r>
    </w:p>
    <w:p>
      <w:pPr>
        <w:pStyle w:val="42"/>
        <w:rPr>
          <w:rFonts w:hint="eastAsia"/>
        </w:rPr>
      </w:pPr>
      <w:r>
        <w:rPr>
          <w:rFonts w:hint="eastAsia"/>
        </w:rPr>
        <w:t>出厂检验项目应符合5.1.2～5.1.5、5.3、5.4、8.1、8.2的规定。</w:t>
      </w:r>
    </w:p>
    <w:p>
      <w:pPr>
        <w:pStyle w:val="42"/>
        <w:rPr>
          <w:rFonts w:hint="eastAsia"/>
        </w:rPr>
      </w:pPr>
      <w:r>
        <w:rPr>
          <w:rFonts w:hint="eastAsia" w:hAnsi="宋体"/>
          <w:snapToGrid w:val="0"/>
        </w:rPr>
        <w:t>如有不合格项目，允许修复、调整，合格后方可出厂。</w:t>
      </w:r>
    </w:p>
    <w:p>
      <w:pPr>
        <w:pStyle w:val="44"/>
        <w:ind w:left="0"/>
        <w:rPr>
          <w:rFonts w:hint="eastAsia"/>
        </w:rPr>
      </w:pPr>
      <w:bookmarkStart w:id="144" w:name="_Toc393814302"/>
      <w:bookmarkStart w:id="145" w:name="_Toc421030105"/>
      <w:bookmarkStart w:id="146" w:name="_Toc418671526"/>
      <w:bookmarkStart w:id="147" w:name="_Toc421111668"/>
      <w:bookmarkStart w:id="148" w:name="_Toc418675971"/>
      <w:bookmarkStart w:id="149" w:name="_Toc398244181"/>
      <w:r>
        <w:rPr>
          <w:rFonts w:hint="eastAsia"/>
        </w:rPr>
        <w:t>型式检验</w:t>
      </w:r>
      <w:bookmarkEnd w:id="144"/>
      <w:bookmarkEnd w:id="145"/>
      <w:bookmarkEnd w:id="146"/>
      <w:bookmarkEnd w:id="147"/>
      <w:bookmarkEnd w:id="148"/>
      <w:bookmarkEnd w:id="149"/>
    </w:p>
    <w:p>
      <w:pPr>
        <w:pStyle w:val="42"/>
        <w:rPr>
          <w:rFonts w:hint="eastAsia"/>
        </w:rPr>
      </w:pPr>
      <w:r>
        <w:rPr>
          <w:rFonts w:hint="eastAsia" w:hAnsi="宋体"/>
        </w:rPr>
        <w:t>有下列情况之一，应进行型式检验：</w:t>
      </w:r>
    </w:p>
    <w:p>
      <w:pPr>
        <w:pStyle w:val="84"/>
        <w:numPr>
          <w:ilvl w:val="0"/>
          <w:numId w:val="13"/>
        </w:numPr>
        <w:rPr>
          <w:rFonts w:hint="eastAsia"/>
        </w:rPr>
      </w:pPr>
      <w:r>
        <w:rPr>
          <w:rFonts w:hint="eastAsia"/>
        </w:rPr>
        <w:t>新产品试制或者老产品转厂生产定型鉴定时；</w:t>
      </w:r>
    </w:p>
    <w:p>
      <w:pPr>
        <w:pStyle w:val="84"/>
        <w:rPr>
          <w:rFonts w:hint="eastAsia"/>
        </w:rPr>
      </w:pPr>
      <w:r>
        <w:rPr>
          <w:rFonts w:hint="eastAsia" w:hAnsi="宋体"/>
        </w:rPr>
        <w:t>正式生产后，如结构、材料、工艺有较大改变，可能影响产品性能时；</w:t>
      </w:r>
    </w:p>
    <w:p>
      <w:pPr>
        <w:pStyle w:val="84"/>
        <w:rPr>
          <w:rFonts w:hint="eastAsia"/>
        </w:rPr>
      </w:pPr>
      <w:r>
        <w:rPr>
          <w:rFonts w:hint="eastAsia" w:hAnsi="宋体" w:cs="宋体"/>
        </w:rPr>
        <w:t>出厂检验结果与上次型式检验有较大差异时</w:t>
      </w:r>
      <w:r>
        <w:rPr>
          <w:rFonts w:hint="eastAsia" w:hAnsi="宋体"/>
        </w:rPr>
        <w:t>；</w:t>
      </w:r>
    </w:p>
    <w:p>
      <w:pPr>
        <w:pStyle w:val="84"/>
        <w:rPr>
          <w:rFonts w:hint="eastAsia"/>
        </w:rPr>
      </w:pPr>
      <w:r>
        <w:rPr>
          <w:rFonts w:hint="eastAsia"/>
        </w:rPr>
        <w:t>产品生产正常，每三年至少检验一次；</w:t>
      </w:r>
    </w:p>
    <w:p>
      <w:pPr>
        <w:pStyle w:val="84"/>
        <w:rPr>
          <w:rFonts w:hint="eastAsia"/>
        </w:rPr>
      </w:pPr>
      <w:r>
        <w:rPr>
          <w:rFonts w:hint="eastAsia"/>
        </w:rPr>
        <w:t>产品连续停产两年以上的，恢复生产时；</w:t>
      </w:r>
    </w:p>
    <w:p>
      <w:pPr>
        <w:pStyle w:val="84"/>
        <w:rPr>
          <w:rFonts w:hint="eastAsia"/>
          <w:color w:val="FF0000"/>
        </w:rPr>
      </w:pPr>
      <w:r>
        <w:rPr>
          <w:rFonts w:hint="eastAsia"/>
        </w:rPr>
        <w:t>国家质量监督机构提出进行型式检验的要求时。</w:t>
      </w:r>
    </w:p>
    <w:p>
      <w:pPr>
        <w:pStyle w:val="43"/>
        <w:spacing w:before="156" w:after="156"/>
        <w:ind w:left="0"/>
        <w:rPr>
          <w:rFonts w:hint="eastAsia" w:ascii="宋体" w:hAnsi="宋体" w:eastAsia="宋体"/>
          <w:color w:val="FF0000"/>
        </w:rPr>
      </w:pPr>
      <w:bookmarkStart w:id="150" w:name="_Toc421030106"/>
      <w:r>
        <w:rPr>
          <w:rFonts w:hint="eastAsia" w:ascii="宋体" w:hAnsi="宋体" w:eastAsia="宋体"/>
        </w:rPr>
        <w:t>型式检验的项目应符合第5章的要求。</w:t>
      </w:r>
      <w:bookmarkEnd w:id="150"/>
      <w:bookmarkStart w:id="190" w:name="_GoBack"/>
      <w:bookmarkEnd w:id="190"/>
    </w:p>
    <w:p>
      <w:pPr>
        <w:pStyle w:val="43"/>
        <w:spacing w:before="156" w:after="156"/>
        <w:ind w:left="0"/>
        <w:rPr>
          <w:rFonts w:hint="eastAsia" w:ascii="宋体" w:hAnsi="宋体" w:eastAsia="宋体"/>
        </w:rPr>
      </w:pPr>
      <w:bookmarkStart w:id="151" w:name="_Toc421030107"/>
      <w:r>
        <w:rPr>
          <w:rFonts w:hint="eastAsia" w:ascii="宋体" w:hAnsi="宋体" w:eastAsia="宋体"/>
        </w:rPr>
        <w:t>抽样方案应符合GB/T 2828.1规定的正常一次抽样方案，被抽样品应是企业最近一年生产、并经出厂检验合格的产品。批量范围为2台～10台，在用户抽样时不受此限。检验项目分类见表2，抽样方案见表3。</w:t>
      </w:r>
      <w:bookmarkEnd w:id="151"/>
    </w:p>
    <w:p>
      <w:pPr>
        <w:pStyle w:val="116"/>
        <w:numPr>
          <w:ilvl w:val="0"/>
          <w:numId w:val="12"/>
        </w:numPr>
        <w:rPr>
          <w:rFonts w:hint="eastAsia"/>
        </w:rPr>
      </w:pPr>
      <w:r>
        <w:t>检验项目</w:t>
      </w:r>
      <w:r>
        <w:rPr>
          <w:rFonts w:hint="eastAsia"/>
        </w:rPr>
        <w:t>分类</w:t>
      </w:r>
    </w:p>
    <w:tbl>
      <w:tblPr>
        <w:tblStyle w:val="28"/>
        <w:tblW w:w="926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1"/>
        <w:gridCol w:w="1365"/>
        <w:gridCol w:w="4296"/>
        <w:gridCol w:w="2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91" w:type="dxa"/>
            <w:noWrap w:val="0"/>
            <w:vAlign w:val="top"/>
          </w:tcPr>
          <w:p>
            <w:pPr>
              <w:pStyle w:val="20"/>
              <w:ind w:firstLine="0" w:firstLineChars="0"/>
              <w:jc w:val="center"/>
              <w:rPr>
                <w:rFonts w:hint="eastAsia"/>
                <w:sz w:val="18"/>
                <w:szCs w:val="18"/>
              </w:rPr>
            </w:pPr>
            <w:r>
              <w:rPr>
                <w:rFonts w:hint="eastAsia"/>
                <w:sz w:val="18"/>
                <w:szCs w:val="18"/>
              </w:rPr>
              <w:t>类  别</w:t>
            </w:r>
          </w:p>
        </w:tc>
        <w:tc>
          <w:tcPr>
            <w:tcW w:w="1365" w:type="dxa"/>
            <w:noWrap w:val="0"/>
            <w:vAlign w:val="top"/>
          </w:tcPr>
          <w:p>
            <w:pPr>
              <w:pStyle w:val="20"/>
              <w:ind w:firstLine="0" w:firstLineChars="0"/>
              <w:jc w:val="center"/>
              <w:rPr>
                <w:rFonts w:hint="eastAsia"/>
                <w:sz w:val="18"/>
                <w:szCs w:val="18"/>
              </w:rPr>
            </w:pPr>
            <w:r>
              <w:rPr>
                <w:rFonts w:hint="eastAsia"/>
                <w:sz w:val="18"/>
                <w:szCs w:val="18"/>
              </w:rPr>
              <w:t>序  号</w:t>
            </w:r>
          </w:p>
        </w:tc>
        <w:tc>
          <w:tcPr>
            <w:tcW w:w="4296" w:type="dxa"/>
            <w:noWrap w:val="0"/>
            <w:vAlign w:val="top"/>
          </w:tcPr>
          <w:p>
            <w:pPr>
              <w:pStyle w:val="20"/>
              <w:ind w:firstLine="0" w:firstLineChars="0"/>
              <w:jc w:val="center"/>
              <w:rPr>
                <w:rFonts w:hint="eastAsia"/>
                <w:sz w:val="18"/>
                <w:szCs w:val="18"/>
              </w:rPr>
            </w:pPr>
            <w:r>
              <w:rPr>
                <w:rFonts w:hint="eastAsia"/>
                <w:sz w:val="18"/>
                <w:szCs w:val="18"/>
              </w:rPr>
              <w:t>检  测  项  目  名  称</w:t>
            </w:r>
          </w:p>
        </w:tc>
        <w:tc>
          <w:tcPr>
            <w:tcW w:w="2310" w:type="dxa"/>
            <w:noWrap w:val="0"/>
            <w:vAlign w:val="top"/>
          </w:tcPr>
          <w:p>
            <w:pPr>
              <w:pStyle w:val="20"/>
              <w:ind w:left="80" w:leftChars="38" w:firstLine="0" w:firstLineChars="0"/>
              <w:jc w:val="center"/>
              <w:rPr>
                <w:rFonts w:hint="eastAsia"/>
                <w:sz w:val="18"/>
                <w:szCs w:val="18"/>
              </w:rPr>
            </w:pPr>
            <w:r>
              <w:rPr>
                <w:rFonts w:hint="eastAsia"/>
                <w:sz w:val="18"/>
                <w:szCs w:val="18"/>
              </w:rPr>
              <w:t>对 应 条 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restart"/>
            <w:noWrap w:val="0"/>
            <w:vAlign w:val="center"/>
          </w:tcPr>
          <w:p>
            <w:pPr>
              <w:pStyle w:val="20"/>
              <w:ind w:firstLine="0" w:firstLineChars="0"/>
              <w:jc w:val="center"/>
              <w:rPr>
                <w:rFonts w:hint="eastAsia"/>
                <w:sz w:val="18"/>
                <w:szCs w:val="18"/>
              </w:rPr>
            </w:pPr>
            <w:r>
              <w:rPr>
                <w:rFonts w:hint="eastAsia"/>
                <w:sz w:val="18"/>
                <w:szCs w:val="18"/>
              </w:rPr>
              <w:t>A</w:t>
            </w:r>
          </w:p>
        </w:tc>
        <w:tc>
          <w:tcPr>
            <w:tcW w:w="1365" w:type="dxa"/>
            <w:noWrap w:val="0"/>
            <w:vAlign w:val="center"/>
          </w:tcPr>
          <w:p>
            <w:pPr>
              <w:pStyle w:val="20"/>
              <w:ind w:firstLine="0" w:firstLineChars="0"/>
              <w:jc w:val="center"/>
              <w:rPr>
                <w:rFonts w:hint="eastAsia"/>
                <w:sz w:val="18"/>
                <w:szCs w:val="18"/>
              </w:rPr>
            </w:pPr>
            <w:r>
              <w:rPr>
                <w:rFonts w:hint="eastAsia"/>
                <w:sz w:val="18"/>
                <w:szCs w:val="18"/>
              </w:rPr>
              <w:t>1</w:t>
            </w:r>
          </w:p>
        </w:tc>
        <w:tc>
          <w:tcPr>
            <w:tcW w:w="4296" w:type="dxa"/>
            <w:noWrap w:val="0"/>
            <w:vAlign w:val="top"/>
          </w:tcPr>
          <w:p>
            <w:pPr>
              <w:rPr>
                <w:rFonts w:hint="eastAsia" w:ascii="宋体"/>
                <w:sz w:val="18"/>
              </w:rPr>
            </w:pPr>
            <w:r>
              <w:rPr>
                <w:rFonts w:hint="eastAsia" w:ascii="宋体" w:cs="宋体"/>
                <w:kern w:val="0"/>
                <w:sz w:val="18"/>
                <w:szCs w:val="18"/>
              </w:rPr>
              <w:t>送料均匀度</w:t>
            </w:r>
          </w:p>
        </w:tc>
        <w:tc>
          <w:tcPr>
            <w:tcW w:w="2310" w:type="dxa"/>
            <w:noWrap w:val="0"/>
            <w:vAlign w:val="top"/>
          </w:tcPr>
          <w:p>
            <w:pPr>
              <w:pStyle w:val="2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center"/>
          </w:tcPr>
          <w:p>
            <w:pPr>
              <w:pStyle w:val="20"/>
              <w:ind w:firstLine="0" w:firstLineChars="0"/>
              <w:jc w:val="center"/>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2</w:t>
            </w:r>
          </w:p>
        </w:tc>
        <w:tc>
          <w:tcPr>
            <w:tcW w:w="4296" w:type="dxa"/>
            <w:noWrap w:val="0"/>
            <w:vAlign w:val="top"/>
          </w:tcPr>
          <w:p>
            <w:pPr>
              <w:rPr>
                <w:rFonts w:hint="eastAsia" w:ascii="宋体"/>
                <w:sz w:val="18"/>
              </w:rPr>
            </w:pPr>
            <w:r>
              <w:rPr>
                <w:rFonts w:hint="eastAsia" w:ascii="宋体"/>
                <w:sz w:val="18"/>
              </w:rPr>
              <w:t>饲料损失率</w:t>
            </w:r>
          </w:p>
        </w:tc>
        <w:tc>
          <w:tcPr>
            <w:tcW w:w="2310" w:type="dxa"/>
            <w:noWrap w:val="0"/>
            <w:vAlign w:val="top"/>
          </w:tcPr>
          <w:p>
            <w:pPr>
              <w:pStyle w:val="2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center"/>
          </w:tcPr>
          <w:p>
            <w:pPr>
              <w:pStyle w:val="20"/>
              <w:ind w:firstLine="0" w:firstLineChars="0"/>
              <w:jc w:val="center"/>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3</w:t>
            </w:r>
          </w:p>
        </w:tc>
        <w:tc>
          <w:tcPr>
            <w:tcW w:w="4296" w:type="dxa"/>
            <w:noWrap w:val="0"/>
            <w:vAlign w:val="top"/>
          </w:tcPr>
          <w:p>
            <w:pPr>
              <w:rPr>
                <w:rFonts w:hint="eastAsia" w:ascii="宋体"/>
                <w:sz w:val="18"/>
              </w:rPr>
            </w:pPr>
            <w:r>
              <w:rPr>
                <w:rFonts w:hint="eastAsia" w:ascii="宋体"/>
                <w:sz w:val="18"/>
              </w:rPr>
              <w:t>安全要求</w:t>
            </w:r>
          </w:p>
        </w:tc>
        <w:tc>
          <w:tcPr>
            <w:tcW w:w="2310" w:type="dxa"/>
            <w:noWrap w:val="0"/>
            <w:vAlign w:val="top"/>
          </w:tcPr>
          <w:p>
            <w:pPr>
              <w:pStyle w:val="20"/>
              <w:ind w:firstLine="0" w:firstLineChars="0"/>
              <w:jc w:val="center"/>
              <w:rPr>
                <w:rFonts w:hint="eastAsia"/>
                <w:sz w:val="18"/>
                <w:szCs w:val="18"/>
              </w:rPr>
            </w:pPr>
            <w:r>
              <w:rPr>
                <w:rFonts w:hint="eastAsia"/>
                <w:sz w:val="18"/>
                <w:szCs w:val="18"/>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restart"/>
            <w:noWrap w:val="0"/>
            <w:vAlign w:val="center"/>
          </w:tcPr>
          <w:p>
            <w:pPr>
              <w:pStyle w:val="20"/>
              <w:ind w:firstLine="0" w:firstLineChars="0"/>
              <w:jc w:val="center"/>
              <w:rPr>
                <w:rFonts w:hint="eastAsia"/>
                <w:sz w:val="18"/>
                <w:szCs w:val="18"/>
              </w:rPr>
            </w:pPr>
            <w:r>
              <w:rPr>
                <w:rFonts w:hint="eastAsia"/>
                <w:sz w:val="18"/>
                <w:szCs w:val="18"/>
              </w:rPr>
              <w:t>B</w:t>
            </w:r>
          </w:p>
        </w:tc>
        <w:tc>
          <w:tcPr>
            <w:tcW w:w="1365" w:type="dxa"/>
            <w:noWrap w:val="0"/>
            <w:vAlign w:val="center"/>
          </w:tcPr>
          <w:p>
            <w:pPr>
              <w:pStyle w:val="20"/>
              <w:ind w:firstLine="0" w:firstLineChars="0"/>
              <w:jc w:val="center"/>
              <w:rPr>
                <w:rFonts w:hint="eastAsia"/>
                <w:sz w:val="18"/>
                <w:szCs w:val="18"/>
              </w:rPr>
            </w:pPr>
            <w:r>
              <w:rPr>
                <w:rFonts w:hint="eastAsia"/>
                <w:sz w:val="18"/>
                <w:szCs w:val="18"/>
              </w:rPr>
              <w:t>1</w:t>
            </w:r>
          </w:p>
        </w:tc>
        <w:tc>
          <w:tcPr>
            <w:tcW w:w="4296" w:type="dxa"/>
            <w:noWrap w:val="0"/>
            <w:vAlign w:val="top"/>
          </w:tcPr>
          <w:p>
            <w:pPr>
              <w:rPr>
                <w:rFonts w:hint="eastAsia" w:ascii="宋体"/>
                <w:sz w:val="18"/>
              </w:rPr>
            </w:pPr>
            <w:r>
              <w:rPr>
                <w:rFonts w:hint="eastAsia"/>
                <w:sz w:val="18"/>
                <w:szCs w:val="18"/>
              </w:rPr>
              <w:t>饲喂能力</w:t>
            </w:r>
          </w:p>
        </w:tc>
        <w:tc>
          <w:tcPr>
            <w:tcW w:w="2310" w:type="dxa"/>
            <w:noWrap w:val="0"/>
            <w:vAlign w:val="top"/>
          </w:tcPr>
          <w:p>
            <w:pPr>
              <w:pStyle w:val="2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top"/>
          </w:tcPr>
          <w:p>
            <w:pPr>
              <w:pStyle w:val="20"/>
              <w:ind w:firstLine="360"/>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2</w:t>
            </w:r>
          </w:p>
        </w:tc>
        <w:tc>
          <w:tcPr>
            <w:tcW w:w="4296" w:type="dxa"/>
            <w:noWrap w:val="0"/>
            <w:vAlign w:val="top"/>
          </w:tcPr>
          <w:p>
            <w:pPr>
              <w:rPr>
                <w:rFonts w:hint="eastAsia" w:ascii="宋体"/>
                <w:sz w:val="18"/>
              </w:rPr>
            </w:pPr>
            <w:r>
              <w:rPr>
                <w:rFonts w:hint="eastAsia"/>
                <w:sz w:val="18"/>
                <w:szCs w:val="18"/>
              </w:rPr>
              <w:t>输送带</w:t>
            </w:r>
            <w:r>
              <w:rPr>
                <w:rFonts w:hint="eastAsia" w:ascii="宋体"/>
                <w:sz w:val="18"/>
              </w:rPr>
              <w:t>速度</w:t>
            </w:r>
          </w:p>
        </w:tc>
        <w:tc>
          <w:tcPr>
            <w:tcW w:w="2310" w:type="dxa"/>
            <w:noWrap w:val="0"/>
            <w:vAlign w:val="top"/>
          </w:tcPr>
          <w:p>
            <w:pPr>
              <w:pStyle w:val="2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top"/>
          </w:tcPr>
          <w:p>
            <w:pPr>
              <w:pStyle w:val="20"/>
              <w:ind w:firstLine="0" w:firstLineChars="0"/>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3</w:t>
            </w:r>
          </w:p>
        </w:tc>
        <w:tc>
          <w:tcPr>
            <w:tcW w:w="4296" w:type="dxa"/>
            <w:noWrap w:val="0"/>
            <w:vAlign w:val="top"/>
          </w:tcPr>
          <w:p>
            <w:pPr>
              <w:rPr>
                <w:rFonts w:hint="eastAsia" w:ascii="宋体"/>
                <w:sz w:val="18"/>
              </w:rPr>
            </w:pPr>
            <w:r>
              <w:rPr>
                <w:rFonts w:hint="eastAsia" w:ascii="宋体"/>
                <w:sz w:val="18"/>
              </w:rPr>
              <w:t>吨料电耗</w:t>
            </w:r>
          </w:p>
        </w:tc>
        <w:tc>
          <w:tcPr>
            <w:tcW w:w="2310" w:type="dxa"/>
            <w:noWrap w:val="0"/>
            <w:vAlign w:val="top"/>
          </w:tcPr>
          <w:p>
            <w:pPr>
              <w:pStyle w:val="2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top"/>
          </w:tcPr>
          <w:p>
            <w:pPr>
              <w:pStyle w:val="20"/>
              <w:ind w:firstLine="0" w:firstLineChars="0"/>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4</w:t>
            </w:r>
          </w:p>
        </w:tc>
        <w:tc>
          <w:tcPr>
            <w:tcW w:w="4296" w:type="dxa"/>
            <w:noWrap w:val="0"/>
            <w:vAlign w:val="top"/>
          </w:tcPr>
          <w:p>
            <w:pPr>
              <w:rPr>
                <w:rFonts w:hint="eastAsia"/>
                <w:sz w:val="18"/>
                <w:szCs w:val="18"/>
              </w:rPr>
            </w:pPr>
            <w:r>
              <w:rPr>
                <w:rFonts w:hint="eastAsia"/>
                <w:sz w:val="18"/>
                <w:szCs w:val="18"/>
              </w:rPr>
              <w:t>轴承温升</w:t>
            </w:r>
          </w:p>
        </w:tc>
        <w:tc>
          <w:tcPr>
            <w:tcW w:w="2310" w:type="dxa"/>
            <w:noWrap w:val="0"/>
            <w:vAlign w:val="top"/>
          </w:tcPr>
          <w:p>
            <w:pPr>
              <w:pStyle w:val="2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top"/>
          </w:tcPr>
          <w:p>
            <w:pPr>
              <w:pStyle w:val="20"/>
              <w:ind w:firstLine="0" w:firstLineChars="0"/>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5</w:t>
            </w:r>
          </w:p>
        </w:tc>
        <w:tc>
          <w:tcPr>
            <w:tcW w:w="4296" w:type="dxa"/>
            <w:noWrap w:val="0"/>
            <w:vAlign w:val="top"/>
          </w:tcPr>
          <w:p>
            <w:pPr>
              <w:rPr>
                <w:rFonts w:hint="eastAsia" w:ascii="宋体"/>
                <w:sz w:val="18"/>
              </w:rPr>
            </w:pPr>
            <w:r>
              <w:rPr>
                <w:rFonts w:hint="eastAsia" w:ascii="宋体"/>
                <w:sz w:val="18"/>
              </w:rPr>
              <w:t>平均首次故障前工作时间</w:t>
            </w:r>
          </w:p>
        </w:tc>
        <w:tc>
          <w:tcPr>
            <w:tcW w:w="2310" w:type="dxa"/>
            <w:noWrap w:val="0"/>
            <w:vAlign w:val="top"/>
          </w:tcPr>
          <w:p>
            <w:pPr>
              <w:pStyle w:val="20"/>
              <w:ind w:firstLine="0" w:firstLineChars="0"/>
              <w:jc w:val="center"/>
              <w:rPr>
                <w:rFonts w:hint="eastAsia"/>
                <w:sz w:val="18"/>
                <w:szCs w:val="18"/>
              </w:rPr>
            </w:pPr>
            <w:r>
              <w:rPr>
                <w:rFonts w:hint="eastAsia"/>
                <w:sz w:val="18"/>
                <w:szCs w:val="18"/>
              </w:rPr>
              <w:t>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restart"/>
            <w:noWrap w:val="0"/>
            <w:vAlign w:val="center"/>
          </w:tcPr>
          <w:p>
            <w:pPr>
              <w:pStyle w:val="20"/>
              <w:ind w:firstLine="0" w:firstLineChars="0"/>
              <w:jc w:val="center"/>
              <w:rPr>
                <w:rFonts w:hint="eastAsia"/>
                <w:sz w:val="18"/>
                <w:szCs w:val="18"/>
              </w:rPr>
            </w:pPr>
            <w:r>
              <w:rPr>
                <w:rFonts w:hint="eastAsia"/>
                <w:sz w:val="18"/>
                <w:szCs w:val="18"/>
              </w:rPr>
              <w:t>C</w:t>
            </w:r>
          </w:p>
        </w:tc>
        <w:tc>
          <w:tcPr>
            <w:tcW w:w="1365" w:type="dxa"/>
            <w:noWrap w:val="0"/>
            <w:vAlign w:val="center"/>
          </w:tcPr>
          <w:p>
            <w:pPr>
              <w:pStyle w:val="20"/>
              <w:ind w:firstLine="0" w:firstLineChars="0"/>
              <w:jc w:val="center"/>
              <w:rPr>
                <w:rFonts w:hint="eastAsia"/>
                <w:sz w:val="18"/>
                <w:szCs w:val="18"/>
              </w:rPr>
            </w:pPr>
            <w:r>
              <w:rPr>
                <w:rFonts w:hint="eastAsia"/>
                <w:sz w:val="18"/>
                <w:szCs w:val="18"/>
              </w:rPr>
              <w:t>1</w:t>
            </w:r>
          </w:p>
        </w:tc>
        <w:tc>
          <w:tcPr>
            <w:tcW w:w="4296" w:type="dxa"/>
            <w:noWrap w:val="0"/>
            <w:vAlign w:val="top"/>
          </w:tcPr>
          <w:p>
            <w:pPr>
              <w:rPr>
                <w:rFonts w:hint="eastAsia" w:ascii="宋体"/>
                <w:sz w:val="18"/>
              </w:rPr>
            </w:pPr>
            <w:r>
              <w:rPr>
                <w:rFonts w:hint="eastAsia" w:ascii="宋体"/>
                <w:sz w:val="18"/>
              </w:rPr>
              <w:t>焊接件</w:t>
            </w:r>
          </w:p>
        </w:tc>
        <w:tc>
          <w:tcPr>
            <w:tcW w:w="2310" w:type="dxa"/>
            <w:noWrap w:val="0"/>
            <w:vAlign w:val="top"/>
          </w:tcPr>
          <w:p>
            <w:pPr>
              <w:pStyle w:val="20"/>
              <w:ind w:firstLine="0" w:firstLineChars="0"/>
              <w:jc w:val="center"/>
              <w:rPr>
                <w:rFonts w:hint="eastAsia"/>
                <w:sz w:val="18"/>
                <w:szCs w:val="18"/>
              </w:rPr>
            </w:pPr>
            <w:r>
              <w:rPr>
                <w:rFonts w:hint="eastAsia"/>
                <w:sz w:val="18"/>
                <w:szCs w:val="18"/>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center"/>
          </w:tcPr>
          <w:p>
            <w:pPr>
              <w:pStyle w:val="20"/>
              <w:ind w:firstLine="360"/>
              <w:jc w:val="center"/>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2</w:t>
            </w:r>
          </w:p>
        </w:tc>
        <w:tc>
          <w:tcPr>
            <w:tcW w:w="4296" w:type="dxa"/>
            <w:noWrap w:val="0"/>
            <w:vAlign w:val="top"/>
          </w:tcPr>
          <w:p>
            <w:pPr>
              <w:rPr>
                <w:rFonts w:hint="eastAsia" w:ascii="宋体"/>
                <w:sz w:val="18"/>
              </w:rPr>
            </w:pPr>
            <w:r>
              <w:rPr>
                <w:rFonts w:hint="eastAsia" w:ascii="宋体"/>
                <w:sz w:val="18"/>
              </w:rPr>
              <w:t>铸件</w:t>
            </w:r>
          </w:p>
        </w:tc>
        <w:tc>
          <w:tcPr>
            <w:tcW w:w="2310" w:type="dxa"/>
            <w:noWrap w:val="0"/>
            <w:vAlign w:val="top"/>
          </w:tcPr>
          <w:p>
            <w:pPr>
              <w:pStyle w:val="20"/>
              <w:ind w:firstLine="0" w:firstLineChars="0"/>
              <w:jc w:val="center"/>
              <w:rPr>
                <w:rFonts w:hint="eastAsia"/>
                <w:sz w:val="18"/>
                <w:szCs w:val="18"/>
              </w:rPr>
            </w:pPr>
            <w:r>
              <w:rPr>
                <w:rFonts w:hint="eastAsia"/>
                <w:sz w:val="18"/>
                <w:szCs w:val="18"/>
              </w:rPr>
              <w:t>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center"/>
          </w:tcPr>
          <w:p>
            <w:pPr>
              <w:pStyle w:val="20"/>
              <w:ind w:firstLine="360"/>
              <w:jc w:val="center"/>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3</w:t>
            </w:r>
          </w:p>
        </w:tc>
        <w:tc>
          <w:tcPr>
            <w:tcW w:w="4296" w:type="dxa"/>
            <w:noWrap w:val="0"/>
            <w:vAlign w:val="top"/>
          </w:tcPr>
          <w:p>
            <w:pPr>
              <w:rPr>
                <w:rFonts w:hint="eastAsia" w:ascii="宋体"/>
                <w:sz w:val="18"/>
              </w:rPr>
            </w:pPr>
            <w:r>
              <w:rPr>
                <w:rFonts w:hint="eastAsia" w:ascii="宋体"/>
                <w:sz w:val="18"/>
              </w:rPr>
              <w:t>涂漆</w:t>
            </w:r>
          </w:p>
        </w:tc>
        <w:tc>
          <w:tcPr>
            <w:tcW w:w="2310" w:type="dxa"/>
            <w:noWrap w:val="0"/>
            <w:vAlign w:val="top"/>
          </w:tcPr>
          <w:p>
            <w:pPr>
              <w:pStyle w:val="20"/>
              <w:ind w:firstLine="0" w:firstLineChars="0"/>
              <w:jc w:val="center"/>
              <w:rPr>
                <w:rFonts w:hint="eastAsia"/>
                <w:sz w:val="18"/>
                <w:szCs w:val="18"/>
              </w:rPr>
            </w:pPr>
            <w:r>
              <w:rPr>
                <w:rFonts w:hint="eastAsia"/>
                <w:sz w:val="18"/>
                <w:szCs w:val="18"/>
              </w:rPr>
              <w:t>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center"/>
          </w:tcPr>
          <w:p>
            <w:pPr>
              <w:pStyle w:val="20"/>
              <w:ind w:firstLine="360"/>
              <w:jc w:val="center"/>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4</w:t>
            </w:r>
          </w:p>
        </w:tc>
        <w:tc>
          <w:tcPr>
            <w:tcW w:w="4296" w:type="dxa"/>
            <w:noWrap w:val="0"/>
            <w:vAlign w:val="top"/>
          </w:tcPr>
          <w:p>
            <w:pPr>
              <w:rPr>
                <w:rFonts w:hint="eastAsia" w:ascii="宋体"/>
                <w:sz w:val="18"/>
              </w:rPr>
            </w:pPr>
            <w:r>
              <w:rPr>
                <w:rFonts w:hint="eastAsia" w:ascii="宋体"/>
                <w:sz w:val="18"/>
              </w:rPr>
              <w:t>防锈处理</w:t>
            </w:r>
          </w:p>
        </w:tc>
        <w:tc>
          <w:tcPr>
            <w:tcW w:w="2310" w:type="dxa"/>
            <w:noWrap w:val="0"/>
            <w:vAlign w:val="top"/>
          </w:tcPr>
          <w:p>
            <w:pPr>
              <w:pStyle w:val="20"/>
              <w:ind w:firstLine="0" w:firstLineChars="0"/>
              <w:jc w:val="center"/>
              <w:rPr>
                <w:rFonts w:hint="eastAsia"/>
                <w:sz w:val="18"/>
                <w:szCs w:val="18"/>
              </w:rPr>
            </w:pPr>
            <w:r>
              <w:rPr>
                <w:rFonts w:hint="eastAsia"/>
                <w:sz w:val="18"/>
                <w:szCs w:val="18"/>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center"/>
          </w:tcPr>
          <w:p>
            <w:pPr>
              <w:pStyle w:val="20"/>
              <w:ind w:firstLine="360"/>
              <w:jc w:val="center"/>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5</w:t>
            </w:r>
          </w:p>
        </w:tc>
        <w:tc>
          <w:tcPr>
            <w:tcW w:w="4296" w:type="dxa"/>
            <w:noWrap w:val="0"/>
            <w:vAlign w:val="top"/>
          </w:tcPr>
          <w:p>
            <w:pPr>
              <w:rPr>
                <w:rFonts w:hint="eastAsia" w:ascii="宋体"/>
                <w:sz w:val="18"/>
              </w:rPr>
            </w:pPr>
            <w:r>
              <w:rPr>
                <w:rFonts w:hint="eastAsia" w:ascii="宋体"/>
                <w:sz w:val="18"/>
              </w:rPr>
              <w:t>装配质量</w:t>
            </w:r>
          </w:p>
        </w:tc>
        <w:tc>
          <w:tcPr>
            <w:tcW w:w="2310" w:type="dxa"/>
            <w:noWrap w:val="0"/>
            <w:vAlign w:val="top"/>
          </w:tcPr>
          <w:p>
            <w:pPr>
              <w:pStyle w:val="20"/>
              <w:ind w:firstLine="0" w:firstLineChars="0"/>
              <w:jc w:val="center"/>
              <w:rPr>
                <w:rFonts w:hint="eastAsia"/>
                <w:sz w:val="18"/>
                <w:szCs w:val="18"/>
              </w:rPr>
            </w:pPr>
            <w:r>
              <w:rPr>
                <w:rFonts w:hint="eastAsia"/>
                <w:sz w:val="18"/>
                <w:szCs w:val="18"/>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center"/>
          </w:tcPr>
          <w:p>
            <w:pPr>
              <w:pStyle w:val="20"/>
              <w:ind w:firstLine="360"/>
              <w:jc w:val="center"/>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6</w:t>
            </w:r>
          </w:p>
        </w:tc>
        <w:tc>
          <w:tcPr>
            <w:tcW w:w="4296" w:type="dxa"/>
            <w:noWrap w:val="0"/>
            <w:vAlign w:val="top"/>
          </w:tcPr>
          <w:p>
            <w:pPr>
              <w:rPr>
                <w:rFonts w:hint="eastAsia" w:ascii="宋体"/>
                <w:sz w:val="18"/>
              </w:rPr>
            </w:pPr>
            <w:r>
              <w:rPr>
                <w:rFonts w:hint="eastAsia" w:ascii="宋体"/>
                <w:sz w:val="18"/>
              </w:rPr>
              <w:t>使用说明书</w:t>
            </w:r>
          </w:p>
        </w:tc>
        <w:tc>
          <w:tcPr>
            <w:tcW w:w="2310" w:type="dxa"/>
            <w:noWrap w:val="0"/>
            <w:vAlign w:val="top"/>
          </w:tcPr>
          <w:p>
            <w:pPr>
              <w:pStyle w:val="20"/>
              <w:ind w:firstLine="0" w:firstLineChars="0"/>
              <w:jc w:val="center"/>
              <w:rPr>
                <w:rFonts w:hint="eastAsia"/>
                <w:sz w:val="18"/>
                <w:szCs w:val="18"/>
              </w:rPr>
            </w:pPr>
            <w:r>
              <w:rPr>
                <w:rFonts w:hint="eastAsia"/>
                <w:sz w:val="18"/>
                <w:szCs w:val="18"/>
              </w:rPr>
              <w:t>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center"/>
          </w:tcPr>
          <w:p>
            <w:pPr>
              <w:pStyle w:val="20"/>
              <w:ind w:firstLine="0" w:firstLineChars="0"/>
              <w:jc w:val="center"/>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7</w:t>
            </w:r>
          </w:p>
        </w:tc>
        <w:tc>
          <w:tcPr>
            <w:tcW w:w="4296" w:type="dxa"/>
            <w:noWrap w:val="0"/>
            <w:vAlign w:val="top"/>
          </w:tcPr>
          <w:p>
            <w:pPr>
              <w:rPr>
                <w:rFonts w:hint="eastAsia" w:ascii="宋体"/>
                <w:sz w:val="18"/>
              </w:rPr>
            </w:pPr>
            <w:r>
              <w:rPr>
                <w:rFonts w:hint="eastAsia" w:ascii="宋体" w:hAnsi="宋体"/>
                <w:sz w:val="18"/>
                <w:szCs w:val="18"/>
              </w:rPr>
              <w:t>标牌</w:t>
            </w:r>
          </w:p>
        </w:tc>
        <w:tc>
          <w:tcPr>
            <w:tcW w:w="2310" w:type="dxa"/>
            <w:noWrap w:val="0"/>
            <w:vAlign w:val="top"/>
          </w:tcPr>
          <w:p>
            <w:pPr>
              <w:pStyle w:val="20"/>
              <w:ind w:firstLine="0" w:firstLineChars="0"/>
              <w:jc w:val="center"/>
              <w:rPr>
                <w:rFonts w:hint="eastAsia"/>
                <w:sz w:val="18"/>
                <w:szCs w:val="18"/>
              </w:rPr>
            </w:pPr>
            <w:r>
              <w:rPr>
                <w:rFonts w:hint="eastAsia"/>
                <w:sz w:val="18"/>
                <w:szCs w:val="18"/>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1" w:type="dxa"/>
            <w:vMerge w:val="continue"/>
            <w:noWrap w:val="0"/>
            <w:vAlign w:val="center"/>
          </w:tcPr>
          <w:p>
            <w:pPr>
              <w:pStyle w:val="20"/>
              <w:ind w:firstLine="0" w:firstLineChars="0"/>
              <w:jc w:val="center"/>
              <w:rPr>
                <w:rFonts w:hint="eastAsia"/>
                <w:sz w:val="18"/>
                <w:szCs w:val="18"/>
              </w:rPr>
            </w:pPr>
          </w:p>
        </w:tc>
        <w:tc>
          <w:tcPr>
            <w:tcW w:w="1365" w:type="dxa"/>
            <w:noWrap w:val="0"/>
            <w:vAlign w:val="center"/>
          </w:tcPr>
          <w:p>
            <w:pPr>
              <w:pStyle w:val="20"/>
              <w:ind w:firstLine="0" w:firstLineChars="0"/>
              <w:jc w:val="center"/>
              <w:rPr>
                <w:rFonts w:hint="eastAsia"/>
                <w:sz w:val="18"/>
                <w:szCs w:val="18"/>
              </w:rPr>
            </w:pPr>
            <w:r>
              <w:rPr>
                <w:rFonts w:hint="eastAsia"/>
                <w:sz w:val="18"/>
                <w:szCs w:val="18"/>
              </w:rPr>
              <w:t>8</w:t>
            </w:r>
          </w:p>
        </w:tc>
        <w:tc>
          <w:tcPr>
            <w:tcW w:w="4296" w:type="dxa"/>
            <w:noWrap w:val="0"/>
            <w:vAlign w:val="top"/>
          </w:tcPr>
          <w:p>
            <w:pPr>
              <w:rPr>
                <w:rFonts w:hint="eastAsia" w:ascii="宋体"/>
                <w:sz w:val="18"/>
              </w:rPr>
            </w:pPr>
            <w:r>
              <w:rPr>
                <w:rFonts w:hint="eastAsia" w:ascii="宋体" w:hAnsi="宋体"/>
                <w:sz w:val="18"/>
                <w:szCs w:val="18"/>
              </w:rPr>
              <w:t>包装</w:t>
            </w:r>
          </w:p>
        </w:tc>
        <w:tc>
          <w:tcPr>
            <w:tcW w:w="2310" w:type="dxa"/>
            <w:noWrap w:val="0"/>
            <w:vAlign w:val="top"/>
          </w:tcPr>
          <w:p>
            <w:pPr>
              <w:pStyle w:val="20"/>
              <w:ind w:firstLine="0" w:firstLineChars="0"/>
              <w:jc w:val="center"/>
              <w:rPr>
                <w:rFonts w:hint="eastAsia"/>
                <w:sz w:val="18"/>
                <w:szCs w:val="18"/>
              </w:rPr>
            </w:pPr>
            <w:r>
              <w:rPr>
                <w:rFonts w:hint="eastAsia"/>
                <w:sz w:val="18"/>
                <w:szCs w:val="18"/>
              </w:rPr>
              <w:t>8.2</w:t>
            </w:r>
          </w:p>
        </w:tc>
      </w:tr>
    </w:tbl>
    <w:p>
      <w:pPr>
        <w:pStyle w:val="116"/>
        <w:tabs>
          <w:tab w:val="clear" w:pos="360"/>
        </w:tabs>
        <w:jc w:val="both"/>
        <w:rPr>
          <w:rFonts w:hint="eastAsia"/>
        </w:rPr>
      </w:pPr>
      <w:bookmarkStart w:id="152" w:name="_Toc393814303"/>
      <w:bookmarkStart w:id="153" w:name="_Toc398244182"/>
      <w:bookmarkStart w:id="154" w:name="_Toc418671527"/>
      <w:bookmarkStart w:id="155" w:name="_Toc418675972"/>
    </w:p>
    <w:p>
      <w:pPr>
        <w:pStyle w:val="116"/>
        <w:tabs>
          <w:tab w:val="clear" w:pos="360"/>
        </w:tabs>
        <w:jc w:val="both"/>
        <w:rPr>
          <w:rFonts w:hint="eastAsia"/>
        </w:rPr>
      </w:pPr>
    </w:p>
    <w:p>
      <w:pPr>
        <w:pStyle w:val="116"/>
        <w:numPr>
          <w:ilvl w:val="0"/>
          <w:numId w:val="12"/>
        </w:numPr>
        <w:rPr>
          <w:rFonts w:hint="eastAsia"/>
        </w:rPr>
      </w:pPr>
      <w:r>
        <w:rPr>
          <w:rFonts w:hint="eastAsia"/>
        </w:rPr>
        <w:t>抽样方案</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noWrap w:val="0"/>
            <w:vAlign w:val="center"/>
          </w:tcPr>
          <w:p>
            <w:pPr>
              <w:jc w:val="center"/>
              <w:rPr>
                <w:rFonts w:hint="eastAsia" w:ascii="宋体"/>
                <w:sz w:val="18"/>
              </w:rPr>
            </w:pPr>
            <w:r>
              <w:rPr>
                <w:rFonts w:hint="eastAsia" w:ascii="宋体"/>
                <w:sz w:val="18"/>
              </w:rPr>
              <w:t>抽 样 方 案</w:t>
            </w:r>
          </w:p>
        </w:tc>
        <w:tc>
          <w:tcPr>
            <w:tcW w:w="1914" w:type="dxa"/>
            <w:noWrap w:val="0"/>
            <w:vAlign w:val="center"/>
          </w:tcPr>
          <w:p>
            <w:pPr>
              <w:jc w:val="center"/>
              <w:rPr>
                <w:rFonts w:hint="eastAsia" w:ascii="宋体"/>
                <w:sz w:val="18"/>
              </w:rPr>
            </w:pPr>
            <w:r>
              <w:rPr>
                <w:rFonts w:hint="eastAsia" w:ascii="宋体"/>
                <w:sz w:val="18"/>
              </w:rPr>
              <w:t>项 目 分 类</w:t>
            </w:r>
          </w:p>
        </w:tc>
        <w:tc>
          <w:tcPr>
            <w:tcW w:w="1914" w:type="dxa"/>
            <w:noWrap w:val="0"/>
            <w:vAlign w:val="center"/>
          </w:tcPr>
          <w:p>
            <w:pPr>
              <w:spacing w:before="31" w:beforeLines="10" w:after="31" w:afterLines="10"/>
              <w:jc w:val="center"/>
              <w:rPr>
                <w:sz w:val="18"/>
                <w:szCs w:val="18"/>
              </w:rPr>
            </w:pPr>
            <w:r>
              <w:rPr>
                <w:sz w:val="18"/>
                <w:szCs w:val="18"/>
              </w:rPr>
              <w:t>A</w:t>
            </w:r>
          </w:p>
        </w:tc>
        <w:tc>
          <w:tcPr>
            <w:tcW w:w="1914" w:type="dxa"/>
            <w:noWrap w:val="0"/>
            <w:vAlign w:val="center"/>
          </w:tcPr>
          <w:p>
            <w:pPr>
              <w:spacing w:before="31" w:beforeLines="10" w:after="31" w:afterLines="10"/>
              <w:jc w:val="center"/>
              <w:rPr>
                <w:sz w:val="18"/>
                <w:szCs w:val="18"/>
              </w:rPr>
            </w:pPr>
            <w:r>
              <w:rPr>
                <w:sz w:val="18"/>
                <w:szCs w:val="18"/>
              </w:rPr>
              <w:t>B</w:t>
            </w:r>
          </w:p>
        </w:tc>
        <w:tc>
          <w:tcPr>
            <w:tcW w:w="1914" w:type="dxa"/>
            <w:noWrap w:val="0"/>
            <w:vAlign w:val="center"/>
          </w:tcPr>
          <w:p>
            <w:pPr>
              <w:spacing w:before="31" w:beforeLines="10" w:after="31" w:afterLines="1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noWrap w:val="0"/>
            <w:vAlign w:val="center"/>
          </w:tcPr>
          <w:p>
            <w:pPr>
              <w:jc w:val="center"/>
              <w:rPr>
                <w:rFonts w:hint="eastAsia" w:ascii="宋体"/>
                <w:sz w:val="18"/>
              </w:rPr>
            </w:pPr>
          </w:p>
        </w:tc>
        <w:tc>
          <w:tcPr>
            <w:tcW w:w="1914" w:type="dxa"/>
            <w:noWrap w:val="0"/>
            <w:vAlign w:val="center"/>
          </w:tcPr>
          <w:p>
            <w:pPr>
              <w:jc w:val="center"/>
              <w:rPr>
                <w:rFonts w:hint="eastAsia" w:ascii="宋体"/>
                <w:sz w:val="18"/>
              </w:rPr>
            </w:pPr>
            <w:r>
              <w:rPr>
                <w:rFonts w:ascii="宋体" w:hAnsi="宋体"/>
                <w:sz w:val="18"/>
                <w:szCs w:val="18"/>
              </w:rPr>
              <w:t>项</w:t>
            </w:r>
            <w:r>
              <w:rPr>
                <w:rFonts w:hint="eastAsia" w:ascii="宋体" w:hAnsi="宋体"/>
                <w:sz w:val="18"/>
                <w:szCs w:val="18"/>
              </w:rPr>
              <w:t xml:space="preserve">  </w:t>
            </w:r>
            <w:r>
              <w:rPr>
                <w:rFonts w:ascii="宋体" w:hAnsi="宋体"/>
                <w:sz w:val="18"/>
                <w:szCs w:val="18"/>
              </w:rPr>
              <w:t>目</w:t>
            </w:r>
            <w:r>
              <w:rPr>
                <w:rFonts w:hint="eastAsia" w:ascii="宋体" w:hAnsi="宋体"/>
                <w:sz w:val="18"/>
                <w:szCs w:val="18"/>
              </w:rPr>
              <w:t xml:space="preserve">  </w:t>
            </w:r>
            <w:r>
              <w:rPr>
                <w:rFonts w:ascii="宋体" w:hAnsi="宋体"/>
                <w:sz w:val="18"/>
                <w:szCs w:val="18"/>
              </w:rPr>
              <w:t>数</w:t>
            </w:r>
          </w:p>
        </w:tc>
        <w:tc>
          <w:tcPr>
            <w:tcW w:w="1914" w:type="dxa"/>
            <w:noWrap w:val="0"/>
            <w:vAlign w:val="center"/>
          </w:tcPr>
          <w:p>
            <w:pPr>
              <w:spacing w:before="31" w:beforeLines="10" w:after="31" w:afterLines="10"/>
              <w:jc w:val="center"/>
              <w:rPr>
                <w:sz w:val="18"/>
                <w:szCs w:val="18"/>
              </w:rPr>
            </w:pPr>
            <w:r>
              <w:rPr>
                <w:sz w:val="18"/>
                <w:szCs w:val="18"/>
              </w:rPr>
              <w:t>3</w:t>
            </w:r>
          </w:p>
        </w:tc>
        <w:tc>
          <w:tcPr>
            <w:tcW w:w="1914" w:type="dxa"/>
            <w:noWrap w:val="0"/>
            <w:vAlign w:val="center"/>
          </w:tcPr>
          <w:p>
            <w:pPr>
              <w:pStyle w:val="15"/>
              <w:snapToGrid/>
              <w:spacing w:before="31" w:beforeLines="10" w:after="31" w:afterLines="10"/>
              <w:jc w:val="center"/>
            </w:pPr>
            <w:r>
              <w:t>4</w:t>
            </w:r>
          </w:p>
        </w:tc>
        <w:tc>
          <w:tcPr>
            <w:tcW w:w="1914" w:type="dxa"/>
            <w:noWrap w:val="0"/>
            <w:vAlign w:val="center"/>
          </w:tcPr>
          <w:p>
            <w:pPr>
              <w:pStyle w:val="15"/>
              <w:snapToGrid/>
              <w:spacing w:before="31" w:beforeLines="10" w:after="31" w:afterLines="10"/>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noWrap w:val="0"/>
            <w:vAlign w:val="center"/>
          </w:tcPr>
          <w:p>
            <w:pPr>
              <w:jc w:val="center"/>
              <w:rPr>
                <w:rFonts w:hint="eastAsia" w:ascii="宋体"/>
                <w:sz w:val="18"/>
              </w:rPr>
            </w:pPr>
          </w:p>
        </w:tc>
        <w:tc>
          <w:tcPr>
            <w:tcW w:w="1914" w:type="dxa"/>
            <w:noWrap w:val="0"/>
            <w:vAlign w:val="center"/>
          </w:tcPr>
          <w:p>
            <w:pPr>
              <w:jc w:val="center"/>
              <w:rPr>
                <w:rFonts w:hint="eastAsia" w:ascii="宋体"/>
                <w:sz w:val="18"/>
              </w:rPr>
            </w:pPr>
            <w:r>
              <w:rPr>
                <w:rFonts w:hint="eastAsia" w:ascii="宋体"/>
                <w:sz w:val="18"/>
              </w:rPr>
              <w:t>检 查 水 平</w:t>
            </w:r>
          </w:p>
        </w:tc>
        <w:tc>
          <w:tcPr>
            <w:tcW w:w="5742" w:type="dxa"/>
            <w:gridSpan w:val="3"/>
            <w:noWrap w:val="0"/>
            <w:vAlign w:val="center"/>
          </w:tcPr>
          <w:p>
            <w:pPr>
              <w:jc w:val="center"/>
              <w:rPr>
                <w:sz w:val="18"/>
              </w:rPr>
            </w:pPr>
            <w:r>
              <w:rPr>
                <w:sz w:val="18"/>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noWrap w:val="0"/>
            <w:vAlign w:val="center"/>
          </w:tcPr>
          <w:p>
            <w:pPr>
              <w:jc w:val="center"/>
              <w:rPr>
                <w:rFonts w:hint="eastAsia" w:ascii="宋体"/>
                <w:sz w:val="18"/>
              </w:rPr>
            </w:pPr>
            <w:r>
              <w:rPr>
                <w:rFonts w:hint="eastAsia" w:ascii="宋体"/>
                <w:sz w:val="18"/>
              </w:rPr>
              <w:t>方    案</w:t>
            </w:r>
          </w:p>
        </w:tc>
        <w:tc>
          <w:tcPr>
            <w:tcW w:w="1914" w:type="dxa"/>
            <w:noWrap w:val="0"/>
            <w:vAlign w:val="center"/>
          </w:tcPr>
          <w:p>
            <w:pPr>
              <w:jc w:val="center"/>
              <w:rPr>
                <w:rFonts w:hint="eastAsia" w:ascii="宋体"/>
                <w:sz w:val="18"/>
              </w:rPr>
            </w:pPr>
            <w:r>
              <w:rPr>
                <w:rFonts w:hint="eastAsia" w:ascii="宋体"/>
                <w:sz w:val="18"/>
              </w:rPr>
              <w:t>样 本 字 码</w:t>
            </w:r>
          </w:p>
        </w:tc>
        <w:tc>
          <w:tcPr>
            <w:tcW w:w="5742" w:type="dxa"/>
            <w:gridSpan w:val="3"/>
            <w:noWrap w:val="0"/>
            <w:vAlign w:val="center"/>
          </w:tcPr>
          <w:p>
            <w:pPr>
              <w:jc w:val="center"/>
              <w:rPr>
                <w:sz w:val="18"/>
              </w:rPr>
            </w:pPr>
            <w:r>
              <w:rPr>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noWrap w:val="0"/>
            <w:vAlign w:val="center"/>
          </w:tcPr>
          <w:p>
            <w:pPr>
              <w:jc w:val="center"/>
              <w:rPr>
                <w:rFonts w:hint="eastAsia" w:ascii="宋体"/>
                <w:sz w:val="18"/>
              </w:rPr>
            </w:pPr>
          </w:p>
        </w:tc>
        <w:tc>
          <w:tcPr>
            <w:tcW w:w="1914" w:type="dxa"/>
            <w:noWrap w:val="0"/>
            <w:vAlign w:val="center"/>
          </w:tcPr>
          <w:p>
            <w:pPr>
              <w:jc w:val="center"/>
              <w:rPr>
                <w:rFonts w:hint="eastAsia" w:ascii="宋体"/>
                <w:sz w:val="18"/>
              </w:rPr>
            </w:pPr>
            <w:r>
              <w:rPr>
                <w:rFonts w:hint="eastAsia" w:ascii="宋体"/>
                <w:sz w:val="18"/>
              </w:rPr>
              <w:t>样  本  数</w:t>
            </w:r>
          </w:p>
        </w:tc>
        <w:tc>
          <w:tcPr>
            <w:tcW w:w="5742" w:type="dxa"/>
            <w:gridSpan w:val="3"/>
            <w:noWrap w:val="0"/>
            <w:vAlign w:val="center"/>
          </w:tcPr>
          <w:p>
            <w:pPr>
              <w:jc w:val="center"/>
              <w:rPr>
                <w:sz w:val="18"/>
              </w:rPr>
            </w:pPr>
            <w:r>
              <w:rPr>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noWrap w:val="0"/>
            <w:vAlign w:val="center"/>
          </w:tcPr>
          <w:p>
            <w:pPr>
              <w:jc w:val="center"/>
              <w:rPr>
                <w:rFonts w:hint="eastAsia" w:ascii="宋体"/>
                <w:sz w:val="18"/>
              </w:rPr>
            </w:pPr>
            <w:r>
              <w:rPr>
                <w:rFonts w:hint="eastAsia" w:ascii="宋体"/>
                <w:sz w:val="18"/>
              </w:rPr>
              <w:t>判 定 规 则</w:t>
            </w:r>
          </w:p>
        </w:tc>
        <w:tc>
          <w:tcPr>
            <w:tcW w:w="1914" w:type="dxa"/>
            <w:noWrap w:val="0"/>
            <w:vAlign w:val="center"/>
          </w:tcPr>
          <w:p>
            <w:pPr>
              <w:jc w:val="center"/>
              <w:rPr>
                <w:rFonts w:hint="eastAsia" w:ascii="宋体"/>
                <w:sz w:val="18"/>
              </w:rPr>
            </w:pPr>
            <w:r>
              <w:rPr>
                <w:rFonts w:ascii="宋体"/>
                <w:sz w:val="18"/>
                <w:szCs w:val="18"/>
              </w:rPr>
              <w:t>AQL</w:t>
            </w:r>
          </w:p>
        </w:tc>
        <w:tc>
          <w:tcPr>
            <w:tcW w:w="1914" w:type="dxa"/>
            <w:noWrap w:val="0"/>
            <w:vAlign w:val="center"/>
          </w:tcPr>
          <w:p>
            <w:pPr>
              <w:jc w:val="center"/>
              <w:rPr>
                <w:sz w:val="18"/>
              </w:rPr>
            </w:pPr>
            <w:r>
              <w:rPr>
                <w:sz w:val="18"/>
              </w:rPr>
              <w:t>6.5</w:t>
            </w:r>
          </w:p>
        </w:tc>
        <w:tc>
          <w:tcPr>
            <w:tcW w:w="1914" w:type="dxa"/>
            <w:noWrap w:val="0"/>
            <w:vAlign w:val="center"/>
          </w:tcPr>
          <w:p>
            <w:pPr>
              <w:jc w:val="center"/>
              <w:rPr>
                <w:sz w:val="18"/>
              </w:rPr>
            </w:pPr>
            <w:r>
              <w:rPr>
                <w:sz w:val="18"/>
              </w:rPr>
              <w:t>25</w:t>
            </w:r>
          </w:p>
        </w:tc>
        <w:tc>
          <w:tcPr>
            <w:tcW w:w="1914" w:type="dxa"/>
            <w:noWrap w:val="0"/>
            <w:vAlign w:val="center"/>
          </w:tcPr>
          <w:p>
            <w:pPr>
              <w:jc w:val="center"/>
              <w:rPr>
                <w:sz w:val="18"/>
              </w:rPr>
            </w:pPr>
            <w:r>
              <w:rPr>
                <w:sz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noWrap w:val="0"/>
            <w:vAlign w:val="center"/>
          </w:tcPr>
          <w:p>
            <w:pPr>
              <w:jc w:val="center"/>
              <w:rPr>
                <w:rFonts w:hint="eastAsia" w:ascii="宋体"/>
                <w:sz w:val="18"/>
              </w:rPr>
            </w:pPr>
          </w:p>
        </w:tc>
        <w:tc>
          <w:tcPr>
            <w:tcW w:w="1914" w:type="dxa"/>
            <w:noWrap w:val="0"/>
            <w:vAlign w:val="center"/>
          </w:tcPr>
          <w:p>
            <w:pPr>
              <w:jc w:val="center"/>
              <w:rPr>
                <w:rFonts w:hint="eastAsia" w:ascii="宋体"/>
                <w:i/>
                <w:sz w:val="18"/>
              </w:rPr>
            </w:pPr>
            <w:r>
              <w:rPr>
                <w:rFonts w:hint="eastAsia" w:ascii="宋体"/>
                <w:i/>
                <w:sz w:val="18"/>
                <w:szCs w:val="18"/>
              </w:rPr>
              <w:t>A</w:t>
            </w:r>
            <w:r>
              <w:rPr>
                <w:rFonts w:hint="eastAsia" w:ascii="宋体"/>
                <w:i/>
                <w:sz w:val="18"/>
                <w:szCs w:val="18"/>
                <w:vertAlign w:val="subscript"/>
              </w:rPr>
              <w:t xml:space="preserve">c               </w:t>
            </w:r>
            <w:r>
              <w:rPr>
                <w:rFonts w:hint="eastAsia" w:ascii="宋体"/>
                <w:i/>
                <w:sz w:val="18"/>
                <w:szCs w:val="18"/>
              </w:rPr>
              <w:t>R</w:t>
            </w:r>
            <w:r>
              <w:rPr>
                <w:rFonts w:hint="eastAsia" w:ascii="宋体"/>
                <w:i/>
                <w:sz w:val="18"/>
                <w:szCs w:val="18"/>
                <w:vertAlign w:val="subscript"/>
              </w:rPr>
              <w:t>e</w:t>
            </w:r>
          </w:p>
        </w:tc>
        <w:tc>
          <w:tcPr>
            <w:tcW w:w="1914" w:type="dxa"/>
            <w:noWrap w:val="0"/>
            <w:vAlign w:val="center"/>
          </w:tcPr>
          <w:p>
            <w:pPr>
              <w:jc w:val="center"/>
              <w:rPr>
                <w:sz w:val="18"/>
              </w:rPr>
            </w:pPr>
            <w:r>
              <w:rPr>
                <w:sz w:val="18"/>
              </w:rPr>
              <w:t>0      1</w:t>
            </w:r>
          </w:p>
        </w:tc>
        <w:tc>
          <w:tcPr>
            <w:tcW w:w="1914" w:type="dxa"/>
            <w:noWrap w:val="0"/>
            <w:vAlign w:val="center"/>
          </w:tcPr>
          <w:p>
            <w:pPr>
              <w:jc w:val="center"/>
              <w:rPr>
                <w:sz w:val="18"/>
              </w:rPr>
            </w:pPr>
            <w:r>
              <w:rPr>
                <w:sz w:val="18"/>
              </w:rPr>
              <w:t>1      2</w:t>
            </w:r>
          </w:p>
        </w:tc>
        <w:tc>
          <w:tcPr>
            <w:tcW w:w="1914" w:type="dxa"/>
            <w:noWrap w:val="0"/>
            <w:vAlign w:val="center"/>
          </w:tcPr>
          <w:p>
            <w:pPr>
              <w:jc w:val="center"/>
              <w:rPr>
                <w:sz w:val="18"/>
              </w:rPr>
            </w:pPr>
            <w:r>
              <w:rPr>
                <w:sz w:val="18"/>
              </w:rPr>
              <w:t>2      3</w:t>
            </w:r>
          </w:p>
        </w:tc>
      </w:tr>
    </w:tbl>
    <w:p>
      <w:pPr>
        <w:pStyle w:val="44"/>
        <w:ind w:left="0"/>
        <w:rPr>
          <w:rFonts w:hint="eastAsia"/>
        </w:rPr>
      </w:pPr>
      <w:bookmarkStart w:id="156" w:name="_Toc421030108"/>
      <w:bookmarkStart w:id="157" w:name="_Toc421111669"/>
      <w:r>
        <w:rPr>
          <w:rFonts w:hint="eastAsia"/>
        </w:rPr>
        <w:t>判定规则</w:t>
      </w:r>
      <w:bookmarkEnd w:id="152"/>
      <w:bookmarkEnd w:id="153"/>
      <w:bookmarkEnd w:id="154"/>
      <w:bookmarkEnd w:id="155"/>
      <w:bookmarkEnd w:id="156"/>
      <w:bookmarkEnd w:id="157"/>
    </w:p>
    <w:p>
      <w:pPr>
        <w:pStyle w:val="42"/>
        <w:rPr>
          <w:rFonts w:hint="eastAsia"/>
        </w:rPr>
      </w:pPr>
      <w:r>
        <w:rPr>
          <w:rFonts w:hint="eastAsia" w:hAnsi="宋体"/>
        </w:rPr>
        <w:t>当被检类的不合格数小于或等于Ac时，该类判定为合格。</w:t>
      </w:r>
    </w:p>
    <w:p>
      <w:pPr>
        <w:pStyle w:val="42"/>
        <w:rPr>
          <w:rFonts w:hint="eastAsia"/>
        </w:rPr>
      </w:pPr>
      <w:r>
        <w:rPr>
          <w:rFonts w:hint="eastAsia" w:hAnsi="宋体"/>
        </w:rPr>
        <w:t>当被检类的不合格数大于或等于Re时，该类判定为不合格。</w:t>
      </w:r>
    </w:p>
    <w:p>
      <w:pPr>
        <w:pStyle w:val="42"/>
        <w:rPr>
          <w:rFonts w:hint="eastAsia"/>
        </w:rPr>
      </w:pPr>
      <w:r>
        <w:rPr>
          <w:rFonts w:hint="eastAsia" w:hAnsi="宋体"/>
        </w:rPr>
        <w:t>当被检产品在A、B、C类均被判定为合格时，则整批产品被判为合格。否则被判为不合格。</w:t>
      </w:r>
    </w:p>
    <w:p>
      <w:pPr>
        <w:pStyle w:val="41"/>
        <w:ind w:left="0"/>
        <w:rPr>
          <w:rFonts w:hint="eastAsia"/>
        </w:rPr>
      </w:pPr>
      <w:bookmarkStart w:id="158" w:name="_Toc398244183"/>
      <w:bookmarkStart w:id="159" w:name="_Toc418675973"/>
      <w:bookmarkStart w:id="160" w:name="_Toc421030109"/>
      <w:bookmarkStart w:id="161" w:name="_Toc381018207"/>
      <w:bookmarkStart w:id="162" w:name="_Toc393814304"/>
      <w:bookmarkStart w:id="163" w:name="_Toc418671528"/>
      <w:bookmarkStart w:id="164" w:name="_Toc421111670"/>
      <w:bookmarkStart w:id="165" w:name="_Toc381018261"/>
      <w:r>
        <w:rPr>
          <w:rFonts w:hint="eastAsia"/>
        </w:rPr>
        <w:t>标志、包装、运输与贮存</w:t>
      </w:r>
      <w:bookmarkEnd w:id="158"/>
      <w:bookmarkEnd w:id="159"/>
      <w:bookmarkEnd w:id="160"/>
      <w:bookmarkEnd w:id="161"/>
      <w:bookmarkEnd w:id="162"/>
      <w:bookmarkEnd w:id="163"/>
      <w:bookmarkEnd w:id="164"/>
      <w:bookmarkEnd w:id="165"/>
    </w:p>
    <w:p>
      <w:pPr>
        <w:pStyle w:val="44"/>
        <w:ind w:left="0"/>
        <w:rPr>
          <w:rFonts w:hint="eastAsia"/>
        </w:rPr>
      </w:pPr>
      <w:bookmarkStart w:id="166" w:name="_Toc393814305"/>
      <w:bookmarkStart w:id="167" w:name="_Toc398244184"/>
      <w:bookmarkStart w:id="168" w:name="_Toc418671529"/>
      <w:bookmarkStart w:id="169" w:name="_Toc418675974"/>
      <w:bookmarkStart w:id="170" w:name="_Toc421030110"/>
      <w:bookmarkStart w:id="171" w:name="_Toc421111671"/>
      <w:r>
        <w:rPr>
          <w:rFonts w:hint="eastAsia"/>
        </w:rPr>
        <w:t>标志</w:t>
      </w:r>
      <w:bookmarkEnd w:id="166"/>
      <w:bookmarkEnd w:id="167"/>
      <w:bookmarkEnd w:id="168"/>
      <w:bookmarkEnd w:id="169"/>
      <w:bookmarkEnd w:id="170"/>
      <w:bookmarkEnd w:id="171"/>
    </w:p>
    <w:p>
      <w:pPr>
        <w:pStyle w:val="42"/>
        <w:numPr>
          <w:ilvl w:val="0"/>
          <w:numId w:val="0"/>
        </w:numPr>
        <w:ind w:left="315"/>
        <w:rPr>
          <w:rFonts w:hint="eastAsia"/>
        </w:rPr>
      </w:pPr>
      <w:r>
        <w:rPr>
          <w:rFonts w:hint="eastAsia"/>
        </w:rPr>
        <w:t>饲喂设备应在明显部位设置固定的产品标牌。标牌应符合GB/T 13306 规定，标牌内容应包括：</w:t>
      </w:r>
    </w:p>
    <w:p>
      <w:pPr>
        <w:pStyle w:val="84"/>
        <w:numPr>
          <w:ilvl w:val="0"/>
          <w:numId w:val="14"/>
        </w:numPr>
        <w:rPr>
          <w:rFonts w:hint="eastAsia"/>
        </w:rPr>
      </w:pPr>
      <w:r>
        <w:rPr>
          <w:rFonts w:hint="eastAsia"/>
        </w:rPr>
        <w:t>产品型号、名称；</w:t>
      </w:r>
    </w:p>
    <w:p>
      <w:pPr>
        <w:pStyle w:val="84"/>
        <w:numPr>
          <w:ilvl w:val="0"/>
          <w:numId w:val="14"/>
        </w:numPr>
        <w:rPr>
          <w:rFonts w:hint="eastAsia"/>
        </w:rPr>
      </w:pPr>
      <w:r>
        <w:rPr>
          <w:rFonts w:hint="eastAsia"/>
        </w:rPr>
        <w:t>配套动力；</w:t>
      </w:r>
    </w:p>
    <w:p>
      <w:pPr>
        <w:pStyle w:val="84"/>
        <w:numPr>
          <w:ilvl w:val="0"/>
          <w:numId w:val="14"/>
        </w:numPr>
        <w:rPr>
          <w:rFonts w:hint="eastAsia"/>
        </w:rPr>
      </w:pPr>
      <w:r>
        <w:rPr>
          <w:rFonts w:hint="eastAsia"/>
        </w:rPr>
        <w:t>输送带速度；</w:t>
      </w:r>
    </w:p>
    <w:p>
      <w:pPr>
        <w:pStyle w:val="84"/>
        <w:numPr>
          <w:ilvl w:val="0"/>
          <w:numId w:val="14"/>
        </w:numPr>
        <w:rPr>
          <w:rFonts w:hint="eastAsia"/>
        </w:rPr>
      </w:pPr>
      <w:r>
        <w:rPr>
          <w:rFonts w:hint="eastAsia"/>
        </w:rPr>
        <w:t>产品制造日期及出厂编号；</w:t>
      </w:r>
    </w:p>
    <w:p>
      <w:pPr>
        <w:pStyle w:val="84"/>
        <w:numPr>
          <w:ilvl w:val="0"/>
          <w:numId w:val="14"/>
        </w:numPr>
        <w:rPr>
          <w:rFonts w:hint="eastAsia"/>
        </w:rPr>
      </w:pPr>
      <w:r>
        <w:rPr>
          <w:rFonts w:hint="eastAsia"/>
        </w:rPr>
        <w:t>制造厂名称及地址；</w:t>
      </w:r>
    </w:p>
    <w:p>
      <w:pPr>
        <w:pStyle w:val="84"/>
        <w:numPr>
          <w:ilvl w:val="0"/>
          <w:numId w:val="14"/>
        </w:numPr>
        <w:rPr>
          <w:rFonts w:hint="eastAsia"/>
        </w:rPr>
      </w:pPr>
      <w:r>
        <w:rPr>
          <w:rFonts w:hint="eastAsia"/>
        </w:rPr>
        <w:t>产品执行标准编号。</w:t>
      </w:r>
    </w:p>
    <w:p>
      <w:pPr>
        <w:pStyle w:val="44"/>
        <w:ind w:left="0"/>
        <w:rPr>
          <w:rFonts w:hint="eastAsia"/>
        </w:rPr>
      </w:pPr>
      <w:bookmarkStart w:id="172" w:name="_Toc421030111"/>
      <w:bookmarkStart w:id="173" w:name="_Toc393814306"/>
      <w:bookmarkStart w:id="174" w:name="_Toc418671530"/>
      <w:bookmarkStart w:id="175" w:name="_Toc418675975"/>
      <w:bookmarkStart w:id="176" w:name="_Toc398244185"/>
      <w:bookmarkStart w:id="177" w:name="_Toc421111672"/>
      <w:r>
        <w:rPr>
          <w:rFonts w:hint="eastAsia"/>
        </w:rPr>
        <w:t>包装</w:t>
      </w:r>
      <w:bookmarkEnd w:id="172"/>
      <w:bookmarkEnd w:id="173"/>
      <w:bookmarkEnd w:id="174"/>
      <w:bookmarkEnd w:id="175"/>
      <w:bookmarkEnd w:id="176"/>
      <w:bookmarkEnd w:id="177"/>
    </w:p>
    <w:p>
      <w:pPr>
        <w:pStyle w:val="43"/>
        <w:spacing w:before="156" w:after="0" w:afterLines="0"/>
        <w:ind w:left="0"/>
        <w:rPr>
          <w:rFonts w:hint="eastAsia" w:ascii="宋体" w:hAnsi="宋体" w:eastAsia="宋体"/>
          <w:lang w:val="zh-CN"/>
        </w:rPr>
      </w:pPr>
      <w:bookmarkStart w:id="178" w:name="_Toc421030112"/>
      <w:r>
        <w:rPr>
          <w:rFonts w:hint="eastAsia" w:ascii="宋体" w:hAnsi="宋体" w:eastAsia="宋体"/>
          <w:lang w:val="zh-CN"/>
        </w:rPr>
        <w:t>喂料设备出厂时的包装应确保产品便于运输，并在正常运输条件下不致因包装不善而损坏。</w:t>
      </w:r>
      <w:bookmarkEnd w:id="178"/>
    </w:p>
    <w:p>
      <w:pPr>
        <w:pStyle w:val="42"/>
        <w:rPr>
          <w:rFonts w:hint="eastAsia"/>
        </w:rPr>
      </w:pPr>
      <w:r>
        <w:rPr>
          <w:rFonts w:hint="eastAsia"/>
        </w:rPr>
        <w:t>随机供应的附件、备件及工具应齐全。</w:t>
      </w:r>
    </w:p>
    <w:p>
      <w:pPr>
        <w:pStyle w:val="42"/>
        <w:rPr>
          <w:rFonts w:hint="eastAsia"/>
        </w:rPr>
      </w:pPr>
      <w:r>
        <w:rPr>
          <w:rFonts w:hint="eastAsia"/>
        </w:rPr>
        <w:t>随机文件应包括：</w:t>
      </w:r>
    </w:p>
    <w:p>
      <w:pPr>
        <w:pStyle w:val="84"/>
        <w:numPr>
          <w:ilvl w:val="0"/>
          <w:numId w:val="15"/>
        </w:numPr>
        <w:rPr>
          <w:rFonts w:hint="eastAsia"/>
        </w:rPr>
      </w:pPr>
      <w:r>
        <w:rPr>
          <w:rFonts w:hint="eastAsia"/>
        </w:rPr>
        <w:t>装箱清单；</w:t>
      </w:r>
    </w:p>
    <w:p>
      <w:pPr>
        <w:pStyle w:val="84"/>
        <w:numPr>
          <w:ilvl w:val="0"/>
          <w:numId w:val="15"/>
        </w:numPr>
        <w:rPr>
          <w:rFonts w:hint="eastAsia"/>
        </w:rPr>
      </w:pPr>
      <w:r>
        <w:rPr>
          <w:rFonts w:hint="eastAsia"/>
        </w:rPr>
        <w:t>产品质量检验合格证；</w:t>
      </w:r>
    </w:p>
    <w:p>
      <w:pPr>
        <w:pStyle w:val="84"/>
        <w:numPr>
          <w:ilvl w:val="0"/>
          <w:numId w:val="15"/>
        </w:numPr>
        <w:rPr>
          <w:rFonts w:hint="eastAsia"/>
        </w:rPr>
      </w:pPr>
      <w:r>
        <w:rPr>
          <w:rFonts w:hint="eastAsia"/>
        </w:rPr>
        <w:t>产品使用说明书；</w:t>
      </w:r>
    </w:p>
    <w:p>
      <w:pPr>
        <w:pStyle w:val="84"/>
        <w:numPr>
          <w:ilvl w:val="0"/>
          <w:numId w:val="15"/>
        </w:numPr>
        <w:rPr>
          <w:rFonts w:hint="eastAsia"/>
        </w:rPr>
      </w:pPr>
      <w:r>
        <w:rPr>
          <w:rFonts w:hint="eastAsia"/>
        </w:rPr>
        <w:t>产品安装图。</w:t>
      </w:r>
    </w:p>
    <w:p>
      <w:pPr>
        <w:pStyle w:val="44"/>
        <w:ind w:left="0"/>
        <w:rPr>
          <w:rFonts w:hint="eastAsia"/>
        </w:rPr>
      </w:pPr>
      <w:bookmarkStart w:id="179" w:name="_Toc421030113"/>
      <w:bookmarkStart w:id="180" w:name="_Toc418675976"/>
      <w:bookmarkStart w:id="181" w:name="_Toc398244186"/>
      <w:bookmarkStart w:id="182" w:name="_Toc421111673"/>
      <w:bookmarkStart w:id="183" w:name="_Toc393814307"/>
      <w:bookmarkStart w:id="184" w:name="_Toc418671531"/>
      <w:r>
        <w:rPr>
          <w:rFonts w:hint="eastAsia"/>
        </w:rPr>
        <w:t>贮存</w:t>
      </w:r>
      <w:bookmarkEnd w:id="179"/>
      <w:bookmarkEnd w:id="180"/>
      <w:bookmarkEnd w:id="181"/>
      <w:bookmarkEnd w:id="182"/>
      <w:bookmarkEnd w:id="183"/>
      <w:bookmarkEnd w:id="184"/>
    </w:p>
    <w:p>
      <w:pPr>
        <w:pStyle w:val="42"/>
        <w:rPr>
          <w:rFonts w:hint="eastAsia"/>
        </w:rPr>
      </w:pPr>
      <w:r>
        <w:rPr>
          <w:rFonts w:hint="eastAsia"/>
        </w:rPr>
        <w:t>室内存放时，应有良好的通风、防潮措施。</w:t>
      </w:r>
    </w:p>
    <w:p>
      <w:pPr>
        <w:pStyle w:val="42"/>
        <w:spacing w:line="300" w:lineRule="auto"/>
        <w:rPr>
          <w:rFonts w:hint="eastAsia"/>
        </w:rPr>
      </w:pPr>
      <w:r>
        <w:rPr>
          <w:rFonts w:hint="eastAsia"/>
        </w:rPr>
        <w:t>露天存放时，底部应垫支承物，并有防雨设施。</w:t>
      </w:r>
    </w:p>
    <w:p>
      <w:pPr>
        <w:pStyle w:val="42"/>
        <w:numPr>
          <w:ilvl w:val="0"/>
          <w:numId w:val="0"/>
        </w:numPr>
        <w:spacing w:line="300" w:lineRule="auto"/>
        <w:rPr>
          <w:rFonts w:hint="eastAsia"/>
          <w:color w:val="FF0000"/>
        </w:rPr>
      </w:pPr>
    </w:p>
    <w:p>
      <w:pPr>
        <w:pStyle w:val="113"/>
      </w:pPr>
    </w:p>
    <w:p>
      <w:pPr>
        <w:pStyle w:val="107"/>
      </w:pPr>
    </w:p>
    <w:p>
      <w:pPr>
        <w:pStyle w:val="103"/>
        <w:rPr>
          <w:rFonts w:hint="eastAsia"/>
        </w:rPr>
      </w:pPr>
      <w:r>
        <w:br w:type="textWrapping"/>
      </w:r>
      <w:bookmarkStart w:id="185" w:name="_Toc418671532"/>
      <w:bookmarkStart w:id="186" w:name="_Toc398244187"/>
      <w:bookmarkStart w:id="187" w:name="_Toc421030114"/>
      <w:bookmarkStart w:id="188" w:name="_Toc421111674"/>
      <w:bookmarkStart w:id="189" w:name="_Toc418675977"/>
      <w:r>
        <w:rPr>
          <w:rFonts w:hint="eastAsia"/>
        </w:rPr>
        <w:t>（资料性附录）</w:t>
      </w:r>
      <w:r>
        <w:br w:type="textWrapping"/>
      </w:r>
      <w:r>
        <w:rPr>
          <w:rFonts w:hint="eastAsia"/>
        </w:rPr>
        <w:t>试验用仪器、仪表及工具</w:t>
      </w:r>
      <w:bookmarkEnd w:id="185"/>
      <w:bookmarkEnd w:id="186"/>
      <w:bookmarkEnd w:id="187"/>
      <w:bookmarkEnd w:id="188"/>
      <w:bookmarkEnd w:id="189"/>
    </w:p>
    <w:p>
      <w:pPr>
        <w:pStyle w:val="20"/>
        <w:rPr>
          <w:rFonts w:hint="eastAsia"/>
        </w:rPr>
      </w:pPr>
      <w:r>
        <w:rPr>
          <w:rFonts w:hint="eastAsia"/>
        </w:rPr>
        <w:t>试验用仪器、仪表及工具详见表A.1。</w:t>
      </w:r>
    </w:p>
    <w:p>
      <w:pPr>
        <w:pStyle w:val="52"/>
        <w:spacing w:before="156" w:after="156"/>
        <w:rPr>
          <w:rFonts w:hint="eastAsia"/>
        </w:rPr>
      </w:pPr>
      <w:r>
        <w:rPr>
          <w:rFonts w:hint="eastAsia"/>
        </w:rPr>
        <w:t>试验用仪器、仪表及工具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835"/>
        <w:gridCol w:w="2869"/>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center"/>
          </w:tcPr>
          <w:p>
            <w:pPr>
              <w:jc w:val="center"/>
              <w:rPr>
                <w:rFonts w:hint="eastAsia" w:ascii="宋体"/>
                <w:sz w:val="18"/>
                <w:szCs w:val="18"/>
              </w:rPr>
            </w:pPr>
            <w:r>
              <w:rPr>
                <w:rFonts w:hint="eastAsia" w:ascii="宋体"/>
                <w:sz w:val="18"/>
                <w:szCs w:val="18"/>
              </w:rPr>
              <w:t>序  号</w:t>
            </w:r>
          </w:p>
        </w:tc>
        <w:tc>
          <w:tcPr>
            <w:tcW w:w="2835" w:type="dxa"/>
            <w:noWrap w:val="0"/>
            <w:vAlign w:val="center"/>
          </w:tcPr>
          <w:p>
            <w:pPr>
              <w:jc w:val="center"/>
              <w:rPr>
                <w:rFonts w:hint="eastAsia" w:ascii="宋体"/>
                <w:sz w:val="18"/>
                <w:szCs w:val="18"/>
              </w:rPr>
            </w:pPr>
            <w:r>
              <w:rPr>
                <w:rFonts w:hint="eastAsia" w:ascii="宋体"/>
                <w:sz w:val="18"/>
                <w:szCs w:val="18"/>
              </w:rPr>
              <w:t>名    称</w:t>
            </w:r>
          </w:p>
        </w:tc>
        <w:tc>
          <w:tcPr>
            <w:tcW w:w="2869" w:type="dxa"/>
            <w:noWrap w:val="0"/>
            <w:vAlign w:val="center"/>
          </w:tcPr>
          <w:p>
            <w:pPr>
              <w:jc w:val="center"/>
              <w:rPr>
                <w:rFonts w:hint="eastAsia" w:ascii="宋体"/>
                <w:sz w:val="18"/>
                <w:szCs w:val="18"/>
              </w:rPr>
            </w:pPr>
            <w:r>
              <w:rPr>
                <w:rFonts w:hint="eastAsia" w:ascii="宋体"/>
                <w:sz w:val="18"/>
                <w:szCs w:val="18"/>
              </w:rPr>
              <w:t>规 格 或 精 度</w:t>
            </w:r>
          </w:p>
        </w:tc>
        <w:tc>
          <w:tcPr>
            <w:tcW w:w="2393" w:type="dxa"/>
            <w:noWrap w:val="0"/>
            <w:vAlign w:val="center"/>
          </w:tcPr>
          <w:p>
            <w:pPr>
              <w:jc w:val="center"/>
              <w:rPr>
                <w:rFonts w:hint="eastAsia" w:ascii="宋体"/>
                <w:sz w:val="18"/>
                <w:szCs w:val="18"/>
              </w:rPr>
            </w:pPr>
            <w:r>
              <w:rPr>
                <w:rFonts w:hint="eastAsia" w:ascii="宋体"/>
                <w:sz w:val="18"/>
                <w:szCs w:val="1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jc w:val="center"/>
              <w:rPr>
                <w:rFonts w:hint="eastAsia" w:ascii="宋体"/>
                <w:sz w:val="18"/>
                <w:szCs w:val="18"/>
              </w:rPr>
            </w:pPr>
            <w:r>
              <w:rPr>
                <w:rFonts w:hint="eastAsia" w:ascii="宋体"/>
                <w:sz w:val="18"/>
                <w:szCs w:val="18"/>
              </w:rPr>
              <w:t>1</w:t>
            </w:r>
          </w:p>
        </w:tc>
        <w:tc>
          <w:tcPr>
            <w:tcW w:w="2835" w:type="dxa"/>
            <w:noWrap w:val="0"/>
            <w:vAlign w:val="top"/>
          </w:tcPr>
          <w:p>
            <w:pPr>
              <w:pStyle w:val="20"/>
              <w:ind w:firstLine="0" w:firstLineChars="0"/>
              <w:jc w:val="center"/>
              <w:rPr>
                <w:rFonts w:hint="eastAsia"/>
                <w:sz w:val="18"/>
                <w:szCs w:val="18"/>
              </w:rPr>
            </w:pPr>
            <w:r>
              <w:rPr>
                <w:rFonts w:hint="eastAsia"/>
                <w:sz w:val="18"/>
                <w:szCs w:val="18"/>
              </w:rPr>
              <w:t>秒表</w:t>
            </w:r>
          </w:p>
        </w:tc>
        <w:tc>
          <w:tcPr>
            <w:tcW w:w="2869" w:type="dxa"/>
            <w:noWrap w:val="0"/>
            <w:vAlign w:val="top"/>
          </w:tcPr>
          <w:p>
            <w:pPr>
              <w:pStyle w:val="20"/>
              <w:ind w:firstLine="0" w:firstLineChars="0"/>
              <w:jc w:val="center"/>
              <w:rPr>
                <w:rFonts w:hint="eastAsia"/>
                <w:sz w:val="18"/>
                <w:szCs w:val="18"/>
              </w:rPr>
            </w:pPr>
            <w:r>
              <w:rPr>
                <w:rFonts w:hint="eastAsia"/>
                <w:sz w:val="18"/>
                <w:szCs w:val="18"/>
              </w:rPr>
              <w:t>0.01s</w:t>
            </w:r>
          </w:p>
        </w:tc>
        <w:tc>
          <w:tcPr>
            <w:tcW w:w="2393" w:type="dxa"/>
            <w:noWrap w:val="0"/>
            <w:vAlign w:val="top"/>
          </w:tcPr>
          <w:p>
            <w:pPr>
              <w:pStyle w:val="20"/>
              <w:ind w:firstLine="0" w:firstLineChars="0"/>
              <w:jc w:val="center"/>
              <w:rPr>
                <w:rFonts w:hint="eastAsia"/>
                <w:sz w:val="18"/>
                <w:szCs w:val="18"/>
              </w:rPr>
            </w:pPr>
            <w:r>
              <w:rPr>
                <w:rFonts w:hint="eastAsia"/>
                <w:sz w:val="18"/>
                <w:szCs w:val="18"/>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jc w:val="center"/>
              <w:rPr>
                <w:rFonts w:hint="eastAsia" w:ascii="宋体"/>
                <w:sz w:val="18"/>
                <w:szCs w:val="18"/>
              </w:rPr>
            </w:pPr>
            <w:r>
              <w:rPr>
                <w:rFonts w:hint="eastAsia" w:ascii="宋体"/>
                <w:sz w:val="18"/>
                <w:szCs w:val="18"/>
              </w:rPr>
              <w:t>2</w:t>
            </w:r>
          </w:p>
        </w:tc>
        <w:tc>
          <w:tcPr>
            <w:tcW w:w="2835" w:type="dxa"/>
            <w:noWrap w:val="0"/>
            <w:vAlign w:val="top"/>
          </w:tcPr>
          <w:p>
            <w:pPr>
              <w:pStyle w:val="20"/>
              <w:ind w:firstLine="0" w:firstLineChars="0"/>
              <w:jc w:val="center"/>
              <w:rPr>
                <w:rFonts w:hint="eastAsia"/>
                <w:sz w:val="18"/>
                <w:szCs w:val="18"/>
              </w:rPr>
            </w:pPr>
            <w:r>
              <w:rPr>
                <w:rFonts w:hint="eastAsia"/>
                <w:sz w:val="18"/>
                <w:szCs w:val="18"/>
              </w:rPr>
              <w:t>磅秤</w:t>
            </w:r>
          </w:p>
        </w:tc>
        <w:tc>
          <w:tcPr>
            <w:tcW w:w="2869" w:type="dxa"/>
            <w:noWrap w:val="0"/>
            <w:vAlign w:val="top"/>
          </w:tcPr>
          <w:p>
            <w:pPr>
              <w:pStyle w:val="20"/>
              <w:ind w:firstLine="0" w:firstLineChars="0"/>
              <w:jc w:val="center"/>
              <w:rPr>
                <w:rFonts w:hint="eastAsia"/>
                <w:sz w:val="18"/>
                <w:szCs w:val="18"/>
              </w:rPr>
            </w:pPr>
            <w:r>
              <w:rPr>
                <w:rFonts w:hint="eastAsia"/>
                <w:sz w:val="18"/>
                <w:szCs w:val="18"/>
              </w:rPr>
              <w:t>1kg</w:t>
            </w:r>
          </w:p>
        </w:tc>
        <w:tc>
          <w:tcPr>
            <w:tcW w:w="2393" w:type="dxa"/>
            <w:noWrap w:val="0"/>
            <w:vAlign w:val="top"/>
          </w:tcPr>
          <w:p>
            <w:pPr>
              <w:pStyle w:val="20"/>
              <w:ind w:firstLine="0" w:firstLineChars="0"/>
              <w:jc w:val="center"/>
              <w:rPr>
                <w:rFonts w:hint="eastAsia"/>
                <w:sz w:val="18"/>
                <w:szCs w:val="18"/>
              </w:rPr>
            </w:pPr>
            <w:r>
              <w:rPr>
                <w:rFonts w:hint="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jc w:val="center"/>
              <w:rPr>
                <w:rFonts w:hint="eastAsia" w:ascii="宋体"/>
                <w:sz w:val="18"/>
                <w:szCs w:val="18"/>
              </w:rPr>
            </w:pPr>
            <w:r>
              <w:rPr>
                <w:rFonts w:hint="eastAsia" w:ascii="宋体"/>
                <w:sz w:val="18"/>
                <w:szCs w:val="18"/>
              </w:rPr>
              <w:t>3</w:t>
            </w:r>
          </w:p>
        </w:tc>
        <w:tc>
          <w:tcPr>
            <w:tcW w:w="2835" w:type="dxa"/>
            <w:noWrap w:val="0"/>
            <w:vAlign w:val="top"/>
          </w:tcPr>
          <w:p>
            <w:pPr>
              <w:pStyle w:val="20"/>
              <w:ind w:firstLine="0" w:firstLineChars="0"/>
              <w:jc w:val="center"/>
              <w:rPr>
                <w:rFonts w:hint="eastAsia"/>
                <w:sz w:val="18"/>
                <w:szCs w:val="18"/>
              </w:rPr>
            </w:pPr>
            <w:r>
              <w:rPr>
                <w:rFonts w:hint="eastAsia"/>
                <w:sz w:val="18"/>
                <w:szCs w:val="18"/>
              </w:rPr>
              <w:t>电子秤</w:t>
            </w:r>
          </w:p>
        </w:tc>
        <w:tc>
          <w:tcPr>
            <w:tcW w:w="2869" w:type="dxa"/>
            <w:noWrap w:val="0"/>
            <w:vAlign w:val="top"/>
          </w:tcPr>
          <w:p>
            <w:pPr>
              <w:pStyle w:val="20"/>
              <w:ind w:firstLine="0" w:firstLineChars="0"/>
              <w:jc w:val="center"/>
              <w:rPr>
                <w:rFonts w:hint="eastAsia"/>
                <w:sz w:val="18"/>
                <w:szCs w:val="18"/>
              </w:rPr>
            </w:pPr>
            <w:r>
              <w:rPr>
                <w:rFonts w:hint="eastAsia"/>
                <w:sz w:val="18"/>
                <w:szCs w:val="18"/>
              </w:rPr>
              <w:t>50g</w:t>
            </w:r>
          </w:p>
        </w:tc>
        <w:tc>
          <w:tcPr>
            <w:tcW w:w="2393" w:type="dxa"/>
            <w:noWrap w:val="0"/>
            <w:vAlign w:val="top"/>
          </w:tcPr>
          <w:p>
            <w:pPr>
              <w:pStyle w:val="20"/>
              <w:ind w:firstLine="0" w:firstLineChars="0"/>
              <w:jc w:val="center"/>
              <w:rPr>
                <w:rFonts w:hint="eastAsia"/>
                <w:sz w:val="18"/>
                <w:szCs w:val="18"/>
              </w:rPr>
            </w:pPr>
            <w:r>
              <w:rPr>
                <w:rFonts w:hint="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jc w:val="center"/>
              <w:rPr>
                <w:rFonts w:hint="eastAsia" w:ascii="宋体"/>
                <w:sz w:val="18"/>
                <w:szCs w:val="18"/>
              </w:rPr>
            </w:pPr>
            <w:r>
              <w:rPr>
                <w:rFonts w:hint="eastAsia" w:ascii="宋体"/>
                <w:sz w:val="18"/>
                <w:szCs w:val="18"/>
              </w:rPr>
              <w:t>4</w:t>
            </w:r>
          </w:p>
        </w:tc>
        <w:tc>
          <w:tcPr>
            <w:tcW w:w="2835" w:type="dxa"/>
            <w:noWrap w:val="0"/>
            <w:vAlign w:val="top"/>
          </w:tcPr>
          <w:p>
            <w:pPr>
              <w:pStyle w:val="20"/>
              <w:ind w:firstLine="0" w:firstLineChars="0"/>
              <w:jc w:val="center"/>
              <w:rPr>
                <w:rFonts w:hint="eastAsia"/>
                <w:sz w:val="18"/>
                <w:szCs w:val="18"/>
              </w:rPr>
            </w:pPr>
            <w:r>
              <w:rPr>
                <w:rFonts w:hint="eastAsia"/>
                <w:sz w:val="18"/>
                <w:szCs w:val="18"/>
              </w:rPr>
              <w:t>钢卷尺</w:t>
            </w:r>
          </w:p>
        </w:tc>
        <w:tc>
          <w:tcPr>
            <w:tcW w:w="2869" w:type="dxa"/>
            <w:noWrap w:val="0"/>
            <w:vAlign w:val="top"/>
          </w:tcPr>
          <w:p>
            <w:pPr>
              <w:pStyle w:val="20"/>
              <w:ind w:firstLine="0" w:firstLineChars="0"/>
              <w:jc w:val="center"/>
              <w:rPr>
                <w:rFonts w:hint="eastAsia"/>
                <w:sz w:val="18"/>
                <w:szCs w:val="18"/>
              </w:rPr>
            </w:pPr>
            <w:r>
              <w:rPr>
                <w:rFonts w:hint="eastAsia"/>
                <w:sz w:val="18"/>
                <w:szCs w:val="18"/>
              </w:rPr>
              <w:t>1cm</w:t>
            </w:r>
          </w:p>
        </w:tc>
        <w:tc>
          <w:tcPr>
            <w:tcW w:w="2393" w:type="dxa"/>
            <w:noWrap w:val="0"/>
            <w:vAlign w:val="top"/>
          </w:tcPr>
          <w:p>
            <w:pPr>
              <w:pStyle w:val="20"/>
              <w:ind w:firstLine="0" w:firstLineChars="0"/>
              <w:jc w:val="center"/>
              <w:rPr>
                <w:rFonts w:hint="eastAsia"/>
                <w:sz w:val="18"/>
                <w:szCs w:val="18"/>
              </w:rPr>
            </w:pPr>
            <w:r>
              <w:rPr>
                <w:rFonts w:hint="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jc w:val="center"/>
              <w:rPr>
                <w:rFonts w:hint="eastAsia" w:ascii="宋体"/>
                <w:sz w:val="18"/>
                <w:szCs w:val="18"/>
              </w:rPr>
            </w:pPr>
            <w:r>
              <w:rPr>
                <w:rFonts w:hint="eastAsia" w:ascii="宋体"/>
                <w:sz w:val="18"/>
                <w:szCs w:val="18"/>
              </w:rPr>
              <w:t>5</w:t>
            </w:r>
          </w:p>
        </w:tc>
        <w:tc>
          <w:tcPr>
            <w:tcW w:w="2835" w:type="dxa"/>
            <w:noWrap w:val="0"/>
            <w:vAlign w:val="top"/>
          </w:tcPr>
          <w:p>
            <w:pPr>
              <w:pStyle w:val="20"/>
              <w:ind w:firstLine="0" w:firstLineChars="0"/>
              <w:jc w:val="center"/>
              <w:rPr>
                <w:rFonts w:hint="eastAsia"/>
                <w:sz w:val="18"/>
                <w:szCs w:val="18"/>
              </w:rPr>
            </w:pPr>
            <w:r>
              <w:rPr>
                <w:rFonts w:hint="eastAsia"/>
                <w:sz w:val="18"/>
                <w:szCs w:val="18"/>
              </w:rPr>
              <w:t>点温计</w:t>
            </w:r>
          </w:p>
        </w:tc>
        <w:tc>
          <w:tcPr>
            <w:tcW w:w="2869" w:type="dxa"/>
            <w:noWrap w:val="0"/>
            <w:vAlign w:val="top"/>
          </w:tcPr>
          <w:p>
            <w:pPr>
              <w:pStyle w:val="20"/>
              <w:ind w:firstLine="0" w:firstLineChars="0"/>
              <w:jc w:val="center"/>
              <w:rPr>
                <w:rFonts w:hint="eastAsia"/>
                <w:sz w:val="18"/>
                <w:szCs w:val="18"/>
              </w:rPr>
            </w:pPr>
            <w:r>
              <w:rPr>
                <w:rFonts w:hint="eastAsia"/>
                <w:sz w:val="18"/>
                <w:szCs w:val="18"/>
              </w:rPr>
              <w:t>1℃</w:t>
            </w:r>
          </w:p>
        </w:tc>
        <w:tc>
          <w:tcPr>
            <w:tcW w:w="2393" w:type="dxa"/>
            <w:noWrap w:val="0"/>
            <w:vAlign w:val="top"/>
          </w:tcPr>
          <w:p>
            <w:pPr>
              <w:pStyle w:val="20"/>
              <w:ind w:firstLine="0" w:firstLineChars="0"/>
              <w:jc w:val="center"/>
              <w:rPr>
                <w:rFonts w:hint="eastAsia"/>
                <w:sz w:val="18"/>
                <w:szCs w:val="18"/>
              </w:rPr>
            </w:pPr>
            <w:r>
              <w:rPr>
                <w:rFonts w:hint="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jc w:val="center"/>
              <w:rPr>
                <w:rFonts w:hint="eastAsia" w:ascii="宋体"/>
                <w:sz w:val="18"/>
                <w:szCs w:val="18"/>
              </w:rPr>
            </w:pPr>
            <w:r>
              <w:rPr>
                <w:rFonts w:hint="eastAsia" w:ascii="宋体"/>
                <w:sz w:val="18"/>
                <w:szCs w:val="18"/>
              </w:rPr>
              <w:t>6</w:t>
            </w:r>
          </w:p>
        </w:tc>
        <w:tc>
          <w:tcPr>
            <w:tcW w:w="2835" w:type="dxa"/>
            <w:noWrap w:val="0"/>
            <w:vAlign w:val="top"/>
          </w:tcPr>
          <w:p>
            <w:pPr>
              <w:pStyle w:val="20"/>
              <w:ind w:firstLine="0" w:firstLineChars="0"/>
              <w:jc w:val="center"/>
              <w:rPr>
                <w:rFonts w:hint="eastAsia"/>
                <w:sz w:val="18"/>
                <w:szCs w:val="18"/>
              </w:rPr>
            </w:pPr>
            <w:r>
              <w:rPr>
                <w:rFonts w:hint="eastAsia"/>
                <w:sz w:val="18"/>
                <w:szCs w:val="18"/>
              </w:rPr>
              <w:t>电功率计</w:t>
            </w:r>
          </w:p>
        </w:tc>
        <w:tc>
          <w:tcPr>
            <w:tcW w:w="2869" w:type="dxa"/>
            <w:noWrap w:val="0"/>
            <w:vAlign w:val="top"/>
          </w:tcPr>
          <w:p>
            <w:pPr>
              <w:pStyle w:val="20"/>
              <w:ind w:firstLine="0" w:firstLineChars="0"/>
              <w:jc w:val="center"/>
              <w:rPr>
                <w:rFonts w:hint="eastAsia"/>
                <w:sz w:val="18"/>
                <w:szCs w:val="18"/>
              </w:rPr>
            </w:pPr>
            <w:r>
              <w:rPr>
                <w:rFonts w:hint="eastAsia"/>
                <w:sz w:val="18"/>
                <w:szCs w:val="18"/>
              </w:rPr>
              <w:t>1级</w:t>
            </w:r>
          </w:p>
        </w:tc>
        <w:tc>
          <w:tcPr>
            <w:tcW w:w="2393" w:type="dxa"/>
            <w:noWrap w:val="0"/>
            <w:vAlign w:val="top"/>
          </w:tcPr>
          <w:p>
            <w:pPr>
              <w:pStyle w:val="20"/>
              <w:ind w:firstLine="0" w:firstLineChars="0"/>
              <w:jc w:val="center"/>
              <w:rPr>
                <w:rFonts w:hint="eastAsia"/>
                <w:sz w:val="18"/>
                <w:szCs w:val="18"/>
              </w:rPr>
            </w:pPr>
            <w:r>
              <w:rPr>
                <w:rFonts w:hint="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jc w:val="center"/>
              <w:rPr>
                <w:rFonts w:hint="eastAsia" w:ascii="宋体"/>
                <w:sz w:val="18"/>
                <w:szCs w:val="18"/>
              </w:rPr>
            </w:pPr>
            <w:r>
              <w:rPr>
                <w:rFonts w:hint="eastAsia" w:ascii="宋体"/>
                <w:sz w:val="18"/>
                <w:szCs w:val="18"/>
              </w:rPr>
              <w:t>7</w:t>
            </w:r>
          </w:p>
        </w:tc>
        <w:tc>
          <w:tcPr>
            <w:tcW w:w="2835" w:type="dxa"/>
            <w:noWrap w:val="0"/>
            <w:vAlign w:val="top"/>
          </w:tcPr>
          <w:p>
            <w:pPr>
              <w:pStyle w:val="20"/>
              <w:ind w:firstLine="0" w:firstLineChars="0"/>
              <w:jc w:val="center"/>
              <w:rPr>
                <w:rFonts w:hint="eastAsia"/>
                <w:sz w:val="18"/>
                <w:szCs w:val="18"/>
              </w:rPr>
            </w:pPr>
            <w:r>
              <w:rPr>
                <w:rFonts w:hint="eastAsia"/>
                <w:sz w:val="18"/>
                <w:szCs w:val="18"/>
              </w:rPr>
              <w:t>涂层测厚仪</w:t>
            </w:r>
          </w:p>
        </w:tc>
        <w:tc>
          <w:tcPr>
            <w:tcW w:w="2869" w:type="dxa"/>
            <w:noWrap w:val="0"/>
            <w:vAlign w:val="top"/>
          </w:tcPr>
          <w:p>
            <w:pPr>
              <w:pStyle w:val="20"/>
              <w:ind w:firstLine="0" w:firstLineChars="0"/>
              <w:jc w:val="center"/>
              <w:rPr>
                <w:rFonts w:hint="eastAsia"/>
                <w:sz w:val="18"/>
                <w:szCs w:val="18"/>
              </w:rPr>
            </w:pPr>
            <w:r>
              <w:rPr>
                <w:rFonts w:hint="eastAsia"/>
                <w:sz w:val="18"/>
                <w:szCs w:val="18"/>
              </w:rPr>
              <w:t>1</w:t>
            </w:r>
            <w:r>
              <w:rPr>
                <w:rFonts w:hint="eastAsia" w:cs="宋体"/>
                <w:sz w:val="18"/>
                <w:szCs w:val="18"/>
              </w:rPr>
              <w:t>μ</w:t>
            </w:r>
            <w:r>
              <w:rPr>
                <w:sz w:val="18"/>
                <w:szCs w:val="18"/>
              </w:rPr>
              <w:t>m</w:t>
            </w:r>
          </w:p>
        </w:tc>
        <w:tc>
          <w:tcPr>
            <w:tcW w:w="2393" w:type="dxa"/>
            <w:noWrap w:val="0"/>
            <w:vAlign w:val="top"/>
          </w:tcPr>
          <w:p>
            <w:pPr>
              <w:pStyle w:val="20"/>
              <w:ind w:firstLine="0" w:firstLineChars="0"/>
              <w:jc w:val="center"/>
              <w:rPr>
                <w:rFonts w:hint="eastAsia"/>
                <w:sz w:val="18"/>
                <w:szCs w:val="18"/>
              </w:rPr>
            </w:pPr>
            <w:r>
              <w:rPr>
                <w:rFonts w:hint="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jc w:val="center"/>
              <w:rPr>
                <w:rFonts w:hint="eastAsia" w:ascii="宋体"/>
                <w:sz w:val="18"/>
                <w:szCs w:val="18"/>
              </w:rPr>
            </w:pPr>
            <w:r>
              <w:rPr>
                <w:rFonts w:hint="eastAsia" w:ascii="宋体"/>
                <w:sz w:val="18"/>
                <w:szCs w:val="18"/>
              </w:rPr>
              <w:t>8</w:t>
            </w:r>
          </w:p>
        </w:tc>
        <w:tc>
          <w:tcPr>
            <w:tcW w:w="2835" w:type="dxa"/>
            <w:noWrap w:val="0"/>
            <w:vAlign w:val="top"/>
          </w:tcPr>
          <w:p>
            <w:pPr>
              <w:pStyle w:val="20"/>
              <w:ind w:firstLine="0" w:firstLineChars="0"/>
              <w:jc w:val="center"/>
              <w:rPr>
                <w:rFonts w:hint="eastAsia"/>
                <w:sz w:val="18"/>
                <w:szCs w:val="18"/>
              </w:rPr>
            </w:pPr>
            <w:r>
              <w:rPr>
                <w:rFonts w:hint="eastAsia"/>
                <w:sz w:val="18"/>
                <w:szCs w:val="18"/>
              </w:rPr>
              <w:t>接料麻袋</w:t>
            </w:r>
          </w:p>
        </w:tc>
        <w:tc>
          <w:tcPr>
            <w:tcW w:w="2869" w:type="dxa"/>
            <w:noWrap w:val="0"/>
            <w:vAlign w:val="top"/>
          </w:tcPr>
          <w:p>
            <w:pPr>
              <w:pStyle w:val="20"/>
              <w:ind w:firstLine="0" w:firstLineChars="0"/>
              <w:jc w:val="center"/>
              <w:rPr>
                <w:rFonts w:hint="eastAsia"/>
                <w:sz w:val="18"/>
                <w:szCs w:val="18"/>
              </w:rPr>
            </w:pPr>
          </w:p>
        </w:tc>
        <w:tc>
          <w:tcPr>
            <w:tcW w:w="2393" w:type="dxa"/>
            <w:noWrap w:val="0"/>
            <w:vAlign w:val="top"/>
          </w:tcPr>
          <w:p>
            <w:pPr>
              <w:pStyle w:val="20"/>
              <w:ind w:firstLine="0" w:firstLineChars="0"/>
              <w:jc w:val="center"/>
              <w:rPr>
                <w:rFonts w:hint="eastAsia"/>
                <w:sz w:val="18"/>
                <w:szCs w:val="18"/>
              </w:rPr>
            </w:pPr>
            <w:r>
              <w:rPr>
                <w:rFonts w:hint="eastAsia"/>
                <w:sz w:val="18"/>
                <w:szCs w:val="18"/>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pPr>
              <w:jc w:val="center"/>
              <w:rPr>
                <w:rFonts w:hint="eastAsia" w:ascii="宋体"/>
                <w:sz w:val="18"/>
                <w:szCs w:val="18"/>
              </w:rPr>
            </w:pPr>
            <w:r>
              <w:rPr>
                <w:rFonts w:hint="eastAsia" w:ascii="宋体"/>
                <w:sz w:val="18"/>
                <w:szCs w:val="18"/>
              </w:rPr>
              <w:t>9</w:t>
            </w:r>
          </w:p>
        </w:tc>
        <w:tc>
          <w:tcPr>
            <w:tcW w:w="2835" w:type="dxa"/>
            <w:noWrap w:val="0"/>
            <w:vAlign w:val="top"/>
          </w:tcPr>
          <w:p>
            <w:pPr>
              <w:pStyle w:val="20"/>
              <w:ind w:firstLine="0" w:firstLineChars="0"/>
              <w:jc w:val="center"/>
              <w:rPr>
                <w:rFonts w:hint="eastAsia"/>
                <w:sz w:val="18"/>
                <w:szCs w:val="18"/>
              </w:rPr>
            </w:pPr>
            <w:r>
              <w:rPr>
                <w:rFonts w:hint="eastAsia"/>
                <w:sz w:val="18"/>
                <w:szCs w:val="18"/>
              </w:rPr>
              <w:t>计算器</w:t>
            </w:r>
          </w:p>
        </w:tc>
        <w:tc>
          <w:tcPr>
            <w:tcW w:w="2869" w:type="dxa"/>
            <w:noWrap w:val="0"/>
            <w:vAlign w:val="top"/>
          </w:tcPr>
          <w:p>
            <w:pPr>
              <w:pStyle w:val="20"/>
              <w:ind w:firstLine="0" w:firstLineChars="0"/>
              <w:jc w:val="center"/>
              <w:rPr>
                <w:rFonts w:hint="eastAsia"/>
                <w:sz w:val="18"/>
                <w:szCs w:val="18"/>
              </w:rPr>
            </w:pPr>
          </w:p>
        </w:tc>
        <w:tc>
          <w:tcPr>
            <w:tcW w:w="2393" w:type="dxa"/>
            <w:noWrap w:val="0"/>
            <w:vAlign w:val="top"/>
          </w:tcPr>
          <w:p>
            <w:pPr>
              <w:pStyle w:val="20"/>
              <w:ind w:firstLine="0" w:firstLineChars="0"/>
              <w:jc w:val="center"/>
              <w:rPr>
                <w:rFonts w:hint="eastAsia"/>
                <w:sz w:val="18"/>
                <w:szCs w:val="18"/>
              </w:rPr>
            </w:pPr>
            <w:r>
              <w:rPr>
                <w:rFonts w:hint="eastAsia"/>
                <w:sz w:val="18"/>
                <w:szCs w:val="18"/>
              </w:rPr>
              <w:t>1个</w:t>
            </w:r>
          </w:p>
        </w:tc>
      </w:tr>
    </w:tbl>
    <w:p>
      <w:pPr>
        <w:rPr>
          <w:rFonts w:hint="eastAsia"/>
        </w:rPr>
      </w:pPr>
    </w:p>
    <w:p>
      <w:pPr>
        <w:pStyle w:val="20"/>
        <w:rPr>
          <w:rFonts w:hint="eastAsia"/>
        </w:rPr>
      </w:pPr>
    </w:p>
    <w:p>
      <w:pPr>
        <w:pStyle w:val="79"/>
        <w:rPr>
          <w:rFonts w:hint="eastAsia"/>
        </w:rPr>
      </w:pPr>
      <w:r>
        <w:t>_________________________________</w:t>
      </w:r>
    </w:p>
    <w:sectPr>
      <w:headerReference r:id="rId9" w:type="default"/>
      <w:footerReference r:id="rId11" w:type="default"/>
      <w:headerReference r:id="rId10" w:type="even"/>
      <w:footerReference r:id="rId12" w:type="even"/>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rPr>
        <w:rStyle w:val="32"/>
      </w:rPr>
      <w:instrText xml:space="preserve"> PAGE  \* MERGEFORMAT </w:instrText>
    </w:r>
    <w:r>
      <w:fldChar w:fldCharType="separate"/>
    </w:r>
    <w:r>
      <w:rPr>
        <w:rStyle w:val="32"/>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32"/>
      </w:rPr>
    </w:pPr>
    <w:r>
      <w:fldChar w:fldCharType="begin"/>
    </w:r>
    <w:r>
      <w:rPr>
        <w:rStyle w:val="32"/>
      </w:rPr>
      <w:instrText xml:space="preserve">PAGE  </w:instrText>
    </w:r>
    <w:r>
      <w:fldChar w:fldCharType="separate"/>
    </w:r>
    <w:r>
      <w:rPr>
        <w:rStyle w:val="32"/>
      </w:rPr>
      <w:t>I</w:t>
    </w:r>
    <w:r>
      <w:fldChar w:fldCharType="end"/>
    </w:r>
  </w:p>
  <w:p>
    <w:pPr>
      <w:pStyle w:val="6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rPr>
        <w:rStyle w:val="32"/>
      </w:rPr>
      <w:instrText xml:space="preserve"> PAGE  \* MERGEFORMAT </w:instrText>
    </w:r>
    <w:r>
      <w:fldChar w:fldCharType="separate"/>
    </w:r>
    <w:r>
      <w:rPr>
        <w:rStyle w:val="32"/>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Style w:val="32"/>
      </w:rPr>
    </w:pPr>
    <w:r>
      <w:fldChar w:fldCharType="begin"/>
    </w:r>
    <w:r>
      <w:rPr>
        <w:rStyle w:val="32"/>
      </w:rPr>
      <w:instrText xml:space="preserve">PAGE  </w:instrText>
    </w:r>
    <w:r>
      <w:fldChar w:fldCharType="separate"/>
    </w:r>
    <w:r>
      <w:rPr>
        <w:rStyle w:val="32"/>
      </w:rPr>
      <w:t>7</w:t>
    </w:r>
    <w:r>
      <w:fldChar w:fldCharType="end"/>
    </w:r>
  </w:p>
  <w:p>
    <w:pPr>
      <w:pStyle w:val="67"/>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rPr>
        <w:rStyle w:val="32"/>
      </w:rPr>
      <w:instrText xml:space="preserve"> PAGE  \* MERGEFORMAT </w:instrText>
    </w:r>
    <w:r>
      <w:fldChar w:fldCharType="separate"/>
    </w:r>
    <w:r>
      <w:rPr>
        <w:rStyle w:val="32"/>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rPr>
        <w:rFonts w:hint="eastAsia"/>
      </w:rPr>
    </w:pPr>
    <w:r>
      <w:t>DB15/T</w:t>
    </w:r>
    <w:r>
      <w:rPr>
        <w:rFonts w:hint="eastAsia"/>
      </w:rPr>
      <w:t xml:space="preserve"> 874</w:t>
    </w:r>
    <w:r>
      <w:t>—</w:t>
    </w:r>
    <w:r>
      <w:rPr>
        <w:rFonts w:hint="eastAsia"/>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jc w:val="right"/>
      <w:rPr>
        <w:rFonts w:hint="eastAsia"/>
      </w:rPr>
    </w:pPr>
    <w:r>
      <w:rPr>
        <w:rFonts w:hint="eastAsia"/>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6AFBF"/>
    <w:multiLevelType w:val="singleLevel"/>
    <w:tmpl w:val="B1F6AFBF"/>
    <w:lvl w:ilvl="0" w:tentative="0">
      <w:start w:val="2020"/>
      <w:numFmt w:val="decimal"/>
      <w:suff w:val="space"/>
      <w:lvlText w:val="%1-"/>
      <w:lvlJc w:val="left"/>
    </w:lvl>
  </w:abstractNum>
  <w:abstractNum w:abstractNumId="1">
    <w:nsid w:val="1DBF583A"/>
    <w:multiLevelType w:val="multilevel"/>
    <w:tmpl w:val="1DBF583A"/>
    <w:lvl w:ilvl="0" w:tentative="0">
      <w:start w:val="0"/>
      <w:numFmt w:val="none"/>
      <w:pStyle w:val="61"/>
      <w:lvlText w:val=""/>
      <w:lvlJc w:val="left"/>
      <w:pPr>
        <w:tabs>
          <w:tab w:val="left" w:pos="360"/>
        </w:tabs>
      </w:p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41"/>
      <w:suff w:val="nothing"/>
      <w:lvlText w:val="%1　"/>
      <w:lvlJc w:val="left"/>
      <w:pPr>
        <w:ind w:left="315"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31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pPr>
        <w:ind w:left="315" w:firstLine="0"/>
      </w:pPr>
      <w:rPr>
        <w:rFonts w:hint="eastAsia" w:ascii="黑体" w:hAnsi="Times New Roman" w:eastAsia="黑体"/>
        <w:b w:val="0"/>
        <w:i w:val="0"/>
        <w:color w:val="auto"/>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113"/>
      <w:suff w:val="space"/>
      <w:lvlText w:val="%1"/>
      <w:lvlJc w:val="left"/>
      <w:pPr>
        <w:ind w:left="623" w:hanging="425"/>
      </w:pPr>
      <w:rPr>
        <w:rFonts w:hint="eastAsia"/>
      </w:rPr>
    </w:lvl>
    <w:lvl w:ilvl="1" w:tentative="0">
      <w:start w:val="1"/>
      <w:numFmt w:val="decimal"/>
      <w:pStyle w:val="11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59"/>
      <w:suff w:val="nothing"/>
      <w:lvlText w:val="%1——"/>
      <w:lvlJc w:val="left"/>
      <w:pPr>
        <w:ind w:left="833" w:hanging="408"/>
      </w:pPr>
      <w:rPr>
        <w:rFonts w:hint="eastAsia"/>
      </w:rPr>
    </w:lvl>
    <w:lvl w:ilvl="1" w:tentative="0">
      <w:start w:val="1"/>
      <w:numFmt w:val="bullet"/>
      <w:pStyle w:val="63"/>
      <w:lvlText w:val=""/>
      <w:lvlJc w:val="left"/>
      <w:pPr>
        <w:tabs>
          <w:tab w:val="left" w:pos="760"/>
        </w:tabs>
        <w:ind w:left="1264" w:hanging="413"/>
      </w:pPr>
      <w:rPr>
        <w:rFonts w:hint="default" w:ascii="Symbol" w:hAnsi="Symbol"/>
        <w:color w:val="auto"/>
      </w:rPr>
    </w:lvl>
    <w:lvl w:ilvl="2" w:tentative="0">
      <w:start w:val="1"/>
      <w:numFmt w:val="bullet"/>
      <w:pStyle w:val="9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44C50F90"/>
    <w:multiLevelType w:val="multilevel"/>
    <w:tmpl w:val="44C50F90"/>
    <w:lvl w:ilvl="0" w:tentative="0">
      <w:start w:val="1"/>
      <w:numFmt w:val="lowerLetter"/>
      <w:pStyle w:val="84"/>
      <w:lvlText w:val="%1)"/>
      <w:lvlJc w:val="left"/>
      <w:pPr>
        <w:tabs>
          <w:tab w:val="left" w:pos="840"/>
        </w:tabs>
        <w:ind w:left="839" w:hanging="419"/>
      </w:pPr>
      <w:rPr>
        <w:rFonts w:hint="eastAsia" w:ascii="宋体" w:eastAsia="宋体"/>
        <w:b w:val="0"/>
        <w:i w:val="0"/>
        <w:color w:val="auto"/>
        <w:sz w:val="21"/>
        <w:szCs w:val="21"/>
      </w:rPr>
    </w:lvl>
    <w:lvl w:ilvl="1" w:tentative="0">
      <w:start w:val="1"/>
      <w:numFmt w:val="decimal"/>
      <w:pStyle w:val="73"/>
      <w:lvlText w:val="%2)"/>
      <w:lvlJc w:val="left"/>
      <w:pPr>
        <w:tabs>
          <w:tab w:val="left" w:pos="1260"/>
        </w:tabs>
        <w:ind w:left="1259" w:hanging="419"/>
      </w:pPr>
      <w:rPr>
        <w:rFonts w:hint="eastAsia"/>
      </w:rPr>
    </w:lvl>
    <w:lvl w:ilvl="2" w:tentative="0">
      <w:start w:val="1"/>
      <w:numFmt w:val="decimal"/>
      <w:pStyle w:val="8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60B55DC2"/>
    <w:multiLevelType w:val="multilevel"/>
    <w:tmpl w:val="60B55DC2"/>
    <w:lvl w:ilvl="0" w:tentative="0">
      <w:start w:val="1"/>
      <w:numFmt w:val="upperLetter"/>
      <w:pStyle w:val="107"/>
      <w:lvlText w:val="%1"/>
      <w:lvlJc w:val="left"/>
      <w:pPr>
        <w:tabs>
          <w:tab w:val="left" w:pos="0"/>
        </w:tabs>
        <w:ind w:left="0" w:hanging="425"/>
      </w:pPr>
      <w:rPr>
        <w:rFonts w:hint="eastAsia"/>
      </w:rPr>
    </w:lvl>
    <w:lvl w:ilvl="1" w:tentative="0">
      <w:start w:val="1"/>
      <w:numFmt w:val="decimal"/>
      <w:pStyle w:val="5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109669A"/>
    <w:multiLevelType w:val="multilevel"/>
    <w:tmpl w:val="6109669A"/>
    <w:lvl w:ilvl="0" w:tentative="0">
      <w:start w:val="9"/>
      <w:numFmt w:val="decimal"/>
      <w:lvlText w:val="%1"/>
      <w:lvlJc w:val="left"/>
      <w:pPr>
        <w:tabs>
          <w:tab w:val="left" w:pos="1095"/>
        </w:tabs>
        <w:ind w:left="1095" w:hanging="465"/>
      </w:pPr>
      <w:rPr>
        <w:rFonts w:hint="eastAsia"/>
        <w:sz w:val="21"/>
        <w:szCs w:val="21"/>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9">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10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7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D6C07CD"/>
    <w:multiLevelType w:val="multilevel"/>
    <w:tmpl w:val="6D6C07CD"/>
    <w:lvl w:ilvl="0" w:tentative="0">
      <w:start w:val="1"/>
      <w:numFmt w:val="lowerLetter"/>
      <w:pStyle w:val="87"/>
      <w:lvlText w:val="%1)"/>
      <w:lvlJc w:val="left"/>
      <w:pPr>
        <w:tabs>
          <w:tab w:val="left" w:pos="839"/>
        </w:tabs>
        <w:ind w:left="839" w:hanging="419"/>
      </w:pPr>
      <w:rPr>
        <w:rFonts w:hint="eastAsia" w:ascii="宋体" w:eastAsia="宋体"/>
        <w:b w:val="0"/>
        <w:i w:val="0"/>
        <w:sz w:val="21"/>
      </w:rPr>
    </w:lvl>
    <w:lvl w:ilvl="1" w:tentative="0">
      <w:start w:val="1"/>
      <w:numFmt w:val="decimal"/>
      <w:pStyle w:val="6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2"/>
  </w:num>
  <w:num w:numId="3">
    <w:abstractNumId w:val="10"/>
  </w:num>
  <w:num w:numId="4">
    <w:abstractNumId w:val="7"/>
  </w:num>
  <w:num w:numId="5">
    <w:abstractNumId w:val="4"/>
  </w:num>
  <w:num w:numId="6">
    <w:abstractNumId w:val="1"/>
  </w:num>
  <w:num w:numId="7">
    <w:abstractNumId w:val="11"/>
  </w:num>
  <w:num w:numId="8">
    <w:abstractNumId w:val="6"/>
  </w:num>
  <w:num w:numId="9">
    <w:abstractNumId w:val="3"/>
  </w:num>
  <w:num w:numId="10">
    <w:abstractNumId w:val="0"/>
  </w:num>
  <w:num w:numId="11">
    <w:abstractNumId w:val="8"/>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074B7"/>
    <w:rsid w:val="00011F82"/>
    <w:rsid w:val="00013D86"/>
    <w:rsid w:val="00013E02"/>
    <w:rsid w:val="00016194"/>
    <w:rsid w:val="0002143C"/>
    <w:rsid w:val="000232BF"/>
    <w:rsid w:val="000250D1"/>
    <w:rsid w:val="00025A65"/>
    <w:rsid w:val="00026C31"/>
    <w:rsid w:val="00027280"/>
    <w:rsid w:val="000320A7"/>
    <w:rsid w:val="00035925"/>
    <w:rsid w:val="00050197"/>
    <w:rsid w:val="000610A7"/>
    <w:rsid w:val="00061CA8"/>
    <w:rsid w:val="00067CDF"/>
    <w:rsid w:val="00074FBE"/>
    <w:rsid w:val="00083A09"/>
    <w:rsid w:val="00087D12"/>
    <w:rsid w:val="0009005E"/>
    <w:rsid w:val="00092857"/>
    <w:rsid w:val="000A20A9"/>
    <w:rsid w:val="000A48B1"/>
    <w:rsid w:val="000B3143"/>
    <w:rsid w:val="000C58F8"/>
    <w:rsid w:val="000C6B05"/>
    <w:rsid w:val="000C6DD6"/>
    <w:rsid w:val="000C6EDF"/>
    <w:rsid w:val="000C73D4"/>
    <w:rsid w:val="000D3D4C"/>
    <w:rsid w:val="000D4F51"/>
    <w:rsid w:val="000D58D3"/>
    <w:rsid w:val="000D718B"/>
    <w:rsid w:val="000E0995"/>
    <w:rsid w:val="000E0C46"/>
    <w:rsid w:val="000E18F1"/>
    <w:rsid w:val="000F030C"/>
    <w:rsid w:val="000F129C"/>
    <w:rsid w:val="000F6ED7"/>
    <w:rsid w:val="001042C9"/>
    <w:rsid w:val="001056DE"/>
    <w:rsid w:val="00106F78"/>
    <w:rsid w:val="001124C0"/>
    <w:rsid w:val="00113F19"/>
    <w:rsid w:val="00125B78"/>
    <w:rsid w:val="001269EA"/>
    <w:rsid w:val="00127FAE"/>
    <w:rsid w:val="0013111D"/>
    <w:rsid w:val="0013175F"/>
    <w:rsid w:val="00147947"/>
    <w:rsid w:val="00147EE7"/>
    <w:rsid w:val="001512B4"/>
    <w:rsid w:val="00154520"/>
    <w:rsid w:val="001620A5"/>
    <w:rsid w:val="00164E53"/>
    <w:rsid w:val="0016699D"/>
    <w:rsid w:val="001749DA"/>
    <w:rsid w:val="00175159"/>
    <w:rsid w:val="00176208"/>
    <w:rsid w:val="00180F15"/>
    <w:rsid w:val="0018211B"/>
    <w:rsid w:val="001840D3"/>
    <w:rsid w:val="001900F8"/>
    <w:rsid w:val="00190DF2"/>
    <w:rsid w:val="00191258"/>
    <w:rsid w:val="00192680"/>
    <w:rsid w:val="00193037"/>
    <w:rsid w:val="00193A2C"/>
    <w:rsid w:val="001A288E"/>
    <w:rsid w:val="001B2CA0"/>
    <w:rsid w:val="001B6DC2"/>
    <w:rsid w:val="001C09C8"/>
    <w:rsid w:val="001C149C"/>
    <w:rsid w:val="001C21AC"/>
    <w:rsid w:val="001C47BA"/>
    <w:rsid w:val="001C59EA"/>
    <w:rsid w:val="001D406C"/>
    <w:rsid w:val="001D41EE"/>
    <w:rsid w:val="001E0380"/>
    <w:rsid w:val="001E13B1"/>
    <w:rsid w:val="001F3A19"/>
    <w:rsid w:val="00211BD1"/>
    <w:rsid w:val="002124B2"/>
    <w:rsid w:val="00225E86"/>
    <w:rsid w:val="00234467"/>
    <w:rsid w:val="0023782B"/>
    <w:rsid w:val="00237D8D"/>
    <w:rsid w:val="00241DA2"/>
    <w:rsid w:val="00247FEE"/>
    <w:rsid w:val="00250E7D"/>
    <w:rsid w:val="0025337A"/>
    <w:rsid w:val="002565D5"/>
    <w:rsid w:val="00260069"/>
    <w:rsid w:val="002622C0"/>
    <w:rsid w:val="00273250"/>
    <w:rsid w:val="002749B5"/>
    <w:rsid w:val="0027613F"/>
    <w:rsid w:val="002778AE"/>
    <w:rsid w:val="0028269A"/>
    <w:rsid w:val="00283590"/>
    <w:rsid w:val="00286973"/>
    <w:rsid w:val="00293D56"/>
    <w:rsid w:val="00294E70"/>
    <w:rsid w:val="002A0274"/>
    <w:rsid w:val="002A1924"/>
    <w:rsid w:val="002A54BC"/>
    <w:rsid w:val="002A5B46"/>
    <w:rsid w:val="002A7420"/>
    <w:rsid w:val="002B0F12"/>
    <w:rsid w:val="002B1308"/>
    <w:rsid w:val="002B4554"/>
    <w:rsid w:val="002C72D8"/>
    <w:rsid w:val="002D11FA"/>
    <w:rsid w:val="002E0DDF"/>
    <w:rsid w:val="002E2906"/>
    <w:rsid w:val="002E5635"/>
    <w:rsid w:val="002E64C3"/>
    <w:rsid w:val="002E6A2C"/>
    <w:rsid w:val="002F1D8C"/>
    <w:rsid w:val="002F21DA"/>
    <w:rsid w:val="002F3CEC"/>
    <w:rsid w:val="00301F39"/>
    <w:rsid w:val="00305008"/>
    <w:rsid w:val="00320B8F"/>
    <w:rsid w:val="00325926"/>
    <w:rsid w:val="00327A8A"/>
    <w:rsid w:val="00336610"/>
    <w:rsid w:val="00337B3D"/>
    <w:rsid w:val="00343F73"/>
    <w:rsid w:val="00344A80"/>
    <w:rsid w:val="00345060"/>
    <w:rsid w:val="0035323B"/>
    <w:rsid w:val="00355613"/>
    <w:rsid w:val="003609D2"/>
    <w:rsid w:val="00363F22"/>
    <w:rsid w:val="00375564"/>
    <w:rsid w:val="00377A88"/>
    <w:rsid w:val="00383191"/>
    <w:rsid w:val="00386DED"/>
    <w:rsid w:val="003912E7"/>
    <w:rsid w:val="00393947"/>
    <w:rsid w:val="00394F3A"/>
    <w:rsid w:val="003A03C1"/>
    <w:rsid w:val="003A2275"/>
    <w:rsid w:val="003A2F33"/>
    <w:rsid w:val="003A6A4F"/>
    <w:rsid w:val="003A7088"/>
    <w:rsid w:val="003B00DF"/>
    <w:rsid w:val="003B1275"/>
    <w:rsid w:val="003B1778"/>
    <w:rsid w:val="003B3071"/>
    <w:rsid w:val="003C11CB"/>
    <w:rsid w:val="003C75F3"/>
    <w:rsid w:val="003C78A3"/>
    <w:rsid w:val="003D0996"/>
    <w:rsid w:val="003D2C54"/>
    <w:rsid w:val="003D746F"/>
    <w:rsid w:val="003D7669"/>
    <w:rsid w:val="003E1867"/>
    <w:rsid w:val="003E5729"/>
    <w:rsid w:val="003E6008"/>
    <w:rsid w:val="003F4EE0"/>
    <w:rsid w:val="00402153"/>
    <w:rsid w:val="00402FC1"/>
    <w:rsid w:val="004101A3"/>
    <w:rsid w:val="0041106B"/>
    <w:rsid w:val="00425082"/>
    <w:rsid w:val="00431DEB"/>
    <w:rsid w:val="00442D80"/>
    <w:rsid w:val="00446B29"/>
    <w:rsid w:val="00450BD9"/>
    <w:rsid w:val="00453F9A"/>
    <w:rsid w:val="0046263B"/>
    <w:rsid w:val="004657F0"/>
    <w:rsid w:val="00471E91"/>
    <w:rsid w:val="00474675"/>
    <w:rsid w:val="0047470C"/>
    <w:rsid w:val="00483952"/>
    <w:rsid w:val="00495590"/>
    <w:rsid w:val="004A35F9"/>
    <w:rsid w:val="004B24C1"/>
    <w:rsid w:val="004C292F"/>
    <w:rsid w:val="004C5287"/>
    <w:rsid w:val="004D10AB"/>
    <w:rsid w:val="004E61DE"/>
    <w:rsid w:val="005072ED"/>
    <w:rsid w:val="00510280"/>
    <w:rsid w:val="00513D73"/>
    <w:rsid w:val="00514A43"/>
    <w:rsid w:val="005170B5"/>
    <w:rsid w:val="005174E5"/>
    <w:rsid w:val="00522393"/>
    <w:rsid w:val="00522620"/>
    <w:rsid w:val="00525656"/>
    <w:rsid w:val="005321C1"/>
    <w:rsid w:val="00534C02"/>
    <w:rsid w:val="005425E8"/>
    <w:rsid w:val="0054264B"/>
    <w:rsid w:val="00543786"/>
    <w:rsid w:val="005533D7"/>
    <w:rsid w:val="005654AA"/>
    <w:rsid w:val="005658E2"/>
    <w:rsid w:val="005703DE"/>
    <w:rsid w:val="0057167B"/>
    <w:rsid w:val="0058464E"/>
    <w:rsid w:val="00587FEF"/>
    <w:rsid w:val="005A01CB"/>
    <w:rsid w:val="005A44F7"/>
    <w:rsid w:val="005A58FF"/>
    <w:rsid w:val="005A5EAF"/>
    <w:rsid w:val="005A64C0"/>
    <w:rsid w:val="005A7C79"/>
    <w:rsid w:val="005B3517"/>
    <w:rsid w:val="005B3C11"/>
    <w:rsid w:val="005C1C28"/>
    <w:rsid w:val="005C6DB5"/>
    <w:rsid w:val="005E19E7"/>
    <w:rsid w:val="0061716C"/>
    <w:rsid w:val="006243A1"/>
    <w:rsid w:val="00632E56"/>
    <w:rsid w:val="00635CBA"/>
    <w:rsid w:val="00642443"/>
    <w:rsid w:val="0064338B"/>
    <w:rsid w:val="00646542"/>
    <w:rsid w:val="006504F4"/>
    <w:rsid w:val="00651475"/>
    <w:rsid w:val="00654BC9"/>
    <w:rsid w:val="006552FD"/>
    <w:rsid w:val="00662199"/>
    <w:rsid w:val="00662E80"/>
    <w:rsid w:val="00663AF3"/>
    <w:rsid w:val="00666B6C"/>
    <w:rsid w:val="00674BA5"/>
    <w:rsid w:val="00676EAF"/>
    <w:rsid w:val="00682682"/>
    <w:rsid w:val="00682702"/>
    <w:rsid w:val="00692368"/>
    <w:rsid w:val="00696B3E"/>
    <w:rsid w:val="006A2EBC"/>
    <w:rsid w:val="006A5EA0"/>
    <w:rsid w:val="006A783B"/>
    <w:rsid w:val="006A7B33"/>
    <w:rsid w:val="006B4E13"/>
    <w:rsid w:val="006B75DD"/>
    <w:rsid w:val="006C67E0"/>
    <w:rsid w:val="006C7ABA"/>
    <w:rsid w:val="006D0D60"/>
    <w:rsid w:val="006D1122"/>
    <w:rsid w:val="006D3C00"/>
    <w:rsid w:val="006D6236"/>
    <w:rsid w:val="006D66AB"/>
    <w:rsid w:val="006E3675"/>
    <w:rsid w:val="006E4A7F"/>
    <w:rsid w:val="00704A51"/>
    <w:rsid w:val="00704DF6"/>
    <w:rsid w:val="0070651C"/>
    <w:rsid w:val="007132A3"/>
    <w:rsid w:val="00716421"/>
    <w:rsid w:val="00724EFB"/>
    <w:rsid w:val="00733034"/>
    <w:rsid w:val="007416FA"/>
    <w:rsid w:val="007419C3"/>
    <w:rsid w:val="007467A7"/>
    <w:rsid w:val="007469DD"/>
    <w:rsid w:val="0074741B"/>
    <w:rsid w:val="0074759E"/>
    <w:rsid w:val="007478EA"/>
    <w:rsid w:val="0075415C"/>
    <w:rsid w:val="007572E1"/>
    <w:rsid w:val="00763502"/>
    <w:rsid w:val="007913AB"/>
    <w:rsid w:val="007914F7"/>
    <w:rsid w:val="00794501"/>
    <w:rsid w:val="007B1625"/>
    <w:rsid w:val="007B706E"/>
    <w:rsid w:val="007B71EB"/>
    <w:rsid w:val="007C6205"/>
    <w:rsid w:val="007C686A"/>
    <w:rsid w:val="007C728E"/>
    <w:rsid w:val="007D2C53"/>
    <w:rsid w:val="007D3D60"/>
    <w:rsid w:val="007D7D2C"/>
    <w:rsid w:val="007E13FE"/>
    <w:rsid w:val="007E1980"/>
    <w:rsid w:val="007E4B76"/>
    <w:rsid w:val="007E5EA8"/>
    <w:rsid w:val="007F0CF1"/>
    <w:rsid w:val="007F12A5"/>
    <w:rsid w:val="007F4CF1"/>
    <w:rsid w:val="007F758D"/>
    <w:rsid w:val="007F7D52"/>
    <w:rsid w:val="0080654C"/>
    <w:rsid w:val="008071C6"/>
    <w:rsid w:val="00817A00"/>
    <w:rsid w:val="00830F6A"/>
    <w:rsid w:val="00833CDE"/>
    <w:rsid w:val="00835DB3"/>
    <w:rsid w:val="0083617B"/>
    <w:rsid w:val="008371BD"/>
    <w:rsid w:val="008504A8"/>
    <w:rsid w:val="0085282E"/>
    <w:rsid w:val="0087198C"/>
    <w:rsid w:val="00872C1F"/>
    <w:rsid w:val="00873B42"/>
    <w:rsid w:val="008748AC"/>
    <w:rsid w:val="00876393"/>
    <w:rsid w:val="00876FE9"/>
    <w:rsid w:val="00880A6D"/>
    <w:rsid w:val="00881ADF"/>
    <w:rsid w:val="008856D8"/>
    <w:rsid w:val="00892E82"/>
    <w:rsid w:val="008B0048"/>
    <w:rsid w:val="008C1B58"/>
    <w:rsid w:val="008C2B1E"/>
    <w:rsid w:val="008C39AE"/>
    <w:rsid w:val="008C590D"/>
    <w:rsid w:val="008E031B"/>
    <w:rsid w:val="008E7029"/>
    <w:rsid w:val="008E7EF6"/>
    <w:rsid w:val="008F1F98"/>
    <w:rsid w:val="008F6758"/>
    <w:rsid w:val="009040DD"/>
    <w:rsid w:val="00905B47"/>
    <w:rsid w:val="0091331C"/>
    <w:rsid w:val="00921AF9"/>
    <w:rsid w:val="009279DE"/>
    <w:rsid w:val="00930116"/>
    <w:rsid w:val="0094212C"/>
    <w:rsid w:val="0095409D"/>
    <w:rsid w:val="00954689"/>
    <w:rsid w:val="009617C9"/>
    <w:rsid w:val="00961A05"/>
    <w:rsid w:val="00961C93"/>
    <w:rsid w:val="00965324"/>
    <w:rsid w:val="0097091E"/>
    <w:rsid w:val="00970E3C"/>
    <w:rsid w:val="009760D3"/>
    <w:rsid w:val="00977132"/>
    <w:rsid w:val="0098003D"/>
    <w:rsid w:val="00981A4B"/>
    <w:rsid w:val="00981AE8"/>
    <w:rsid w:val="00982501"/>
    <w:rsid w:val="009877D3"/>
    <w:rsid w:val="00994D28"/>
    <w:rsid w:val="00994E8F"/>
    <w:rsid w:val="009951DC"/>
    <w:rsid w:val="009959BB"/>
    <w:rsid w:val="00997158"/>
    <w:rsid w:val="009A3A7C"/>
    <w:rsid w:val="009A657F"/>
    <w:rsid w:val="009B2ADB"/>
    <w:rsid w:val="009B603A"/>
    <w:rsid w:val="009C294C"/>
    <w:rsid w:val="009C2D0E"/>
    <w:rsid w:val="009C3DAC"/>
    <w:rsid w:val="009C42E0"/>
    <w:rsid w:val="009C6398"/>
    <w:rsid w:val="009D5362"/>
    <w:rsid w:val="009E1415"/>
    <w:rsid w:val="009E6116"/>
    <w:rsid w:val="00A02E43"/>
    <w:rsid w:val="00A065F9"/>
    <w:rsid w:val="00A07F34"/>
    <w:rsid w:val="00A11176"/>
    <w:rsid w:val="00A17A8E"/>
    <w:rsid w:val="00A22154"/>
    <w:rsid w:val="00A25C38"/>
    <w:rsid w:val="00A36BBE"/>
    <w:rsid w:val="00A4307A"/>
    <w:rsid w:val="00A445AE"/>
    <w:rsid w:val="00A47EBB"/>
    <w:rsid w:val="00A51CDD"/>
    <w:rsid w:val="00A6730D"/>
    <w:rsid w:val="00A71625"/>
    <w:rsid w:val="00A71B9B"/>
    <w:rsid w:val="00A751C7"/>
    <w:rsid w:val="00A87844"/>
    <w:rsid w:val="00AA038C"/>
    <w:rsid w:val="00AA7A09"/>
    <w:rsid w:val="00AB3B50"/>
    <w:rsid w:val="00AC05B1"/>
    <w:rsid w:val="00AD356C"/>
    <w:rsid w:val="00AD6623"/>
    <w:rsid w:val="00AE2914"/>
    <w:rsid w:val="00AE3C88"/>
    <w:rsid w:val="00AE6D15"/>
    <w:rsid w:val="00AF74B2"/>
    <w:rsid w:val="00B001CB"/>
    <w:rsid w:val="00B04182"/>
    <w:rsid w:val="00B07AE3"/>
    <w:rsid w:val="00B101A2"/>
    <w:rsid w:val="00B11430"/>
    <w:rsid w:val="00B32A88"/>
    <w:rsid w:val="00B353EB"/>
    <w:rsid w:val="00B439C4"/>
    <w:rsid w:val="00B4535E"/>
    <w:rsid w:val="00B52A8C"/>
    <w:rsid w:val="00B5373B"/>
    <w:rsid w:val="00B636A8"/>
    <w:rsid w:val="00B665C6"/>
    <w:rsid w:val="00B66D76"/>
    <w:rsid w:val="00B72F54"/>
    <w:rsid w:val="00B805AF"/>
    <w:rsid w:val="00B80B96"/>
    <w:rsid w:val="00B84CC8"/>
    <w:rsid w:val="00B869EC"/>
    <w:rsid w:val="00B9397A"/>
    <w:rsid w:val="00B9633D"/>
    <w:rsid w:val="00BA2EBE"/>
    <w:rsid w:val="00BA3EEA"/>
    <w:rsid w:val="00BB0F28"/>
    <w:rsid w:val="00BB458A"/>
    <w:rsid w:val="00BB66E6"/>
    <w:rsid w:val="00BB6A1A"/>
    <w:rsid w:val="00BD00D3"/>
    <w:rsid w:val="00BD1659"/>
    <w:rsid w:val="00BD3AA9"/>
    <w:rsid w:val="00BD4A18"/>
    <w:rsid w:val="00BD6DB2"/>
    <w:rsid w:val="00BD737F"/>
    <w:rsid w:val="00BD7A05"/>
    <w:rsid w:val="00BE11CF"/>
    <w:rsid w:val="00BE21AB"/>
    <w:rsid w:val="00BE52D4"/>
    <w:rsid w:val="00BE55CB"/>
    <w:rsid w:val="00BF6127"/>
    <w:rsid w:val="00BF617A"/>
    <w:rsid w:val="00C0379D"/>
    <w:rsid w:val="00C03931"/>
    <w:rsid w:val="00C05FE3"/>
    <w:rsid w:val="00C2136D"/>
    <w:rsid w:val="00C214EE"/>
    <w:rsid w:val="00C2314B"/>
    <w:rsid w:val="00C24971"/>
    <w:rsid w:val="00C26BE5"/>
    <w:rsid w:val="00C26E4D"/>
    <w:rsid w:val="00C27909"/>
    <w:rsid w:val="00C27B03"/>
    <w:rsid w:val="00C314E1"/>
    <w:rsid w:val="00C31B70"/>
    <w:rsid w:val="00C34397"/>
    <w:rsid w:val="00C379E0"/>
    <w:rsid w:val="00C4095D"/>
    <w:rsid w:val="00C50105"/>
    <w:rsid w:val="00C51274"/>
    <w:rsid w:val="00C601D2"/>
    <w:rsid w:val="00C657AB"/>
    <w:rsid w:val="00C65BCC"/>
    <w:rsid w:val="00C66970"/>
    <w:rsid w:val="00C70AD5"/>
    <w:rsid w:val="00C8691C"/>
    <w:rsid w:val="00C91C97"/>
    <w:rsid w:val="00C97C01"/>
    <w:rsid w:val="00CA168A"/>
    <w:rsid w:val="00CA357E"/>
    <w:rsid w:val="00CA44F9"/>
    <w:rsid w:val="00CA4A69"/>
    <w:rsid w:val="00CC3E0C"/>
    <w:rsid w:val="00CC58D3"/>
    <w:rsid w:val="00CC784D"/>
    <w:rsid w:val="00CD46F2"/>
    <w:rsid w:val="00CE3A55"/>
    <w:rsid w:val="00D0337B"/>
    <w:rsid w:val="00D079B2"/>
    <w:rsid w:val="00D114E9"/>
    <w:rsid w:val="00D145B0"/>
    <w:rsid w:val="00D37D77"/>
    <w:rsid w:val="00D429C6"/>
    <w:rsid w:val="00D47748"/>
    <w:rsid w:val="00D54CC3"/>
    <w:rsid w:val="00D6041A"/>
    <w:rsid w:val="00D633EB"/>
    <w:rsid w:val="00D7146D"/>
    <w:rsid w:val="00D82FF7"/>
    <w:rsid w:val="00D847FE"/>
    <w:rsid w:val="00D964EA"/>
    <w:rsid w:val="00D966D0"/>
    <w:rsid w:val="00DA0C59"/>
    <w:rsid w:val="00DA3991"/>
    <w:rsid w:val="00DB7E6C"/>
    <w:rsid w:val="00DC4060"/>
    <w:rsid w:val="00DD344B"/>
    <w:rsid w:val="00DD3F91"/>
    <w:rsid w:val="00DD59EF"/>
    <w:rsid w:val="00DD5A29"/>
    <w:rsid w:val="00DD5D9D"/>
    <w:rsid w:val="00DE35CB"/>
    <w:rsid w:val="00DF21E9"/>
    <w:rsid w:val="00DF225A"/>
    <w:rsid w:val="00DF5C84"/>
    <w:rsid w:val="00E00F14"/>
    <w:rsid w:val="00E06386"/>
    <w:rsid w:val="00E24EB4"/>
    <w:rsid w:val="00E31CF3"/>
    <w:rsid w:val="00E320ED"/>
    <w:rsid w:val="00E33AFB"/>
    <w:rsid w:val="00E34218"/>
    <w:rsid w:val="00E46282"/>
    <w:rsid w:val="00E5216E"/>
    <w:rsid w:val="00E550E1"/>
    <w:rsid w:val="00E717D5"/>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9"/>
    <w:rsid w:val="00EE374B"/>
    <w:rsid w:val="00F04788"/>
    <w:rsid w:val="00F11BB5"/>
    <w:rsid w:val="00F1417B"/>
    <w:rsid w:val="00F34B99"/>
    <w:rsid w:val="00F52DAB"/>
    <w:rsid w:val="00F5428A"/>
    <w:rsid w:val="00F543F0"/>
    <w:rsid w:val="00F66C83"/>
    <w:rsid w:val="00F81D29"/>
    <w:rsid w:val="00F91C4D"/>
    <w:rsid w:val="00F92FD9"/>
    <w:rsid w:val="00F95625"/>
    <w:rsid w:val="00FA6684"/>
    <w:rsid w:val="00FA731E"/>
    <w:rsid w:val="00FB2B38"/>
    <w:rsid w:val="00FB5A7F"/>
    <w:rsid w:val="00FB619A"/>
    <w:rsid w:val="00FC6358"/>
    <w:rsid w:val="00FD320D"/>
    <w:rsid w:val="00FD7ABB"/>
    <w:rsid w:val="00FE23DE"/>
    <w:rsid w:val="00FE3CB7"/>
    <w:rsid w:val="00FF1622"/>
    <w:rsid w:val="237973B7"/>
    <w:rsid w:val="64FF609A"/>
    <w:rsid w:val="76FF16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0">
    <w:name w:val="Default Paragraph Font"/>
    <w:semiHidden/>
    <w:uiPriority w:val="0"/>
  </w:style>
  <w:style w:type="table" w:default="1" w:styleId="28">
    <w:name w:val="Normal Table"/>
    <w:semiHidden/>
    <w:uiPriority w:val="0"/>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footer"/>
    <w:basedOn w:val="1"/>
    <w:uiPriority w:val="0"/>
    <w:pPr>
      <w:snapToGrid w:val="0"/>
      <w:ind w:right="210" w:rightChars="100"/>
      <w:jc w:val="right"/>
    </w:pPr>
    <w:rPr>
      <w:sz w:val="18"/>
      <w:szCs w:val="18"/>
    </w:rPr>
  </w:style>
  <w:style w:type="paragraph" w:styleId="15">
    <w:name w:val="header"/>
    <w:basedOn w:val="1"/>
    <w:link w:val="133"/>
    <w:uiPriority w:val="0"/>
    <w:pPr>
      <w:snapToGrid w:val="0"/>
      <w:jc w:val="left"/>
    </w:pPr>
    <w:rPr>
      <w:sz w:val="18"/>
      <w:szCs w:val="18"/>
    </w:rPr>
  </w:style>
  <w:style w:type="paragraph" w:styleId="16">
    <w:name w:val="toc 1"/>
    <w:basedOn w:val="1"/>
    <w:next w:val="1"/>
    <w:semiHidden/>
    <w:uiPriority w:val="0"/>
    <w:pPr>
      <w:tabs>
        <w:tab w:val="right" w:leader="dot" w:pos="9241"/>
      </w:tabs>
      <w:spacing w:before="25" w:beforeLines="25" w:after="25" w:afterLines="25"/>
      <w:jc w:val="left"/>
    </w:pPr>
    <w:rPr>
      <w:rFonts w:ascii="宋体"/>
      <w:szCs w:val="21"/>
    </w:rPr>
  </w:style>
  <w:style w:type="paragraph" w:styleId="17">
    <w:name w:val="toc 4"/>
    <w:basedOn w:val="1"/>
    <w:next w:val="1"/>
    <w:semiHidden/>
    <w:uiPriority w:val="0"/>
    <w:pPr>
      <w:tabs>
        <w:tab w:val="right" w:leader="dot" w:pos="9241"/>
      </w:tabs>
      <w:ind w:firstLine="198" w:firstLineChars="200"/>
      <w:jc w:val="left"/>
    </w:pPr>
    <w:rPr>
      <w:rFonts w:ascii="宋体"/>
      <w:szCs w:val="21"/>
    </w:rPr>
  </w:style>
  <w:style w:type="paragraph" w:styleId="18">
    <w:name w:val="index heading"/>
    <w:basedOn w:val="1"/>
    <w:next w:val="19"/>
    <w:uiPriority w:val="0"/>
    <w:pPr>
      <w:spacing w:before="120" w:after="120"/>
      <w:jc w:val="center"/>
    </w:pPr>
    <w:rPr>
      <w:rFonts w:ascii="Calibri" w:hAnsi="Calibri"/>
      <w:b/>
      <w:bCs/>
      <w:iCs/>
      <w:szCs w:val="20"/>
    </w:rPr>
  </w:style>
  <w:style w:type="paragraph" w:styleId="19">
    <w:name w:val="index 1"/>
    <w:basedOn w:val="1"/>
    <w:next w:val="20"/>
    <w:uiPriority w:val="0"/>
    <w:pPr>
      <w:tabs>
        <w:tab w:val="right" w:leader="dot" w:pos="9299"/>
      </w:tabs>
      <w:jc w:val="left"/>
    </w:pPr>
    <w:rPr>
      <w:rFonts w:ascii="宋体"/>
      <w:szCs w:val="21"/>
    </w:rPr>
  </w:style>
  <w:style w:type="paragraph" w:customStyle="1" w:styleId="20">
    <w:name w:val="段"/>
    <w:link w:val="131"/>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uiPriority w:val="0"/>
    <w:pPr>
      <w:numPr>
        <w:ilvl w:val="0"/>
        <w:numId w:val="1"/>
      </w:numPr>
      <w:snapToGrid w:val="0"/>
      <w:jc w:val="left"/>
    </w:pPr>
    <w:rPr>
      <w:rFonts w:ascii="宋体"/>
      <w:sz w:val="18"/>
      <w:szCs w:val="18"/>
    </w:rPr>
  </w:style>
  <w:style w:type="paragraph" w:styleId="22">
    <w:name w:val="toc 6"/>
    <w:basedOn w:val="1"/>
    <w:next w:val="1"/>
    <w:semiHidden/>
    <w:uiPriority w:val="0"/>
    <w:pPr>
      <w:tabs>
        <w:tab w:val="right" w:leader="dot" w:pos="9241"/>
      </w:tabs>
      <w:ind w:firstLine="403" w:firstLineChars="400"/>
      <w:jc w:val="left"/>
    </w:pPr>
    <w:rPr>
      <w:rFonts w:ascii="宋体"/>
      <w:szCs w:val="21"/>
    </w:rPr>
  </w:style>
  <w:style w:type="paragraph" w:styleId="23">
    <w:name w:val="index 7"/>
    <w:basedOn w:val="1"/>
    <w:next w:val="1"/>
    <w:uiPriority w:val="0"/>
    <w:pPr>
      <w:ind w:left="1470" w:hanging="210"/>
      <w:jc w:val="left"/>
    </w:pPr>
    <w:rPr>
      <w:rFonts w:ascii="Calibri" w:hAnsi="Calibri"/>
      <w:sz w:val="20"/>
      <w:szCs w:val="20"/>
    </w:rPr>
  </w:style>
  <w:style w:type="paragraph" w:styleId="24">
    <w:name w:val="index 9"/>
    <w:basedOn w:val="1"/>
    <w:next w:val="1"/>
    <w:uiPriority w:val="0"/>
    <w:pPr>
      <w:ind w:left="1890" w:hanging="210"/>
      <w:jc w:val="left"/>
    </w:pPr>
    <w:rPr>
      <w:rFonts w:ascii="Calibri" w:hAnsi="Calibri"/>
      <w:sz w:val="20"/>
      <w:szCs w:val="20"/>
    </w:rPr>
  </w:style>
  <w:style w:type="paragraph" w:styleId="25">
    <w:name w:val="toc 2"/>
    <w:basedOn w:val="1"/>
    <w:next w:val="1"/>
    <w:semiHidden/>
    <w:uiPriority w:val="0"/>
    <w:pPr>
      <w:tabs>
        <w:tab w:val="right" w:leader="dot" w:pos="9241"/>
      </w:tabs>
    </w:pPr>
    <w:rPr>
      <w:rFonts w:ascii="宋体"/>
      <w:szCs w:val="21"/>
    </w:rPr>
  </w:style>
  <w:style w:type="paragraph" w:styleId="26">
    <w:name w:val="toc 9"/>
    <w:basedOn w:val="1"/>
    <w:next w:val="1"/>
    <w:semiHidden/>
    <w:uiPriority w:val="0"/>
    <w:pPr>
      <w:ind w:left="1470"/>
      <w:jc w:val="left"/>
    </w:pPr>
    <w:rPr>
      <w:sz w:val="20"/>
      <w:szCs w:val="20"/>
    </w:rPr>
  </w:style>
  <w:style w:type="paragraph" w:styleId="27">
    <w:name w:val="index 2"/>
    <w:basedOn w:val="1"/>
    <w:next w:val="1"/>
    <w:uiPriority w:val="0"/>
    <w:pPr>
      <w:ind w:left="420" w:hanging="210"/>
      <w:jc w:val="left"/>
    </w:pPr>
    <w:rPr>
      <w:rFonts w:ascii="Calibri" w:hAnsi="Calibri"/>
      <w:sz w:val="20"/>
      <w:szCs w:val="20"/>
    </w:rPr>
  </w:style>
  <w:style w:type="table" w:styleId="29">
    <w:name w:val="Table Grid"/>
    <w:basedOn w:val="28"/>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uiPriority w:val="0"/>
    <w:rPr>
      <w:vertAlign w:val="superscript"/>
    </w:rPr>
  </w:style>
  <w:style w:type="character" w:styleId="32">
    <w:name w:val="page number"/>
    <w:basedOn w:val="30"/>
    <w:uiPriority w:val="0"/>
    <w:rPr>
      <w:rFonts w:ascii="Times New Roman" w:hAnsi="Times New Roman" w:eastAsia="宋体"/>
      <w:sz w:val="18"/>
    </w:rPr>
  </w:style>
  <w:style w:type="character" w:styleId="33">
    <w:name w:val="FollowedHyperlink"/>
    <w:basedOn w:val="30"/>
    <w:uiPriority w:val="0"/>
    <w:rPr>
      <w:color w:val="800080"/>
      <w:u w:val="single"/>
    </w:rPr>
  </w:style>
  <w:style w:type="character" w:styleId="34">
    <w:name w:val="Hyperlink"/>
    <w:basedOn w:val="30"/>
    <w:uiPriority w:val="0"/>
    <w:rPr>
      <w:color w:val="0000FF"/>
      <w:spacing w:val="0"/>
      <w:w w:val="100"/>
      <w:szCs w:val="21"/>
      <w:u w:val="single"/>
    </w:rPr>
  </w:style>
  <w:style w:type="character" w:styleId="35">
    <w:name w:val="HTML Code"/>
    <w:basedOn w:val="30"/>
    <w:uiPriority w:val="0"/>
    <w:rPr>
      <w:rFonts w:ascii="Courier New" w:hAnsi="Courier New"/>
      <w:sz w:val="20"/>
      <w:szCs w:val="20"/>
    </w:rPr>
  </w:style>
  <w:style w:type="character" w:styleId="36">
    <w:name w:val="footnote reference"/>
    <w:basedOn w:val="30"/>
    <w:semiHidden/>
    <w:uiPriority w:val="0"/>
    <w:rPr>
      <w:vertAlign w:val="superscript"/>
    </w:rPr>
  </w:style>
  <w:style w:type="paragraph" w:customStyle="1" w:styleId="37">
    <w:name w:val="封面标准文稿类别"/>
    <w:basedOn w:val="38"/>
    <w:uiPriority w:val="0"/>
    <w:pPr>
      <w:spacing w:after="160" w:line="240" w:lineRule="auto"/>
    </w:pPr>
    <w:rPr>
      <w:sz w:val="24"/>
    </w:rPr>
  </w:style>
  <w:style w:type="paragraph" w:customStyle="1" w:styleId="38">
    <w:name w:val="封面一致性程度标识"/>
    <w:basedOn w:val="39"/>
    <w:uiPriority w:val="0"/>
    <w:pPr>
      <w:spacing w:before="440"/>
    </w:pPr>
    <w:rPr>
      <w:rFonts w:ascii="宋体" w:eastAsia="宋体"/>
    </w:rPr>
  </w:style>
  <w:style w:type="paragraph" w:customStyle="1" w:styleId="39">
    <w:name w:val="封面标准英文名称"/>
    <w:basedOn w:val="40"/>
    <w:uiPriority w:val="0"/>
    <w:pPr>
      <w:spacing w:before="370" w:line="400" w:lineRule="exact"/>
    </w:pPr>
    <w:rPr>
      <w:rFonts w:ascii="Times New Roman"/>
      <w:sz w:val="28"/>
      <w:szCs w:val="28"/>
    </w:rPr>
  </w:style>
  <w:style w:type="paragraph" w:customStyle="1" w:styleId="4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1">
    <w:name w:val="章标题"/>
    <w:next w:val="20"/>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2">
    <w:name w:val="二级无"/>
    <w:basedOn w:val="43"/>
    <w:uiPriority w:val="0"/>
    <w:pPr>
      <w:spacing w:before="0" w:beforeLines="0" w:after="0" w:afterLines="0"/>
      <w:ind w:left="0"/>
    </w:pPr>
    <w:rPr>
      <w:rFonts w:ascii="宋体" w:eastAsia="宋体"/>
    </w:rPr>
  </w:style>
  <w:style w:type="paragraph" w:customStyle="1" w:styleId="43">
    <w:name w:val="二级条标题"/>
    <w:basedOn w:val="44"/>
    <w:next w:val="20"/>
    <w:uiPriority w:val="0"/>
    <w:pPr>
      <w:numPr>
        <w:ilvl w:val="2"/>
        <w:numId w:val="2"/>
      </w:numPr>
      <w:spacing w:before="50" w:after="50"/>
      <w:outlineLvl w:val="3"/>
    </w:pPr>
  </w:style>
  <w:style w:type="paragraph" w:customStyle="1" w:styleId="44">
    <w:name w:val="一级条标题"/>
    <w:next w:val="20"/>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5">
    <w:name w:val="注："/>
    <w:next w:val="20"/>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46">
    <w:name w:val="附录三级条标题"/>
    <w:basedOn w:val="47"/>
    <w:next w:val="20"/>
    <w:uiPriority w:val="0"/>
    <w:pPr>
      <w:numPr>
        <w:ilvl w:val="4"/>
        <w:numId w:val="3"/>
      </w:numPr>
      <w:tabs>
        <w:tab w:val="left" w:pos="360"/>
      </w:tabs>
      <w:outlineLvl w:val="4"/>
    </w:pPr>
  </w:style>
  <w:style w:type="paragraph" w:customStyle="1" w:styleId="47">
    <w:name w:val="附录二级条标题"/>
    <w:basedOn w:val="1"/>
    <w:next w:val="20"/>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8">
    <w:name w:val="三级条标题"/>
    <w:basedOn w:val="43"/>
    <w:next w:val="20"/>
    <w:uiPriority w:val="0"/>
    <w:pPr>
      <w:numPr>
        <w:ilvl w:val="3"/>
        <w:numId w:val="2"/>
      </w:numPr>
      <w:outlineLvl w:val="4"/>
    </w:pPr>
  </w:style>
  <w:style w:type="paragraph" w:customStyle="1" w:styleId="49">
    <w:name w:val="封面标准文稿编辑信息2"/>
    <w:basedOn w:val="50"/>
    <w:uiPriority w:val="0"/>
    <w:pPr>
      <w:framePr w:y="4469"/>
    </w:pPr>
  </w:style>
  <w:style w:type="paragraph" w:customStyle="1" w:styleId="50">
    <w:name w:val="封面标准文稿编辑信息"/>
    <w:basedOn w:val="37"/>
    <w:uiPriority w:val="0"/>
    <w:pPr>
      <w:spacing w:before="180" w:line="180" w:lineRule="exact"/>
    </w:pPr>
    <w:rPr>
      <w:sz w:val="21"/>
    </w:rPr>
  </w:style>
  <w:style w:type="paragraph" w:customStyle="1" w:styleId="51">
    <w:name w:val="前言、引言标题"/>
    <w:next w:val="20"/>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2">
    <w:name w:val="附录表标题"/>
    <w:basedOn w:val="1"/>
    <w:next w:val="20"/>
    <w:uiPriority w:val="0"/>
    <w:pPr>
      <w:numPr>
        <w:ilvl w:val="1"/>
        <w:numId w:val="4"/>
      </w:numPr>
      <w:tabs>
        <w:tab w:val="left" w:pos="180"/>
      </w:tabs>
      <w:spacing w:before="50" w:beforeLines="50" w:after="50" w:afterLines="50"/>
      <w:ind w:left="0" w:firstLine="0"/>
      <w:jc w:val="center"/>
    </w:pPr>
    <w:rPr>
      <w:rFonts w:ascii="黑体" w:eastAsia="黑体"/>
      <w:szCs w:val="21"/>
    </w:rPr>
  </w:style>
  <w:style w:type="paragraph" w:customStyle="1" w:styleId="53">
    <w:name w:val="附录二级无"/>
    <w:basedOn w:val="47"/>
    <w:uiPriority w:val="0"/>
    <w:pPr>
      <w:tabs>
        <w:tab w:val="clear" w:pos="360"/>
      </w:tabs>
      <w:spacing w:before="0" w:beforeLines="0" w:after="0" w:afterLines="0"/>
    </w:pPr>
    <w:rPr>
      <w:rFonts w:ascii="宋体" w:eastAsia="宋体"/>
      <w:szCs w:val="21"/>
    </w:rPr>
  </w:style>
  <w:style w:type="paragraph" w:customStyle="1" w:styleId="54">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56">
    <w:name w:val="示例×："/>
    <w:basedOn w:val="41"/>
    <w:qFormat/>
    <w:uiPriority w:val="0"/>
    <w:pPr>
      <w:numPr>
        <w:ilvl w:val="0"/>
        <w:numId w:val="0"/>
      </w:numPr>
      <w:spacing w:before="0" w:beforeLines="0" w:after="0" w:afterLines="0"/>
      <w:ind w:firstLine="363"/>
      <w:outlineLvl w:val="9"/>
    </w:pPr>
    <w:rPr>
      <w:rFonts w:ascii="宋体" w:eastAsia="宋体"/>
      <w:sz w:val="18"/>
      <w:szCs w:val="18"/>
    </w:rPr>
  </w:style>
  <w:style w:type="paragraph" w:customStyle="1" w:styleId="57">
    <w:name w:val="示例"/>
    <w:next w:val="54"/>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8">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9">
    <w:name w:val="列项——（一级）"/>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0">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1">
    <w:name w:val="注×：（正文）"/>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62">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3">
    <w:name w:val="列项●（二级）"/>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64">
    <w:name w:val="注：（正文）"/>
    <w:basedOn w:val="45"/>
    <w:next w:val="20"/>
    <w:uiPriority w:val="0"/>
  </w:style>
  <w:style w:type="paragraph" w:customStyle="1" w:styleId="65">
    <w:name w:val="图标脚注说明"/>
    <w:basedOn w:val="20"/>
    <w:uiPriority w:val="0"/>
    <w:pPr>
      <w:ind w:left="840" w:hanging="420" w:firstLineChars="0"/>
    </w:pPr>
    <w:rPr>
      <w:sz w:val="18"/>
      <w:szCs w:val="18"/>
    </w:rPr>
  </w:style>
  <w:style w:type="paragraph" w:customStyle="1" w:styleId="66">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67">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8">
    <w:name w:val="五级条标题"/>
    <w:basedOn w:val="69"/>
    <w:next w:val="20"/>
    <w:uiPriority w:val="0"/>
    <w:pPr>
      <w:numPr>
        <w:ilvl w:val="5"/>
        <w:numId w:val="2"/>
      </w:numPr>
      <w:outlineLvl w:val="6"/>
    </w:pPr>
  </w:style>
  <w:style w:type="paragraph" w:customStyle="1" w:styleId="69">
    <w:name w:val="四级条标题"/>
    <w:basedOn w:val="48"/>
    <w:next w:val="20"/>
    <w:uiPriority w:val="0"/>
    <w:pPr>
      <w:numPr>
        <w:ilvl w:val="4"/>
        <w:numId w:val="2"/>
      </w:numPr>
      <w:outlineLvl w:val="5"/>
    </w:pPr>
  </w:style>
  <w:style w:type="paragraph" w:customStyle="1" w:styleId="70">
    <w:name w:val="附录四级无"/>
    <w:basedOn w:val="71"/>
    <w:uiPriority w:val="0"/>
    <w:pPr>
      <w:tabs>
        <w:tab w:val="left" w:pos="360"/>
      </w:tabs>
      <w:spacing w:before="0" w:beforeLines="0" w:after="0" w:afterLines="0"/>
    </w:pPr>
    <w:rPr>
      <w:rFonts w:ascii="宋体" w:eastAsia="宋体"/>
      <w:szCs w:val="21"/>
    </w:rPr>
  </w:style>
  <w:style w:type="paragraph" w:customStyle="1" w:styleId="71">
    <w:name w:val="附录四级条标题"/>
    <w:basedOn w:val="46"/>
    <w:next w:val="20"/>
    <w:uiPriority w:val="0"/>
    <w:pPr>
      <w:numPr>
        <w:ilvl w:val="5"/>
        <w:numId w:val="3"/>
      </w:numPr>
      <w:outlineLvl w:val="5"/>
    </w:pPr>
  </w:style>
  <w:style w:type="paragraph" w:customStyle="1" w:styleId="72">
    <w:name w:val="注×："/>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3">
    <w:name w:val="数字编号列项（二级）"/>
    <w:uiPriority w:val="0"/>
    <w:pPr>
      <w:numPr>
        <w:ilvl w:val="1"/>
        <w:numId w:val="8"/>
      </w:numPr>
      <w:jc w:val="both"/>
    </w:pPr>
    <w:rPr>
      <w:rFonts w:ascii="宋体" w:hAnsi="Times New Roman" w:eastAsia="宋体" w:cs="Times New Roman"/>
      <w:sz w:val="21"/>
      <w:lang w:val="en-US" w:eastAsia="zh-CN" w:bidi="ar-SA"/>
    </w:rPr>
  </w:style>
  <w:style w:type="paragraph" w:customStyle="1" w:styleId="74">
    <w:name w:val="封面一致性程度标识2"/>
    <w:basedOn w:val="38"/>
    <w:qFormat/>
    <w:uiPriority w:val="0"/>
    <w:pPr>
      <w:framePr w:y="4469"/>
    </w:pPr>
  </w:style>
  <w:style w:type="paragraph" w:customStyle="1" w:styleId="7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6">
    <w:name w:val="正文公式编号制表符"/>
    <w:basedOn w:val="20"/>
    <w:next w:val="20"/>
    <w:qFormat/>
    <w:uiPriority w:val="0"/>
    <w:pPr>
      <w:ind w:firstLine="0" w:firstLineChars="0"/>
    </w:pPr>
  </w:style>
  <w:style w:type="paragraph" w:customStyle="1" w:styleId="77">
    <w:name w:val="附录五级条标题"/>
    <w:basedOn w:val="71"/>
    <w:next w:val="20"/>
    <w:qFormat/>
    <w:uiPriority w:val="0"/>
    <w:pPr>
      <w:numPr>
        <w:ilvl w:val="6"/>
        <w:numId w:val="3"/>
      </w:numPr>
      <w:outlineLvl w:val="6"/>
    </w:pPr>
  </w:style>
  <w:style w:type="paragraph" w:customStyle="1" w:styleId="78">
    <w:name w:val="标准书眉_偶数页"/>
    <w:basedOn w:val="75"/>
    <w:next w:val="1"/>
    <w:qFormat/>
    <w:uiPriority w:val="0"/>
    <w:pPr>
      <w:jc w:val="left"/>
    </w:pPr>
    <w:rPr>
      <w:rFonts w:ascii="黑体" w:eastAsia="黑体"/>
    </w:rPr>
  </w:style>
  <w:style w:type="paragraph" w:customStyle="1" w:styleId="79">
    <w:name w:val="终结线"/>
    <w:basedOn w:val="1"/>
    <w:qFormat/>
    <w:uiPriority w:val="0"/>
    <w:pPr>
      <w:framePr w:hSpace="181" w:vSpace="181" w:wrap="around" w:vAnchor="text" w:hAnchor="margin" w:xAlign="center" w:y="285"/>
    </w:pPr>
  </w:style>
  <w:style w:type="paragraph" w:customStyle="1" w:styleId="80">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1">
    <w:name w:val="图表脚注说明"/>
    <w:basedOn w:val="1"/>
    <w:uiPriority w:val="0"/>
    <w:pPr>
      <w:ind w:left="544" w:hanging="181"/>
    </w:pPr>
    <w:rPr>
      <w:rFonts w:ascii="宋体"/>
      <w:sz w:val="18"/>
      <w:szCs w:val="18"/>
    </w:rPr>
  </w:style>
  <w:style w:type="paragraph" w:customStyle="1" w:styleId="82">
    <w:name w:val="附录章标题"/>
    <w:next w:val="20"/>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3">
    <w:name w:val="目次、标准名称标题"/>
    <w:basedOn w:val="1"/>
    <w:next w:val="2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4">
    <w:name w:val="字母编号列项（一级）"/>
    <w:uiPriority w:val="0"/>
    <w:pPr>
      <w:numPr>
        <w:ilvl w:val="0"/>
        <w:numId w:val="8"/>
      </w:numPr>
      <w:jc w:val="both"/>
    </w:pPr>
    <w:rPr>
      <w:rFonts w:ascii="宋体" w:hAnsi="Times New Roman" w:eastAsia="宋体" w:cs="Times New Roman"/>
      <w:sz w:val="21"/>
      <w:lang w:val="en-US" w:eastAsia="zh-CN" w:bidi="ar-SA"/>
    </w:rPr>
  </w:style>
  <w:style w:type="paragraph" w:customStyle="1" w:styleId="85">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6">
    <w:name w:val="标准书眉一"/>
    <w:uiPriority w:val="0"/>
    <w:pPr>
      <w:jc w:val="both"/>
    </w:pPr>
    <w:rPr>
      <w:rFonts w:ascii="Times New Roman" w:hAnsi="Times New Roman" w:eastAsia="宋体" w:cs="Times New Roman"/>
      <w:lang w:val="en-US" w:eastAsia="zh-CN" w:bidi="ar-SA"/>
    </w:rPr>
  </w:style>
  <w:style w:type="paragraph" w:customStyle="1" w:styleId="87">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88">
    <w:name w:val="编号列项（三级）"/>
    <w:uiPriority w:val="0"/>
    <w:pPr>
      <w:numPr>
        <w:ilvl w:val="2"/>
        <w:numId w:val="8"/>
      </w:numPr>
    </w:pPr>
    <w:rPr>
      <w:rFonts w:ascii="宋体" w:hAnsi="Times New Roman" w:eastAsia="宋体" w:cs="Times New Roman"/>
      <w:sz w:val="21"/>
      <w:lang w:val="en-US" w:eastAsia="zh-CN" w:bidi="ar-SA"/>
    </w:rPr>
  </w:style>
  <w:style w:type="paragraph" w:customStyle="1" w:styleId="89">
    <w:name w:val="首示例"/>
    <w:next w:val="20"/>
    <w:link w:val="134"/>
    <w:qFormat/>
    <w:uiPriority w:val="0"/>
    <w:pPr>
      <w:tabs>
        <w:tab w:val="left" w:pos="360"/>
      </w:tabs>
    </w:pPr>
    <w:rPr>
      <w:rFonts w:ascii="宋体" w:hAnsi="宋体" w:eastAsia="宋体" w:cs="Times New Roman"/>
      <w:kern w:val="2"/>
      <w:sz w:val="18"/>
      <w:szCs w:val="18"/>
      <w:lang w:val="en-US" w:eastAsia="zh-CN" w:bidi="ar-SA"/>
    </w:rPr>
  </w:style>
  <w:style w:type="paragraph" w:customStyle="1" w:styleId="90">
    <w:name w:val="列项◆（三级）"/>
    <w:basedOn w:val="1"/>
    <w:uiPriority w:val="0"/>
    <w:pPr>
      <w:numPr>
        <w:ilvl w:val="2"/>
        <w:numId w:val="5"/>
      </w:numPr>
    </w:pPr>
    <w:rPr>
      <w:rFonts w:ascii="宋体"/>
      <w:szCs w:val="21"/>
    </w:rPr>
  </w:style>
  <w:style w:type="paragraph" w:customStyle="1" w:styleId="91">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2">
    <w:name w:val="参考文献"/>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4">
    <w:name w:val="其他发布部门"/>
    <w:basedOn w:val="95"/>
    <w:qFormat/>
    <w:uiPriority w:val="0"/>
    <w:pPr>
      <w:framePr w:y="15310"/>
      <w:spacing w:line="0" w:lineRule="atLeast"/>
    </w:pPr>
    <w:rPr>
      <w:rFonts w:ascii="黑体" w:eastAsia="黑体"/>
      <w:b w:val="0"/>
    </w:rPr>
  </w:style>
  <w:style w:type="paragraph" w:customStyle="1" w:styleId="95">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8">
    <w:name w:val="三级无"/>
    <w:basedOn w:val="48"/>
    <w:qFormat/>
    <w:uiPriority w:val="0"/>
    <w:pPr>
      <w:spacing w:before="0" w:beforeLines="0" w:after="0" w:afterLines="0"/>
    </w:pPr>
    <w:rPr>
      <w:rFonts w:ascii="宋体" w:eastAsia="宋体"/>
    </w:rPr>
  </w:style>
  <w:style w:type="paragraph" w:customStyle="1" w:styleId="99">
    <w:name w:val="条文脚注"/>
    <w:basedOn w:val="21"/>
    <w:qFormat/>
    <w:uiPriority w:val="0"/>
    <w:pPr>
      <w:numPr>
        <w:ilvl w:val="0"/>
        <w:numId w:val="0"/>
      </w:numPr>
      <w:jc w:val="both"/>
    </w:pPr>
    <w:rPr>
      <w:rFonts w:ascii="宋体"/>
    </w:rPr>
  </w:style>
  <w:style w:type="paragraph" w:customStyle="1" w:styleId="10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1">
    <w:name w:val="封面正文"/>
    <w:qFormat/>
    <w:uiPriority w:val="0"/>
    <w:pPr>
      <w:jc w:val="both"/>
    </w:pPr>
    <w:rPr>
      <w:rFonts w:ascii="Times New Roman" w:hAnsi="Times New Roman" w:eastAsia="宋体" w:cs="Times New Roman"/>
      <w:lang w:val="en-US" w:eastAsia="zh-CN" w:bidi="ar-SA"/>
    </w:rPr>
  </w:style>
  <w:style w:type="paragraph" w:customStyle="1" w:styleId="10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3">
    <w:name w:val="附录标识"/>
    <w:basedOn w:val="1"/>
    <w:next w:val="20"/>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4">
    <w:name w:val="其他标准标志"/>
    <w:basedOn w:val="60"/>
    <w:qFormat/>
    <w:uiPriority w:val="0"/>
    <w:pPr>
      <w:framePr w:w="6101" w:vAnchor="page" w:hAnchor="page" w:x="4673" w:y="942"/>
    </w:pPr>
    <w:rPr>
      <w:w w:val="130"/>
    </w:rPr>
  </w:style>
  <w:style w:type="paragraph" w:customStyle="1" w:styleId="105">
    <w:name w:val="附录标题"/>
    <w:basedOn w:val="20"/>
    <w:next w:val="20"/>
    <w:qFormat/>
    <w:uiPriority w:val="0"/>
    <w:pPr>
      <w:ind w:firstLine="0" w:firstLineChars="0"/>
      <w:jc w:val="center"/>
    </w:pPr>
    <w:rPr>
      <w:rFonts w:ascii="黑体" w:eastAsia="黑体"/>
    </w:r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附录表标号"/>
    <w:basedOn w:val="1"/>
    <w:next w:val="20"/>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108">
    <w:name w:val="五级无"/>
    <w:basedOn w:val="68"/>
    <w:qFormat/>
    <w:uiPriority w:val="0"/>
    <w:pPr>
      <w:spacing w:before="0" w:beforeLines="0" w:after="0" w:afterLines="0"/>
    </w:pPr>
    <w:rPr>
      <w:rFonts w:ascii="宋体" w:eastAsia="宋体"/>
    </w:rPr>
  </w:style>
  <w:style w:type="paragraph" w:customStyle="1" w:styleId="109">
    <w:name w:val="附录公式"/>
    <w:basedOn w:val="20"/>
    <w:next w:val="20"/>
    <w:link w:val="130"/>
    <w:qFormat/>
    <w:uiPriority w:val="0"/>
  </w:style>
  <w:style w:type="paragraph" w:customStyle="1" w:styleId="110">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rPr>
  </w:style>
  <w:style w:type="paragraph" w:customStyle="1" w:styleId="111">
    <w:name w:val="附录三级无"/>
    <w:basedOn w:val="46"/>
    <w:qFormat/>
    <w:uiPriority w:val="0"/>
    <w:pPr>
      <w:tabs>
        <w:tab w:val="clear" w:pos="360"/>
      </w:tabs>
      <w:spacing w:before="0" w:beforeLines="0" w:after="0" w:afterLines="0"/>
    </w:pPr>
    <w:rPr>
      <w:rFonts w:ascii="宋体" w:eastAsia="宋体"/>
      <w:szCs w:val="21"/>
    </w:rPr>
  </w:style>
  <w:style w:type="paragraph" w:customStyle="1" w:styleId="112">
    <w:name w:val="封面标准名称2"/>
    <w:basedOn w:val="40"/>
    <w:qFormat/>
    <w:uiPriority w:val="0"/>
    <w:pPr>
      <w:framePr w:y="4469"/>
      <w:spacing w:before="630" w:beforeLines="630"/>
    </w:pPr>
  </w:style>
  <w:style w:type="paragraph" w:customStyle="1" w:styleId="113">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14">
    <w:name w:val="一级无"/>
    <w:basedOn w:val="44"/>
    <w:qFormat/>
    <w:uiPriority w:val="0"/>
    <w:pPr>
      <w:spacing w:before="0" w:beforeLines="0" w:after="0" w:afterLines="0"/>
    </w:pPr>
    <w:rPr>
      <w:rFonts w:ascii="宋体" w:eastAsia="宋体"/>
    </w:rPr>
  </w:style>
  <w:style w:type="paragraph" w:customStyle="1" w:styleId="115">
    <w:name w:val="附录图标题"/>
    <w:basedOn w:val="1"/>
    <w:next w:val="20"/>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16">
    <w:name w:val="正文表标题"/>
    <w:next w:val="20"/>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7">
    <w:name w:val="附录五级无"/>
    <w:basedOn w:val="77"/>
    <w:qFormat/>
    <w:uiPriority w:val="0"/>
    <w:pPr>
      <w:tabs>
        <w:tab w:val="clear" w:pos="360"/>
      </w:tabs>
      <w:spacing w:before="0" w:beforeLines="0" w:after="0" w:afterLines="0"/>
    </w:pPr>
    <w:rPr>
      <w:rFonts w:ascii="宋体" w:eastAsia="宋体"/>
      <w:szCs w:val="21"/>
    </w:rPr>
  </w:style>
  <w:style w:type="paragraph" w:customStyle="1" w:styleId="118">
    <w:name w:val="附录一级条标题"/>
    <w:basedOn w:val="82"/>
    <w:next w:val="20"/>
    <w:qFormat/>
    <w:uiPriority w:val="0"/>
    <w:pPr>
      <w:numPr>
        <w:ilvl w:val="2"/>
        <w:numId w:val="3"/>
      </w:numPr>
      <w:autoSpaceDN w:val="0"/>
      <w:spacing w:before="50" w:beforeLines="50" w:after="50" w:afterLines="50"/>
      <w:outlineLvl w:val="2"/>
    </w:pPr>
  </w:style>
  <w:style w:type="paragraph" w:customStyle="1" w:styleId="119">
    <w:name w:val="附录一级无"/>
    <w:basedOn w:val="118"/>
    <w:qFormat/>
    <w:uiPriority w:val="0"/>
    <w:pPr>
      <w:tabs>
        <w:tab w:val="clear" w:pos="360"/>
      </w:tabs>
      <w:spacing w:before="0" w:beforeLines="0" w:after="0" w:afterLines="0"/>
    </w:pPr>
    <w:rPr>
      <w:rFonts w:ascii="宋体" w:eastAsia="宋体"/>
      <w:szCs w:val="21"/>
    </w:rPr>
  </w:style>
  <w:style w:type="paragraph" w:customStyle="1" w:styleId="120">
    <w:name w:val="实施日期"/>
    <w:basedOn w:val="96"/>
    <w:qFormat/>
    <w:uiPriority w:val="0"/>
    <w:pPr>
      <w:framePr w:vAnchor="page" w:hAnchor="page"/>
      <w:jc w:val="right"/>
    </w:pPr>
  </w:style>
  <w:style w:type="paragraph" w:customStyle="1" w:styleId="121">
    <w:name w:val="示例后文字"/>
    <w:basedOn w:val="20"/>
    <w:next w:val="20"/>
    <w:qFormat/>
    <w:uiPriority w:val="0"/>
    <w:pPr>
      <w:ind w:firstLine="360"/>
    </w:pPr>
    <w:rPr>
      <w:sz w:val="18"/>
    </w:rPr>
  </w:style>
  <w:style w:type="paragraph" w:customStyle="1" w:styleId="1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3">
    <w:name w:val="四级无"/>
    <w:basedOn w:val="69"/>
    <w:qFormat/>
    <w:uiPriority w:val="0"/>
    <w:pPr>
      <w:spacing w:before="0" w:beforeLines="0" w:after="0" w:afterLines="0"/>
    </w:pPr>
    <w:rPr>
      <w:rFonts w:ascii="宋体" w:eastAsia="宋体"/>
    </w:rPr>
  </w:style>
  <w:style w:type="paragraph" w:customStyle="1" w:styleId="124">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正文图标题"/>
    <w:next w:val="20"/>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其他发布日期"/>
    <w:basedOn w:val="96"/>
    <w:qFormat/>
    <w:uiPriority w:val="0"/>
    <w:pPr>
      <w:framePr w:vAnchor="page" w:hAnchor="page" w:x="1419"/>
    </w:pPr>
  </w:style>
  <w:style w:type="paragraph" w:customStyle="1" w:styleId="127">
    <w:name w:val="其他实施日期"/>
    <w:basedOn w:val="120"/>
    <w:qFormat/>
    <w:uiPriority w:val="0"/>
  </w:style>
  <w:style w:type="paragraph" w:customStyle="1" w:styleId="128">
    <w:name w:val="封面标准英文名称2"/>
    <w:basedOn w:val="39"/>
    <w:qFormat/>
    <w:uiPriority w:val="0"/>
    <w:pPr>
      <w:framePr w:y="4469"/>
    </w:pPr>
  </w:style>
  <w:style w:type="paragraph" w:customStyle="1" w:styleId="129">
    <w:name w:val="封面标准文稿类别2"/>
    <w:basedOn w:val="37"/>
    <w:qFormat/>
    <w:uiPriority w:val="0"/>
    <w:pPr>
      <w:framePr w:y="4469"/>
    </w:pPr>
  </w:style>
  <w:style w:type="character" w:customStyle="1" w:styleId="130">
    <w:name w:val="附录公式 Char"/>
    <w:basedOn w:val="131"/>
    <w:link w:val="109"/>
    <w:qFormat/>
    <w:uiPriority w:val="0"/>
  </w:style>
  <w:style w:type="character" w:customStyle="1" w:styleId="131">
    <w:name w:val="段 Char"/>
    <w:basedOn w:val="30"/>
    <w:link w:val="20"/>
    <w:qFormat/>
    <w:uiPriority w:val="0"/>
    <w:rPr>
      <w:rFonts w:ascii="宋体"/>
      <w:sz w:val="21"/>
      <w:lang w:val="en-US" w:eastAsia="zh-CN" w:bidi="ar-SA"/>
    </w:rPr>
  </w:style>
  <w:style w:type="character" w:customStyle="1" w:styleId="132">
    <w:name w:val="发布"/>
    <w:basedOn w:val="30"/>
    <w:qFormat/>
    <w:uiPriority w:val="0"/>
    <w:rPr>
      <w:rFonts w:ascii="黑体" w:eastAsia="黑体"/>
      <w:spacing w:val="85"/>
      <w:w w:val="100"/>
      <w:position w:val="3"/>
      <w:sz w:val="28"/>
      <w:szCs w:val="28"/>
    </w:rPr>
  </w:style>
  <w:style w:type="character" w:customStyle="1" w:styleId="133">
    <w:name w:val=" Char Char"/>
    <w:basedOn w:val="30"/>
    <w:link w:val="15"/>
    <w:qFormat/>
    <w:uiPriority w:val="0"/>
    <w:rPr>
      <w:rFonts w:eastAsia="宋体"/>
      <w:kern w:val="2"/>
      <w:sz w:val="18"/>
      <w:szCs w:val="18"/>
      <w:lang w:val="en-US" w:eastAsia="zh-CN" w:bidi="ar-SA"/>
    </w:rPr>
  </w:style>
  <w:style w:type="character" w:customStyle="1" w:styleId="134">
    <w:name w:val="首示例 Char"/>
    <w:basedOn w:val="30"/>
    <w:link w:val="89"/>
    <w:qFormat/>
    <w:uiPriority w:val="0"/>
    <w:rPr>
      <w:rFonts w:ascii="宋体" w:hAnsi="宋体"/>
      <w:kern w:val="2"/>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microsoft.com/office/2006/relationships/keyMapCustomizations" Target="customizations.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7.wmf"/><Relationship Id="rId26" Type="http://schemas.openxmlformats.org/officeDocument/2006/relationships/oleObject" Target="embeddings/oleObject7.bin"/><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1091</Words>
  <Characters>6222</Characters>
  <Lines>51</Lines>
  <Paragraphs>14</Paragraphs>
  <TotalTime>2</TotalTime>
  <ScaleCrop>false</ScaleCrop>
  <LinksUpToDate>false</LinksUpToDate>
  <CharactersWithSpaces>7299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2015-11-18T03:22:00Z</dcterms:created>
  <cp:lastPrinted>2015-05-28T09:51:00Z</cp:lastPrinted>
  <dcterms:modified xsi:type="dcterms:W3CDTF">2020-03-19T07:55:06Z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