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F1" w:rsidRPr="00774FF1" w:rsidRDefault="006E63F1" w:rsidP="006E63F1">
      <w:pPr>
        <w:jc w:val="left"/>
        <w:rPr>
          <w:noProof/>
          <w:kern w:val="0"/>
          <w:sz w:val="24"/>
          <w:szCs w:val="15"/>
        </w:rPr>
      </w:pPr>
      <w:r w:rsidRPr="00774FF1">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74FF1">
        <w:instrText>ADDIN CNKISM.UserStyle</w:instrText>
      </w:r>
      <w:r w:rsidRPr="00774FF1">
        <w:fldChar w:fldCharType="end"/>
      </w:r>
      <w:r w:rsidRPr="00774FF1">
        <w:rPr>
          <w:b/>
          <w:noProof/>
          <w:kern w:val="0"/>
          <w:sz w:val="24"/>
          <w:szCs w:val="15"/>
        </w:rPr>
        <w:fldChar w:fldCharType="begin"/>
      </w:r>
      <w:r w:rsidRPr="00774FF1">
        <w:rPr>
          <w:b/>
          <w:noProof/>
          <w:kern w:val="0"/>
          <w:sz w:val="24"/>
          <w:szCs w:val="15"/>
        </w:rPr>
        <w:instrText>ADDIN CNKISM.UserStyle</w:instrText>
      </w:r>
      <w:r w:rsidRPr="00774FF1">
        <w:rPr>
          <w:b/>
          <w:noProof/>
          <w:kern w:val="0"/>
          <w:sz w:val="24"/>
          <w:szCs w:val="15"/>
        </w:rPr>
        <w:fldChar w:fldCharType="end"/>
      </w:r>
      <w:r w:rsidRPr="00774FF1">
        <w:rPr>
          <w:b/>
          <w:noProof/>
          <w:kern w:val="0"/>
          <w:sz w:val="24"/>
          <w:szCs w:val="15"/>
        </w:rPr>
        <w:t>ICS</w:t>
      </w:r>
      <w:r w:rsidRPr="00774FF1">
        <w:rPr>
          <w:noProof/>
          <w:kern w:val="0"/>
          <w:sz w:val="24"/>
          <w:szCs w:val="15"/>
        </w:rPr>
        <w:t xml:space="preserve"> </w:t>
      </w:r>
      <w:r>
        <w:rPr>
          <w:rFonts w:hint="eastAsia"/>
          <w:noProof/>
          <w:kern w:val="0"/>
          <w:sz w:val="24"/>
          <w:szCs w:val="15"/>
        </w:rPr>
        <w:t>67</w:t>
      </w:r>
      <w:r w:rsidRPr="00774FF1">
        <w:rPr>
          <w:noProof/>
          <w:kern w:val="0"/>
          <w:sz w:val="24"/>
          <w:szCs w:val="15"/>
        </w:rPr>
        <w:t>.020</w:t>
      </w:r>
    </w:p>
    <w:p w:rsidR="006E63F1" w:rsidRPr="00774FF1" w:rsidRDefault="006E63F1" w:rsidP="006E63F1">
      <w:pPr>
        <w:wordWrap w:val="0"/>
        <w:jc w:val="left"/>
        <w:rPr>
          <w:noProof/>
          <w:kern w:val="0"/>
          <w:sz w:val="24"/>
          <w:szCs w:val="15"/>
        </w:rPr>
      </w:pPr>
      <w:r>
        <w:rPr>
          <w:rFonts w:hint="eastAsia"/>
          <w:b/>
          <w:noProof/>
          <w:kern w:val="0"/>
          <w:sz w:val="24"/>
          <w:szCs w:val="15"/>
        </w:rPr>
        <w:t>X</w:t>
      </w:r>
      <w:r w:rsidRPr="00774FF1">
        <w:rPr>
          <w:noProof/>
          <w:kern w:val="0"/>
          <w:sz w:val="24"/>
          <w:szCs w:val="15"/>
        </w:rPr>
        <w:t xml:space="preserve"> </w:t>
      </w:r>
      <w:r>
        <w:rPr>
          <w:rFonts w:hint="eastAsia"/>
          <w:noProof/>
          <w:kern w:val="0"/>
          <w:sz w:val="24"/>
          <w:szCs w:val="15"/>
        </w:rPr>
        <w:t>80</w:t>
      </w:r>
    </w:p>
    <w:p w:rsidR="006E63F1" w:rsidRDefault="006E63F1" w:rsidP="006E63F1">
      <w:pPr>
        <w:ind w:right="2892"/>
        <w:rPr>
          <w:rFonts w:hint="eastAsia"/>
          <w:b/>
          <w:kern w:val="0"/>
          <w:sz w:val="48"/>
          <w:szCs w:val="48"/>
        </w:rPr>
      </w:pPr>
    </w:p>
    <w:p w:rsidR="006E63F1" w:rsidRPr="004D2961" w:rsidRDefault="006E63F1" w:rsidP="006E63F1">
      <w:pPr>
        <w:ind w:right="2892"/>
        <w:rPr>
          <w:b/>
          <w:kern w:val="0"/>
          <w:sz w:val="48"/>
          <w:szCs w:val="48"/>
        </w:rPr>
      </w:pPr>
    </w:p>
    <w:p w:rsidR="006E63F1" w:rsidRPr="00693C78" w:rsidRDefault="006E63F1" w:rsidP="006E63F1">
      <w:pPr>
        <w:ind w:leftChars="270" w:left="567" w:rightChars="310" w:right="651"/>
        <w:jc w:val="distribute"/>
        <w:rPr>
          <w:rFonts w:ascii="黑体" w:eastAsia="黑体" w:hAnsi="黑体"/>
          <w:kern w:val="0"/>
          <w:sz w:val="96"/>
          <w:szCs w:val="48"/>
        </w:rPr>
      </w:pPr>
      <w:r w:rsidRPr="00774FF1">
        <w:rPr>
          <w:rFonts w:ascii="黑体" w:eastAsia="黑体" w:hAnsi="黑体" w:hint="eastAsia"/>
          <w:kern w:val="0"/>
          <w:sz w:val="96"/>
          <w:szCs w:val="48"/>
        </w:rPr>
        <w:t>团体标准</w:t>
      </w:r>
    </w:p>
    <w:p w:rsidR="006E63F1" w:rsidRDefault="006E63F1" w:rsidP="006E63F1">
      <w:pPr>
        <w:autoSpaceDE w:val="0"/>
        <w:autoSpaceDN w:val="0"/>
        <w:adjustRightInd w:val="0"/>
        <w:jc w:val="left"/>
        <w:rPr>
          <w:rFonts w:ascii="黑体" w:eastAsia="黑体" w:cs="黑体"/>
          <w:kern w:val="0"/>
          <w:sz w:val="28"/>
          <w:szCs w:val="28"/>
        </w:rPr>
      </w:pPr>
      <w:r>
        <w:rPr>
          <w:rFonts w:ascii="黑体" w:eastAsia="黑体" w:cs="黑体" w:hint="eastAsia"/>
          <w:kern w:val="0"/>
          <w:szCs w:val="21"/>
        </w:rPr>
        <w:t xml:space="preserve">                                                                             </w:t>
      </w:r>
      <w:r>
        <w:rPr>
          <w:rFonts w:ascii="黑体" w:eastAsia="黑体" w:cs="黑体" w:hint="eastAsia"/>
          <w:kern w:val="0"/>
          <w:sz w:val="28"/>
          <w:szCs w:val="28"/>
        </w:rPr>
        <w:t>T/ZGYSYJH XXX-2018</w:t>
      </w:r>
    </w:p>
    <w:p w:rsidR="006E63F1" w:rsidRDefault="006E63F1" w:rsidP="006E63F1">
      <w:pPr>
        <w:ind w:left="-1800" w:right="-1800"/>
        <w:jc w:val="left"/>
        <w:rPr>
          <w:rFonts w:ascii="宋体" w:hAnsi="宋体" w:cs="黑体"/>
          <w:kern w:val="0"/>
          <w:szCs w:val="21"/>
        </w:rPr>
      </w:pPr>
      <w:r>
        <w:rPr>
          <w:rFonts w:ascii="宋体" w:hAnsi="宋体" w:cs="黑体"/>
          <w:kern w:val="0"/>
          <w:szCs w:val="21"/>
        </w:rPr>
        <w:pict>
          <v:shapetype id="_x0000_t32" coordsize="21600,21600" o:spt="32" o:oned="t" path="m,l21600,21600e" filled="f">
            <v:path arrowok="t" fillok="f" o:connecttype="none"/>
            <o:lock v:ext="edit" shapetype="t"/>
          </v:shapetype>
          <v:shape id="AutoShape 2" o:spid="_x0000_s2050" type="#_x0000_t32" style="position:absolute;left:0;text-align:left;margin-left:51.85pt;margin-top:.7pt;width:476.3pt;height:0;z-index:-251656192" o:gfxdata="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0a9xs1gAAAAgBAAAPAAAAAAAAAAEAIAAAACIAAABkcnMvZG93bnJldi54&#10;bWxQSwECFAAUAAAACACHTuJAZ1FU8cMBAACSAwAADgAAAAAAAAABACAAAAAlAQAAZHJzL2Uyb0Rv&#10;Yy54bWxQSwUGAAAAAAYABgBZAQAAWgUAAAAA&#10;"/>
        </w:pict>
      </w:r>
      <w:r>
        <w:rPr>
          <w:rFonts w:ascii="黑体" w:eastAsia="黑体" w:cs="黑体" w:hint="eastAsia"/>
          <w:kern w:val="0"/>
          <w:sz w:val="28"/>
          <w:szCs w:val="28"/>
        </w:rPr>
        <w:t xml:space="preserve">                                                                           </w:t>
      </w:r>
      <w:r>
        <w:rPr>
          <w:rFonts w:ascii="宋体" w:hAnsi="宋体" w:cs="黑体"/>
          <w:kern w:val="0"/>
          <w:szCs w:val="21"/>
        </w:rPr>
        <w:tab/>
      </w:r>
    </w:p>
    <w:p w:rsidR="006E63F1" w:rsidRDefault="006E63F1" w:rsidP="006E63F1">
      <w:pPr>
        <w:tabs>
          <w:tab w:val="left" w:pos="5178"/>
        </w:tabs>
        <w:ind w:left="-1800" w:right="-1800"/>
        <w:jc w:val="left"/>
        <w:rPr>
          <w:rFonts w:ascii="宋体" w:hAnsi="宋体" w:cs="黑体"/>
          <w:kern w:val="0"/>
          <w:szCs w:val="21"/>
        </w:rPr>
      </w:pPr>
    </w:p>
    <w:p w:rsidR="006E63F1" w:rsidRDefault="006E63F1" w:rsidP="006E63F1">
      <w:pPr>
        <w:tabs>
          <w:tab w:val="left" w:pos="5178"/>
        </w:tabs>
        <w:ind w:left="-1800" w:right="-1800"/>
        <w:jc w:val="left"/>
        <w:rPr>
          <w:rFonts w:ascii="宋体" w:hAnsi="宋体" w:cs="黑体"/>
          <w:kern w:val="0"/>
          <w:sz w:val="15"/>
          <w:szCs w:val="15"/>
        </w:rPr>
      </w:pPr>
    </w:p>
    <w:p w:rsidR="006E63F1" w:rsidRDefault="006E63F1" w:rsidP="006E63F1">
      <w:pPr>
        <w:tabs>
          <w:tab w:val="left" w:pos="5178"/>
        </w:tabs>
        <w:ind w:left="-1800" w:right="-1800"/>
        <w:jc w:val="left"/>
        <w:rPr>
          <w:rFonts w:ascii="宋体" w:hAnsi="宋体" w:cs="黑体"/>
          <w:kern w:val="0"/>
          <w:szCs w:val="21"/>
        </w:rPr>
      </w:pPr>
    </w:p>
    <w:p w:rsidR="006E63F1" w:rsidRDefault="006E63F1" w:rsidP="006E63F1">
      <w:pPr>
        <w:tabs>
          <w:tab w:val="left" w:pos="5178"/>
        </w:tabs>
        <w:ind w:left="-1800" w:right="-1800"/>
        <w:jc w:val="left"/>
        <w:rPr>
          <w:rFonts w:ascii="宋体" w:hAnsi="宋体" w:cs="黑体"/>
          <w:kern w:val="0"/>
          <w:szCs w:val="21"/>
        </w:rPr>
      </w:pPr>
    </w:p>
    <w:p w:rsidR="006E63F1" w:rsidRDefault="006E63F1" w:rsidP="006E63F1">
      <w:pPr>
        <w:tabs>
          <w:tab w:val="left" w:pos="5178"/>
        </w:tabs>
        <w:ind w:left="-1800" w:right="-1800"/>
        <w:jc w:val="left"/>
        <w:rPr>
          <w:rFonts w:ascii="宋体" w:hAnsi="宋体" w:cs="黑体"/>
          <w:kern w:val="0"/>
          <w:szCs w:val="21"/>
        </w:rPr>
      </w:pPr>
    </w:p>
    <w:p w:rsidR="006E63F1" w:rsidRDefault="006E63F1" w:rsidP="006E63F1">
      <w:pPr>
        <w:tabs>
          <w:tab w:val="left" w:pos="5178"/>
        </w:tabs>
        <w:ind w:left="-1800" w:right="-1800"/>
        <w:jc w:val="left"/>
        <w:rPr>
          <w:rFonts w:ascii="宋体" w:hAnsi="宋体" w:cs="黑体"/>
          <w:kern w:val="0"/>
          <w:szCs w:val="21"/>
        </w:rPr>
      </w:pPr>
    </w:p>
    <w:p w:rsidR="006E63F1" w:rsidRDefault="006E63F1" w:rsidP="006E63F1">
      <w:pPr>
        <w:spacing w:line="560" w:lineRule="exact"/>
        <w:ind w:left="-1797" w:right="-1797"/>
        <w:jc w:val="center"/>
        <w:rPr>
          <w:rFonts w:ascii="黑体" w:eastAsia="黑体" w:hAnsi="黑体" w:cs="黑体"/>
          <w:kern w:val="0"/>
          <w:sz w:val="52"/>
          <w:szCs w:val="52"/>
        </w:rPr>
      </w:pPr>
      <w:r>
        <w:rPr>
          <w:rFonts w:ascii="黑体" w:eastAsia="黑体" w:hAnsi="黑体" w:cs="黑体" w:hint="eastAsia"/>
          <w:kern w:val="0"/>
          <w:sz w:val="52"/>
          <w:szCs w:val="52"/>
        </w:rPr>
        <w:t>食养药膳机构服务规范</w:t>
      </w:r>
    </w:p>
    <w:p w:rsidR="006E63F1" w:rsidRDefault="006E63F1" w:rsidP="006E63F1">
      <w:pPr>
        <w:spacing w:line="560" w:lineRule="exact"/>
        <w:ind w:left="-1797" w:right="-1797"/>
        <w:jc w:val="center"/>
        <w:rPr>
          <w:rFonts w:ascii="黑体" w:eastAsia="黑体" w:hAnsi="黑体" w:cs="黑体"/>
          <w:kern w:val="0"/>
          <w:sz w:val="52"/>
          <w:szCs w:val="52"/>
        </w:rPr>
      </w:pPr>
      <w:r>
        <w:rPr>
          <w:rFonts w:ascii="黑体" w:eastAsia="黑体" w:hAnsi="黑体" w:cs="黑体" w:hint="eastAsia"/>
          <w:kern w:val="0"/>
          <w:sz w:val="52"/>
          <w:szCs w:val="52"/>
        </w:rPr>
        <w:t>（征求意见稿编制说明）</w:t>
      </w:r>
    </w:p>
    <w:p w:rsidR="006E63F1" w:rsidRDefault="006E63F1" w:rsidP="006E63F1">
      <w:pPr>
        <w:spacing w:line="560" w:lineRule="exact"/>
        <w:ind w:left="-1797" w:right="-1797"/>
        <w:jc w:val="center"/>
        <w:rPr>
          <w:rFonts w:ascii="黑体" w:eastAsia="黑体" w:hAnsi="黑体" w:cs="黑体"/>
          <w:kern w:val="0"/>
          <w:sz w:val="28"/>
          <w:szCs w:val="28"/>
        </w:rPr>
      </w:pPr>
      <w:r>
        <w:rPr>
          <w:rFonts w:ascii="黑体" w:eastAsia="黑体" w:hAnsi="黑体" w:cs="黑体" w:hint="eastAsia"/>
          <w:kern w:val="0"/>
          <w:sz w:val="28"/>
          <w:szCs w:val="28"/>
        </w:rPr>
        <w:t>S</w:t>
      </w:r>
      <w:r>
        <w:rPr>
          <w:rFonts w:ascii="黑体" w:eastAsia="黑体" w:hAnsi="黑体" w:cs="黑体"/>
          <w:kern w:val="0"/>
          <w:sz w:val="28"/>
          <w:szCs w:val="28"/>
        </w:rPr>
        <w:t>ervice</w:t>
      </w:r>
      <w:r w:rsidRPr="0075376C">
        <w:rPr>
          <w:rFonts w:ascii="黑体" w:eastAsia="黑体" w:hAnsi="黑体" w:cs="黑体"/>
          <w:kern w:val="0"/>
          <w:sz w:val="28"/>
          <w:szCs w:val="28"/>
        </w:rPr>
        <w:t xml:space="preserve"> </w:t>
      </w:r>
      <w:r>
        <w:rPr>
          <w:rFonts w:ascii="黑体" w:eastAsia="黑体" w:hAnsi="黑体" w:cs="黑体"/>
          <w:kern w:val="0"/>
          <w:sz w:val="28"/>
          <w:szCs w:val="28"/>
        </w:rPr>
        <w:t>Specification for</w:t>
      </w:r>
      <w:r w:rsidRPr="0075376C">
        <w:rPr>
          <w:rFonts w:ascii="黑体" w:eastAsia="黑体" w:hAnsi="黑体" w:cs="黑体"/>
          <w:kern w:val="0"/>
          <w:sz w:val="28"/>
          <w:szCs w:val="28"/>
        </w:rPr>
        <w:t xml:space="preserve"> </w:t>
      </w:r>
      <w:hyperlink r:id="rId8" w:history="1">
        <w:r w:rsidRPr="0075376C">
          <w:rPr>
            <w:rFonts w:ascii="黑体" w:eastAsia="黑体" w:hAnsi="黑体" w:cs="黑体"/>
            <w:kern w:val="0"/>
            <w:sz w:val="28"/>
            <w:szCs w:val="28"/>
          </w:rPr>
          <w:t>medicative</w:t>
        </w:r>
      </w:hyperlink>
      <w:r w:rsidRPr="0075376C">
        <w:rPr>
          <w:rFonts w:ascii="宋体" w:hAnsi="宋体" w:cs="宋体" w:hint="eastAsia"/>
          <w:kern w:val="0"/>
          <w:sz w:val="28"/>
          <w:szCs w:val="28"/>
        </w:rPr>
        <w:t> </w:t>
      </w:r>
      <w:hyperlink r:id="rId9" w:history="1">
        <w:r w:rsidRPr="0075376C">
          <w:rPr>
            <w:rFonts w:ascii="黑体" w:eastAsia="黑体" w:hAnsi="黑体" w:cs="黑体"/>
            <w:kern w:val="0"/>
            <w:sz w:val="28"/>
            <w:szCs w:val="28"/>
          </w:rPr>
          <w:t>diet</w:t>
        </w:r>
      </w:hyperlink>
      <w:r>
        <w:rPr>
          <w:rFonts w:ascii="黑体" w:eastAsia="黑体" w:hAnsi="黑体" w:cs="黑体" w:hint="eastAsia"/>
          <w:kern w:val="0"/>
          <w:sz w:val="28"/>
          <w:szCs w:val="28"/>
        </w:rPr>
        <w:t xml:space="preserve"> </w:t>
      </w:r>
      <w:r w:rsidRPr="0075376C">
        <w:rPr>
          <w:rFonts w:ascii="黑体" w:eastAsia="黑体" w:hAnsi="黑体" w:cs="黑体"/>
          <w:kern w:val="0"/>
          <w:sz w:val="28"/>
          <w:szCs w:val="28"/>
        </w:rPr>
        <w:t>organization</w:t>
      </w:r>
    </w:p>
    <w:p w:rsidR="006E63F1" w:rsidRDefault="006E63F1" w:rsidP="006E63F1">
      <w:pPr>
        <w:spacing w:line="560" w:lineRule="exact"/>
        <w:ind w:left="-1797" w:right="-1797"/>
        <w:jc w:val="center"/>
        <w:rPr>
          <w:rFonts w:ascii="黑体" w:eastAsia="黑体" w:hAnsi="黑体" w:cs="黑体"/>
          <w:kern w:val="0"/>
          <w:sz w:val="28"/>
          <w:szCs w:val="28"/>
        </w:rPr>
      </w:pPr>
      <w:r>
        <w:rPr>
          <w:rFonts w:ascii="黑体" w:eastAsia="黑体" w:hAnsi="黑体" w:cs="黑体" w:hint="eastAsia"/>
          <w:kern w:val="0"/>
          <w:sz w:val="28"/>
          <w:szCs w:val="28"/>
        </w:rPr>
        <w:t>完成日期：2019年12月10日</w:t>
      </w:r>
    </w:p>
    <w:p w:rsidR="006E63F1" w:rsidRDefault="006E63F1" w:rsidP="006E63F1">
      <w:pPr>
        <w:ind w:left="-1800" w:right="-1800"/>
        <w:jc w:val="center"/>
        <w:rPr>
          <w:rFonts w:ascii="宋体" w:hAnsi="宋体" w:cs="黑体"/>
          <w:kern w:val="0"/>
          <w:sz w:val="28"/>
          <w:szCs w:val="28"/>
        </w:rPr>
      </w:pPr>
    </w:p>
    <w:p w:rsidR="006E63F1" w:rsidRDefault="006E63F1" w:rsidP="006E63F1">
      <w:pPr>
        <w:ind w:left="-1800" w:right="-1800"/>
        <w:jc w:val="center"/>
        <w:rPr>
          <w:rFonts w:ascii="宋体" w:hAnsi="宋体" w:cs="黑体"/>
          <w:kern w:val="0"/>
          <w:sz w:val="30"/>
          <w:szCs w:val="30"/>
        </w:rPr>
      </w:pPr>
    </w:p>
    <w:p w:rsidR="006E63F1" w:rsidRDefault="006E63F1" w:rsidP="006E63F1">
      <w:pPr>
        <w:ind w:left="-1800" w:right="-1800"/>
        <w:jc w:val="center"/>
        <w:rPr>
          <w:rFonts w:ascii="宋体" w:hAnsi="宋体" w:cs="黑体"/>
          <w:kern w:val="0"/>
          <w:sz w:val="30"/>
          <w:szCs w:val="30"/>
        </w:rPr>
      </w:pPr>
    </w:p>
    <w:p w:rsidR="006E63F1" w:rsidRDefault="006E63F1" w:rsidP="006E63F1">
      <w:pPr>
        <w:ind w:left="-1800" w:right="-1800"/>
        <w:jc w:val="center"/>
        <w:rPr>
          <w:rFonts w:ascii="宋体" w:hAnsi="宋体" w:cs="黑体"/>
          <w:kern w:val="0"/>
          <w:sz w:val="30"/>
          <w:szCs w:val="30"/>
        </w:rPr>
      </w:pPr>
    </w:p>
    <w:p w:rsidR="006E63F1" w:rsidRDefault="006E63F1" w:rsidP="006E63F1">
      <w:pPr>
        <w:ind w:left="-1800" w:right="-1800"/>
        <w:jc w:val="center"/>
        <w:rPr>
          <w:rFonts w:ascii="宋体" w:hAnsi="宋体" w:cs="黑体"/>
          <w:kern w:val="0"/>
          <w:sz w:val="28"/>
          <w:szCs w:val="28"/>
        </w:rPr>
      </w:pPr>
    </w:p>
    <w:p w:rsidR="006E63F1" w:rsidRDefault="006E63F1" w:rsidP="006E63F1">
      <w:pPr>
        <w:ind w:left="-1800" w:right="-1800"/>
        <w:jc w:val="center"/>
        <w:rPr>
          <w:rFonts w:ascii="黑体" w:eastAsia="黑体" w:hAnsi="黑体"/>
          <w:sz w:val="28"/>
          <w:szCs w:val="28"/>
          <w:u w:val="single"/>
        </w:rPr>
      </w:pPr>
      <w:r>
        <w:rPr>
          <w:rFonts w:ascii="黑体" w:eastAsia="黑体" w:hAnsi="黑体" w:hint="eastAsia"/>
          <w:sz w:val="28"/>
          <w:szCs w:val="28"/>
          <w:u w:val="single"/>
        </w:rPr>
        <w:t>XXXXX-XX-XX发布                                  XXXX-XX-XX实施</w:t>
      </w:r>
    </w:p>
    <w:p w:rsidR="006E63F1" w:rsidRDefault="006E63F1" w:rsidP="006E63F1">
      <w:pPr>
        <w:ind w:left="-1800" w:right="-1800"/>
        <w:jc w:val="center"/>
        <w:rPr>
          <w:rFonts w:ascii="微软雅黑" w:eastAsia="微软雅黑" w:hAnsi="微软雅黑"/>
          <w:sz w:val="18"/>
          <w:szCs w:val="18"/>
        </w:rPr>
      </w:pPr>
    </w:p>
    <w:p w:rsidR="006E63F1" w:rsidRDefault="006E63F1" w:rsidP="006E63F1">
      <w:pPr>
        <w:ind w:left="-1800" w:right="-1800"/>
        <w:jc w:val="center"/>
        <w:rPr>
          <w:rFonts w:ascii="黑体" w:eastAsia="黑体" w:hAnsi="黑体" w:hint="eastAsia"/>
          <w:sz w:val="28"/>
          <w:szCs w:val="28"/>
        </w:rPr>
      </w:pPr>
      <w:r>
        <w:rPr>
          <w:rFonts w:ascii="方正小标宋简体" w:eastAsia="方正小标宋简体" w:hint="eastAsia"/>
          <w:spacing w:val="20"/>
          <w:sz w:val="44"/>
          <w:szCs w:val="44"/>
        </w:rPr>
        <w:t>中国药膳研究会</w:t>
      </w:r>
      <w:r>
        <w:rPr>
          <w:rFonts w:ascii="黑体" w:eastAsia="黑体" w:hAnsi="黑体" w:hint="eastAsia"/>
          <w:sz w:val="28"/>
          <w:szCs w:val="28"/>
        </w:rPr>
        <w:t xml:space="preserve">  发布</w:t>
      </w:r>
    </w:p>
    <w:p w:rsidR="006E63F1" w:rsidRDefault="006E63F1" w:rsidP="006E63F1">
      <w:pPr>
        <w:ind w:left="-1800" w:right="-1800"/>
        <w:jc w:val="center"/>
        <w:rPr>
          <w:rFonts w:ascii="黑体" w:eastAsia="黑体" w:hAnsi="黑体"/>
          <w:sz w:val="28"/>
          <w:szCs w:val="28"/>
        </w:rPr>
      </w:pPr>
    </w:p>
    <w:p w:rsidR="004A4101" w:rsidRDefault="00FD68AF">
      <w:pPr>
        <w:pStyle w:val="Default"/>
        <w:snapToGrid w:val="0"/>
        <w:spacing w:line="360" w:lineRule="auto"/>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目录</w:t>
      </w:r>
    </w:p>
    <w:p w:rsidR="004A4101" w:rsidRDefault="00FD68AF">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一、任务来源 </w:t>
      </w:r>
    </w:p>
    <w:p w:rsidR="004A4101" w:rsidRDefault="00FD68AF">
      <w:pPr>
        <w:pStyle w:val="Default"/>
        <w:numPr>
          <w:ilvl w:val="0"/>
          <w:numId w:val="2"/>
        </w:numPr>
        <w:snapToGrid w:val="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工作组简况</w:t>
      </w:r>
    </w:p>
    <w:p w:rsidR="004A4101" w:rsidRDefault="00FD68AF">
      <w:pPr>
        <w:pStyle w:val="Default"/>
        <w:snapToGrid w:val="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（一）本规范起草单位</w:t>
      </w:r>
    </w:p>
    <w:p w:rsidR="004A4101" w:rsidRDefault="00FD68AF">
      <w:pPr>
        <w:pStyle w:val="Default"/>
        <w:snapToGrid w:val="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（二）本规范工作主要起草人</w:t>
      </w:r>
    </w:p>
    <w:p w:rsidR="004A4101" w:rsidRDefault="00FD68AF">
      <w:pPr>
        <w:pStyle w:val="Default"/>
        <w:snapToGrid w:val="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三、主要工作过程</w:t>
      </w:r>
    </w:p>
    <w:p w:rsidR="004A4101" w:rsidRDefault="00FD68AF">
      <w:pPr>
        <w:pStyle w:val="Default"/>
        <w:snapToGrid w:val="0"/>
        <w:ind w:leftChars="50" w:left="105" w:rightChars="50" w:right="1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四、规范</w:t>
      </w:r>
      <w:bookmarkStart w:id="0" w:name="_GoBack"/>
      <w:bookmarkEnd w:id="0"/>
      <w:r>
        <w:rPr>
          <w:rFonts w:ascii="仿宋_GB2312" w:eastAsia="仿宋_GB2312" w:hAnsi="仿宋_GB2312" w:cs="仿宋_GB2312" w:hint="eastAsia"/>
          <w:sz w:val="32"/>
          <w:szCs w:val="32"/>
        </w:rPr>
        <w:t>编制的原则</w:t>
      </w:r>
    </w:p>
    <w:p w:rsidR="004A4101" w:rsidRDefault="00FD68AF">
      <w:pPr>
        <w:pStyle w:val="Default"/>
        <w:snapToGrid w:val="0"/>
        <w:ind w:leftChars="50" w:left="105" w:rightChars="50" w:right="1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（一）协调性。</w:t>
      </w:r>
    </w:p>
    <w:p w:rsidR="004A4101" w:rsidRDefault="00FD68AF">
      <w:pPr>
        <w:pStyle w:val="Default"/>
        <w:numPr>
          <w:ilvl w:val="0"/>
          <w:numId w:val="3"/>
        </w:numPr>
        <w:snapToGrid w:val="0"/>
        <w:ind w:leftChars="50" w:left="105" w:rightChars="50" w:right="1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适度性。</w:t>
      </w:r>
    </w:p>
    <w:p w:rsidR="004A4101" w:rsidRDefault="00FD68AF">
      <w:pPr>
        <w:pStyle w:val="Default"/>
        <w:numPr>
          <w:ilvl w:val="0"/>
          <w:numId w:val="3"/>
        </w:numPr>
        <w:snapToGrid w:val="0"/>
        <w:ind w:leftChars="50" w:left="105" w:rightChars="50" w:right="1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兼容性。</w:t>
      </w:r>
    </w:p>
    <w:p w:rsidR="004A4101" w:rsidRDefault="00FD68AF">
      <w:pPr>
        <w:pStyle w:val="Default"/>
        <w:numPr>
          <w:ilvl w:val="0"/>
          <w:numId w:val="3"/>
        </w:numPr>
        <w:snapToGrid w:val="0"/>
        <w:ind w:leftChars="50" w:left="105" w:rightChars="50" w:right="1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实用性。</w:t>
      </w:r>
    </w:p>
    <w:p w:rsidR="004A4101" w:rsidRDefault="00FD68AF">
      <w:pPr>
        <w:pStyle w:val="Default"/>
        <w:numPr>
          <w:ilvl w:val="0"/>
          <w:numId w:val="3"/>
        </w:numPr>
        <w:snapToGrid w:val="0"/>
        <w:ind w:leftChars="50" w:left="105" w:rightChars="50" w:right="10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科学性。</w:t>
      </w:r>
    </w:p>
    <w:p w:rsidR="004A4101" w:rsidRDefault="00FD68AF">
      <w:pPr>
        <w:pStyle w:val="Default"/>
        <w:snapToGrid w:val="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五、技术内容的确认方法与依据</w:t>
      </w:r>
    </w:p>
    <w:p w:rsidR="004A4101" w:rsidRDefault="00FD68AF">
      <w:pPr>
        <w:pStyle w:val="a"/>
        <w:numPr>
          <w:ilvl w:val="0"/>
          <w:numId w:val="0"/>
        </w:numPr>
        <w:spacing w:beforeLines="0" w:afterLines="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（一）本标准的主要内容</w:t>
      </w:r>
    </w:p>
    <w:p w:rsidR="004A4101" w:rsidRDefault="00FD68AF">
      <w:pPr>
        <w:pStyle w:val="Default"/>
        <w:snapToGrid w:val="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（二）每章/节的主要技术内容，</w:t>
      </w:r>
    </w:p>
    <w:p w:rsidR="004A4101" w:rsidRDefault="00FD68AF">
      <w:pPr>
        <w:pStyle w:val="a4"/>
        <w:spacing w:before="0" w:beforeAutospacing="0" w:after="0" w:afterAutospacing="0"/>
        <w:outlineLvl w:val="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六、重大分歧意见的处理经过和依据</w:t>
      </w:r>
    </w:p>
    <w:p w:rsidR="004A4101" w:rsidRDefault="00FD68AF">
      <w:pPr>
        <w:pStyle w:val="a4"/>
        <w:spacing w:before="0" w:beforeAutospacing="0" w:after="0" w:afterAutospacing="0"/>
        <w:outlineLvl w:val="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七、与相关法律、法规和强制性标准的关系</w:t>
      </w:r>
    </w:p>
    <w:p w:rsidR="004A4101" w:rsidRDefault="00FD68AF">
      <w:pPr>
        <w:pStyle w:val="a4"/>
        <w:spacing w:before="0" w:beforeAutospacing="0" w:after="0" w:afterAutospacing="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八、作为推荐性水平评价行业标准发布实施。</w:t>
      </w:r>
    </w:p>
    <w:p w:rsidR="004A4101" w:rsidRDefault="004A4101">
      <w:pPr>
        <w:pStyle w:val="a4"/>
        <w:spacing w:before="0" w:beforeAutospacing="0" w:after="0" w:afterAutospacing="0"/>
        <w:outlineLvl w:val="0"/>
        <w:rPr>
          <w:rFonts w:ascii="仿宋_GB2312" w:eastAsia="仿宋_GB2312" w:hAnsi="仿宋_GB2312" w:cs="仿宋_GB2312"/>
          <w:color w:val="000000"/>
          <w:sz w:val="32"/>
          <w:szCs w:val="32"/>
        </w:rPr>
      </w:pPr>
    </w:p>
    <w:p w:rsidR="004A4101" w:rsidRDefault="004A4101">
      <w:pPr>
        <w:ind w:firstLineChars="200" w:firstLine="420"/>
      </w:pPr>
    </w:p>
    <w:p w:rsidR="004A4101" w:rsidRDefault="004A4101">
      <w:pPr>
        <w:ind w:firstLineChars="200" w:firstLine="420"/>
      </w:pPr>
    </w:p>
    <w:p w:rsidR="004A4101" w:rsidRDefault="004A4101">
      <w:pPr>
        <w:ind w:firstLineChars="200" w:firstLine="420"/>
      </w:pPr>
    </w:p>
    <w:p w:rsidR="004A4101" w:rsidRDefault="004A4101">
      <w:pPr>
        <w:ind w:firstLineChars="200" w:firstLine="420"/>
      </w:pPr>
    </w:p>
    <w:p w:rsidR="004A4101" w:rsidRDefault="004A4101">
      <w:pPr>
        <w:ind w:firstLineChars="200" w:firstLine="420"/>
      </w:pPr>
    </w:p>
    <w:p w:rsidR="004A4101" w:rsidRDefault="004A4101">
      <w:pPr>
        <w:ind w:firstLineChars="200" w:firstLine="420"/>
      </w:pPr>
    </w:p>
    <w:p w:rsidR="004A4101" w:rsidRDefault="004A4101">
      <w:pPr>
        <w:ind w:firstLineChars="200" w:firstLine="420"/>
      </w:pPr>
    </w:p>
    <w:p w:rsidR="004A4101" w:rsidRDefault="004A4101">
      <w:pPr>
        <w:ind w:firstLineChars="200" w:firstLine="420"/>
      </w:pPr>
    </w:p>
    <w:p w:rsidR="004A4101" w:rsidRDefault="004A4101">
      <w:pPr>
        <w:ind w:firstLineChars="200" w:firstLine="420"/>
      </w:pPr>
    </w:p>
    <w:p w:rsidR="004A4101" w:rsidRDefault="004A4101">
      <w:pPr>
        <w:ind w:firstLineChars="200" w:firstLine="420"/>
      </w:pPr>
    </w:p>
    <w:p w:rsidR="004A4101" w:rsidRDefault="004A4101">
      <w:pPr>
        <w:ind w:firstLineChars="200" w:firstLine="420"/>
      </w:pPr>
    </w:p>
    <w:p w:rsidR="004A4101" w:rsidRDefault="004A4101">
      <w:pPr>
        <w:ind w:firstLineChars="200" w:firstLine="420"/>
      </w:pPr>
    </w:p>
    <w:p w:rsidR="004A4101" w:rsidRDefault="004A4101">
      <w:pPr>
        <w:ind w:firstLineChars="200" w:firstLine="420"/>
      </w:pPr>
    </w:p>
    <w:p w:rsidR="004A4101" w:rsidRDefault="00FD68AF">
      <w:pPr>
        <w:widowControl/>
        <w:spacing w:line="360" w:lineRule="auto"/>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一、任务来源</w:t>
      </w:r>
    </w:p>
    <w:p w:rsidR="004A4101" w:rsidRDefault="004A4101">
      <w:pPr>
        <w:ind w:firstLineChars="200" w:firstLine="420"/>
      </w:pPr>
    </w:p>
    <w:p w:rsidR="004A4101" w:rsidRDefault="00FD68AF">
      <w:pPr>
        <w:pStyle w:val="a7"/>
        <w:spacing w:before="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《食养药膳机构服务规范》（以下简称服务规范）是</w:t>
      </w:r>
      <w:r>
        <w:rPr>
          <w:rFonts w:ascii="仿宋_GB2312" w:eastAsia="仿宋_GB2312" w:hAnsi="仿宋_GB2312" w:cs="仿宋_GB2312" w:hint="eastAsia"/>
          <w:sz w:val="30"/>
          <w:szCs w:val="30"/>
        </w:rPr>
        <w:t>中国药膳研究会标准化项目</w:t>
      </w:r>
      <w:r>
        <w:rPr>
          <w:rFonts w:ascii="仿宋_GB2312" w:eastAsia="仿宋_GB2312" w:hAnsi="仿宋_GB2312" w:cs="仿宋_GB2312" w:hint="eastAsia"/>
          <w:sz w:val="32"/>
          <w:szCs w:val="32"/>
        </w:rPr>
        <w:t>的立项项目。本项目针对中医食养药膳机构的服务管理，制定适应市场发展的食养药膳机构服务标准，有利于规范中医食养药膳机构提供的服务，促进中医食养药膳服务行业健康可持续发展。</w:t>
      </w:r>
    </w:p>
    <w:p w:rsidR="004A4101" w:rsidRDefault="004A4101">
      <w:pPr>
        <w:ind w:firstLineChars="200" w:firstLine="420"/>
      </w:pPr>
    </w:p>
    <w:p w:rsidR="004A4101" w:rsidRDefault="004A4101">
      <w:pPr>
        <w:ind w:firstLineChars="200" w:firstLine="420"/>
      </w:pPr>
    </w:p>
    <w:p w:rsidR="004A4101" w:rsidRDefault="00FD68AF">
      <w:pPr>
        <w:widowControl/>
        <w:spacing w:line="360" w:lineRule="auto"/>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二、工作组简况</w:t>
      </w:r>
    </w:p>
    <w:p w:rsidR="004A4101" w:rsidRDefault="00FD68AF">
      <w:pPr>
        <w:pStyle w:val="a7"/>
        <w:spacing w:before="0" w:line="360" w:lineRule="auto"/>
        <w:ind w:firstLineChars="200" w:firstLine="602"/>
        <w:jc w:val="both"/>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（一）本规范起草单位：</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中国药膳研究会</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中国中医科学院中医基础理论研究所</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中国中医科学院中医临床基础医学研究所</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北京大医殿医学研究院有限责任公司</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北京人卫酒店</w:t>
      </w:r>
    </w:p>
    <w:p w:rsidR="004A4101" w:rsidRDefault="00FD68AF">
      <w:pPr>
        <w:pStyle w:val="a7"/>
        <w:spacing w:before="0" w:line="360" w:lineRule="auto"/>
        <w:ind w:firstLineChars="200" w:firstLine="602"/>
        <w:jc w:val="both"/>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（二）本规范主要起草人：</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刘理想 中国中医科学院中医基础理论研究所</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荆志伟 中国药膳研究会</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王丽颖  中国中医科学院中医临床基础医学研究所</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董国锋  北京大医殿医学研究院有限责任公司</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张敏  中国中医科学院中医基础理论研究所</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赵凯维  中国中医科学院中医基础理论研究所</w:t>
      </w:r>
    </w:p>
    <w:p w:rsidR="004A4101" w:rsidRDefault="004A4101">
      <w:pPr>
        <w:pStyle w:val="a7"/>
        <w:spacing w:before="0" w:line="360" w:lineRule="auto"/>
        <w:ind w:firstLineChars="200" w:firstLine="600"/>
        <w:jc w:val="both"/>
        <w:rPr>
          <w:rFonts w:ascii="仿宋_GB2312" w:eastAsia="仿宋_GB2312" w:hAnsi="仿宋_GB2312" w:cs="仿宋_GB2312"/>
          <w:sz w:val="30"/>
          <w:szCs w:val="30"/>
        </w:rPr>
      </w:pPr>
    </w:p>
    <w:p w:rsidR="004A4101" w:rsidRDefault="00FD68AF">
      <w:pPr>
        <w:pStyle w:val="a7"/>
        <w:spacing w:before="0" w:line="360" w:lineRule="auto"/>
        <w:ind w:firstLineChars="200" w:firstLine="602"/>
        <w:jc w:val="both"/>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三、主要工作过程</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1）接到任务后，2018年12月初，项目组召开了启动会，讨论确定编写体例，进行分工，明确时间表；同时进行文献、资料搜集，编写框架初稿拟定。项目组搜集了《月子护理机构服务规范》、《社区便民服务中心服务规范》、《居家养老服务规范》、《文化主题饭店基本要求与评价》、《养老机构服务质量基本规范》等规范，在借鉴进行编写、实地调研，随时沟通确定编写进度。</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文献采集：工作组收集了与标准制定相关的文献、国家相关的法律法规、制度、政策、国家既有的与本规范相关的文件、标准。主要有： GB/T 24620-2009/ISO/IEC Guide 76:2008《服务标准制定导则 考虑消费者需求》； GB/T 1.1-2009，标准化工作导则 第1部分：标准的结构和编写；GB 14934 食（饮）具消毒卫生标准；SB/T 10476-2008 饭店服务礼仪规范；SB/T 10857-2012餐饮配送服务规范；SB/T 11187-2016餐饮点餐服务规范；餐饮服务食品安全操作规范（国食药监食[2011]395号）；《食品安全法实施条例》中华人民共和国国务院令 第557号；SB/T10476-2008 </w:t>
      </w:r>
      <w:hyperlink r:id="rId10" w:tgtFrame="http://baike.sogou.com/_blank" w:history="1">
        <w:r>
          <w:rPr>
            <w:rFonts w:ascii="仿宋_GB2312" w:eastAsia="仿宋_GB2312" w:hAnsi="仿宋_GB2312" w:cs="仿宋_GB2312" w:hint="eastAsia"/>
            <w:sz w:val="30"/>
            <w:szCs w:val="30"/>
          </w:rPr>
          <w:t>饭店服务礼仪规范</w:t>
        </w:r>
      </w:hyperlink>
      <w:r>
        <w:rPr>
          <w:rFonts w:ascii="仿宋_GB2312" w:eastAsia="仿宋_GB2312" w:hAnsi="仿宋_GB2312" w:cs="仿宋_GB2312" w:hint="eastAsia"/>
          <w:sz w:val="30"/>
          <w:szCs w:val="30"/>
        </w:rPr>
        <w:t>；《中国药膳制作及从业资质基本要求》ZGYS/T 001―2010。《中国药膳研究会标准》；网络上相关信息、资料。</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对文献资料的处理：将文献中与服务管理相关的内容进行归</w:t>
      </w:r>
      <w:r>
        <w:rPr>
          <w:rFonts w:ascii="仿宋_GB2312" w:eastAsia="仿宋_GB2312" w:hAnsi="仿宋_GB2312" w:cs="仿宋_GB2312" w:hint="eastAsia"/>
          <w:sz w:val="30"/>
          <w:szCs w:val="30"/>
        </w:rPr>
        <w:lastRenderedPageBreak/>
        <w:t>纳分类，如：基本要求、特殊要求等；将人社部、商务部对餐饮服务制定的一系列行业标准中可用的内容纳入本规范；从目前从事食养药膳机构的现状出发，并根据食养药膳的特殊性制定新条款。</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调研：项目组对从事食养药膳服务的机构和企业进行了实地调研，了解行业状况、主要药膳品种、适应人群、经营模式、存在的问题等。</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2）2019年5月形成初稿，并于5月22日在京召开《食养药膳机构服务规范（讨论稿）》专家讨论会，研讨、论证相关稿件内容，进行第一次审定。研讨会邀请了杨锐、焦明耀、张文高、赵临斌、史丽萍、樊新荣等专家。会上逐条讨论了中医药国际服务贸易食养药膳服务标准的内容及文字表述。提出了修改意见。会上专家们围绕规范食养药膳机构相关概念，明确定义与研究范围，研究药膳机构与普通餐饮机构的区别，对传统食养药膳的种类、配方原则、适用范围及操作规范，应用中的注意事项等内容进行了研讨。对食养药膳机构的范围、术语和定义的界定，确立的指导原则，以及从技术层面的应用指南，可涵盖食养药膳机构的功能区划分、食养药膳品种的定义、烹调服务和服务改进以及可能出现的异常情况及处理措施等相关问题进行了讨论。项目组根据专家意见，进行修订和补充。</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（3）开展药膳机构的相关调研，继续修改补充规范初稿，规范起草工作组不定期召开研讨会，研讨、论证相关稿件内容，</w:t>
      </w:r>
      <w:r>
        <w:rPr>
          <w:rFonts w:ascii="仿宋_GB2312" w:eastAsia="仿宋_GB2312" w:hAnsi="仿宋_GB2312" w:cs="仿宋_GB2312" w:hint="eastAsia"/>
          <w:sz w:val="30"/>
          <w:szCs w:val="30"/>
        </w:rPr>
        <w:lastRenderedPageBreak/>
        <w:t>进行审定，在2019年10月初最终形成定稿。现拟在药膳标准化技术委员会以及网站公开征求意见，填写意见汇总处理表，再进行修订，于2019年12月中旬交研究会专家委员会终审，并根据终审意见进一步研讨修订，确定终稿。</w:t>
      </w:r>
    </w:p>
    <w:p w:rsidR="004A4101" w:rsidRDefault="00FD68AF">
      <w:pPr>
        <w:pStyle w:val="a7"/>
        <w:spacing w:before="0" w:line="360" w:lineRule="auto"/>
        <w:ind w:firstLineChars="200" w:firstLine="602"/>
        <w:jc w:val="both"/>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四、标准编制的原则</w:t>
      </w:r>
    </w:p>
    <w:p w:rsidR="004A4101" w:rsidRDefault="00FD68AF">
      <w:pPr>
        <w:pStyle w:val="Default"/>
        <w:snapToGrid w:val="0"/>
        <w:spacing w:line="360" w:lineRule="auto"/>
        <w:ind w:rightChars="50" w:right="105"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本规范在起草过程中主要遵守的原则：</w:t>
      </w:r>
    </w:p>
    <w:p w:rsidR="004A4101" w:rsidRDefault="00FD68AF">
      <w:pPr>
        <w:pStyle w:val="Default"/>
        <w:snapToGrid w:val="0"/>
        <w:spacing w:line="360" w:lineRule="auto"/>
        <w:ind w:leftChars="50" w:left="105" w:rightChars="50" w:right="105"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协调性。本规范是食养药膳机构服务规范，目的是对食养药膳机构中从业人员需具备的能力和素质进行规范。从逻辑关系上看，从业人员应能满足食养药膳机构经营业务的需要。因此，服务规范应该服从于食养药膳机构设置标准和服务管理标准。</w:t>
      </w:r>
    </w:p>
    <w:p w:rsidR="004A4101" w:rsidRDefault="00FD68AF">
      <w:pPr>
        <w:pStyle w:val="Default"/>
        <w:snapToGrid w:val="0"/>
        <w:spacing w:line="360" w:lineRule="auto"/>
        <w:ind w:rightChars="50" w:right="105"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实用性。规范是针对企业、机构和从业人员制定的，因此条款的设置要使企业和人员乐于接受，并从中受益。考虑我国从事食养药膳人员的现状，对从业人员需具备的能力和素质的要求，既不能太高也不能太低，要宽严适度，使更多的人通过培训能够进入这个行业。</w:t>
      </w:r>
    </w:p>
    <w:p w:rsidR="004A4101" w:rsidRDefault="00FD68AF">
      <w:pPr>
        <w:pStyle w:val="Default"/>
        <w:snapToGrid w:val="0"/>
        <w:spacing w:line="360" w:lineRule="auto"/>
        <w:ind w:rightChars="50" w:right="105"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兼容性。食养药膳机构的从业人员主体是餐饮业人员。鉴于我国人社部、商务部对餐饮人员已经制定的一系列职业标准。本规范的内容应与这些标准兼容，尽量纳入已有职业标准中，避免另起炉灶，协调困难。</w:t>
      </w:r>
    </w:p>
    <w:p w:rsidR="004A4101" w:rsidRDefault="00FD68AF">
      <w:pPr>
        <w:pStyle w:val="a7"/>
        <w:spacing w:before="0" w:line="360" w:lineRule="auto"/>
        <w:ind w:firstLineChars="200" w:firstLine="640"/>
        <w:jc w:val="both"/>
        <w:rPr>
          <w:rFonts w:ascii="仿宋_GB2312" w:eastAsia="仿宋_GB2312" w:hAnsi="仿宋_GB2312" w:cs="仿宋_GB2312"/>
          <w:sz w:val="30"/>
          <w:szCs w:val="30"/>
        </w:rPr>
      </w:pPr>
      <w:r>
        <w:rPr>
          <w:rFonts w:ascii="仿宋_GB2312" w:eastAsia="仿宋_GB2312" w:hAnsi="仿宋_GB2312" w:cs="仿宋_GB2312" w:hint="eastAsia"/>
          <w:sz w:val="32"/>
          <w:szCs w:val="32"/>
        </w:rPr>
        <w:t>（四）科学性。规范中的概念要准确、周延；条款的内容要符合客观实际；整部标准逻辑关系清晰，内容完整、不</w:t>
      </w:r>
      <w:r>
        <w:rPr>
          <w:rFonts w:ascii="仿宋_GB2312" w:eastAsia="仿宋_GB2312" w:hAnsi="仿宋_GB2312" w:cs="仿宋_GB2312" w:hint="eastAsia"/>
          <w:sz w:val="32"/>
          <w:szCs w:val="32"/>
        </w:rPr>
        <w:lastRenderedPageBreak/>
        <w:t>缺项、引用文件要规范，内容的表述应该简明、易懂。</w:t>
      </w:r>
    </w:p>
    <w:p w:rsidR="004A4101" w:rsidRDefault="004A4101">
      <w:pPr>
        <w:pStyle w:val="a7"/>
        <w:spacing w:before="0" w:line="360" w:lineRule="auto"/>
        <w:ind w:firstLineChars="200" w:firstLine="600"/>
        <w:jc w:val="both"/>
        <w:rPr>
          <w:rFonts w:ascii="仿宋_GB2312" w:eastAsia="仿宋_GB2312" w:hAnsi="仿宋_GB2312" w:cs="仿宋_GB2312"/>
          <w:sz w:val="30"/>
          <w:szCs w:val="30"/>
        </w:rPr>
      </w:pPr>
    </w:p>
    <w:p w:rsidR="004A4101" w:rsidRDefault="00FD68AF">
      <w:pPr>
        <w:pStyle w:val="a7"/>
        <w:spacing w:before="0" w:line="360" w:lineRule="auto"/>
        <w:ind w:firstLineChars="200" w:firstLine="602"/>
        <w:jc w:val="both"/>
        <w:rPr>
          <w:rFonts w:ascii="仿宋_GB2312" w:eastAsia="仿宋_GB2312" w:hAnsi="仿宋_GB2312" w:cs="仿宋_GB2312"/>
          <w:sz w:val="30"/>
          <w:szCs w:val="30"/>
        </w:rPr>
      </w:pPr>
      <w:r>
        <w:rPr>
          <w:rFonts w:ascii="仿宋_GB2312" w:eastAsia="仿宋_GB2312" w:hAnsi="仿宋_GB2312" w:cs="仿宋_GB2312" w:hint="eastAsia"/>
          <w:b/>
          <w:bCs/>
          <w:sz w:val="30"/>
          <w:szCs w:val="30"/>
        </w:rPr>
        <w:t>五、技术内容的确认方法与依据</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（一）本规范的主要内容</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本规范共11章 节。</w:t>
      </w:r>
    </w:p>
    <w:p w:rsidR="004A4101" w:rsidRDefault="00FD68AF">
      <w:pPr>
        <w:pStyle w:val="a7"/>
        <w:spacing w:before="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（二）每章/节的主要技术内容</w:t>
      </w:r>
    </w:p>
    <w:p w:rsidR="004A4101" w:rsidRDefault="00FD68A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第1章 规定了本规范的内容、适用范围和使用对象。</w:t>
      </w:r>
    </w:p>
    <w:p w:rsidR="004A4101" w:rsidRDefault="00FD68A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第2章 列出了本规范主要引用的标准规范文件</w:t>
      </w:r>
    </w:p>
    <w:p w:rsidR="004A4101" w:rsidRDefault="00FD68AF">
      <w:pPr>
        <w:pStyle w:val="Default"/>
        <w:snapToGrid w:val="0"/>
        <w:jc w:val="both"/>
        <w:rPr>
          <w:rFonts w:ascii="仿宋" w:eastAsia="仿宋" w:hAnsi="仿宋" w:cs="仿宋"/>
          <w:sz w:val="30"/>
          <w:szCs w:val="30"/>
        </w:rPr>
      </w:pPr>
      <w:r>
        <w:rPr>
          <w:rFonts w:ascii="仿宋" w:eastAsia="仿宋" w:hAnsi="仿宋" w:cs="仿宋" w:hint="eastAsia"/>
          <w:sz w:val="30"/>
          <w:szCs w:val="30"/>
        </w:rPr>
        <w:t>本章引用和参考的国家既有的与本规范相关的文件、标准。主要有：</w:t>
      </w:r>
    </w:p>
    <w:p w:rsidR="004A4101" w:rsidRDefault="00FD68A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GB 14934 食（饮）具消毒卫生标准</w:t>
      </w:r>
    </w:p>
    <w:p w:rsidR="004A4101" w:rsidRDefault="00FD68A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SB/T 10476-2008 饭店服务礼仪规范</w:t>
      </w:r>
    </w:p>
    <w:p w:rsidR="004A4101" w:rsidRDefault="00FD68A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SB/T 10857-2012餐饮配送服务规范</w:t>
      </w:r>
    </w:p>
    <w:p w:rsidR="004A4101" w:rsidRDefault="00FD68A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SB/T 11187-2016餐饮点餐服务规范</w:t>
      </w:r>
    </w:p>
    <w:p w:rsidR="004A4101" w:rsidRDefault="00FD68A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餐饮服务食品安全操作规范（国食药监食[2011]395号）</w:t>
      </w:r>
    </w:p>
    <w:p w:rsidR="004A4101" w:rsidRDefault="00FD68AF">
      <w:pPr>
        <w:pStyle w:val="a"/>
        <w:numPr>
          <w:ilvl w:val="0"/>
          <w:numId w:val="0"/>
        </w:numPr>
        <w:spacing w:beforeLines="0" w:afterLines="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第3章 给出了本规范的术语和定义。</w:t>
      </w:r>
    </w:p>
    <w:p w:rsidR="004A4101" w:rsidRDefault="00FD68AF">
      <w:pPr>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本章对食养药膳、食养药膳机构 、食养药膳品种</w:t>
      </w:r>
      <w:r>
        <w:rPr>
          <w:rFonts w:ascii="仿宋" w:eastAsia="仿宋" w:hAnsi="仿宋" w:cs="仿宋" w:hint="eastAsia"/>
          <w:color w:val="000000"/>
          <w:sz w:val="30"/>
          <w:szCs w:val="30"/>
        </w:rPr>
        <w:t>、</w:t>
      </w:r>
      <w:r>
        <w:rPr>
          <w:rFonts w:ascii="仿宋" w:eastAsia="仿宋" w:hAnsi="仿宋" w:cs="仿宋" w:hint="eastAsia"/>
          <w:color w:val="000000"/>
          <w:kern w:val="0"/>
          <w:sz w:val="30"/>
          <w:szCs w:val="30"/>
        </w:rPr>
        <w:t>食养药膳服务给出了定义。</w:t>
      </w:r>
    </w:p>
    <w:p w:rsidR="004A4101" w:rsidRDefault="00FD68AF">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这些术语和定义，经反复查阅文献资料并征询专家的意见，最后多次讨论后确定。</w:t>
      </w:r>
    </w:p>
    <w:p w:rsidR="004A4101" w:rsidRDefault="00FD68AF">
      <w:pPr>
        <w:pStyle w:val="a"/>
        <w:numPr>
          <w:ilvl w:val="0"/>
          <w:numId w:val="0"/>
        </w:numPr>
        <w:spacing w:beforeLines="0" w:afterLines="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第4章 对食养药膳机构服务项目给出了范围。</w:t>
      </w:r>
    </w:p>
    <w:p w:rsidR="004A4101" w:rsidRDefault="00FD68AF">
      <w:pPr>
        <w:pStyle w:val="a"/>
        <w:numPr>
          <w:ilvl w:val="0"/>
          <w:numId w:val="0"/>
        </w:numPr>
        <w:spacing w:beforeLines="0" w:afterLines="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第5章 提出了对服务的基本要求</w:t>
      </w:r>
    </w:p>
    <w:p w:rsidR="004A4101" w:rsidRDefault="00FD68AF">
      <w:pPr>
        <w:pStyle w:val="a"/>
        <w:numPr>
          <w:ilvl w:val="0"/>
          <w:numId w:val="0"/>
        </w:numPr>
        <w:spacing w:beforeLines="0" w:afterLines="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包括提供的服务和产品做到标准化和个性化相结合，做到辨证施膳；配方使用的药材应按国家相关规定使用，并保证加工、配送过程安全；应提供有关中医药文化宣传、食养药膳知识普及</w:t>
      </w:r>
      <w:r>
        <w:rPr>
          <w:rFonts w:ascii="仿宋" w:eastAsia="仿宋" w:hAnsi="仿宋" w:cs="仿宋" w:hint="eastAsia"/>
          <w:color w:val="000000"/>
          <w:sz w:val="30"/>
          <w:szCs w:val="30"/>
        </w:rPr>
        <w:lastRenderedPageBreak/>
        <w:t>的资料；应符合SB/T 10476-2008 饭店服务礼仪规范的要求；等。</w:t>
      </w:r>
    </w:p>
    <w:p w:rsidR="004A4101" w:rsidRDefault="00FD68AF">
      <w:pPr>
        <w:pStyle w:val="a"/>
        <w:numPr>
          <w:ilvl w:val="0"/>
          <w:numId w:val="0"/>
        </w:numPr>
        <w:spacing w:beforeLines="0" w:afterLines="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第6、7、8、9、10章 对整个服务流程进行了规范</w:t>
      </w:r>
    </w:p>
    <w:p w:rsidR="004A4101" w:rsidRDefault="00FD68AF">
      <w:pPr>
        <w:pStyle w:val="a5"/>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本5章围绕接待服务、点餐服务、烹调服务、用餐服务、餐后服务各个环节做了相应的规定。条款从食养药膳机构的服务内容、管理对不同环节的要求出发，并参考了国内既有的执业标准，如《餐饮服务人员》《饭店服务礼仪规范》制定。</w:t>
      </w:r>
    </w:p>
    <w:p w:rsidR="004A4101" w:rsidRDefault="00FD68AF">
      <w:pPr>
        <w:pStyle w:val="a5"/>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第11章 对服务改进提出了要求。</w:t>
      </w:r>
    </w:p>
    <w:p w:rsidR="004A4101" w:rsidRDefault="00FD68AF">
      <w:pPr>
        <w:pStyle w:val="a4"/>
        <w:spacing w:before="0" w:beforeAutospacing="0" w:after="0" w:afterAutospacing="0"/>
        <w:outlineLvl w:val="0"/>
        <w:rPr>
          <w:rFonts w:ascii="仿宋" w:eastAsia="仿宋" w:hAnsi="仿宋" w:cs="仿宋"/>
          <w:b/>
          <w:bCs/>
          <w:color w:val="000000"/>
          <w:sz w:val="30"/>
          <w:szCs w:val="30"/>
        </w:rPr>
      </w:pPr>
      <w:bookmarkStart w:id="1" w:name="_Toc359311110"/>
      <w:r>
        <w:rPr>
          <w:rFonts w:ascii="仿宋" w:eastAsia="仿宋" w:hAnsi="仿宋" w:cs="仿宋" w:hint="eastAsia"/>
          <w:b/>
          <w:bCs/>
          <w:color w:val="000000"/>
          <w:sz w:val="30"/>
          <w:szCs w:val="30"/>
        </w:rPr>
        <w:t>六、重大分歧意见的处理经过和依据</w:t>
      </w:r>
      <w:bookmarkEnd w:id="1"/>
    </w:p>
    <w:p w:rsidR="004A4101" w:rsidRDefault="00FD68AF">
      <w:pPr>
        <w:pStyle w:val="Default"/>
        <w:snapToGrid w:val="0"/>
        <w:ind w:firstLineChars="200" w:firstLine="600"/>
        <w:jc w:val="both"/>
        <w:rPr>
          <w:rFonts w:ascii="仿宋" w:eastAsia="仿宋" w:hAnsi="仿宋" w:cs="仿宋"/>
          <w:sz w:val="30"/>
          <w:szCs w:val="30"/>
        </w:rPr>
      </w:pPr>
      <w:r>
        <w:rPr>
          <w:rFonts w:ascii="仿宋" w:eastAsia="仿宋" w:hAnsi="仿宋" w:cs="仿宋" w:hint="eastAsia"/>
          <w:sz w:val="30"/>
          <w:szCs w:val="30"/>
        </w:rPr>
        <w:t>在编写过程中无重大分歧意见。</w:t>
      </w:r>
    </w:p>
    <w:p w:rsidR="004A4101" w:rsidRDefault="00FD68AF">
      <w:pPr>
        <w:pStyle w:val="a4"/>
        <w:spacing w:before="0" w:beforeAutospacing="0" w:after="0" w:afterAutospacing="0"/>
        <w:outlineLvl w:val="0"/>
        <w:rPr>
          <w:rFonts w:ascii="仿宋" w:eastAsia="仿宋" w:hAnsi="仿宋" w:cs="仿宋"/>
          <w:b/>
          <w:bCs/>
          <w:color w:val="000000"/>
          <w:sz w:val="30"/>
          <w:szCs w:val="30"/>
        </w:rPr>
      </w:pPr>
      <w:bookmarkStart w:id="2" w:name="_Toc359311111"/>
      <w:r>
        <w:rPr>
          <w:rFonts w:ascii="仿宋" w:eastAsia="仿宋" w:hAnsi="仿宋" w:cs="仿宋" w:hint="eastAsia"/>
          <w:b/>
          <w:bCs/>
          <w:color w:val="000000"/>
          <w:sz w:val="30"/>
          <w:szCs w:val="30"/>
        </w:rPr>
        <w:t>七、与相关法律、法规和强制性标准的关系</w:t>
      </w:r>
      <w:bookmarkEnd w:id="2"/>
    </w:p>
    <w:p w:rsidR="004A4101" w:rsidRDefault="00FD68AF">
      <w:pPr>
        <w:pStyle w:val="a4"/>
        <w:spacing w:before="0" w:beforeAutospacing="0" w:after="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本规范与现行法律、法规和强制性标准无冲突。</w:t>
      </w:r>
    </w:p>
    <w:p w:rsidR="004A4101" w:rsidRDefault="00FD68AF">
      <w:pPr>
        <w:pStyle w:val="a4"/>
        <w:spacing w:before="0" w:beforeAutospacing="0" w:after="0" w:afterAutospacing="0"/>
        <w:rPr>
          <w:rFonts w:ascii="仿宋" w:eastAsia="仿宋" w:hAnsi="仿宋" w:cs="仿宋"/>
          <w:color w:val="000000"/>
          <w:sz w:val="30"/>
          <w:szCs w:val="30"/>
        </w:rPr>
      </w:pPr>
      <w:bookmarkStart w:id="3" w:name="_Toc359311112"/>
      <w:r>
        <w:rPr>
          <w:rFonts w:ascii="仿宋" w:eastAsia="仿宋" w:hAnsi="仿宋" w:cs="仿宋" w:hint="eastAsia"/>
          <w:b/>
          <w:bCs/>
          <w:color w:val="000000"/>
          <w:sz w:val="30"/>
          <w:szCs w:val="30"/>
        </w:rPr>
        <w:t>八、作为</w:t>
      </w:r>
      <w:bookmarkEnd w:id="3"/>
      <w:r>
        <w:rPr>
          <w:rFonts w:ascii="仿宋" w:eastAsia="仿宋" w:hAnsi="仿宋" w:cs="仿宋" w:hint="eastAsia"/>
          <w:b/>
          <w:bCs/>
          <w:color w:val="000000"/>
          <w:sz w:val="30"/>
          <w:szCs w:val="30"/>
        </w:rPr>
        <w:t>推荐性水平评价行业标准发布实施。</w:t>
      </w:r>
    </w:p>
    <w:p w:rsidR="004A4101" w:rsidRDefault="004A4101">
      <w:pPr>
        <w:pStyle w:val="a4"/>
        <w:spacing w:before="0" w:beforeAutospacing="0" w:after="0" w:afterAutospacing="0"/>
        <w:ind w:firstLineChars="200" w:firstLine="600"/>
        <w:outlineLvl w:val="0"/>
        <w:rPr>
          <w:rFonts w:ascii="仿宋" w:eastAsia="仿宋" w:hAnsi="仿宋" w:cs="仿宋"/>
          <w:color w:val="000000"/>
          <w:sz w:val="30"/>
          <w:szCs w:val="30"/>
        </w:rPr>
      </w:pPr>
    </w:p>
    <w:p w:rsidR="004A4101" w:rsidRDefault="004A4101">
      <w:pPr>
        <w:pStyle w:val="a4"/>
        <w:spacing w:before="0" w:beforeAutospacing="0" w:after="0" w:afterAutospacing="0"/>
        <w:ind w:firstLineChars="200" w:firstLine="600"/>
        <w:outlineLvl w:val="0"/>
        <w:rPr>
          <w:rFonts w:ascii="仿宋" w:eastAsia="仿宋" w:hAnsi="仿宋" w:cs="仿宋"/>
          <w:color w:val="000000"/>
          <w:sz w:val="30"/>
          <w:szCs w:val="30"/>
        </w:rPr>
      </w:pPr>
    </w:p>
    <w:p w:rsidR="004A4101" w:rsidRDefault="00FD68AF">
      <w:pPr>
        <w:ind w:firstLineChars="1300" w:firstLine="3915"/>
        <w:rPr>
          <w:rFonts w:ascii="仿宋" w:eastAsia="仿宋" w:hAnsi="仿宋" w:cs="仿宋"/>
          <w:b/>
          <w:bCs/>
          <w:color w:val="000000"/>
          <w:sz w:val="30"/>
          <w:szCs w:val="30"/>
        </w:rPr>
      </w:pPr>
      <w:r>
        <w:rPr>
          <w:rFonts w:ascii="仿宋" w:eastAsia="仿宋" w:hAnsi="仿宋" w:cs="仿宋" w:hint="eastAsia"/>
          <w:b/>
          <w:bCs/>
          <w:color w:val="000000"/>
          <w:sz w:val="30"/>
          <w:szCs w:val="30"/>
        </w:rPr>
        <w:t>服务规范起草工作组</w:t>
      </w:r>
    </w:p>
    <w:p w:rsidR="004A4101" w:rsidRDefault="00FD68AF">
      <w:pPr>
        <w:ind w:firstLineChars="1600" w:firstLine="4800"/>
        <w:rPr>
          <w:rFonts w:ascii="仿宋" w:eastAsia="仿宋" w:hAnsi="仿宋" w:cs="仿宋"/>
          <w:color w:val="000000"/>
          <w:sz w:val="30"/>
          <w:szCs w:val="30"/>
        </w:rPr>
      </w:pPr>
      <w:r>
        <w:rPr>
          <w:rFonts w:ascii="仿宋" w:eastAsia="仿宋" w:hAnsi="仿宋" w:cs="仿宋" w:hint="eastAsia"/>
          <w:color w:val="000000"/>
          <w:sz w:val="30"/>
          <w:szCs w:val="30"/>
        </w:rPr>
        <w:t>2019年11月</w:t>
      </w:r>
    </w:p>
    <w:sectPr w:rsidR="004A4101" w:rsidSect="004A41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B9F" w:rsidRDefault="00076B9F" w:rsidP="00705EB1">
      <w:r>
        <w:separator/>
      </w:r>
    </w:p>
  </w:endnote>
  <w:endnote w:type="continuationSeparator" w:id="0">
    <w:p w:rsidR="00076B9F" w:rsidRDefault="00076B9F" w:rsidP="00705EB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B9F" w:rsidRDefault="00076B9F" w:rsidP="00705EB1">
      <w:r>
        <w:separator/>
      </w:r>
    </w:p>
  </w:footnote>
  <w:footnote w:type="continuationSeparator" w:id="0">
    <w:p w:rsidR="00076B9F" w:rsidRDefault="00076B9F" w:rsidP="00705E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210" w:firstLine="0"/>
      </w:pPr>
      <w:rPr>
        <w:rFonts w:ascii="黑体" w:eastAsia="黑体" w:hAnsi="Times New Roman" w:hint="eastAsia"/>
        <w:b w:val="0"/>
        <w:i w:val="0"/>
        <w:sz w:val="21"/>
        <w:szCs w:val="21"/>
      </w:rPr>
    </w:lvl>
    <w:lvl w:ilvl="1">
      <w:start w:val="1"/>
      <w:numFmt w:val="decimal"/>
      <w:suff w:val="nothing"/>
      <w:lvlText w:val="%1.%2　"/>
      <w:lvlJc w:val="left"/>
      <w:pPr>
        <w:ind w:left="352"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210" w:firstLine="0"/>
      </w:pPr>
      <w:rPr>
        <w:rFonts w:ascii="黑体" w:eastAsia="黑体" w:hAnsi="Times New Roman" w:hint="eastAsia"/>
        <w:b w:val="0"/>
        <w:i w:val="0"/>
        <w:sz w:val="21"/>
      </w:rPr>
    </w:lvl>
    <w:lvl w:ilvl="4">
      <w:start w:val="1"/>
      <w:numFmt w:val="decimal"/>
      <w:suff w:val="nothing"/>
      <w:lvlText w:val="%1.%2.%3.%4.%5　"/>
      <w:lvlJc w:val="left"/>
      <w:pPr>
        <w:ind w:left="210" w:firstLine="0"/>
      </w:pPr>
      <w:rPr>
        <w:rFonts w:ascii="黑体" w:eastAsia="黑体" w:hAnsi="Times New Roman" w:hint="eastAsia"/>
        <w:b w:val="0"/>
        <w:i w:val="0"/>
        <w:sz w:val="21"/>
      </w:rPr>
    </w:lvl>
    <w:lvl w:ilvl="5">
      <w:start w:val="1"/>
      <w:numFmt w:val="decimal"/>
      <w:suff w:val="nothing"/>
      <w:lvlText w:val="%1.%2.%3.%4.%5.%6　"/>
      <w:lvlJc w:val="left"/>
      <w:pPr>
        <w:ind w:left="210" w:firstLine="0"/>
      </w:pPr>
      <w:rPr>
        <w:rFonts w:ascii="黑体" w:eastAsia="黑体" w:hAnsi="Times New Roman" w:hint="eastAsia"/>
        <w:b w:val="0"/>
        <w:i w:val="0"/>
        <w:sz w:val="21"/>
      </w:rPr>
    </w:lvl>
    <w:lvl w:ilvl="6">
      <w:start w:val="1"/>
      <w:numFmt w:val="decimal"/>
      <w:suff w:val="nothing"/>
      <w:lvlText w:val="%1%2.%3.%4.%5.%6.%7　"/>
      <w:lvlJc w:val="left"/>
      <w:pPr>
        <w:ind w:left="210" w:firstLine="0"/>
      </w:pPr>
      <w:rPr>
        <w:rFonts w:ascii="黑体" w:eastAsia="黑体" w:hAnsi="Times New Roman" w:hint="eastAsia"/>
        <w:b w:val="0"/>
        <w:i w:val="0"/>
        <w:sz w:val="21"/>
      </w:rPr>
    </w:lvl>
    <w:lvl w:ilvl="7">
      <w:start w:val="1"/>
      <w:numFmt w:val="decimal"/>
      <w:lvlText w:val="%1.%2.%3.%4.%5.%6.%7.%8"/>
      <w:lvlJc w:val="left"/>
      <w:pPr>
        <w:tabs>
          <w:tab w:val="left" w:pos="4561"/>
        </w:tabs>
        <w:ind w:left="4179" w:hanging="1418"/>
      </w:pPr>
      <w:rPr>
        <w:rFonts w:hint="eastAsia"/>
      </w:rPr>
    </w:lvl>
    <w:lvl w:ilvl="8">
      <w:start w:val="1"/>
      <w:numFmt w:val="decimal"/>
      <w:lvlText w:val="%1.%2.%3.%4.%5.%6.%7.%8.%9"/>
      <w:lvlJc w:val="left"/>
      <w:pPr>
        <w:tabs>
          <w:tab w:val="left" w:pos="4987"/>
        </w:tabs>
        <w:ind w:left="4887" w:hanging="1700"/>
      </w:pPr>
      <w:rPr>
        <w:rFonts w:hint="eastAsia"/>
      </w:rPr>
    </w:lvl>
  </w:abstractNum>
  <w:abstractNum w:abstractNumId="1">
    <w:nsid w:val="3C30A8DB"/>
    <w:multiLevelType w:val="singleLevel"/>
    <w:tmpl w:val="3C30A8DB"/>
    <w:lvl w:ilvl="0">
      <w:start w:val="2"/>
      <w:numFmt w:val="chineseCounting"/>
      <w:suff w:val="nothing"/>
      <w:lvlText w:val="（%1）"/>
      <w:lvlJc w:val="left"/>
    </w:lvl>
  </w:abstractNum>
  <w:abstractNum w:abstractNumId="2">
    <w:nsid w:val="3C30E31B"/>
    <w:multiLevelType w:val="singleLevel"/>
    <w:tmpl w:val="3C30E31B"/>
    <w:lvl w:ilvl="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4101"/>
    <w:rsid w:val="00076B9F"/>
    <w:rsid w:val="004A4101"/>
    <w:rsid w:val="00631B77"/>
    <w:rsid w:val="006E63F1"/>
    <w:rsid w:val="00705EB1"/>
    <w:rsid w:val="00950E32"/>
    <w:rsid w:val="00FD68AF"/>
    <w:rsid w:val="04B6416D"/>
    <w:rsid w:val="130122D5"/>
    <w:rsid w:val="1B524300"/>
    <w:rsid w:val="2FB71E7E"/>
    <w:rsid w:val="3DE076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410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qFormat/>
    <w:rsid w:val="004A4101"/>
    <w:pPr>
      <w:widowControl/>
      <w:spacing w:before="100" w:beforeAutospacing="1" w:after="100" w:afterAutospacing="1"/>
      <w:jc w:val="left"/>
    </w:pPr>
    <w:rPr>
      <w:rFonts w:ascii="宋体" w:eastAsia="宋体" w:hAnsi="宋体" w:cs="宋体"/>
      <w:kern w:val="0"/>
      <w:sz w:val="24"/>
    </w:rPr>
  </w:style>
  <w:style w:type="paragraph" w:styleId="a5">
    <w:name w:val="Plain Text"/>
    <w:basedOn w:val="a0"/>
    <w:qFormat/>
    <w:rsid w:val="004A4101"/>
    <w:rPr>
      <w:rFonts w:ascii="宋体" w:hAnsi="Courier New" w:cs="Courier New"/>
      <w:szCs w:val="21"/>
    </w:rPr>
  </w:style>
  <w:style w:type="paragraph" w:customStyle="1" w:styleId="Default">
    <w:name w:val="Default"/>
    <w:uiPriority w:val="99"/>
    <w:qFormat/>
    <w:rsid w:val="004A4101"/>
    <w:pPr>
      <w:widowControl w:val="0"/>
      <w:autoSpaceDE w:val="0"/>
      <w:autoSpaceDN w:val="0"/>
      <w:adjustRightInd w:val="0"/>
    </w:pPr>
    <w:rPr>
      <w:rFonts w:ascii="宋体" w:eastAsia="宋体" w:hAnsi="Calibri" w:cs="宋体"/>
      <w:color w:val="000000"/>
      <w:sz w:val="24"/>
      <w:szCs w:val="24"/>
    </w:rPr>
  </w:style>
  <w:style w:type="paragraph" w:customStyle="1" w:styleId="a">
    <w:name w:val="章标题"/>
    <w:next w:val="a6"/>
    <w:qFormat/>
    <w:rsid w:val="004A4101"/>
    <w:pPr>
      <w:numPr>
        <w:numId w:val="1"/>
      </w:numPr>
      <w:spacing w:beforeLines="100" w:afterLines="100"/>
      <w:jc w:val="both"/>
      <w:outlineLvl w:val="1"/>
    </w:pPr>
    <w:rPr>
      <w:rFonts w:ascii="黑体" w:eastAsia="黑体"/>
      <w:sz w:val="21"/>
      <w:szCs w:val="22"/>
    </w:rPr>
  </w:style>
  <w:style w:type="paragraph" w:customStyle="1" w:styleId="a6">
    <w:name w:val="段"/>
    <w:qFormat/>
    <w:rsid w:val="004A4101"/>
    <w:pPr>
      <w:tabs>
        <w:tab w:val="center" w:pos="4201"/>
        <w:tab w:val="right" w:leader="dot" w:pos="9298"/>
      </w:tabs>
      <w:autoSpaceDE w:val="0"/>
      <w:autoSpaceDN w:val="0"/>
      <w:ind w:firstLineChars="200" w:firstLine="420"/>
      <w:jc w:val="both"/>
    </w:pPr>
    <w:rPr>
      <w:rFonts w:ascii="宋体" w:eastAsia="Times New Roman"/>
      <w:sz w:val="21"/>
      <w:szCs w:val="22"/>
    </w:rPr>
  </w:style>
  <w:style w:type="paragraph" w:customStyle="1" w:styleId="a7">
    <w:name w:val="封面标准英文名称"/>
    <w:basedOn w:val="a0"/>
    <w:qFormat/>
    <w:rsid w:val="004A4101"/>
    <w:pPr>
      <w:spacing w:before="370" w:line="400" w:lineRule="exact"/>
      <w:jc w:val="center"/>
      <w:textAlignment w:val="center"/>
    </w:pPr>
    <w:rPr>
      <w:rFonts w:ascii="Times New Roman" w:eastAsia="黑体" w:hAnsi="Times New Roman"/>
      <w:kern w:val="0"/>
      <w:sz w:val="28"/>
      <w:szCs w:val="28"/>
    </w:rPr>
  </w:style>
  <w:style w:type="paragraph" w:styleId="a8">
    <w:name w:val="header"/>
    <w:basedOn w:val="a0"/>
    <w:link w:val="Char"/>
    <w:rsid w:val="00705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705EB1"/>
    <w:rPr>
      <w:kern w:val="2"/>
      <w:sz w:val="18"/>
      <w:szCs w:val="18"/>
    </w:rPr>
  </w:style>
  <w:style w:type="paragraph" w:styleId="a9">
    <w:name w:val="footer"/>
    <w:basedOn w:val="a0"/>
    <w:link w:val="Char0"/>
    <w:rsid w:val="00705EB1"/>
    <w:pPr>
      <w:tabs>
        <w:tab w:val="center" w:pos="4153"/>
        <w:tab w:val="right" w:pos="8306"/>
      </w:tabs>
      <w:snapToGrid w:val="0"/>
      <w:jc w:val="left"/>
    </w:pPr>
    <w:rPr>
      <w:sz w:val="18"/>
      <w:szCs w:val="18"/>
    </w:rPr>
  </w:style>
  <w:style w:type="character" w:customStyle="1" w:styleId="Char0">
    <w:name w:val="页脚 Char"/>
    <w:basedOn w:val="a1"/>
    <w:link w:val="a9"/>
    <w:rsid w:val="00705EB1"/>
    <w:rPr>
      <w:kern w:val="2"/>
      <w:sz w:val="18"/>
      <w:szCs w:val="18"/>
    </w:rPr>
  </w:style>
  <w:style w:type="paragraph" w:styleId="aa">
    <w:name w:val="Balloon Text"/>
    <w:basedOn w:val="a0"/>
    <w:link w:val="Char1"/>
    <w:rsid w:val="00705EB1"/>
    <w:rPr>
      <w:sz w:val="18"/>
      <w:szCs w:val="18"/>
    </w:rPr>
  </w:style>
  <w:style w:type="character" w:customStyle="1" w:styleId="Char1">
    <w:name w:val="批注框文本 Char"/>
    <w:basedOn w:val="a1"/>
    <w:link w:val="aa"/>
    <w:rsid w:val="00705EB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ike.sogou.com/lemma/ShowInnerLink.htm?lemmaId=84042547" TargetMode="Externa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理想留</dc:creator>
  <cp:lastModifiedBy>dgf</cp:lastModifiedBy>
  <cp:revision>3</cp:revision>
  <dcterms:created xsi:type="dcterms:W3CDTF">2014-10-29T12:08:00Z</dcterms:created>
  <dcterms:modified xsi:type="dcterms:W3CDTF">2019-12-17T01:33:00Z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