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Lines="50" w:afterLines="50" w:line="360" w:lineRule="auto"/>
        <w:jc w:val="center"/>
        <w:rPr>
          <w:rFonts w:ascii="Times New Roman" w:hAnsi="Times New Roman" w:eastAsia="黑体"/>
          <w:sz w:val="44"/>
          <w:szCs w:val="44"/>
        </w:rPr>
      </w:pPr>
      <w:r>
        <w:rPr>
          <w:rFonts w:hint="eastAsia" w:ascii="Times New Roman" w:hAnsi="Times New Roman" w:eastAsia="黑体"/>
          <w:sz w:val="44"/>
          <w:szCs w:val="44"/>
        </w:rPr>
        <w:t>农村居民健康体检团体标准编制说明</w:t>
      </w:r>
    </w:p>
    <w:p>
      <w:pPr>
        <w:autoSpaceDE w:val="0"/>
        <w:autoSpaceDN w:val="0"/>
        <w:spacing w:beforeLines="50" w:afterLines="5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一、工作简况</w:t>
      </w:r>
    </w:p>
    <w:p>
      <w:pPr>
        <w:autoSpaceDE w:val="0"/>
        <w:autoSpaceDN w:val="0"/>
        <w:spacing w:beforeLines="50" w:afterLines="50" w:line="360" w:lineRule="auto"/>
        <w:ind w:firstLine="560" w:firstLineChars="200"/>
        <w:jc w:val="both"/>
        <w:rPr>
          <w:rFonts w:hint="eastAsia" w:ascii="仿宋_GB2312" w:hAnsi="仿宋" w:eastAsia="仿宋_GB2312"/>
          <w:sz w:val="28"/>
          <w:szCs w:val="28"/>
        </w:rPr>
      </w:pPr>
      <w:r>
        <w:rPr>
          <w:rFonts w:hint="eastAsia" w:ascii="仿宋_GB2312" w:hAnsi="仿宋" w:eastAsia="仿宋_GB2312"/>
          <w:sz w:val="28"/>
          <w:szCs w:val="28"/>
        </w:rPr>
        <w:t>（一）任务来源</w:t>
      </w:r>
    </w:p>
    <w:p>
      <w:pPr>
        <w:autoSpaceDE w:val="0"/>
        <w:autoSpaceDN w:val="0"/>
        <w:spacing w:beforeLines="50" w:afterLines="5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受北京红十字基金会委托，并</w:t>
      </w:r>
      <w:r>
        <w:rPr>
          <w:rFonts w:hint="eastAsia" w:ascii="仿宋_GB2312" w:hAnsi="仿宋" w:eastAsia="仿宋_GB2312"/>
          <w:sz w:val="28"/>
          <w:szCs w:val="28"/>
        </w:rPr>
        <w:t>经中国健康管理协会批准，由</w:t>
      </w:r>
      <w:r>
        <w:rPr>
          <w:rFonts w:hint="eastAsia" w:ascii="仿宋_GB2312" w:hAnsi="仿宋_GB2312" w:eastAsia="仿宋_GB2312" w:cs="仿宋_GB2312"/>
          <w:sz w:val="28"/>
          <w:szCs w:val="28"/>
        </w:rPr>
        <w:t>中国疾控中心、北京红十字基金会和中国健康管理协会三甲单位牵头起草农村居民健康体检团体标准。</w:t>
      </w:r>
    </w:p>
    <w:p>
      <w:pPr>
        <w:autoSpaceDE w:val="0"/>
        <w:autoSpaceDN w:val="0"/>
        <w:spacing w:beforeLines="50" w:afterLines="5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（二）协作单位</w:t>
      </w:r>
    </w:p>
    <w:p>
      <w:pPr>
        <w:autoSpaceDE w:val="0"/>
        <w:autoSpaceDN w:val="0"/>
        <w:spacing w:beforeLines="50" w:afterLines="5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除三家起草单位外，本标准撰写协作单位还包括江西中科九峰智慧医疗科技有限公司、北京大美乡村健康管理中心、浙江省疾控中心、郑州大学公共卫生学院、江苏省疾控中心、上海卫翌软件科技有限公司、宜昌市中心医院、国家体育总局体育科学研究所、十堰市太和医院和湖北孝感中心医院等十家单位。</w:t>
      </w:r>
    </w:p>
    <w:p>
      <w:pPr>
        <w:autoSpaceDE w:val="0"/>
        <w:autoSpaceDN w:val="0"/>
        <w:spacing w:beforeLines="50" w:afterLines="5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（三）主要工作过程</w:t>
      </w:r>
    </w:p>
    <w:p>
      <w:pPr>
        <w:rPr>
          <w:rFonts w:hint="eastAsia" w:ascii="仿宋_GB2312" w:hAnsi="仿宋" w:eastAsia="仿宋_GB2312"/>
          <w:sz w:val="28"/>
          <w:szCs w:val="28"/>
        </w:rPr>
      </w:pPr>
      <w:r>
        <w:rPr>
          <w:rFonts w:hint="eastAsia" w:ascii="仿宋_GB2312" w:hAnsi="仿宋" w:eastAsia="仿宋_GB2312"/>
          <w:sz w:val="28"/>
          <w:szCs w:val="28"/>
        </w:rPr>
        <w:t>2019年7月     中国健康管理协会批准立项</w:t>
      </w:r>
    </w:p>
    <w:p>
      <w:pPr>
        <w:rPr>
          <w:rFonts w:hint="eastAsia" w:ascii="仿宋_GB2312" w:hAnsi="仿宋" w:eastAsia="仿宋_GB2312"/>
          <w:sz w:val="28"/>
          <w:szCs w:val="28"/>
        </w:rPr>
      </w:pPr>
      <w:r>
        <w:rPr>
          <w:rFonts w:hint="eastAsia" w:ascii="仿宋_GB2312" w:hAnsi="仿宋" w:eastAsia="仿宋_GB2312"/>
          <w:sz w:val="28"/>
          <w:szCs w:val="28"/>
        </w:rPr>
        <w:t>2019年7月     文献研究</w:t>
      </w:r>
    </w:p>
    <w:p>
      <w:pPr>
        <w:ind w:left="2560" w:hanging="2240" w:hangingChars="800"/>
        <w:rPr>
          <w:rFonts w:hint="eastAsia" w:ascii="仿宋_GB2312" w:hAnsi="仿宋" w:eastAsia="仿宋_GB2312"/>
          <w:sz w:val="28"/>
          <w:szCs w:val="28"/>
        </w:rPr>
      </w:pPr>
      <w:r>
        <w:rPr>
          <w:rFonts w:hint="eastAsia" w:ascii="仿宋_GB2312" w:hAnsi="仿宋" w:eastAsia="仿宋_GB2312"/>
          <w:sz w:val="28"/>
          <w:szCs w:val="28"/>
        </w:rPr>
        <w:t>2019年8月     标准起草启动会，确定主要内容、结构、分工及工</w:t>
      </w:r>
    </w:p>
    <w:p>
      <w:pPr>
        <w:ind w:firstLine="2240" w:firstLineChars="800"/>
        <w:rPr>
          <w:rFonts w:hint="eastAsia" w:ascii="仿宋_GB2312" w:hAnsi="仿宋" w:eastAsia="仿宋_GB2312"/>
          <w:sz w:val="28"/>
          <w:szCs w:val="28"/>
        </w:rPr>
      </w:pPr>
      <w:r>
        <w:rPr>
          <w:rFonts w:hint="eastAsia" w:ascii="仿宋_GB2312" w:hAnsi="仿宋" w:eastAsia="仿宋_GB2312"/>
          <w:sz w:val="28"/>
          <w:szCs w:val="28"/>
        </w:rPr>
        <w:t>作进度，标准编写，完成初稿</w:t>
      </w:r>
    </w:p>
    <w:p>
      <w:pPr>
        <w:ind w:left="2560" w:hanging="2240" w:hangingChars="800"/>
        <w:rPr>
          <w:rFonts w:hint="eastAsia" w:ascii="仿宋_GB2312" w:hAnsi="仿宋" w:eastAsia="仿宋_GB2312"/>
          <w:sz w:val="28"/>
          <w:szCs w:val="28"/>
        </w:rPr>
      </w:pPr>
      <w:r>
        <w:rPr>
          <w:rFonts w:hint="eastAsia" w:ascii="仿宋_GB2312" w:hAnsi="仿宋" w:eastAsia="仿宋_GB2312"/>
          <w:sz w:val="28"/>
          <w:szCs w:val="28"/>
        </w:rPr>
        <w:t xml:space="preserve">2019年9月     </w:t>
      </w:r>
      <w:bookmarkStart w:id="2" w:name="_GoBack"/>
      <w:bookmarkEnd w:id="2"/>
      <w:r>
        <w:rPr>
          <w:rFonts w:hint="eastAsia" w:ascii="仿宋_GB2312" w:hAnsi="仿宋" w:eastAsia="仿宋_GB2312"/>
          <w:sz w:val="28"/>
          <w:szCs w:val="28"/>
        </w:rPr>
        <w:t>工作组讨论初稿，形成修改意见</w:t>
      </w:r>
    </w:p>
    <w:p>
      <w:pPr>
        <w:autoSpaceDE w:val="0"/>
        <w:autoSpaceDN w:val="0"/>
        <w:spacing w:beforeLines="50" w:afterLines="5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二、目的及意义</w:t>
      </w:r>
    </w:p>
    <w:p>
      <w:pPr>
        <w:autoSpaceDE w:val="0"/>
        <w:autoSpaceDN w:val="0"/>
        <w:spacing w:beforeLines="50" w:afterLines="50" w:line="360" w:lineRule="auto"/>
        <w:ind w:firstLine="560" w:firstLineChars="200"/>
        <w:jc w:val="both"/>
        <w:rPr>
          <w:rFonts w:hint="eastAsia" w:ascii="仿宋_GB2312" w:eastAsia="仿宋_GB2312" w:cs="仿宋"/>
          <w:sz w:val="28"/>
          <w:szCs w:val="28"/>
        </w:rPr>
      </w:pPr>
      <w:r>
        <w:rPr>
          <w:rFonts w:hint="eastAsia" w:ascii="仿宋_GB2312" w:eastAsia="仿宋_GB2312" w:cs="仿宋"/>
          <w:sz w:val="28"/>
          <w:szCs w:val="28"/>
        </w:rPr>
        <w:t>2018年末我国总人口13.95亿，其中农村人口5.64亿，占比40.42%。全人群60周岁及以上人群占全人口17.9%，而在农村此比例更高。2018年中国国民健康与营养大数据报告显示我国糖尿病、高血压等慢性病患病率已达23%，慢性病死亡数占总死亡数的86%。同时，在农村地区由于生活环境、营养状况、经济地位，以及农村居民自身的健康素养、防病水平的限制，导致诸多传染性疾病疫情明显农村高于城市。同时广大农村居民长期从事农业劳动，会形成诸多身体损伤，同时由于受到经济条件等方面的制约，农村居民很难会进行健康体检，无法做到疾病早发现、早诊断、早治疗，从而造成小病拖成大病，不仅为农村居民带来极大的身体痛苦，同时对家庭的经济收入也造成巨大的影响。</w:t>
      </w:r>
    </w:p>
    <w:p>
      <w:pPr>
        <w:autoSpaceDE w:val="0"/>
        <w:autoSpaceDN w:val="0"/>
        <w:spacing w:beforeLines="50" w:afterLines="50" w:line="360" w:lineRule="auto"/>
        <w:ind w:firstLine="560" w:firstLineChars="200"/>
        <w:jc w:val="both"/>
        <w:rPr>
          <w:rFonts w:hint="eastAsia" w:ascii="仿宋_GB2312" w:hAnsi="仿宋_GB2312" w:eastAsia="仿宋_GB2312" w:cs="仿宋_GB2312"/>
          <w:sz w:val="28"/>
          <w:szCs w:val="28"/>
        </w:rPr>
      </w:pPr>
      <w:r>
        <w:rPr>
          <w:rFonts w:hint="eastAsia" w:ascii="仿宋_GB2312" w:eastAsia="仿宋_GB2312" w:cs="仿宋"/>
          <w:sz w:val="28"/>
          <w:szCs w:val="28"/>
        </w:rPr>
        <w:t>中共中央国务院2016年印发的《“健康中国2030”规划纲要》中明确提出健康是促进人的全面发展的必然要求，是经济社会发展的基础条件。积极促进健康与养老、旅游、互联网、健身休闲、食品融合，催生健康新产业、新业态、新模式。发展基于互联网的健康服务，鼓励发展健康体检、咨询等健康服务。</w:t>
      </w:r>
    </w:p>
    <w:p>
      <w:pPr>
        <w:autoSpaceDE w:val="0"/>
        <w:autoSpaceDN w:val="0"/>
        <w:spacing w:beforeLines="50" w:afterLines="50" w:line="360" w:lineRule="auto"/>
        <w:ind w:firstLine="560" w:firstLineChars="200"/>
        <w:jc w:val="both"/>
        <w:rPr>
          <w:rFonts w:hint="eastAsia" w:ascii="仿宋_GB2312" w:hAnsi="仿宋_GB2312" w:eastAsia="仿宋_GB2312" w:cs="仿宋_GB2312"/>
          <w:sz w:val="28"/>
          <w:szCs w:val="28"/>
        </w:rPr>
      </w:pPr>
      <w:r>
        <w:rPr>
          <w:rFonts w:hint="eastAsia" w:ascii="仿宋_GB2312" w:eastAsia="仿宋_GB2312" w:cs="仿宋"/>
          <w:sz w:val="28"/>
          <w:szCs w:val="28"/>
        </w:rPr>
        <w:t>结合“健康中国2030”规范纲要，针对农村的现况，建议定期对农村居民开展健康体检。本规范适用人群为15岁以上农村居民，适用机构为开展农村居民健康体检的机构。本标准的出台将为开展农村居民健康体检机构提供具体、详细和可执行的标准。</w:t>
      </w:r>
    </w:p>
    <w:p>
      <w:pPr>
        <w:autoSpaceDE w:val="0"/>
        <w:autoSpaceDN w:val="0"/>
        <w:spacing w:beforeLines="50" w:afterLines="50" w:line="360" w:lineRule="auto"/>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三、标准编制原则和确定标准主要内容</w:t>
      </w:r>
    </w:p>
    <w:p>
      <w:pPr>
        <w:autoSpaceDE w:val="0"/>
        <w:autoSpaceDN w:val="0"/>
        <w:spacing w:beforeLines="50" w:afterLines="50" w:line="360" w:lineRule="auto"/>
        <w:ind w:firstLine="645"/>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（一）编制的原则</w:t>
      </w:r>
    </w:p>
    <w:p>
      <w:pPr>
        <w:autoSpaceDE w:val="0"/>
        <w:autoSpaceDN w:val="0"/>
        <w:spacing w:beforeLines="50" w:afterLines="50" w:line="360" w:lineRule="auto"/>
        <w:ind w:firstLine="645"/>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标准以《“健康中国2030”规划纲要》为总体要求，结合国家卫健委下发的健康体检有关标准和文件，参考健康体检基本项目专家共识，查询相关文件后制定本标准。标准编制原则包括可行性、规范性、统一性、特异性。</w:t>
      </w:r>
    </w:p>
    <w:p>
      <w:pPr>
        <w:autoSpaceDE w:val="0"/>
        <w:autoSpaceDN w:val="0"/>
        <w:spacing w:beforeLines="50" w:afterLines="50" w:line="360" w:lineRule="auto"/>
        <w:ind w:firstLine="645"/>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可行性</w:t>
      </w:r>
    </w:p>
    <w:p>
      <w:pPr>
        <w:autoSpaceDE w:val="0"/>
        <w:autoSpaceDN w:val="0"/>
        <w:spacing w:beforeLines="50" w:afterLines="50" w:line="360" w:lineRule="auto"/>
        <w:ind w:firstLine="645"/>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本标准适用于开展农村居民健康体检的各类体检机构，因此标准在制定过程中充分考虑到全国各地情况，未涉及较为复杂，尖端的体检项目，从而使得本标准可以适用于全国各地，具有充分的可行性。</w:t>
      </w:r>
    </w:p>
    <w:p>
      <w:pPr>
        <w:autoSpaceDE w:val="0"/>
        <w:autoSpaceDN w:val="0"/>
        <w:spacing w:beforeLines="50" w:afterLines="50" w:line="360" w:lineRule="auto"/>
        <w:ind w:firstLine="645"/>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规范性</w:t>
      </w:r>
    </w:p>
    <w:p>
      <w:pPr>
        <w:autoSpaceDE w:val="0"/>
        <w:autoSpaceDN w:val="0"/>
        <w:spacing w:beforeLines="50" w:afterLines="50" w:line="360" w:lineRule="auto"/>
        <w:ind w:firstLine="645"/>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通过标准设立，对体检机构的机构资质要求、人员配备、实验室仪器和设备配备、日常服务、质量管理、健康体检项目等都做出明确要求。同时标准制定过程中按照《标准化工作导则  第1部分：标准的结构和编写》（GB/T 1.1-2009）的规定要求进行编制，对术语和定义、工作要求、目标疾病、健康检查内容、实验室检查等进行了全面规定。</w:t>
      </w:r>
    </w:p>
    <w:p>
      <w:pPr>
        <w:autoSpaceDE w:val="0"/>
        <w:autoSpaceDN w:val="0"/>
        <w:spacing w:beforeLines="50" w:afterLines="50" w:line="360" w:lineRule="auto"/>
        <w:ind w:firstLine="645"/>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统一性</w:t>
      </w:r>
    </w:p>
    <w:p>
      <w:pPr>
        <w:autoSpaceDE w:val="0"/>
        <w:autoSpaceDN w:val="0"/>
        <w:spacing w:beforeLines="50" w:afterLines="50" w:line="360" w:lineRule="auto"/>
        <w:ind w:firstLine="645"/>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针对农村居民开展的健康体检项目进行统一，从而确保农村居民健康体检达到统一规范，为未来全国做农村居民健康档案及健康管理工作奠定基础。</w:t>
      </w:r>
    </w:p>
    <w:p>
      <w:pPr>
        <w:autoSpaceDE w:val="0"/>
        <w:autoSpaceDN w:val="0"/>
        <w:spacing w:beforeLines="50" w:afterLines="50" w:line="360" w:lineRule="auto"/>
        <w:ind w:firstLine="645"/>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特异性</w:t>
      </w:r>
    </w:p>
    <w:p>
      <w:pPr>
        <w:autoSpaceDE w:val="0"/>
        <w:autoSpaceDN w:val="0"/>
        <w:spacing w:beforeLines="50" w:afterLines="50" w:line="360" w:lineRule="auto"/>
        <w:ind w:firstLine="645"/>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考虑到各地实际情况，在标准文件中，除外健康体检的基本项目外，还增加了备查项目。各农村居民健康体检机构，可结合当地情况适当增加备查项目。</w:t>
      </w:r>
    </w:p>
    <w:p>
      <w:pPr>
        <w:autoSpaceDE w:val="0"/>
        <w:autoSpaceDN w:val="0"/>
        <w:spacing w:beforeLines="50" w:afterLines="50" w:line="360" w:lineRule="auto"/>
        <w:ind w:firstLine="645"/>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（二）编制主要内容</w:t>
      </w:r>
    </w:p>
    <w:p>
      <w:pPr>
        <w:autoSpaceDE w:val="0"/>
        <w:autoSpaceDN w:val="0"/>
        <w:spacing w:beforeLines="50" w:afterLines="50" w:line="360" w:lineRule="auto"/>
        <w:ind w:firstLine="645"/>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本规范包括正文和附录。</w:t>
      </w:r>
    </w:p>
    <w:p>
      <w:pPr>
        <w:autoSpaceDE w:val="0"/>
        <w:autoSpaceDN w:val="0"/>
        <w:spacing w:beforeLines="50" w:afterLines="50" w:line="360" w:lineRule="auto"/>
        <w:ind w:firstLine="645"/>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正文中对农村居民、健康体检、实验室生物安全管理进行了定义，明确了标准适用机构及适用人群。正文中对农村居民健康体检机构及健康体检项目进行明确，供开展农村居民健康体检的机构参照使用。</w:t>
      </w:r>
    </w:p>
    <w:p>
      <w:pPr>
        <w:autoSpaceDE w:val="0"/>
        <w:autoSpaceDN w:val="0"/>
        <w:spacing w:beforeLines="50" w:afterLines="50" w:line="360" w:lineRule="auto"/>
        <w:ind w:firstLine="645"/>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附录中对各项疾病诊断标准、功能检查及实验室检验检测仪器设备、健康体检表和健康体检自测问卷进行了描述。</w:t>
      </w:r>
    </w:p>
    <w:p>
      <w:pPr>
        <w:autoSpaceDE w:val="0"/>
        <w:autoSpaceDN w:val="0"/>
        <w:spacing w:beforeLines="50" w:afterLines="50" w:line="360" w:lineRule="auto"/>
        <w:ind w:firstLine="645"/>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本标准针对开展农村居民健康体检的机构进行了明确要求，要求中包括体检机构的机构资质要求、人员配备、实验室仪器和设备配备、日常服务、质量管理、健康体检项目等。</w:t>
      </w:r>
    </w:p>
    <w:p>
      <w:pPr>
        <w:autoSpaceDE w:val="0"/>
        <w:autoSpaceDN w:val="0"/>
        <w:spacing w:beforeLines="50" w:afterLines="50" w:line="360" w:lineRule="auto"/>
        <w:ind w:firstLine="645"/>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本标准中涉及到的健康体检包括基本项目和备选项目。其中基本项目包括一般检查，如身高、体重、腰围、血压、体质指数（BMI）、体温、脉搏、呼吸频率；物理检查，如口腔、视力、听力、运动功能、眼底、皮肤、巩膜、淋巴结、肺、心脏、腹部、下肢水肿、足背动脉搏动、肛门指诊、乳腺、妇科（外阴、阴道、宫颈、宫体、附件）；实验室检查，如血常规（血红蛋白、白细胞、血小板）、尿常规（尿蛋白、尿糖、尿酮体、尿潜血）、空腹血糖、心电图、尿微量蛋白、大便潜血、糖化血红蛋白、乙型肝炎表面抗原、肝功能（血清谷丙转氨酶、血清谷草转氨酶、白蛋白、总胆红素、结合胆红素、肾功能（血清肌酐、血尿素、血钾浓度、血钠浓度）、血脂（总胆固醇、甘油三酯、血清低密度脂蛋白胆固醇、血清高密度脂蛋白胆固醇）、胸部X线片、腹部B超，其他部位B超和宫颈涂片；生活方式调查，如体育锻炼（锻炼频度、锻炼时间、锻炼方式）、饮食习惯、吸烟情况（吸烟状况、日吸烟量、开始吸烟年龄、戒烟年龄）、饮酒情况（饮酒频率、日饮酒量、是否戒酒、开始饮酒年龄、最近一年内是否醉酒、饮酒种类）、职业病危险因素接触史 （是否有接触、针对不同种类毒物是否有防护）等；</w:t>
      </w:r>
      <w:bookmarkStart w:id="0" w:name="_Toc14638613"/>
      <w:r>
        <w:rPr>
          <w:rFonts w:hint="eastAsia" w:ascii="仿宋_GB2312" w:hAnsi="仿宋_GB2312" w:eastAsia="仿宋_GB2312" w:cs="仿宋_GB2312"/>
          <w:sz w:val="28"/>
          <w:szCs w:val="28"/>
        </w:rPr>
        <w:t>现存主要健康问题</w:t>
      </w:r>
      <w:bookmarkEnd w:id="0"/>
      <w:r>
        <w:rPr>
          <w:rFonts w:hint="eastAsia" w:ascii="仿宋_GB2312" w:hAnsi="仿宋_GB2312" w:eastAsia="仿宋_GB2312" w:cs="仿宋_GB2312"/>
          <w:sz w:val="28"/>
          <w:szCs w:val="28"/>
        </w:rPr>
        <w:t>，如脑血管疾病（缺血性脑卒中、脑出血、蛛网膜下腔出血、短暂性脑缺血发作、未发现、其他）、肾脏疾病（糖尿病肾病、肾功能衰竭、急性肾炎、慢性肾炎、未发现、其他）、心脏疾病（心肌梗死、心绞痛、冠状动脉血运重建、充血性心力衰竭、心前区疼痛、未发现、其他）、血管疾病（夹层动脉瘤、动脉闭塞性疾病、未发现、其他）、眼部疾病（视网膜出血或渗出、视乳头水肿、白内障、未发现、其他）、神经系统疾病、其他疾病等；住院治疗情况；用药情况；以及非免疫规范预防接种史等。</w:t>
      </w:r>
    </w:p>
    <w:p>
      <w:pPr>
        <w:pStyle w:val="17"/>
        <w:numPr>
          <w:ilvl w:val="0"/>
          <w:numId w:val="0"/>
        </w:numPr>
        <w:spacing w:before="156" w:after="156"/>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涉及到的备选项目根据当地传染性疾病和慢性病分布特征进行选择，包括括糖尿病、高血压、冠心病、肥胖、肺结核、脂肪肝、缺铁性贫血、高脂血症、肺心病、胆囊炎、胆结石、胆囊息肉、甘油三酯增高、窦性心律不齐、肾结石、慢支、屈光不正、心率失常、忧郁症、精神障碍等内容。同时，针对65岁以上的老年人，进行</w:t>
      </w:r>
      <w:bookmarkStart w:id="1" w:name="_Toc14638611"/>
      <w:r>
        <w:rPr>
          <w:rFonts w:hint="eastAsia" w:ascii="仿宋_GB2312" w:hAnsi="仿宋_GB2312" w:eastAsia="仿宋_GB2312" w:cs="仿宋_GB2312"/>
          <w:sz w:val="28"/>
          <w:szCs w:val="28"/>
        </w:rPr>
        <w:t>老年人自我评估</w:t>
      </w:r>
      <w:bookmarkEnd w:id="1"/>
      <w:r>
        <w:rPr>
          <w:rFonts w:hint="eastAsia" w:ascii="仿宋_GB2312" w:hAnsi="仿宋_GB2312" w:eastAsia="仿宋_GB2312" w:cs="仿宋_GB2312"/>
          <w:sz w:val="28"/>
          <w:szCs w:val="28"/>
        </w:rPr>
        <w:t>包括、健康状况自我评估、生活自理能力自我评估、认知能力评估和情感状态评估。</w:t>
      </w:r>
    </w:p>
    <w:p>
      <w:pPr>
        <w:pStyle w:val="17"/>
        <w:numPr>
          <w:ilvl w:val="0"/>
          <w:numId w:val="0"/>
        </w:numPr>
        <w:spacing w:before="156" w:after="156"/>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以上所有检查项目在我国均已有成型的检查方法、方式、仪器/设备、标准等，</w:t>
      </w:r>
      <w:r>
        <w:rPr>
          <w:rFonts w:ascii="仿宋_GB2312" w:hAnsi="仿宋_GB2312" w:eastAsia="仿宋_GB2312" w:cs="仿宋_GB2312"/>
          <w:sz w:val="28"/>
          <w:szCs w:val="28"/>
        </w:rPr>
        <w:t>体检采用的技术方法或手段</w:t>
      </w:r>
      <w:r>
        <w:rPr>
          <w:rFonts w:hint="eastAsia" w:ascii="仿宋_GB2312" w:hAnsi="仿宋_GB2312" w:eastAsia="仿宋_GB2312" w:cs="仿宋_GB2312"/>
          <w:sz w:val="28"/>
          <w:szCs w:val="28"/>
        </w:rPr>
        <w:t>不仅</w:t>
      </w:r>
      <w:r>
        <w:rPr>
          <w:rFonts w:ascii="仿宋_GB2312" w:hAnsi="仿宋_GB2312" w:eastAsia="仿宋_GB2312" w:cs="仿宋_GB2312"/>
          <w:sz w:val="28"/>
          <w:szCs w:val="28"/>
        </w:rPr>
        <w:t>科学适宜</w:t>
      </w:r>
      <w:r>
        <w:rPr>
          <w:rFonts w:hint="eastAsia" w:ascii="仿宋_GB2312" w:hAnsi="仿宋_GB2312" w:eastAsia="仿宋_GB2312" w:cs="仿宋_GB2312"/>
          <w:sz w:val="28"/>
          <w:szCs w:val="28"/>
        </w:rPr>
        <w:t>，同时</w:t>
      </w:r>
      <w:r>
        <w:rPr>
          <w:rFonts w:ascii="仿宋_GB2312" w:hAnsi="仿宋_GB2312" w:eastAsia="仿宋_GB2312" w:cs="仿宋_GB2312"/>
          <w:sz w:val="28"/>
          <w:szCs w:val="28"/>
        </w:rPr>
        <w:t>有很好的可及性和可接受性</w:t>
      </w:r>
      <w:r>
        <w:rPr>
          <w:rFonts w:hint="eastAsia" w:ascii="仿宋_GB2312" w:hAnsi="仿宋_GB2312" w:eastAsia="仿宋_GB2312" w:cs="仿宋_GB2312"/>
          <w:sz w:val="28"/>
          <w:szCs w:val="28"/>
        </w:rPr>
        <w:t>。</w:t>
      </w:r>
    </w:p>
    <w:p>
      <w:pPr>
        <w:autoSpaceDE w:val="0"/>
        <w:autoSpaceDN w:val="0"/>
        <w:spacing w:beforeLines="50" w:afterLines="50" w:line="360" w:lineRule="auto"/>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四、标准涉及的相关知识产权说明</w:t>
      </w:r>
    </w:p>
    <w:p>
      <w:pPr>
        <w:autoSpaceDE w:val="0"/>
        <w:autoSpaceDN w:val="0"/>
        <w:spacing w:beforeLines="50" w:afterLines="50" w:line="360" w:lineRule="auto"/>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由于本标准中健康体检涉及到的各种检查项目均为已在全国开展多年的规范检查项目，并不涉及到需特别提及的项目，同时所引用的标准及文件也均为国家颁布，因此本标准不涉及到相关知识产权问题。</w:t>
      </w:r>
    </w:p>
    <w:p>
      <w:pPr>
        <w:autoSpaceDE w:val="0"/>
        <w:autoSpaceDN w:val="0"/>
        <w:spacing w:beforeLines="50" w:afterLines="50" w:line="360" w:lineRule="auto"/>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五、采用国际标准的程度与水平的简要说明</w:t>
      </w:r>
    </w:p>
    <w:p>
      <w:pPr>
        <w:autoSpaceDE w:val="0"/>
        <w:autoSpaceDN w:val="0"/>
        <w:spacing w:beforeLines="50" w:afterLines="50" w:line="360" w:lineRule="auto"/>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由于农村居民为我国特有人群的称谓，因此国际上并无同类的相关标准。</w:t>
      </w:r>
    </w:p>
    <w:p>
      <w:pPr>
        <w:autoSpaceDE w:val="0"/>
        <w:autoSpaceDN w:val="0"/>
        <w:spacing w:beforeLines="50" w:afterLines="50" w:line="360" w:lineRule="auto"/>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六、重大意见分歧的处理经过和依据</w:t>
      </w:r>
    </w:p>
    <w:p>
      <w:pPr>
        <w:autoSpaceDE w:val="0"/>
        <w:autoSpaceDN w:val="0"/>
        <w:spacing w:beforeLines="50" w:afterLines="50" w:line="360" w:lineRule="auto"/>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无。</w:t>
      </w:r>
    </w:p>
    <w:p>
      <w:pPr>
        <w:spacing w:beforeLines="50" w:afterLines="50" w:line="360" w:lineRule="auto"/>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七、其他应予说明的事项</w:t>
      </w:r>
    </w:p>
    <w:p>
      <w:pPr>
        <w:spacing w:beforeLines="50" w:afterLines="50" w:line="360" w:lineRule="auto"/>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本标准仅针对健康体检标准进行规范，而对并未针对健康体检收集而来的各项数据再进一步进行分析使用，从而对个体或群体出具健康处方。由于健康管理和健康体检在内容和本质上有较大的差别，因此不在本标准中涉及详细健康管理内容。</w:t>
      </w:r>
    </w:p>
    <w:p>
      <w:pPr>
        <w:rPr>
          <w:sz w:val="28"/>
          <w:szCs w:val="28"/>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1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7"/>
      <w:suff w:val="nothing"/>
      <w:lvlText w:val="%1.%2　"/>
      <w:lvlJc w:val="left"/>
      <w:pPr>
        <w:ind w:left="1701"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9"/>
      <w:suff w:val="nothing"/>
      <w:lvlText w:val="%1.%2.%3　"/>
      <w:lvlJc w:val="left"/>
      <w:pPr>
        <w:ind w:left="709" w:firstLine="0"/>
      </w:pPr>
      <w:rPr>
        <w:rFonts w:hint="eastAsia" w:ascii="宋体" w:hAnsi="宋体" w:eastAsia="宋体"/>
        <w:b w:val="0"/>
        <w:i w:val="0"/>
        <w:sz w:val="21"/>
      </w:rPr>
    </w:lvl>
    <w:lvl w:ilvl="3" w:tentative="0">
      <w:start w:val="1"/>
      <w:numFmt w:val="decimal"/>
      <w:pStyle w:val="20"/>
      <w:suff w:val="nothing"/>
      <w:lvlText w:val="%1.%2.%3.%4　"/>
      <w:lvlJc w:val="left"/>
      <w:pPr>
        <w:ind w:left="-567" w:firstLine="0"/>
      </w:pPr>
      <w:rPr>
        <w:rFonts w:hint="eastAsia" w:ascii="黑体" w:hAnsi="Times New Roman" w:eastAsia="黑体"/>
        <w:b w:val="0"/>
        <w:i w:val="0"/>
        <w:sz w:val="21"/>
      </w:rPr>
    </w:lvl>
    <w:lvl w:ilvl="4" w:tentative="0">
      <w:start w:val="1"/>
      <w:numFmt w:val="decimal"/>
      <w:pStyle w:val="21"/>
      <w:suff w:val="nothing"/>
      <w:lvlText w:val="%1.%2.%3.%4.%5　"/>
      <w:lvlJc w:val="left"/>
      <w:pPr>
        <w:ind w:left="-567" w:firstLine="0"/>
      </w:pPr>
      <w:rPr>
        <w:rFonts w:hint="eastAsia" w:ascii="黑体" w:hAnsi="Times New Roman" w:eastAsia="黑体"/>
        <w:b w:val="0"/>
        <w:i w:val="0"/>
        <w:sz w:val="21"/>
      </w:rPr>
    </w:lvl>
    <w:lvl w:ilvl="5" w:tentative="0">
      <w:start w:val="1"/>
      <w:numFmt w:val="decimal"/>
      <w:pStyle w:val="22"/>
      <w:suff w:val="nothing"/>
      <w:lvlText w:val="%1.%2.%3.%4.%5.%6　"/>
      <w:lvlJc w:val="left"/>
      <w:pPr>
        <w:ind w:left="-567" w:firstLine="0"/>
      </w:pPr>
      <w:rPr>
        <w:rFonts w:hint="eastAsia" w:ascii="黑体" w:hAnsi="Times New Roman" w:eastAsia="黑体"/>
        <w:b w:val="0"/>
        <w:i w:val="0"/>
        <w:sz w:val="21"/>
      </w:rPr>
    </w:lvl>
    <w:lvl w:ilvl="6" w:tentative="0">
      <w:start w:val="1"/>
      <w:numFmt w:val="decimal"/>
      <w:suff w:val="nothing"/>
      <w:lvlText w:val="%1%2.%3.%4.%5.%6.%7　"/>
      <w:lvlJc w:val="left"/>
      <w:pPr>
        <w:ind w:left="-567" w:firstLine="0"/>
      </w:pPr>
      <w:rPr>
        <w:rFonts w:hint="eastAsia" w:ascii="黑体" w:hAnsi="Times New Roman" w:eastAsia="黑体"/>
        <w:b w:val="0"/>
        <w:i w:val="0"/>
        <w:sz w:val="21"/>
      </w:rPr>
    </w:lvl>
    <w:lvl w:ilvl="7" w:tentative="0">
      <w:start w:val="1"/>
      <w:numFmt w:val="decimal"/>
      <w:lvlText w:val="%1.%2.%3.%4.%5.%6.%7.%8"/>
      <w:lvlJc w:val="left"/>
      <w:pPr>
        <w:tabs>
          <w:tab w:val="left" w:pos="3784"/>
        </w:tabs>
        <w:ind w:left="3402" w:hanging="1418"/>
      </w:pPr>
      <w:rPr>
        <w:rFonts w:hint="eastAsia"/>
      </w:rPr>
    </w:lvl>
    <w:lvl w:ilvl="8" w:tentative="0">
      <w:start w:val="1"/>
      <w:numFmt w:val="decimal"/>
      <w:lvlText w:val="%1.%2.%3.%4.%5.%6.%7.%8.%9"/>
      <w:lvlJc w:val="left"/>
      <w:pPr>
        <w:tabs>
          <w:tab w:val="left" w:pos="4210"/>
        </w:tabs>
        <w:ind w:left="4110"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E6FA1"/>
    <w:rsid w:val="00002276"/>
    <w:rsid w:val="000051ED"/>
    <w:rsid w:val="00035271"/>
    <w:rsid w:val="00167F1E"/>
    <w:rsid w:val="001E27BC"/>
    <w:rsid w:val="001F6B10"/>
    <w:rsid w:val="00215ECC"/>
    <w:rsid w:val="002374C4"/>
    <w:rsid w:val="00244ECE"/>
    <w:rsid w:val="00271FE3"/>
    <w:rsid w:val="00283E06"/>
    <w:rsid w:val="002871BC"/>
    <w:rsid w:val="002D43C1"/>
    <w:rsid w:val="002E0C98"/>
    <w:rsid w:val="002F728F"/>
    <w:rsid w:val="003278A1"/>
    <w:rsid w:val="00335AAA"/>
    <w:rsid w:val="00343CBB"/>
    <w:rsid w:val="00382B78"/>
    <w:rsid w:val="003A589C"/>
    <w:rsid w:val="003B29E8"/>
    <w:rsid w:val="003C7CE1"/>
    <w:rsid w:val="00430A2C"/>
    <w:rsid w:val="0043261E"/>
    <w:rsid w:val="004A6A37"/>
    <w:rsid w:val="004C0E94"/>
    <w:rsid w:val="004C630D"/>
    <w:rsid w:val="004D0CB7"/>
    <w:rsid w:val="004D237F"/>
    <w:rsid w:val="004E2AE2"/>
    <w:rsid w:val="00531B96"/>
    <w:rsid w:val="00540B9B"/>
    <w:rsid w:val="005559A5"/>
    <w:rsid w:val="005A30DA"/>
    <w:rsid w:val="005B267C"/>
    <w:rsid w:val="005C2774"/>
    <w:rsid w:val="005D78D7"/>
    <w:rsid w:val="005E51FC"/>
    <w:rsid w:val="00606488"/>
    <w:rsid w:val="00631B43"/>
    <w:rsid w:val="00646A14"/>
    <w:rsid w:val="006605EB"/>
    <w:rsid w:val="00677339"/>
    <w:rsid w:val="006A0049"/>
    <w:rsid w:val="006A0712"/>
    <w:rsid w:val="006B7992"/>
    <w:rsid w:val="006D28B7"/>
    <w:rsid w:val="006F0884"/>
    <w:rsid w:val="006F104E"/>
    <w:rsid w:val="006F6D98"/>
    <w:rsid w:val="00703BC5"/>
    <w:rsid w:val="007126B0"/>
    <w:rsid w:val="007678E1"/>
    <w:rsid w:val="00787FCA"/>
    <w:rsid w:val="007A2EA9"/>
    <w:rsid w:val="007F5F88"/>
    <w:rsid w:val="00873D88"/>
    <w:rsid w:val="00873E8B"/>
    <w:rsid w:val="00877587"/>
    <w:rsid w:val="008976F9"/>
    <w:rsid w:val="008B16EA"/>
    <w:rsid w:val="008B619D"/>
    <w:rsid w:val="00953361"/>
    <w:rsid w:val="009B1B12"/>
    <w:rsid w:val="009F2296"/>
    <w:rsid w:val="00A012A3"/>
    <w:rsid w:val="00A26640"/>
    <w:rsid w:val="00A575A1"/>
    <w:rsid w:val="00A75957"/>
    <w:rsid w:val="00A95305"/>
    <w:rsid w:val="00AC266B"/>
    <w:rsid w:val="00AF1421"/>
    <w:rsid w:val="00B42A71"/>
    <w:rsid w:val="00B834D2"/>
    <w:rsid w:val="00BF4B39"/>
    <w:rsid w:val="00C11223"/>
    <w:rsid w:val="00C1461A"/>
    <w:rsid w:val="00C94CBC"/>
    <w:rsid w:val="00CB7E11"/>
    <w:rsid w:val="00CC680A"/>
    <w:rsid w:val="00CD1276"/>
    <w:rsid w:val="00CD780E"/>
    <w:rsid w:val="00CE6F36"/>
    <w:rsid w:val="00D234C4"/>
    <w:rsid w:val="00D3316C"/>
    <w:rsid w:val="00D4627F"/>
    <w:rsid w:val="00DA651C"/>
    <w:rsid w:val="00DE323B"/>
    <w:rsid w:val="00DE6FA1"/>
    <w:rsid w:val="00DF1AC5"/>
    <w:rsid w:val="00E00951"/>
    <w:rsid w:val="00E22F90"/>
    <w:rsid w:val="00E61FEB"/>
    <w:rsid w:val="00F02624"/>
    <w:rsid w:val="00F13215"/>
    <w:rsid w:val="00F45D80"/>
    <w:rsid w:val="00F729F9"/>
    <w:rsid w:val="00F91BF9"/>
    <w:rsid w:val="62D60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0"/>
    <w:semiHidden/>
    <w:unhideWhenUsed/>
    <w:uiPriority w:val="99"/>
  </w:style>
  <w:style w:type="paragraph" w:styleId="3">
    <w:name w:val="Balloon Text"/>
    <w:basedOn w:val="1"/>
    <w:link w:val="12"/>
    <w:semiHidden/>
    <w:unhideWhenUsed/>
    <w:uiPriority w:val="99"/>
    <w:pPr>
      <w:spacing w:after="0"/>
    </w:pPr>
    <w:rPr>
      <w:sz w:val="18"/>
      <w:szCs w:val="18"/>
    </w:rPr>
  </w:style>
  <w:style w:type="paragraph" w:styleId="4">
    <w:name w:val="footer"/>
    <w:basedOn w:val="1"/>
    <w:link w:val="14"/>
    <w:semiHidden/>
    <w:unhideWhenUsed/>
    <w:qFormat/>
    <w:uiPriority w:val="99"/>
    <w:pPr>
      <w:tabs>
        <w:tab w:val="center" w:pos="4153"/>
        <w:tab w:val="right" w:pos="8306"/>
      </w:tabs>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annotation subject"/>
    <w:basedOn w:val="2"/>
    <w:next w:val="2"/>
    <w:link w:val="11"/>
    <w:semiHidden/>
    <w:unhideWhenUsed/>
    <w:qFormat/>
    <w:uiPriority w:val="99"/>
    <w:rPr>
      <w:b/>
      <w:bCs/>
    </w:rPr>
  </w:style>
  <w:style w:type="character" w:styleId="9">
    <w:name w:val="annotation reference"/>
    <w:basedOn w:val="8"/>
    <w:semiHidden/>
    <w:unhideWhenUsed/>
    <w:uiPriority w:val="99"/>
    <w:rPr>
      <w:sz w:val="21"/>
      <w:szCs w:val="21"/>
    </w:rPr>
  </w:style>
  <w:style w:type="character" w:customStyle="1" w:styleId="10">
    <w:name w:val="批注文字 Char"/>
    <w:basedOn w:val="8"/>
    <w:link w:val="2"/>
    <w:semiHidden/>
    <w:uiPriority w:val="99"/>
    <w:rPr>
      <w:rFonts w:ascii="Tahoma" w:hAnsi="Tahoma" w:eastAsia="微软雅黑" w:cs="Times New Roman"/>
      <w:kern w:val="0"/>
      <w:sz w:val="22"/>
    </w:rPr>
  </w:style>
  <w:style w:type="character" w:customStyle="1" w:styleId="11">
    <w:name w:val="批注主题 Char"/>
    <w:basedOn w:val="10"/>
    <w:link w:val="6"/>
    <w:semiHidden/>
    <w:uiPriority w:val="99"/>
    <w:rPr>
      <w:b/>
      <w:bCs/>
    </w:rPr>
  </w:style>
  <w:style w:type="character" w:customStyle="1" w:styleId="12">
    <w:name w:val="批注框文本 Char"/>
    <w:basedOn w:val="8"/>
    <w:link w:val="3"/>
    <w:semiHidden/>
    <w:qFormat/>
    <w:uiPriority w:val="99"/>
    <w:rPr>
      <w:rFonts w:ascii="Tahoma" w:hAnsi="Tahoma" w:eastAsia="微软雅黑" w:cs="Times New Roman"/>
      <w:kern w:val="0"/>
      <w:sz w:val="18"/>
      <w:szCs w:val="18"/>
    </w:rPr>
  </w:style>
  <w:style w:type="character" w:customStyle="1" w:styleId="13">
    <w:name w:val="页眉 Char"/>
    <w:basedOn w:val="8"/>
    <w:link w:val="5"/>
    <w:semiHidden/>
    <w:qFormat/>
    <w:uiPriority w:val="99"/>
    <w:rPr>
      <w:rFonts w:ascii="Tahoma" w:hAnsi="Tahoma" w:eastAsia="微软雅黑" w:cs="Times New Roman"/>
      <w:kern w:val="0"/>
      <w:sz w:val="18"/>
      <w:szCs w:val="18"/>
    </w:rPr>
  </w:style>
  <w:style w:type="character" w:customStyle="1" w:styleId="14">
    <w:name w:val="页脚 Char"/>
    <w:basedOn w:val="8"/>
    <w:link w:val="4"/>
    <w:semiHidden/>
    <w:qFormat/>
    <w:uiPriority w:val="99"/>
    <w:rPr>
      <w:rFonts w:ascii="Tahoma" w:hAnsi="Tahoma" w:eastAsia="微软雅黑" w:cs="Times New Roman"/>
      <w:kern w:val="0"/>
      <w:sz w:val="18"/>
      <w:szCs w:val="18"/>
    </w:rPr>
  </w:style>
  <w:style w:type="paragraph" w:customStyle="1" w:styleId="15">
    <w:name w:val="段"/>
    <w:link w:val="1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16">
    <w:name w:val="段 Char"/>
    <w:basedOn w:val="8"/>
    <w:link w:val="15"/>
    <w:qFormat/>
    <w:uiPriority w:val="0"/>
    <w:rPr>
      <w:rFonts w:ascii="宋体" w:hAnsi="Times New Roman" w:eastAsia="宋体" w:cs="Times New Roman"/>
      <w:kern w:val="0"/>
      <w:szCs w:val="20"/>
    </w:rPr>
  </w:style>
  <w:style w:type="paragraph" w:customStyle="1" w:styleId="17">
    <w:name w:val="一级条标题"/>
    <w:next w:val="15"/>
    <w:qFormat/>
    <w:uiPriority w:val="0"/>
    <w:pPr>
      <w:numPr>
        <w:ilvl w:val="1"/>
        <w:numId w:val="1"/>
      </w:numPr>
      <w:spacing w:beforeLines="50" w:afterLines="50"/>
      <w:ind w:left="993"/>
      <w:outlineLvl w:val="2"/>
    </w:pPr>
    <w:rPr>
      <w:rFonts w:ascii="黑体" w:hAnsi="Times New Roman" w:eastAsia="黑体" w:cs="Times New Roman"/>
      <w:kern w:val="0"/>
      <w:sz w:val="21"/>
      <w:szCs w:val="21"/>
      <w:lang w:val="en-US" w:eastAsia="zh-CN" w:bidi="ar-SA"/>
    </w:rPr>
  </w:style>
  <w:style w:type="paragraph" w:customStyle="1" w:styleId="18">
    <w:name w:val="章标题"/>
    <w:next w:val="15"/>
    <w:qFormat/>
    <w:uiPriority w:val="0"/>
    <w:pPr>
      <w:numPr>
        <w:ilvl w:val="0"/>
        <w:numId w:val="1"/>
      </w:num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19">
    <w:name w:val="二级条标题"/>
    <w:basedOn w:val="17"/>
    <w:next w:val="15"/>
    <w:qFormat/>
    <w:uiPriority w:val="0"/>
    <w:pPr>
      <w:numPr>
        <w:ilvl w:val="2"/>
      </w:numPr>
      <w:spacing w:before="50" w:after="50"/>
      <w:ind w:left="0"/>
      <w:outlineLvl w:val="3"/>
    </w:pPr>
  </w:style>
  <w:style w:type="paragraph" w:customStyle="1" w:styleId="20">
    <w:name w:val="三级条标题"/>
    <w:basedOn w:val="19"/>
    <w:next w:val="15"/>
    <w:qFormat/>
    <w:uiPriority w:val="0"/>
    <w:pPr>
      <w:numPr>
        <w:ilvl w:val="3"/>
      </w:numPr>
      <w:outlineLvl w:val="4"/>
    </w:pPr>
  </w:style>
  <w:style w:type="paragraph" w:customStyle="1" w:styleId="21">
    <w:name w:val="四级条标题"/>
    <w:basedOn w:val="20"/>
    <w:next w:val="15"/>
    <w:qFormat/>
    <w:uiPriority w:val="0"/>
    <w:pPr>
      <w:numPr>
        <w:ilvl w:val="4"/>
      </w:numPr>
      <w:outlineLvl w:val="5"/>
    </w:pPr>
  </w:style>
  <w:style w:type="paragraph" w:customStyle="1" w:styleId="22">
    <w:name w:val="五级条标题"/>
    <w:basedOn w:val="21"/>
    <w:next w:val="15"/>
    <w:qFormat/>
    <w:uiPriority w:val="0"/>
    <w:pPr>
      <w:numPr>
        <w:ilvl w:val="5"/>
      </w:numPr>
      <w:outlineLvl w:val="6"/>
    </w:pPr>
  </w:style>
  <w:style w:type="paragraph" w:customStyle="1" w:styleId="23">
    <w:name w:val="标准书眉_奇数页"/>
    <w:next w:val="1"/>
    <w:qFormat/>
    <w:uiPriority w:val="0"/>
    <w:pPr>
      <w:tabs>
        <w:tab w:val="center" w:pos="4154"/>
        <w:tab w:val="right" w:pos="8306"/>
      </w:tabs>
      <w:spacing w:after="220"/>
      <w:jc w:val="right"/>
    </w:pPr>
    <w:rPr>
      <w:rFonts w:ascii="黑体" w:hAnsi="Times New Roman" w:eastAsia="黑体" w:cs="Times New Roman"/>
      <w:kern w:val="0"/>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Xinjiang Wusu Brewery Co., Ltd</Company>
  <Pages>7</Pages>
  <Words>450</Words>
  <Characters>2571</Characters>
  <Lines>21</Lines>
  <Paragraphs>6</Paragraphs>
  <TotalTime>437</TotalTime>
  <ScaleCrop>false</ScaleCrop>
  <LinksUpToDate>false</LinksUpToDate>
  <CharactersWithSpaces>3015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2019-08-28T14:34:00Z</dcterms:created>
  <dc:creator>王嘉</dc:creator>
  <cp:lastModifiedBy>zjj</cp:lastModifiedBy>
  <dcterms:modified xsi:type="dcterms:W3CDTF">2019-09-02T04:38:21Z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