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84FD4">
      <w:pPr>
        <w:pStyle w:val="122"/>
        <w:rPr>
          <w:rFonts w:ascii="Times New Roman"/>
        </w:rPr>
      </w:pPr>
      <w:r>
        <w:rPr>
          <w:rFonts w:ascii="Times New Roman"/>
        </w:rPr>
        <w:t>ICS</w:t>
      </w:r>
      <w:r>
        <w:rPr>
          <w:rFonts w:hint="eastAsia" w:ascii="MS Mincho" w:hAnsi="MS Mincho" w:eastAsia="MS Mincho"/>
        </w:rPr>
        <w:t> </w:t>
      </w:r>
      <w:r>
        <w:rPr>
          <w:rFonts w:hint="eastAsia"/>
        </w:rPr>
        <w:t>67.080.20</w:t>
      </w:r>
    </w:p>
    <w:p w14:paraId="61503F6F">
      <w:pPr>
        <w:pStyle w:val="122"/>
        <w:rPr>
          <w:rFonts w:hint="eastAsia"/>
        </w:rPr>
      </w:pPr>
      <w:bookmarkStart w:id="0" w:name="WXFLH"/>
      <w:r>
        <w:rPr>
          <w:rFonts w:hint="eastAsia"/>
        </w:rPr>
        <w:t xml:space="preserve">B 31 </w:t>
      </w:r>
      <w:r>
        <w:fldChar w:fldCharType="begin"/>
      </w:r>
      <w:r>
        <w:instrText xml:space="preserve"> FORMTEXT </w:instrText>
      </w:r>
      <w:r>
        <w:fldChar w:fldCharType="separate"/>
      </w:r>
      <w:r>
        <w:rPr>
          <w:rFonts w:hint="eastAsia"/>
        </w:rPr>
        <w:t>点击此处添加中国标准文献分类号</w:t>
      </w:r>
      <w:r>
        <w:fldChar w:fldCharType="end"/>
      </w:r>
      <w:bookmarkEnd w:id="0"/>
    </w:p>
    <w:tbl>
      <w:tblPr>
        <w:tblStyle w:val="3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4"/>
      </w:tblGrid>
      <w:tr w14:paraId="419F3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54" w:type="dxa"/>
            <w:vAlign w:val="top"/>
          </w:tcPr>
          <w:p w14:paraId="6ABC718B">
            <w:pPr>
              <w:pStyle w:val="122"/>
            </w:pPr>
            <w:r>
              <mc:AlternateContent>
                <mc:Choice Requires="wps">
                  <w:drawing>
                    <wp:anchor distT="0" distB="0" distL="0" distR="0" simplePos="0" relativeHeight="251660288" behindDoc="1" locked="0" layoutInCell="1" allowOverlap="1">
                      <wp:simplePos x="0" y="0"/>
                      <wp:positionH relativeFrom="column">
                        <wp:posOffset>-66675</wp:posOffset>
                      </wp:positionH>
                      <wp:positionV relativeFrom="paragraph">
                        <wp:posOffset>0</wp:posOffset>
                      </wp:positionV>
                      <wp:extent cx="866775" cy="198120"/>
                      <wp:effectExtent l="0" t="0" r="1905" b="0"/>
                      <wp:wrapNone/>
                      <wp:docPr id="1" name="_x0000_s1045"/>
                      <wp:cNvGraphicFramePr/>
                      <a:graphic xmlns:a="http://schemas.openxmlformats.org/drawingml/2006/main">
                        <a:graphicData uri="http://schemas.microsoft.com/office/word/2010/wordprocessingShape">
                          <wps:wsp>
                            <wps:cNvSpPr/>
                            <wps:spPr>
                              <a:xfrm>
                                <a:off x="0" y="0"/>
                                <a:ext cx="866775" cy="198120"/>
                              </a:xfrm>
                              <a:prstGeom prst="rect">
                                <a:avLst/>
                              </a:prstGeom>
                              <a:solidFill>
                                <a:prstClr val="white"/>
                              </a:solidFill>
                            </wps:spPr>
                            <wps:bodyPr rot="0" vert="horz" wrap="square" lIns="91440" tIns="45720" rIns="91440" bIns="45720" anchor="t" anchorCtr="0"/>
                          </wps:wsp>
                        </a:graphicData>
                      </a:graphic>
                    </wp:anchor>
                  </w:drawing>
                </mc:Choice>
                <mc:Fallback>
                  <w:pict>
                    <v:rect id="_x0000_s1045" o:spid="_x0000_s1026" o:spt="1" style="position:absolute;left:0pt;margin-left:-5.25pt;margin-top:0pt;height:15.6pt;width:68.25pt;z-index:-251656192;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Iri/s1QAAAAcBAAAPAAAAAAAAAAEAIAAAACIA&#10;AABkcnMvZG93bnJldi54bWxQSwECFAAUAAAACACHTuJAR4podNMBAACsAwAADgAAAAAAAAABACAA&#10;AAAkAQAAZHJzL2Uyb0RvYy54bWxQSwUGAAAAAAYABgBZAQAAaQUAAAAA&#10;">
                      <v:fill on="t" focussize="0,0"/>
                      <v:stroke on="f"/>
                      <v:imagedata o:title=""/>
                      <o:lock v:ext="edit" aspectratio="f"/>
                    </v:rect>
                  </w:pict>
                </mc:Fallback>
              </mc:AlternateContent>
            </w:r>
            <w:r>
              <w:fldChar w:fldCharType="begin"/>
            </w:r>
            <w:bookmarkStart w:id="1" w:name="BAH"/>
            <w:r>
              <w:instrText xml:space="preserve"> FORMTEXT </w:instrText>
            </w:r>
            <w:r>
              <w:fldChar w:fldCharType="separate"/>
            </w:r>
            <w:r>
              <w:rPr>
                <w:rFonts w:hint="eastAsia"/>
              </w:rPr>
              <w:t>备案号：</w:t>
            </w:r>
            <w:r>
              <w:fldChar w:fldCharType="end"/>
            </w:r>
            <w:bookmarkEnd w:id="1"/>
          </w:p>
        </w:tc>
      </w:tr>
    </w:tbl>
    <w:p w14:paraId="71ECDC09">
      <w:pPr>
        <w:pStyle w:val="108"/>
        <w:wordWrap w:val="0"/>
        <w:rPr>
          <w:rFonts w:hint="eastAsia"/>
        </w:rPr>
      </w:pPr>
      <w:r>
        <w:rPr>
          <w:rFonts w:hint="eastAsia"/>
        </w:rPr>
        <w:t>T</w:t>
      </w:r>
      <w:r>
        <w:t>/</w:t>
      </w:r>
      <w:r>
        <w:rPr>
          <w:rFonts w:hint="eastAsia"/>
        </w:rPr>
        <w:t>FJBR</w:t>
      </w:r>
    </w:p>
    <w:p w14:paraId="64D543F3">
      <w:pPr>
        <w:pStyle w:val="109"/>
        <w:rPr>
          <w:rFonts w:hint="eastAsia"/>
          <w:sz w:val="72"/>
          <w:szCs w:val="72"/>
        </w:rPr>
      </w:pPr>
      <w:r>
        <w:rPr>
          <w:rFonts w:hint="eastAsia"/>
          <w:sz w:val="72"/>
          <w:szCs w:val="72"/>
        </w:rPr>
        <w:t>团体标</w:t>
      </w:r>
      <w:r>
        <w:rPr>
          <w:rFonts w:hint="eastAsia" w:ascii="Times New Roman" w:hAnsi="Times New Roman"/>
          <w:sz w:val="72"/>
          <w:szCs w:val="72"/>
        </w:rPr>
        <w:t>准</w:t>
      </w:r>
    </w:p>
    <w:p w14:paraId="5EA1146A">
      <w:pPr>
        <w:pStyle w:val="46"/>
        <w:rPr>
          <w:rFonts w:hint="eastAsia" w:ascii="Times New Roman"/>
        </w:rPr>
      </w:pPr>
      <w:r>
        <w:rPr>
          <w:rFonts w:hint="eastAsia" w:ascii="Times New Roman"/>
        </w:rPr>
        <w:t>T</w:t>
      </w:r>
      <w:r>
        <w:rPr>
          <w:rFonts w:ascii="Times New Roman"/>
        </w:rPr>
        <w:t>/</w:t>
      </w:r>
      <w:r>
        <w:rPr>
          <w:rFonts w:hint="eastAsia" w:ascii="Times New Roman"/>
        </w:rPr>
        <w:t>FJBR</w:t>
      </w:r>
      <w:r>
        <w:rPr>
          <w:rFonts w:hAnsi="黑体"/>
        </w:rPr>
        <w:t xml:space="preserve"> </w:t>
      </w:r>
      <w:r>
        <w:rPr>
          <w:rFonts w:hint="default" w:ascii="Arial" w:hAnsi="Arial" w:cs="Arial"/>
        </w:rPr>
        <w:t>×</w:t>
      </w:r>
      <w:r>
        <w:rPr>
          <w:rFonts w:hint="default" w:ascii="Arial" w:hAnsi="Arial" w:cs="Arial"/>
        </w:rPr>
        <w:t>××</w:t>
      </w:r>
      <w:r>
        <w:rPr>
          <w:rFonts w:hAnsi="黑体"/>
        </w:rPr>
        <w:t>—</w:t>
      </w:r>
      <w:r>
        <w:rPr>
          <w:rFonts w:hint="eastAsia" w:hAnsi="黑体"/>
        </w:rPr>
        <w:t>2026</w:t>
      </w:r>
    </w:p>
    <w:tbl>
      <w:tblPr>
        <w:tblStyle w:val="3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10EA4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356" w:type="dxa"/>
            <w:vAlign w:val="top"/>
          </w:tcPr>
          <w:p w14:paraId="1C552BD7">
            <w:pPr>
              <w:pStyle w:val="75"/>
            </w:pPr>
            <w:bookmarkStart w:id="2" w:name="DT"/>
            <w:r>
              <w:fldChar w:fldCharType="begin"/>
            </w:r>
            <w:r>
              <w:instrText xml:space="preserve"> FORMTEXT </w:instrText>
            </w:r>
            <w:r>
              <w:fldChar w:fldCharType="separate"/>
            </w:r>
            <w:r>
              <w:t>     </w:t>
            </w:r>
            <w:r>
              <w:fldChar w:fldCharType="end"/>
            </w:r>
            <w:bookmarkEnd w:id="2"/>
          </w:p>
        </w:tc>
      </w:tr>
    </w:tbl>
    <w:p w14:paraId="6BD8CB9B">
      <w:pPr>
        <w:pStyle w:val="46"/>
        <w:rPr>
          <w:rFonts w:hAnsi="黑体"/>
        </w:rPr>
      </w:pPr>
    </w:p>
    <w:p w14:paraId="6F9F4BA4">
      <w:pPr>
        <w:pStyle w:val="46"/>
        <w:rPr>
          <w:rFonts w:hAnsi="黑体"/>
        </w:rPr>
      </w:pPr>
    </w:p>
    <w:p w14:paraId="35A348E8">
      <w:pPr>
        <w:pStyle w:val="77"/>
        <w:rPr>
          <w:rFonts w:hint="eastAsia"/>
        </w:rPr>
      </w:pPr>
      <w:r>
        <w:rPr>
          <w:rFonts w:hint="eastAsia"/>
        </w:rPr>
        <w:t xml:space="preserve">地理标志证明商标产品质量要求 </w:t>
      </w:r>
    </w:p>
    <w:p w14:paraId="09FE5AD7">
      <w:pPr>
        <w:pStyle w:val="77"/>
        <w:rPr>
          <w:rFonts w:hint="eastAsia"/>
        </w:rPr>
      </w:pPr>
      <w:r>
        <w:rPr>
          <w:rFonts w:hint="eastAsia"/>
        </w:rPr>
        <w:t>漳浦大葱</w:t>
      </w:r>
    </w:p>
    <w:p w14:paraId="79A4BCEE">
      <w:pPr>
        <w:pStyle w:val="77"/>
        <w:rPr>
          <w:rFonts w:hint="eastAsia"/>
        </w:rPr>
      </w:pPr>
    </w:p>
    <w:p w14:paraId="47CA1799">
      <w:pPr>
        <w:pStyle w:val="78"/>
        <w:rPr>
          <w:rFonts w:hint="eastAsia"/>
        </w:rPr>
      </w:pPr>
      <w:r>
        <w:rPr>
          <w:rFonts w:hint="eastAsia"/>
        </w:rPr>
        <w:t xml:space="preserve">Geographical indication certification trademark products quality requirements </w:t>
      </w:r>
    </w:p>
    <w:p w14:paraId="539CBB04">
      <w:pPr>
        <w:pStyle w:val="26"/>
        <w:framePr w:w="9639" w:h="6917" w:wrap="around" w:vAnchor="page" w:hAnchor="page" w:xAlign="center" w:y="6408"/>
        <w:tabs>
          <w:tab w:val="clear" w:pos="4201"/>
          <w:tab w:val="clear" w:pos="9298"/>
        </w:tabs>
        <w:ind w:firstLine="3640" w:firstLineChars="1300"/>
        <w:rPr>
          <w:rFonts w:hint="eastAsia" w:ascii="Times New Roman"/>
          <w:sz w:val="28"/>
        </w:rPr>
      </w:pPr>
      <w:r>
        <w:rPr>
          <w:rFonts w:hint="eastAsia" w:ascii="Times New Roman"/>
          <w:sz w:val="28"/>
          <w:szCs w:val="28"/>
        </w:rPr>
        <w:t>Zhangpu</w:t>
      </w:r>
      <w:r>
        <w:rPr>
          <w:rFonts w:ascii="Times New Roman"/>
          <w:sz w:val="28"/>
          <w:szCs w:val="28"/>
        </w:rPr>
        <w:t xml:space="preserve"> </w:t>
      </w:r>
      <w:r>
        <w:rPr>
          <w:rFonts w:hint="eastAsia" w:ascii="Times New Roman" w:eastAsia="黑体"/>
          <w:sz w:val="28"/>
          <w:szCs w:val="28"/>
        </w:rPr>
        <w:t>welsh onion</w:t>
      </w:r>
    </w:p>
    <w:p w14:paraId="00F83602">
      <w:pPr>
        <w:pStyle w:val="26"/>
        <w:framePr w:w="9639" w:h="6917" w:wrap="around" w:vAnchor="page" w:hAnchor="page" w:xAlign="center" w:y="6408"/>
        <w:tabs>
          <w:tab w:val="clear" w:pos="4201"/>
          <w:tab w:val="clear" w:pos="9298"/>
        </w:tabs>
        <w:ind w:firstLine="3640" w:firstLineChars="1300"/>
        <w:rPr>
          <w:rFonts w:hint="eastAsia" w:ascii="Times New Roman"/>
          <w:sz w:val="28"/>
          <w:szCs w:val="28"/>
        </w:rPr>
      </w:pPr>
      <w:r>
        <w:rPr>
          <w:rFonts w:hint="eastAsia" w:ascii="Times New Roman"/>
          <w:sz w:val="28"/>
        </w:rPr>
        <w:t xml:space="preserve"> 征求意见稿</w:t>
      </w:r>
    </w:p>
    <w:p w14:paraId="123F8099">
      <w:pPr>
        <w:pStyle w:val="78"/>
        <w:jc w:val="both"/>
        <w:rPr>
          <w:rFonts w:hint="eastAsia"/>
        </w:rPr>
      </w:pPr>
    </w:p>
    <w:p w14:paraId="64EF823C">
      <w:pPr>
        <w:pStyle w:val="79"/>
        <w:rPr>
          <w:rFonts w:hint="eastAsia" w:ascii="黑体" w:hAnsi="黑体" w:eastAsia="黑体"/>
        </w:rPr>
      </w:pPr>
    </w:p>
    <w:tbl>
      <w:tblPr>
        <w:tblStyle w:val="3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6EE7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vAlign w:val="top"/>
          </w:tcPr>
          <w:p w14:paraId="7B7CC491">
            <w:pPr>
              <w:pStyle w:val="80"/>
            </w:pPr>
            <w:r>
              <mc:AlternateContent>
                <mc:Choice Requires="wps">
                  <w:drawing>
                    <wp:anchor distT="0" distB="0" distL="0" distR="0" simplePos="0" relativeHeight="251660288" behindDoc="1" locked="0" layoutInCell="1" allowOverlap="1">
                      <wp:simplePos x="0" y="0"/>
                      <wp:positionH relativeFrom="column">
                        <wp:posOffset>2200910</wp:posOffset>
                      </wp:positionH>
                      <wp:positionV relativeFrom="paragraph">
                        <wp:posOffset>4281805</wp:posOffset>
                      </wp:positionV>
                      <wp:extent cx="1905000" cy="254000"/>
                      <wp:effectExtent l="0" t="0" r="0" b="5080"/>
                      <wp:wrapNone/>
                      <wp:docPr id="2" name="_x0000_s1044"/>
                      <wp:cNvGraphicFramePr/>
                      <a:graphic xmlns:a="http://schemas.openxmlformats.org/drawingml/2006/main">
                        <a:graphicData uri="http://schemas.microsoft.com/office/word/2010/wordprocessingShape">
                          <wps:wsp>
                            <wps:cNvSpPr/>
                            <wps:spPr>
                              <a:xfrm>
                                <a:off x="0" y="0"/>
                                <a:ext cx="1905000" cy="254000"/>
                              </a:xfrm>
                              <a:prstGeom prst="rect">
                                <a:avLst/>
                              </a:prstGeom>
                              <a:solidFill>
                                <a:prstClr val="white"/>
                              </a:solidFill>
                            </wps:spPr>
                            <wps:bodyPr rot="0" vert="horz" wrap="square" lIns="91440" tIns="45720" rIns="91440" bIns="45720" anchor="t" anchorCtr="0"/>
                          </wps:wsp>
                        </a:graphicData>
                      </a:graphic>
                    </wp:anchor>
                  </w:drawing>
                </mc:Choice>
                <mc:Fallback>
                  <w:pict>
                    <v:rect id="_x0000_s1044" o:spid="_x0000_s1026" o:spt="1" style="position:absolute;left:0pt;margin-left:173.3pt;margin-top:337.15pt;height:20pt;width:150pt;z-index:-251656192;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&#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f1/fg1wAAAAsBAAAPAAAAAAAAAAEAIAAAACIAAABk&#10;cnMvZG93bnJldi54bWxQSwECFAAUAAAACACHTuJAzh6SHc4BAACtAwAADgAAAAAAAAABACAAAAAm&#10;AQAAZHJzL2Uyb0RvYy54bWxQSwUGAAAAAAYABgBZAQAAZgUAAAAA&#10;">
                      <v:fill on="t" focussize="0,0"/>
                      <v:stroke on="f"/>
                      <v:imagedata o:title=""/>
                      <o:lock v:ext="edit" aspectratio="f"/>
                    </v:rect>
                  </w:pict>
                </mc:Fallback>
              </mc:AlternateContent>
            </w:r>
            <w:r>
              <w:fldChar w:fldCharType="begin"/>
            </w:r>
            <w:bookmarkStart w:id="3" w:name="LB"/>
            <w:r>
              <w:instrText xml:space="preserve"> FORMDROPDOWN </w:instrText>
            </w:r>
            <w:r>
              <w:fldChar w:fldCharType="separate"/>
            </w:r>
            <w:r>
              <w:fldChar w:fldCharType="end"/>
            </w:r>
            <w:bookmarkEnd w:id="3"/>
          </w:p>
        </w:tc>
      </w:tr>
      <w:tr w14:paraId="50845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vAlign w:val="top"/>
          </w:tcPr>
          <w:p w14:paraId="27B82EC6">
            <w:pPr>
              <w:pStyle w:val="81"/>
            </w:pPr>
            <w:bookmarkStart w:id="4" w:name="WCRQ"/>
            <w:r>
              <w:fldChar w:fldCharType="begin"/>
            </w:r>
            <w:r>
              <w:instrText xml:space="preserve"> FORMTEXT </w:instrText>
            </w:r>
            <w:r>
              <w:fldChar w:fldCharType="separate"/>
            </w:r>
            <w:r>
              <w:t>     </w:t>
            </w:r>
            <w:r>
              <w:fldChar w:fldCharType="end"/>
            </w:r>
            <w:bookmarkEnd w:id="4"/>
          </w:p>
        </w:tc>
      </w:tr>
    </w:tbl>
    <w:p w14:paraId="4BAF6A41">
      <w:pPr>
        <w:pStyle w:val="129"/>
        <w:rPr>
          <w:rFonts w:hint="eastAsia" w:ascii="黑体"/>
        </w:rPr>
      </w:pPr>
      <w:r>
        <w:rPr>
          <w:rFonts w:hint="eastAsia" w:ascii="黑体"/>
        </w:rPr>
        <w:t>2026</w:t>
      </w:r>
      <w:r>
        <w:rPr>
          <w:rFonts w:ascii="黑体"/>
        </w:rPr>
        <w:t>-</w:t>
      </w:r>
      <w:r>
        <w:rPr>
          <w:rFonts w:hint="default" w:ascii="Arial" w:hAnsi="Arial" w:cs="Arial"/>
        </w:rPr>
        <w:t>×</w:t>
      </w:r>
      <w:r>
        <w:rPr>
          <w:rFonts w:hint="default" w:ascii="Arial" w:hAnsi="Arial" w:cs="Arial"/>
        </w:rPr>
        <w:t>×</w:t>
      </w:r>
      <w:r>
        <w:rPr>
          <w:rFonts w:ascii="黑体"/>
        </w:rPr>
        <w:t>-</w:t>
      </w:r>
      <w:r>
        <w:rPr>
          <w:rFonts w:hint="default" w:ascii="Arial" w:hAnsi="Arial" w:cs="Arial"/>
        </w:rPr>
        <w:t>××</w:t>
      </w:r>
      <w:r>
        <w:rPr>
          <w:rFonts w:hint="eastAsia"/>
        </w:rPr>
        <w:t>发布</w:t>
      </w: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ge">
                  <wp:posOffset>0</wp:posOffset>
                </wp:positionV>
                <wp:extent cx="6120130" cy="12700"/>
                <wp:effectExtent l="0" t="6350" r="6350" b="11430"/>
                <wp:wrapNone/>
                <wp:docPr id="3" name="_x0000_s1040"/>
                <wp:cNvGraphicFramePr/>
                <a:graphic xmlns:a="http://schemas.openxmlformats.org/drawingml/2006/main">
                  <a:graphicData uri="http://schemas.microsoft.com/office/word/2010/wordprocessingShape">
                    <wps:wsp>
                      <wps:cNvCnPr/>
                      <wps:spPr>
                        <a:xfrm>
                          <a:off x="-635" y="9251950"/>
                          <a:ext cx="6120130" cy="12700"/>
                        </a:xfrm>
                        <a:prstGeom prst="line">
                          <a:avLst/>
                        </a:prstGeom>
                        <a:solidFill>
                          <a:prstClr val="white"/>
                        </a:solidFill>
                        <a:ln w="12700">
                          <a:solidFill>
                            <a:prstClr val="white"/>
                          </a:solidFill>
                        </a:ln>
                      </wps:spPr>
                      <wps:bodyPr rot="0" vert="horz" wrap="square" lIns="91440" tIns="45720" rIns="91440" bIns="45720" anchor="t" anchorCtr="0"/>
                    </wps:wsp>
                  </a:graphicData>
                </a:graphic>
              </wp:anchor>
            </w:drawing>
          </mc:Choice>
          <mc:Fallback>
            <w:pict>
              <v:line id="_x0000_s1040" o:spid="_x0000_s1026" o:spt="20" style="position:absolute;left:0pt;margin-left:0pt;margin-top:0pt;height:1pt;width:481.9pt;mso-position-vertical-relative:page;z-index:251659264;mso-width-relative:page;mso-height-relative:page;" fillcolor="#FFFFFF" filled="t" stroked="t" coordsize="21600,21600" o:gfxdata="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NMrvtMAAAAD&#10;AQAADwAAAAAAAAABACAAAAAiAAAAZHJzL2Rvd25yZXYueG1sUEsBAhQAFAAAAAgAh07iQEAr/Jzo&#10;AQAA/wMAAA4AAAAAAAAAAQAgAAAAIgEAAGRycy9lMm9Eb2MueG1sUEsFBgAAAAAGAAYAWQEAAHwF&#10;AAAAAA==&#10;">
                <v:fill on="t" focussize="0,0"/>
                <v:stroke weight="1pt" color="#FFFFFF" joinstyle="round"/>
                <v:imagedata o:title=""/>
                <o:lock v:ext="edit" aspectratio="f"/>
              </v:line>
            </w:pict>
          </mc:Fallback>
        </mc:AlternateContent>
      </w:r>
    </w:p>
    <w:p w14:paraId="28F3C963">
      <w:pPr>
        <w:pStyle w:val="130"/>
        <w:rPr>
          <w:rFonts w:hint="eastAsia" w:ascii="黑体"/>
        </w:rPr>
      </w:pPr>
      <w:r>
        <w:rPr>
          <w:rFonts w:hint="eastAsia" w:ascii="黑体"/>
        </w:rPr>
        <w:t>2026</w:t>
      </w:r>
      <w:r>
        <w:rPr>
          <w:rFonts w:ascii="黑体"/>
        </w:rPr>
        <w:t>-</w:t>
      </w:r>
      <w:r>
        <w:rPr>
          <w:rFonts w:hint="default" w:ascii="Arial" w:hAnsi="Arial" w:cs="Arial"/>
        </w:rPr>
        <w:t>××</w:t>
      </w:r>
      <w:r>
        <w:rPr>
          <w:rFonts w:ascii="黑体"/>
        </w:rPr>
        <w:t>-</w:t>
      </w:r>
      <w:r>
        <w:rPr>
          <w:rFonts w:hint="default" w:ascii="Arial" w:hAnsi="Arial" w:cs="Arial"/>
        </w:rPr>
        <w:t>××</w:t>
      </w:r>
      <w:r>
        <w:rPr>
          <w:rFonts w:hint="eastAsia"/>
        </w:rPr>
        <w:t>实施</w:t>
      </w:r>
    </w:p>
    <w:p w14:paraId="56CB5585">
      <w:pPr>
        <w:pStyle w:val="110"/>
        <w:ind w:firstLine="420"/>
        <w:rPr>
          <w:w w:val="100"/>
        </w:rPr>
      </w:pPr>
      <w:bookmarkStart w:id="5" w:name="fm"/>
      <w:r>
        <w:rPr>
          <w:w w:val="100"/>
        </w:rPr>
        <mc:AlternateContent>
          <mc:Choice Requires="wps">
            <w:drawing>
              <wp:anchor distT="0" distB="0" distL="0" distR="0" simplePos="0" relativeHeight="251660288" behindDoc="1" locked="0" layoutInCell="1" allowOverlap="1">
                <wp:simplePos x="0" y="0"/>
                <wp:positionH relativeFrom="column">
                  <wp:posOffset>1810385</wp:posOffset>
                </wp:positionH>
                <wp:positionV relativeFrom="paragraph">
                  <wp:posOffset>-3942715</wp:posOffset>
                </wp:positionV>
                <wp:extent cx="1270000" cy="304800"/>
                <wp:effectExtent l="0" t="0" r="10160" b="0"/>
                <wp:wrapNone/>
                <wp:docPr id="4" name="_x0000_s1043"/>
                <wp:cNvGraphicFramePr/>
                <a:graphic xmlns:a="http://schemas.openxmlformats.org/drawingml/2006/main">
                  <a:graphicData uri="http://schemas.microsoft.com/office/word/2010/wordprocessingShape">
                    <wps:wsp>
                      <wps:cNvSpPr/>
                      <wps:spPr>
                        <a:xfrm>
                          <a:off x="0" y="0"/>
                          <a:ext cx="1270000" cy="304800"/>
                        </a:xfrm>
                        <a:prstGeom prst="rect">
                          <a:avLst/>
                        </a:prstGeom>
                        <a:solidFill>
                          <a:prstClr val="white"/>
                        </a:solidFill>
                      </wps:spPr>
                      <wps:bodyPr rot="0" vert="horz" wrap="square" lIns="91440" tIns="45720" rIns="91440" bIns="45720" anchor="t" anchorCtr="0"/>
                    </wps:wsp>
                  </a:graphicData>
                </a:graphic>
              </wp:anchor>
            </w:drawing>
          </mc:Choice>
          <mc:Fallback>
            <w:pict>
              <v:rect id="_x0000_s1043" o:spid="_x0000_s1026" o:spt="1" style="position:absolute;left:0pt;margin-left:142.55pt;margin-top:-310.45pt;height:24pt;width:100pt;z-index:-25165619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m17tbZAAAADQEAAA8AAAAAAAAAAQAgAAAAIgAA&#10;AGRycy9kb3ducmV2LnhtbFBLAQIUABQAAAAIAIdO4kDO4NQFzgEAAK0DAAAOAAAAAAAAAAEAIAAA&#10;ACgBAABkcnMvZTJvRG9jLnhtbFBLBQYAAAAABgAGAFkBAABoBQAAAAA=&#10;">
                <v:fill on="t" focussize="0,0"/>
                <v:stroke on="f"/>
                <v:imagedata o:title=""/>
                <o:lock v:ext="edit" aspectratio="f"/>
              </v:rect>
            </w:pict>
          </mc:Fallback>
        </mc:AlternateContent>
      </w:r>
      <w:r>
        <w:rPr>
          <w:w w:val="100"/>
        </w:rPr>
        <mc:AlternateContent>
          <mc:Choice Requires="wps">
            <w:drawing>
              <wp:anchor distT="0" distB="0" distL="0" distR="0" simplePos="0" relativeHeight="251661312"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5" name="_x0000_s1042"/>
                <wp:cNvGraphicFramePr/>
                <a:graphic xmlns:a="http://schemas.openxmlformats.org/drawingml/2006/main">
                  <a:graphicData uri="http://schemas.microsoft.com/office/word/2010/wordprocessingShape">
                    <wps:wsp>
                      <wps:cNvSpPr/>
                      <wps:spPr>
                        <a:xfrm>
                          <a:off x="0" y="0"/>
                          <a:ext cx="1143000" cy="228600"/>
                        </a:xfrm>
                        <a:prstGeom prst="rect">
                          <a:avLst/>
                        </a:prstGeom>
                        <a:solidFill>
                          <a:prstClr val="white"/>
                        </a:solidFill>
                      </wps:spPr>
                      <wps:bodyPr rot="0" vert="horz" wrap="square" lIns="91440" tIns="45720" rIns="91440" bIns="45720" anchor="t" anchorCtr="0"/>
                    </wps:wsp>
                  </a:graphicData>
                </a:graphic>
              </wp:anchor>
            </w:drawing>
          </mc:Choice>
          <mc:Fallback>
            <w:pict>
              <v:rect id="_x0000_s1042" o:spid="_x0000_s1026" o:spt="1" style="position:absolute;left:0pt;margin-left:347.55pt;margin-top:-585.45pt;height:18pt;width:90pt;z-index:-251655168;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38mKEdoAAAAPAQAADwAAAAAAAAABACAAAAAi&#10;AAAAZHJzL2Rvd25yZXYueG1sUEsBAhQAFAAAAAgAh07iQD310bbPAQAArQMAAA4AAAAAAAAAAQAg&#10;AAAAKQEAAGRycy9lMm9Eb2MueG1sUEsFBgAAAAAGAAYAWQEAAGoFAAAAAA==&#10;">
                <v:fill on="t" focussize="0,0"/>
                <v:stroke on="f"/>
                <v:imagedata o:title=""/>
                <o:lock v:ext="edit" aspectratio="f"/>
              </v:rect>
            </w:pict>
          </mc:Fallback>
        </mc:AlternateContent>
      </w:r>
      <w:r>
        <w:rPr>
          <w:w w:val="100"/>
        </w:rP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6120130" cy="12700"/>
                <wp:effectExtent l="0" t="6350" r="6350" b="11430"/>
                <wp:wrapNone/>
                <wp:docPr id="6" name="_x0000_s1041"/>
                <wp:cNvGraphicFramePr/>
                <a:graphic xmlns:a="http://schemas.openxmlformats.org/drawingml/2006/main">
                  <a:graphicData uri="http://schemas.microsoft.com/office/word/2010/wordprocessingShape">
                    <wps:wsp>
                      <wps:cNvCnPr/>
                      <wps:spPr>
                        <a:xfrm>
                          <a:off x="-464819" y="-7021194"/>
                          <a:ext cx="6120129" cy="12700"/>
                        </a:xfrm>
                        <a:prstGeom prst="line">
                          <a:avLst/>
                        </a:prstGeom>
                        <a:solidFill>
                          <a:prstClr val="white"/>
                        </a:solidFill>
                        <a:ln w="12700">
                          <a:solidFill>
                            <a:prstClr val="white"/>
                          </a:solidFill>
                        </a:ln>
                      </wps:spPr>
                      <wps:bodyPr rot="0" vert="horz" wrap="square" lIns="91440" tIns="45720" rIns="91440" bIns="45720" anchor="t" anchorCtr="0"/>
                    </wps:wsp>
                  </a:graphicData>
                </a:graphic>
              </wp:anchor>
            </w:drawing>
          </mc:Choice>
          <mc:Fallback>
            <w:pict>
              <v:line id="_x0000_s1041" o:spid="_x0000_s1026" o:spt="20" style="position:absolute;left:0pt;margin-left:0pt;margin-top:0pt;height:1pt;width:481.9pt;z-index:251659264;mso-width-relative:page;mso-height-relative:page;" fillcolor="#FFFFFF" filled="t" stroked="t" coordsize="21600,21600" o:gfxdata="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NMrvtMA&#10;AAADAQAADwAAAAAAAAABACAAAAAiAAAAZHJzL2Rvd25yZXYueG1sUEsBAhQAFAAAAAgAh07iQKsZ&#10;HQzrAQAAAwQAAA4AAAAAAAAAAQAgAAAAIgEAAGRycy9lMm9Eb2MueG1sUEsFBgAAAAAGAAYAWQEA&#10;AH8FAAAAAA==&#10;">
                <v:fill on="t" focussize="0,0"/>
                <v:stroke weight="1pt" color="#FFFFFF" joinstyle="round"/>
                <v:imagedata o:title=""/>
                <o:lock v:ext="edit" aspectratio="f"/>
              </v:line>
            </w:pict>
          </mc:Fallback>
        </mc:AlternateContent>
      </w:r>
      <w:bookmarkEnd w:id="5"/>
      <w:r>
        <w:rPr>
          <w:rFonts w:hint="eastAsia"/>
        </w:rPr>
        <w:t>福建省标准化与认证认可协会</w:t>
      </w:r>
      <w:r>
        <w:rPr>
          <w:rFonts w:hint="eastAsia"/>
        </w:rPr>
        <w:tab/>
      </w:r>
      <w:r>
        <w:rPr>
          <w:rFonts w:hAnsi="黑体"/>
        </w:rPr>
        <w:t>   </w:t>
      </w:r>
      <w:r>
        <w:rPr>
          <w:rStyle w:val="72"/>
          <w:rFonts w:hint="eastAsia"/>
        </w:rPr>
        <w:t>发布</w:t>
      </w:r>
    </w:p>
    <w:p w14:paraId="2CDD0518">
      <w:pPr>
        <w:pStyle w:val="26"/>
        <w:tabs>
          <w:tab w:val="clear" w:pos="4201"/>
          <w:tab w:val="clear" w:pos="9298"/>
        </w:tabs>
        <w:ind w:firstLine="0" w:firstLineChars="0"/>
        <w:rPr>
          <w:rFonts w:hint="eastAsia"/>
        </w:rPr>
        <w:sectPr>
          <w:pgSz w:w="11906" w:h="16838"/>
          <w:pgMar w:top="567" w:right="850" w:bottom="1134" w:left="1418" w:header="0" w:footer="0" w:gutter="0"/>
          <w:pgNumType w:start="1"/>
          <w:cols w:space="720" w:num="1"/>
          <w:docGrid w:type="lines" w:linePitch="312" w:charSpace="0"/>
        </w:sectPr>
      </w:pPr>
    </w:p>
    <w:p w14:paraId="3409F8E0">
      <w:pPr>
        <w:pStyle w:val="111"/>
        <w:ind w:firstLine="4000" w:firstLineChars="1250"/>
        <w:jc w:val="both"/>
        <w:rPr>
          <w:rFonts w:hint="eastAsia"/>
        </w:rPr>
      </w:pPr>
      <w:bookmarkStart w:id="49" w:name="_GoBack"/>
      <w:bookmarkEnd w:id="49"/>
      <w:r>
        <w:rPr>
          <w:rFonts w:hint="eastAsia"/>
        </w:rPr>
        <w:t>前</w:t>
      </w:r>
      <w:r>
        <w:rPr>
          <w:rFonts w:hAnsi="黑体"/>
        </w:rPr>
        <w:t>  </w:t>
      </w:r>
      <w:r>
        <w:rPr>
          <w:rFonts w:hint="eastAsia"/>
        </w:rPr>
        <w:t>言</w:t>
      </w:r>
    </w:p>
    <w:p w14:paraId="71FCF158">
      <w:pPr>
        <w:pStyle w:val="26"/>
        <w:tabs>
          <w:tab w:val="clear" w:pos="4201"/>
          <w:tab w:val="clear" w:pos="9298"/>
        </w:tabs>
        <w:rPr>
          <w:rFonts w:hint="eastAsia"/>
        </w:rPr>
      </w:pPr>
      <w:r>
        <w:rPr>
          <w:rFonts w:hint="eastAsia"/>
        </w:rPr>
        <w:t>本文件按照GB/T 1.1-2020《标准化工作导则 第1部分：标准化文件的结构和起草规则》的规定起草。</w:t>
      </w:r>
    </w:p>
    <w:p w14:paraId="682408E1">
      <w:pPr>
        <w:pStyle w:val="26"/>
        <w:tabs>
          <w:tab w:val="clear" w:pos="4201"/>
          <w:tab w:val="clear" w:pos="9298"/>
        </w:tabs>
        <w:rPr>
          <w:rFonts w:hint="eastAsia"/>
        </w:rPr>
      </w:pPr>
      <w:r>
        <w:rPr>
          <w:rFonts w:hint="eastAsia"/>
        </w:rPr>
        <w:t>本文件规定了食品质量相关技术要求，食品安全相关要求见有关法律法规、政策和食品安全标准等文件。</w:t>
      </w:r>
    </w:p>
    <w:p w14:paraId="51058338">
      <w:pPr>
        <w:ind w:firstLine="420" w:firstLineChars="200"/>
        <w:rPr>
          <w:rFonts w:hint="eastAsia" w:ascii="黑体" w:hAnsi="黑体" w:eastAsia="黑体"/>
          <w:lang w:bidi="ar"/>
        </w:rPr>
      </w:pPr>
      <w:r>
        <w:rPr>
          <w:rFonts w:hint="eastAsia" w:ascii="黑体" w:hAnsi="黑体" w:eastAsia="黑体"/>
          <w:lang w:bidi="ar"/>
        </w:rPr>
        <w:t>请注意本文件的某些内容可能涉及专利。本文件的发布机构不承担识别专利的责任。</w:t>
      </w:r>
    </w:p>
    <w:p w14:paraId="0B28FADD">
      <w:pPr>
        <w:pStyle w:val="26"/>
        <w:tabs>
          <w:tab w:val="clear" w:pos="4201"/>
          <w:tab w:val="clear" w:pos="9298"/>
        </w:tabs>
        <w:ind w:firstLine="0" w:firstLineChars="0"/>
        <w:rPr>
          <w:rFonts w:hint="eastAsia"/>
        </w:rPr>
      </w:pPr>
      <w:r>
        <w:rPr>
          <w:rFonts w:hint="eastAsia"/>
        </w:rPr>
        <w:t xml:space="preserve">    依据GB/T 17924-2026《地理标志产品质量标准编制通则》以及《“漳浦大葱”地理标志证明商标使用管理规则》制定本文件。</w:t>
      </w:r>
    </w:p>
    <w:p w14:paraId="7EFD387A">
      <w:pPr>
        <w:pStyle w:val="26"/>
        <w:tabs>
          <w:tab w:val="clear" w:pos="4201"/>
          <w:tab w:val="clear" w:pos="9298"/>
        </w:tabs>
        <w:rPr>
          <w:rFonts w:hint="eastAsia"/>
        </w:rPr>
      </w:pPr>
      <w:r>
        <w:rPr>
          <w:rFonts w:hint="eastAsia"/>
        </w:rPr>
        <w:t>本文件由福建省标准化认证认可协会提出并归口。</w:t>
      </w:r>
    </w:p>
    <w:p w14:paraId="231B9BE3">
      <w:pPr>
        <w:pStyle w:val="26"/>
        <w:tabs>
          <w:tab w:val="clear" w:pos="4201"/>
          <w:tab w:val="clear" w:pos="9298"/>
        </w:tabs>
        <w:rPr>
          <w:rFonts w:hint="eastAsia"/>
        </w:rPr>
      </w:pPr>
      <w:r>
        <w:rPr>
          <w:rFonts w:hint="eastAsia"/>
        </w:rPr>
        <w:t>本文件起草单位：漳浦县赤湖镇农业农村服务中心、</w:t>
      </w:r>
      <w:bookmarkStart w:id="6" w:name="OLE_LINK2"/>
      <w:bookmarkStart w:id="7" w:name="OLE_LINK1"/>
      <w:r>
        <w:rPr>
          <w:rFonts w:hint="eastAsia"/>
        </w:rPr>
        <w:t>漳浦县欣闽绿家庭农场</w:t>
      </w:r>
      <w:bookmarkEnd w:id="6"/>
      <w:bookmarkEnd w:id="7"/>
      <w:r>
        <w:rPr>
          <w:rFonts w:hint="eastAsia"/>
        </w:rPr>
        <w:t>、漳浦进丰家庭农场有限公司、漳浦县赤湖镇农达家庭农场、漳浦县大元蔬菜专业合作社、漳浦绿泰盛蔬菜有限公司、漳浦县青田农业开发有限公司、漳浦县永昌农业综合开发有限公司提出。</w:t>
      </w:r>
    </w:p>
    <w:p w14:paraId="1566F3EE">
      <w:pPr>
        <w:pStyle w:val="26"/>
        <w:tabs>
          <w:tab w:val="clear" w:pos="4201"/>
          <w:tab w:val="clear" w:pos="9298"/>
        </w:tabs>
        <w:rPr>
          <w:rFonts w:hint="eastAsia"/>
        </w:rPr>
        <w:sectPr>
          <w:headerReference r:id="rId3" w:type="default"/>
          <w:footerReference r:id="rId4" w:type="default"/>
          <w:pgSz w:w="11906" w:h="16838"/>
          <w:pgMar w:top="567" w:right="1134" w:bottom="1134" w:left="1418" w:header="1418" w:footer="1134" w:gutter="0"/>
          <w:pgNumType w:fmt="upperRoman" w:start="1"/>
          <w:cols w:space="720" w:num="1"/>
          <w:docGrid w:type="lines" w:linePitch="312" w:charSpace="0"/>
        </w:sectPr>
      </w:pPr>
      <w:r>
        <w:rPr>
          <w:rFonts w:hint="eastAsia"/>
        </w:rPr>
        <w:t xml:space="preserve">本文件主要起草人：翁泽良、陈闽强、陈进步、谢特明、陈达辉、陈坤发、郑贯贤、陈剑周。 </w:t>
      </w:r>
    </w:p>
    <w:p w14:paraId="04D79546">
      <w:pPr>
        <w:pStyle w:val="49"/>
        <w:rPr>
          <w:rFonts w:hint="eastAsia"/>
        </w:rPr>
      </w:pPr>
      <w:r>
        <w:rPr>
          <w:rFonts w:hint="eastAsia"/>
        </w:rPr>
        <w:t>地理标志证明商标产品质量要求 漳浦大葱</w:t>
      </w:r>
    </w:p>
    <w:p w14:paraId="59F73A81">
      <w:pPr>
        <w:pStyle w:val="44"/>
        <w:rPr>
          <w:rFonts w:hint="eastAsia"/>
        </w:rPr>
      </w:pPr>
      <w:bookmarkStart w:id="8" w:name="_Toc81176776"/>
      <w:bookmarkStart w:id="9" w:name="_Toc81176930"/>
      <w:r>
        <w:rPr>
          <w:rFonts w:hint="eastAsia"/>
        </w:rPr>
        <w:t>范围</w:t>
      </w:r>
      <w:bookmarkEnd w:id="8"/>
      <w:bookmarkEnd w:id="9"/>
    </w:p>
    <w:p w14:paraId="1D92EDF1">
      <w:pPr>
        <w:pStyle w:val="26"/>
        <w:tabs>
          <w:tab w:val="clear" w:pos="4201"/>
          <w:tab w:val="clear" w:pos="9298"/>
        </w:tabs>
        <w:rPr>
          <w:rFonts w:hint="eastAsia"/>
        </w:rPr>
      </w:pPr>
      <w:r>
        <w:rPr>
          <w:rFonts w:hint="eastAsia"/>
        </w:rPr>
        <w:t>本文件规定了地理标志证明商标产品 漳浦大葱的术语和定义、产地范围、产品分级、产地环境、技术要求、检验方法、检验规则、包装、标志、运输和贮存。</w:t>
      </w:r>
    </w:p>
    <w:p w14:paraId="119A1840">
      <w:pPr>
        <w:pStyle w:val="26"/>
        <w:tabs>
          <w:tab w:val="clear" w:pos="4201"/>
          <w:tab w:val="clear" w:pos="9298"/>
        </w:tabs>
        <w:rPr>
          <w:rFonts w:hint="eastAsia"/>
        </w:rPr>
      </w:pPr>
      <w:r>
        <w:rPr>
          <w:rFonts w:hint="eastAsia"/>
        </w:rPr>
        <w:t>本文件适用于依据《集体商标、证明商标注册和管理办法》规定以及《“漳浦大葱”地理标志证明商标使用管理规则》要求，使用“漳浦大葱”地理标志证明商标的漳浦大葱。</w:t>
      </w:r>
    </w:p>
    <w:p w14:paraId="4A2773A9">
      <w:pPr>
        <w:pStyle w:val="44"/>
        <w:rPr>
          <w:rFonts w:hint="eastAsia"/>
        </w:rPr>
      </w:pPr>
      <w:bookmarkStart w:id="10" w:name="_Toc81176931"/>
      <w:bookmarkStart w:id="11" w:name="_Toc81176777"/>
      <w:r>
        <w:rPr>
          <w:rFonts w:hint="eastAsia"/>
        </w:rPr>
        <w:t>规范性引用文件</w:t>
      </w:r>
      <w:bookmarkEnd w:id="10"/>
      <w:bookmarkEnd w:id="11"/>
    </w:p>
    <w:p w14:paraId="7109A5DC">
      <w:pPr>
        <w:pStyle w:val="26"/>
        <w:tabs>
          <w:tab w:val="clear" w:pos="4201"/>
          <w:tab w:val="clear" w:pos="9298"/>
        </w:tabs>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4876E2B">
      <w:pPr>
        <w:pStyle w:val="26"/>
        <w:tabs>
          <w:tab w:val="clear" w:pos="4201"/>
          <w:tab w:val="clear" w:pos="9298"/>
        </w:tabs>
        <w:rPr>
          <w:rFonts w:hint="eastAsia"/>
        </w:rPr>
      </w:pPr>
      <w:r>
        <w:rPr>
          <w:rFonts w:hint="eastAsia"/>
        </w:rPr>
        <w:t>GB/T 191 包装储运图示标志</w:t>
      </w:r>
    </w:p>
    <w:p w14:paraId="7F045186">
      <w:pPr>
        <w:pStyle w:val="26"/>
        <w:tabs>
          <w:tab w:val="clear" w:pos="4201"/>
          <w:tab w:val="clear" w:pos="9298"/>
        </w:tabs>
        <w:rPr>
          <w:rFonts w:hint="eastAsia"/>
        </w:rPr>
      </w:pPr>
      <w:r>
        <w:rPr>
          <w:rFonts w:hint="eastAsia"/>
        </w:rPr>
        <w:t>GB 5009.3 食品安全国家标准 食品中水分的测定</w:t>
      </w:r>
    </w:p>
    <w:p w14:paraId="02F3AAD6">
      <w:pPr>
        <w:pStyle w:val="26"/>
        <w:tabs>
          <w:tab w:val="clear" w:pos="4201"/>
          <w:tab w:val="clear" w:pos="9298"/>
        </w:tabs>
        <w:rPr>
          <w:rFonts w:hint="eastAsia"/>
        </w:rPr>
      </w:pPr>
      <w:r>
        <w:rPr>
          <w:rFonts w:hint="eastAsia"/>
        </w:rPr>
        <w:t>GB/T 5009.10 植物类食品中粗纤维的测定</w:t>
      </w:r>
    </w:p>
    <w:p w14:paraId="7369E370">
      <w:pPr>
        <w:pStyle w:val="26"/>
        <w:tabs>
          <w:tab w:val="clear" w:pos="4201"/>
          <w:tab w:val="clear" w:pos="9298"/>
        </w:tabs>
        <w:rPr>
          <w:rFonts w:hint="eastAsia"/>
        </w:rPr>
      </w:pPr>
      <w:r>
        <w:rPr>
          <w:rFonts w:hint="eastAsia"/>
        </w:rPr>
        <w:t>GB/T 5009.92 食品安全国家标准 食品中钙的测定</w:t>
      </w:r>
    </w:p>
    <w:p w14:paraId="35EF9CB0">
      <w:pPr>
        <w:pStyle w:val="26"/>
        <w:tabs>
          <w:tab w:val="clear" w:pos="4201"/>
          <w:tab w:val="clear" w:pos="9298"/>
        </w:tabs>
        <w:rPr>
          <w:rFonts w:hint="eastAsia"/>
        </w:rPr>
      </w:pPr>
      <w:r>
        <w:rPr>
          <w:rFonts w:hint="eastAsia"/>
        </w:rPr>
        <w:t>GB 16715.5 瓜菜作物种子第5部分：绿叶菜类</w:t>
      </w:r>
    </w:p>
    <w:p w14:paraId="6D4F09CF">
      <w:pPr>
        <w:pStyle w:val="26"/>
        <w:tabs>
          <w:tab w:val="clear" w:pos="4201"/>
          <w:tab w:val="clear" w:pos="9298"/>
        </w:tabs>
        <w:rPr>
          <w:rFonts w:hint="eastAsia"/>
        </w:rPr>
      </w:pPr>
      <w:r>
        <w:rPr>
          <w:rFonts w:hint="eastAsia"/>
        </w:rPr>
        <w:t>NY/T 1278 蔬菜及其制品中可溶性糖的测定 铜还原碘量法</w:t>
      </w:r>
    </w:p>
    <w:p w14:paraId="5EC2FF9B">
      <w:pPr>
        <w:pStyle w:val="26"/>
        <w:tabs>
          <w:tab w:val="clear" w:pos="4201"/>
          <w:tab w:val="clear" w:pos="9298"/>
        </w:tabs>
        <w:rPr>
          <w:rFonts w:hint="eastAsia"/>
        </w:rPr>
      </w:pPr>
      <w:r>
        <w:rPr>
          <w:rFonts w:hint="eastAsia"/>
        </w:rPr>
        <w:t>NY/T 1835-2010 大葱等级规格</w:t>
      </w:r>
    </w:p>
    <w:p w14:paraId="360432C9">
      <w:pPr>
        <w:pStyle w:val="44"/>
        <w:rPr>
          <w:rFonts w:hint="eastAsia"/>
        </w:rPr>
      </w:pPr>
      <w:bookmarkStart w:id="12" w:name="_Toc81176932"/>
      <w:bookmarkStart w:id="13" w:name="_Toc81176778"/>
      <w:r>
        <w:rPr>
          <w:rFonts w:hint="eastAsia"/>
        </w:rPr>
        <w:t>术语和定义</w:t>
      </w:r>
      <w:bookmarkEnd w:id="12"/>
      <w:bookmarkEnd w:id="13"/>
    </w:p>
    <w:p w14:paraId="371B731C">
      <w:pPr>
        <w:pStyle w:val="26"/>
        <w:tabs>
          <w:tab w:val="clear" w:pos="4201"/>
          <w:tab w:val="clear" w:pos="9298"/>
        </w:tabs>
        <w:rPr>
          <w:rFonts w:hint="eastAsia"/>
        </w:rPr>
      </w:pPr>
      <w:r>
        <w:rPr>
          <w:rFonts w:hint="eastAsia"/>
        </w:rPr>
        <w:t>下列术语和定义适用于本文件。</w:t>
      </w:r>
    </w:p>
    <w:p w14:paraId="797921A7">
      <w:pPr>
        <w:pStyle w:val="41"/>
        <w:ind w:left="0"/>
        <w:rPr>
          <w:rFonts w:hint="eastAsia"/>
        </w:rPr>
      </w:pPr>
      <w:bookmarkStart w:id="14" w:name="_Toc81176933"/>
      <w:bookmarkEnd w:id="14"/>
      <w:bookmarkStart w:id="15" w:name="_Toc81176779"/>
      <w:bookmarkEnd w:id="15"/>
    </w:p>
    <w:p w14:paraId="37C958E5">
      <w:pPr>
        <w:pStyle w:val="26"/>
        <w:tabs>
          <w:tab w:val="clear" w:pos="4201"/>
          <w:tab w:val="clear" w:pos="9298"/>
        </w:tabs>
        <w:rPr>
          <w:rFonts w:hint="eastAsia" w:ascii="黑体" w:hAnsi="黑体" w:eastAsia="黑体"/>
        </w:rPr>
      </w:pPr>
      <w:r>
        <w:rPr>
          <w:rFonts w:hint="eastAsia" w:ascii="黑体" w:hAnsi="黑体" w:eastAsia="黑体"/>
        </w:rPr>
        <w:t>漳浦大葱 zhangpu welsh onion</w:t>
      </w:r>
    </w:p>
    <w:p w14:paraId="7ACE45D7">
      <w:pPr>
        <w:pStyle w:val="26"/>
        <w:tabs>
          <w:tab w:val="clear" w:pos="4201"/>
          <w:tab w:val="clear" w:pos="9298"/>
        </w:tabs>
        <w:rPr>
          <w:rFonts w:hint="eastAsia"/>
        </w:rPr>
      </w:pPr>
      <w:r>
        <w:rPr>
          <w:rFonts w:hint="eastAsia"/>
        </w:rPr>
        <w:t>在地理标志证明商标限定的生产地域范围内，按本文件种植和质量要求的漳浦大蒜。</w:t>
      </w:r>
    </w:p>
    <w:p w14:paraId="1EA347A4">
      <w:pPr>
        <w:pStyle w:val="41"/>
        <w:ind w:left="0"/>
        <w:rPr>
          <w:rFonts w:hint="eastAsia"/>
        </w:rPr>
      </w:pPr>
      <w:r>
        <w:rPr>
          <w:rFonts w:hint="eastAsia"/>
        </w:rPr>
        <w:t>假茎pseudostem</w:t>
      </w:r>
    </w:p>
    <w:p w14:paraId="4C91689B">
      <w:pPr>
        <w:pStyle w:val="26"/>
        <w:tabs>
          <w:tab w:val="clear" w:pos="4201"/>
          <w:tab w:val="clear" w:pos="9298"/>
        </w:tabs>
        <w:rPr>
          <w:rFonts w:hint="eastAsia"/>
        </w:rPr>
      </w:pPr>
      <w:r>
        <w:rPr>
          <w:rFonts w:hint="eastAsia"/>
        </w:rPr>
        <w:t>由葱叶叶鞘层层抱合而形成的管状器官。</w:t>
      </w:r>
    </w:p>
    <w:p w14:paraId="6FE1A4DE">
      <w:pPr>
        <w:pStyle w:val="44"/>
        <w:rPr>
          <w:rFonts w:hint="eastAsia"/>
        </w:rPr>
      </w:pPr>
      <w:bookmarkStart w:id="16" w:name="_Toc81176934"/>
      <w:bookmarkStart w:id="17" w:name="_Toc81176780"/>
      <w:r>
        <w:rPr>
          <w:rFonts w:hint="eastAsia"/>
        </w:rPr>
        <w:t>产地范围</w:t>
      </w:r>
      <w:bookmarkEnd w:id="16"/>
      <w:bookmarkEnd w:id="17"/>
    </w:p>
    <w:p w14:paraId="176B1604">
      <w:pPr>
        <w:pStyle w:val="26"/>
        <w:tabs>
          <w:tab w:val="clear" w:pos="4201"/>
          <w:tab w:val="clear" w:pos="9298"/>
        </w:tabs>
        <w:rPr>
          <w:rFonts w:hint="eastAsia"/>
        </w:rPr>
      </w:pPr>
      <w:r>
        <w:rPr>
          <w:rFonts w:hint="eastAsia"/>
        </w:rPr>
        <w:t>产地范围限于福建省漳浦县现辖行政区域内（东经117°24′～118°02′，北纬23°43′～24°21′），产地范围见附录A。</w:t>
      </w:r>
    </w:p>
    <w:p w14:paraId="017C9B1B">
      <w:pPr>
        <w:pStyle w:val="44"/>
        <w:rPr>
          <w:rFonts w:hint="eastAsia"/>
        </w:rPr>
      </w:pPr>
      <w:r>
        <w:rPr>
          <w:rFonts w:hint="eastAsia"/>
        </w:rPr>
        <w:t>产品分级</w:t>
      </w:r>
    </w:p>
    <w:p w14:paraId="6390B244">
      <w:pPr>
        <w:pStyle w:val="26"/>
        <w:tabs>
          <w:tab w:val="clear" w:pos="4201"/>
          <w:tab w:val="clear" w:pos="9298"/>
        </w:tabs>
        <w:rPr>
          <w:rFonts w:hint="eastAsia"/>
        </w:rPr>
      </w:pPr>
      <w:r>
        <w:rPr>
          <w:rFonts w:hint="eastAsia"/>
        </w:rPr>
        <w:t>产品按鲜葱株高、葱白长度、假茎粗、感官特征、等级不合格允许度不同分为特级、一级、二级3个等级。</w:t>
      </w:r>
    </w:p>
    <w:p w14:paraId="2C99787E">
      <w:pPr>
        <w:pStyle w:val="44"/>
        <w:rPr>
          <w:rFonts w:hint="eastAsia"/>
        </w:rPr>
      </w:pPr>
      <w:bookmarkStart w:id="18" w:name="_Toc81176781"/>
      <w:bookmarkStart w:id="19" w:name="_Toc81176935"/>
      <w:r>
        <w:rPr>
          <w:rFonts w:hint="eastAsia"/>
        </w:rPr>
        <w:t>产地环境</w:t>
      </w:r>
      <w:bookmarkEnd w:id="18"/>
      <w:bookmarkEnd w:id="19"/>
    </w:p>
    <w:p w14:paraId="503A3E3E">
      <w:pPr>
        <w:pStyle w:val="41"/>
        <w:ind w:left="0"/>
        <w:rPr>
          <w:rFonts w:hint="eastAsia"/>
        </w:rPr>
      </w:pPr>
      <w:r>
        <w:rPr>
          <w:rFonts w:hint="eastAsia"/>
        </w:rPr>
        <w:t>地理特征</w:t>
      </w:r>
    </w:p>
    <w:p w14:paraId="433DC651">
      <w:pPr>
        <w:ind w:firstLine="420" w:firstLineChars="200"/>
        <w:rPr>
          <w:rFonts w:hint="eastAsia"/>
        </w:rPr>
      </w:pPr>
      <w:r>
        <w:rPr>
          <w:rFonts w:hint="eastAsia"/>
        </w:rPr>
        <w:t>产地位于福建省南部沿海、漳州市东南部，地势西北高东南低，兼具山海资源。境内有梁山、石屏、灶山三大山脉，全县最高主峰海拔</w:t>
      </w:r>
      <w:r>
        <w:rPr>
          <w:rFonts w:hint="eastAsia" w:ascii="宋体" w:hAnsi="宋体"/>
        </w:rPr>
        <w:t>1106 m</w:t>
      </w:r>
      <w:r>
        <w:rPr>
          <w:rFonts w:hint="eastAsia"/>
        </w:rPr>
        <w:t>，山脉间分布平原盆地和丘林，形成山、海、田交错格局，海岸线长</w:t>
      </w:r>
      <w:r>
        <w:rPr>
          <w:rFonts w:hint="eastAsia" w:ascii="宋体" w:hAnsi="宋体"/>
        </w:rPr>
        <w:t>267 km</w:t>
      </w:r>
      <w:r>
        <w:rPr>
          <w:rFonts w:hint="eastAsia"/>
        </w:rPr>
        <w:t>，拥有三个半岛及多个海湾。</w:t>
      </w:r>
    </w:p>
    <w:p w14:paraId="1D09946A">
      <w:pPr>
        <w:pStyle w:val="41"/>
        <w:ind w:left="0"/>
        <w:rPr>
          <w:rFonts w:hint="eastAsia"/>
        </w:rPr>
      </w:pPr>
      <w:r>
        <w:rPr>
          <w:rFonts w:hint="eastAsia"/>
        </w:rPr>
        <w:t>气候特征</w:t>
      </w:r>
    </w:p>
    <w:p w14:paraId="3B2A723C">
      <w:pPr>
        <w:pStyle w:val="44"/>
        <w:numPr>
          <w:ilvl w:val="0"/>
          <w:numId w:val="0"/>
        </w:numPr>
        <w:ind w:firstLine="420" w:firstLineChars="200"/>
        <w:rPr>
          <w:rFonts w:hint="eastAsia" w:ascii="宋体" w:hAnsi="宋体" w:eastAsia="宋体"/>
        </w:rPr>
      </w:pPr>
      <w:r>
        <w:rPr>
          <w:rFonts w:hint="eastAsia" w:ascii="宋体" w:hAnsi="宋体" w:eastAsia="宋体"/>
        </w:rPr>
        <w:t>属南亚热带海洋季风气候，冬无严寒，夏无酷暑。年平均气温21.3 ℃,无霜期353 d以上；年均降雨量1690.3 mm，降雨集中在3</w:t>
      </w:r>
      <w:bookmarkStart w:id="20" w:name="OLE_LINK5"/>
      <w:bookmarkStart w:id="21" w:name="OLE_LINK6"/>
      <w:r>
        <w:rPr>
          <w:rFonts w:hint="eastAsia" w:ascii="宋体" w:hAnsi="宋体" w:eastAsia="宋体"/>
        </w:rPr>
        <w:t>～</w:t>
      </w:r>
      <w:bookmarkEnd w:id="20"/>
      <w:bookmarkEnd w:id="21"/>
      <w:r>
        <w:rPr>
          <w:rFonts w:hint="eastAsia" w:ascii="宋体" w:hAnsi="宋体" w:eastAsia="宋体"/>
        </w:rPr>
        <w:t>9月，夏季多东南风，冬季多西北风。</w:t>
      </w:r>
    </w:p>
    <w:p w14:paraId="12AAC853">
      <w:pPr>
        <w:pStyle w:val="41"/>
        <w:ind w:left="0"/>
        <w:rPr>
          <w:rFonts w:hint="eastAsia"/>
        </w:rPr>
      </w:pPr>
      <w:r>
        <w:rPr>
          <w:rFonts w:hint="eastAsia"/>
        </w:rPr>
        <w:t>土壤</w:t>
      </w:r>
    </w:p>
    <w:p w14:paraId="10A7B1AB">
      <w:pPr>
        <w:pStyle w:val="44"/>
        <w:numPr>
          <w:ilvl w:val="0"/>
          <w:numId w:val="0"/>
        </w:numPr>
        <w:ind w:firstLine="420" w:firstLineChars="200"/>
        <w:rPr>
          <w:rFonts w:hint="eastAsia"/>
        </w:rPr>
      </w:pPr>
      <w:r>
        <w:rPr>
          <w:rFonts w:hint="eastAsia"/>
        </w:rPr>
        <w:t>土壤类型以赤壤土为主，pH平均值4.5</w:t>
      </w:r>
      <w:bookmarkStart w:id="22" w:name="OLE_LINK8"/>
      <w:bookmarkStart w:id="23" w:name="OLE_LINK7"/>
      <w:r>
        <w:rPr>
          <w:rFonts w:hint="eastAsia"/>
        </w:rPr>
        <w:t>～</w:t>
      </w:r>
      <w:bookmarkEnd w:id="22"/>
      <w:bookmarkEnd w:id="23"/>
      <w:r>
        <w:rPr>
          <w:rFonts w:hint="eastAsia"/>
        </w:rPr>
        <w:t>5.5。</w:t>
      </w:r>
    </w:p>
    <w:p w14:paraId="2F7910DD">
      <w:pPr>
        <w:pStyle w:val="44"/>
        <w:rPr>
          <w:rFonts w:hint="eastAsia"/>
        </w:rPr>
      </w:pPr>
      <w:bookmarkStart w:id="24" w:name="_Toc81176940"/>
      <w:bookmarkStart w:id="25" w:name="_Toc81176786"/>
      <w:r>
        <w:rPr>
          <w:rFonts w:hint="eastAsia"/>
        </w:rPr>
        <w:t>技术要求</w:t>
      </w:r>
      <w:bookmarkEnd w:id="24"/>
      <w:bookmarkEnd w:id="25"/>
    </w:p>
    <w:p w14:paraId="77A25542">
      <w:pPr>
        <w:pStyle w:val="41"/>
        <w:ind w:left="0"/>
        <w:rPr>
          <w:rFonts w:hint="eastAsia"/>
        </w:rPr>
      </w:pPr>
      <w:r>
        <w:rPr>
          <w:rFonts w:hint="eastAsia"/>
        </w:rPr>
        <w:t>品种</w:t>
      </w:r>
    </w:p>
    <w:p w14:paraId="2900423F">
      <w:pPr>
        <w:pStyle w:val="26"/>
        <w:tabs>
          <w:tab w:val="clear" w:pos="4201"/>
          <w:tab w:val="clear" w:pos="9298"/>
        </w:tabs>
        <w:rPr>
          <w:rFonts w:hint="eastAsia"/>
        </w:rPr>
      </w:pPr>
      <w:r>
        <w:rPr>
          <w:rFonts w:hint="eastAsia"/>
        </w:rPr>
        <w:t>选择耐热、耐寒、抗病、耐储运，葱白长的适宜品种。种子质量应符合GB 16715.5的要求。</w:t>
      </w:r>
    </w:p>
    <w:p w14:paraId="62648B70">
      <w:pPr>
        <w:pStyle w:val="41"/>
        <w:ind w:left="0"/>
        <w:rPr>
          <w:rFonts w:hint="eastAsia"/>
        </w:rPr>
      </w:pPr>
      <w:r>
        <w:rPr>
          <w:rFonts w:hint="eastAsia"/>
        </w:rPr>
        <w:t>栽培技术</w:t>
      </w:r>
    </w:p>
    <w:p w14:paraId="07E0C0E8">
      <w:pPr>
        <w:pStyle w:val="41"/>
        <w:numPr>
          <w:ilvl w:val="0"/>
          <w:numId w:val="0"/>
        </w:numPr>
        <w:ind w:firstLine="420" w:firstLineChars="200"/>
        <w:rPr>
          <w:rFonts w:hint="eastAsia" w:ascii="宋体" w:hAnsi="宋体" w:eastAsia="宋体"/>
        </w:rPr>
      </w:pPr>
      <w:r>
        <w:rPr>
          <w:rFonts w:hint="eastAsia" w:ascii="宋体" w:hAnsi="宋体" w:eastAsia="宋体"/>
        </w:rPr>
        <w:t>见附录B。</w:t>
      </w:r>
    </w:p>
    <w:p w14:paraId="6F876841">
      <w:pPr>
        <w:pStyle w:val="41"/>
        <w:ind w:left="0"/>
        <w:rPr>
          <w:rFonts w:hint="eastAsia"/>
        </w:rPr>
      </w:pPr>
      <w:r>
        <w:rPr>
          <w:rFonts w:hint="eastAsia"/>
        </w:rPr>
        <w:t>质量要求</w:t>
      </w:r>
    </w:p>
    <w:p w14:paraId="169EA011">
      <w:pPr>
        <w:pStyle w:val="45"/>
        <w:spacing w:before="156" w:after="156"/>
        <w:rPr>
          <w:rFonts w:hint="eastAsia"/>
        </w:rPr>
      </w:pPr>
      <w:r>
        <w:rPr>
          <w:rFonts w:hint="eastAsia"/>
        </w:rPr>
        <w:t>基本要求</w:t>
      </w:r>
    </w:p>
    <w:p w14:paraId="6EEBC2E9">
      <w:pPr>
        <w:pStyle w:val="26"/>
        <w:tabs>
          <w:tab w:val="clear" w:pos="4201"/>
          <w:tab w:val="clear" w:pos="9298"/>
        </w:tabs>
        <w:rPr>
          <w:rFonts w:hint="eastAsia" w:hAnsi="宋体"/>
        </w:rPr>
      </w:pPr>
      <w:r>
        <w:rPr>
          <w:rFonts w:hint="eastAsia" w:hAnsi="宋体"/>
        </w:rPr>
        <w:t>基本要求应符合NY/T 1835-2010中3.1.1的规定。</w:t>
      </w:r>
    </w:p>
    <w:p w14:paraId="7CFDAE0B">
      <w:pPr>
        <w:pStyle w:val="45"/>
        <w:spacing w:before="156" w:after="156"/>
        <w:rPr>
          <w:rFonts w:hint="eastAsia"/>
        </w:rPr>
      </w:pPr>
      <w:r>
        <w:rPr>
          <w:rFonts w:hint="eastAsia"/>
        </w:rPr>
        <w:t>等级要求</w:t>
      </w:r>
    </w:p>
    <w:p w14:paraId="5DFD31F7">
      <w:pPr>
        <w:pStyle w:val="26"/>
        <w:tabs>
          <w:tab w:val="clear" w:pos="4201"/>
          <w:tab w:val="clear" w:pos="9298"/>
        </w:tabs>
        <w:rPr>
          <w:rFonts w:hint="eastAsia"/>
        </w:rPr>
      </w:pPr>
      <w:r>
        <w:rPr>
          <w:rFonts w:hint="eastAsia"/>
        </w:rPr>
        <w:t>等级要求应符合表1规定。</w:t>
      </w:r>
    </w:p>
    <w:p w14:paraId="1F54856B">
      <w:pPr>
        <w:pStyle w:val="125"/>
        <w:tabs>
          <w:tab w:val="clear" w:pos="360"/>
        </w:tabs>
        <w:jc w:val="both"/>
        <w:rPr>
          <w:rFonts w:hint="eastAsia"/>
        </w:rPr>
      </w:pPr>
      <w:r>
        <w:rPr>
          <w:rFonts w:hint="eastAsia"/>
        </w:rPr>
        <w:t>等级要求</w:t>
      </w:r>
    </w:p>
    <w:tbl>
      <w:tblPr>
        <w:tblStyle w:val="35"/>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2625"/>
        <w:gridCol w:w="2625"/>
        <w:gridCol w:w="2637"/>
      </w:tblGrid>
      <w:tr w14:paraId="1F131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683" w:type="dxa"/>
            <w:vMerge w:val="restart"/>
            <w:vAlign w:val="top"/>
          </w:tcPr>
          <w:p w14:paraId="019E54BA">
            <w:pPr>
              <w:rPr>
                <w:rFonts w:hint="eastAsia" w:ascii="宋体"/>
              </w:rPr>
            </w:pPr>
            <w:r>
              <w:rPr>
                <w:rFonts w:hint="eastAsia" w:ascii="宋体"/>
              </w:rPr>
              <w:t>项目</w:t>
            </w:r>
          </w:p>
        </w:tc>
        <w:tc>
          <w:tcPr>
            <w:tcW w:w="7887" w:type="dxa"/>
            <w:gridSpan w:val="3"/>
            <w:vAlign w:val="top"/>
          </w:tcPr>
          <w:p w14:paraId="466A6795">
            <w:pPr>
              <w:jc w:val="center"/>
              <w:rPr>
                <w:rFonts w:hint="eastAsia" w:ascii="宋体"/>
              </w:rPr>
            </w:pPr>
            <w:r>
              <w:rPr>
                <w:rFonts w:hint="eastAsia" w:ascii="宋体"/>
              </w:rPr>
              <w:t>等级</w:t>
            </w:r>
          </w:p>
        </w:tc>
      </w:tr>
      <w:tr w14:paraId="09746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683" w:type="dxa"/>
            <w:vMerge w:val="continue"/>
            <w:vAlign w:val="top"/>
          </w:tcPr>
          <w:p w14:paraId="18FD6326">
            <w:pPr>
              <w:jc w:val="center"/>
              <w:rPr>
                <w:rFonts w:hint="eastAsia" w:ascii="宋体"/>
              </w:rPr>
            </w:pPr>
          </w:p>
        </w:tc>
        <w:tc>
          <w:tcPr>
            <w:tcW w:w="2625" w:type="dxa"/>
            <w:vAlign w:val="top"/>
          </w:tcPr>
          <w:p w14:paraId="53E5C0A8">
            <w:pPr>
              <w:jc w:val="center"/>
              <w:rPr>
                <w:rFonts w:hint="eastAsia" w:ascii="宋体"/>
              </w:rPr>
            </w:pPr>
            <w:r>
              <w:rPr>
                <w:rFonts w:hint="eastAsia" w:ascii="宋体"/>
              </w:rPr>
              <w:t>特级</w:t>
            </w:r>
          </w:p>
        </w:tc>
        <w:tc>
          <w:tcPr>
            <w:tcW w:w="2625" w:type="dxa"/>
            <w:vAlign w:val="top"/>
          </w:tcPr>
          <w:p w14:paraId="26199984">
            <w:pPr>
              <w:jc w:val="center"/>
              <w:rPr>
                <w:rFonts w:hint="eastAsia" w:ascii="宋体"/>
              </w:rPr>
            </w:pPr>
            <w:r>
              <w:rPr>
                <w:rFonts w:hint="eastAsia" w:ascii="宋体"/>
              </w:rPr>
              <w:t>一级</w:t>
            </w:r>
          </w:p>
        </w:tc>
        <w:tc>
          <w:tcPr>
            <w:tcW w:w="2637" w:type="dxa"/>
            <w:vAlign w:val="top"/>
          </w:tcPr>
          <w:p w14:paraId="4EC672AF">
            <w:pPr>
              <w:jc w:val="center"/>
              <w:rPr>
                <w:rFonts w:hint="eastAsia" w:ascii="宋体"/>
              </w:rPr>
            </w:pPr>
            <w:r>
              <w:rPr>
                <w:rFonts w:hint="eastAsia" w:ascii="宋体"/>
              </w:rPr>
              <w:t>二级</w:t>
            </w:r>
          </w:p>
        </w:tc>
      </w:tr>
      <w:tr w14:paraId="00080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83" w:type="dxa"/>
            <w:vAlign w:val="top"/>
          </w:tcPr>
          <w:p w14:paraId="3E1A5BCC">
            <w:pPr>
              <w:rPr>
                <w:rFonts w:hint="eastAsia" w:ascii="宋体"/>
              </w:rPr>
            </w:pPr>
            <w:r>
              <w:rPr>
                <w:rFonts w:hint="eastAsia" w:ascii="宋体"/>
              </w:rPr>
              <w:t>鲜葱株高</w:t>
            </w:r>
            <w:r>
              <w:rPr>
                <w:rFonts w:ascii="宋体"/>
                <w:position w:val="-4"/>
              </w:rPr>
              <w:drawing>
                <wp:inline distT="0" distB="0" distL="0" distR="0">
                  <wp:extent cx="101600" cy="190500"/>
                  <wp:effectExtent l="0" t="0" r="0" b="0"/>
                  <wp:docPr id="7" name="_x0000_i1046"/>
                  <wp:cNvGraphicFramePr/>
                  <a:graphic xmlns:a="http://schemas.openxmlformats.org/drawingml/2006/main">
                    <a:graphicData uri="http://schemas.openxmlformats.org/drawingml/2006/picture">
                      <pic:pic xmlns:pic="http://schemas.openxmlformats.org/drawingml/2006/picture">
                        <pic:nvPicPr>
                          <pic:cNvPr id="7" name="_x0000_i1046"/>
                          <pic:cNvPicPr/>
                        </pic:nvPicPr>
                        <pic:blipFill>
                          <a:blip r:embed="rId7"/>
                          <a:stretch>
                            <a:fillRect/>
                          </a:stretch>
                        </pic:blipFill>
                        <pic:spPr>
                          <a:xfrm>
                            <a:off x="0" y="0"/>
                            <a:ext cx="101671" cy="190624"/>
                          </a:xfrm>
                          <a:prstGeom prst="rect">
                            <a:avLst/>
                          </a:prstGeom>
                        </pic:spPr>
                      </pic:pic>
                    </a:graphicData>
                  </a:graphic>
                </wp:inline>
              </w:drawing>
            </w:r>
            <w:r>
              <w:rPr>
                <w:rFonts w:hint="eastAsia" w:ascii="宋体"/>
              </w:rPr>
              <w:t>/cm</w:t>
            </w:r>
          </w:p>
        </w:tc>
        <w:tc>
          <w:tcPr>
            <w:tcW w:w="2625" w:type="dxa"/>
            <w:vAlign w:val="top"/>
          </w:tcPr>
          <w:p w14:paraId="617C88BF">
            <w:pPr>
              <w:jc w:val="center"/>
              <w:rPr>
                <w:rFonts w:hint="eastAsia" w:ascii="宋体"/>
              </w:rPr>
            </w:pPr>
            <w:r>
              <w:rPr>
                <w:rFonts w:hint="eastAsia" w:ascii="宋体"/>
              </w:rPr>
              <w:t>﹥90.0</w:t>
            </w:r>
          </w:p>
        </w:tc>
        <w:tc>
          <w:tcPr>
            <w:tcW w:w="5262" w:type="dxa"/>
            <w:gridSpan w:val="2"/>
            <w:vAlign w:val="top"/>
          </w:tcPr>
          <w:p w14:paraId="44CE9282">
            <w:pPr>
              <w:jc w:val="center"/>
              <w:rPr>
                <w:rFonts w:hint="eastAsia" w:ascii="宋体"/>
              </w:rPr>
            </w:pPr>
            <w:r>
              <w:rPr>
                <w:rFonts w:hint="eastAsia" w:ascii="宋体"/>
              </w:rPr>
              <w:t>70.0</w:t>
            </w:r>
            <w:r>
              <w:rPr>
                <w:rFonts w:hint="eastAsia" w:ascii="宋体" w:hAnsi="宋体"/>
              </w:rPr>
              <w:t>～90.0</w:t>
            </w:r>
          </w:p>
        </w:tc>
      </w:tr>
      <w:tr w14:paraId="3CAC4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83" w:type="dxa"/>
            <w:vAlign w:val="top"/>
          </w:tcPr>
          <w:p w14:paraId="3EBF212F">
            <w:pPr>
              <w:rPr>
                <w:rFonts w:hint="eastAsia" w:ascii="宋体"/>
              </w:rPr>
            </w:pPr>
            <w:r>
              <w:rPr>
                <w:rFonts w:hint="eastAsia" w:ascii="宋体"/>
              </w:rPr>
              <w:t>葱白长度</w:t>
            </w:r>
            <w:r>
              <w:rPr>
                <w:rFonts w:ascii="宋体"/>
                <w:position w:val="-4"/>
              </w:rPr>
              <w:drawing>
                <wp:inline distT="0" distB="0" distL="0" distR="0">
                  <wp:extent cx="88265" cy="190500"/>
                  <wp:effectExtent l="0" t="0" r="0" b="0"/>
                  <wp:docPr id="8" name="_x0000_i1047"/>
                  <wp:cNvGraphicFramePr/>
                  <a:graphic xmlns:a="http://schemas.openxmlformats.org/drawingml/2006/main">
                    <a:graphicData uri="http://schemas.openxmlformats.org/drawingml/2006/picture">
                      <pic:pic xmlns:pic="http://schemas.openxmlformats.org/drawingml/2006/picture">
                        <pic:nvPicPr>
                          <pic:cNvPr id="8" name="_x0000_i1047"/>
                          <pic:cNvPicPr/>
                        </pic:nvPicPr>
                        <pic:blipFill>
                          <a:blip r:embed="rId8"/>
                          <a:stretch>
                            <a:fillRect/>
                          </a:stretch>
                        </pic:blipFill>
                        <pic:spPr>
                          <a:xfrm>
                            <a:off x="0" y="0"/>
                            <a:ext cx="88529" cy="190554"/>
                          </a:xfrm>
                          <a:prstGeom prst="rect">
                            <a:avLst/>
                          </a:prstGeom>
                        </pic:spPr>
                      </pic:pic>
                    </a:graphicData>
                  </a:graphic>
                </wp:inline>
              </w:drawing>
            </w:r>
            <w:r>
              <w:rPr>
                <w:rFonts w:hint="eastAsia" w:ascii="宋体"/>
              </w:rPr>
              <w:t>/cm</w:t>
            </w:r>
          </w:p>
        </w:tc>
        <w:tc>
          <w:tcPr>
            <w:tcW w:w="2625" w:type="dxa"/>
            <w:vAlign w:val="top"/>
          </w:tcPr>
          <w:p w14:paraId="17EFA4DC">
            <w:pPr>
              <w:jc w:val="center"/>
              <w:rPr>
                <w:rFonts w:hint="eastAsia" w:ascii="宋体"/>
              </w:rPr>
            </w:pPr>
            <w:r>
              <w:rPr>
                <w:rFonts w:hint="eastAsia" w:ascii="宋体"/>
              </w:rPr>
              <w:t>﹥50.0</w:t>
            </w:r>
          </w:p>
        </w:tc>
        <w:tc>
          <w:tcPr>
            <w:tcW w:w="5262" w:type="dxa"/>
            <w:gridSpan w:val="2"/>
            <w:vAlign w:val="top"/>
          </w:tcPr>
          <w:p w14:paraId="71E4F266">
            <w:pPr>
              <w:jc w:val="center"/>
              <w:rPr>
                <w:rFonts w:hint="eastAsia" w:ascii="宋体"/>
              </w:rPr>
            </w:pPr>
            <w:r>
              <w:rPr>
                <w:rFonts w:hint="eastAsia" w:ascii="宋体"/>
              </w:rPr>
              <w:t>3</w:t>
            </w:r>
            <w:bookmarkStart w:id="26" w:name="OLE_LINK12"/>
            <w:bookmarkStart w:id="27" w:name="OLE_LINK11"/>
            <w:r>
              <w:rPr>
                <w:rFonts w:hint="eastAsia" w:ascii="宋体"/>
              </w:rPr>
              <w:t>0</w:t>
            </w:r>
            <w:bookmarkStart w:id="28" w:name="OLE_LINK9"/>
            <w:r>
              <w:rPr>
                <w:rFonts w:hint="eastAsia" w:ascii="宋体"/>
              </w:rPr>
              <w:t>.0</w:t>
            </w:r>
            <w:r>
              <w:rPr>
                <w:rFonts w:hint="eastAsia" w:ascii="宋体" w:hAnsi="宋体"/>
              </w:rPr>
              <w:t>～</w:t>
            </w:r>
            <w:bookmarkEnd w:id="26"/>
            <w:bookmarkEnd w:id="27"/>
            <w:bookmarkEnd w:id="28"/>
            <w:r>
              <w:rPr>
                <w:rFonts w:hint="eastAsia" w:ascii="宋体"/>
              </w:rPr>
              <w:t>50.0</w:t>
            </w:r>
          </w:p>
        </w:tc>
      </w:tr>
      <w:tr w14:paraId="273A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683" w:type="dxa"/>
            <w:vAlign w:val="top"/>
          </w:tcPr>
          <w:p w14:paraId="35882892">
            <w:pPr>
              <w:rPr>
                <w:rFonts w:hint="eastAsia" w:ascii="宋体"/>
              </w:rPr>
            </w:pPr>
            <w:r>
              <w:rPr>
                <w:rFonts w:hint="eastAsia" w:ascii="宋体"/>
              </w:rPr>
              <w:t>假茎粗</w:t>
            </w:r>
            <w:r>
              <w:rPr>
                <w:rFonts w:ascii="宋体"/>
                <w:position w:val="-4"/>
              </w:rPr>
              <w:drawing>
                <wp:inline distT="0" distB="0" distL="0" distR="0">
                  <wp:extent cx="88265" cy="190500"/>
                  <wp:effectExtent l="0" t="0" r="0" b="0"/>
                  <wp:docPr id="9" name="_x0000_i1048"/>
                  <wp:cNvGraphicFramePr/>
                  <a:graphic xmlns:a="http://schemas.openxmlformats.org/drawingml/2006/main">
                    <a:graphicData uri="http://schemas.openxmlformats.org/drawingml/2006/picture">
                      <pic:pic xmlns:pic="http://schemas.openxmlformats.org/drawingml/2006/picture">
                        <pic:nvPicPr>
                          <pic:cNvPr id="9" name="_x0000_i1048"/>
                          <pic:cNvPicPr/>
                        </pic:nvPicPr>
                        <pic:blipFill>
                          <a:blip r:embed="rId9"/>
                          <a:stretch>
                            <a:fillRect/>
                          </a:stretch>
                        </pic:blipFill>
                        <pic:spPr>
                          <a:xfrm>
                            <a:off x="0" y="0"/>
                            <a:ext cx="88529" cy="190554"/>
                          </a:xfrm>
                          <a:prstGeom prst="rect">
                            <a:avLst/>
                          </a:prstGeom>
                        </pic:spPr>
                      </pic:pic>
                    </a:graphicData>
                  </a:graphic>
                </wp:inline>
              </w:drawing>
            </w:r>
            <w:r>
              <w:rPr>
                <w:rFonts w:hint="eastAsia" w:ascii="宋体"/>
              </w:rPr>
              <w:t>/cm</w:t>
            </w:r>
          </w:p>
        </w:tc>
        <w:tc>
          <w:tcPr>
            <w:tcW w:w="7887" w:type="dxa"/>
            <w:gridSpan w:val="3"/>
            <w:vAlign w:val="top"/>
          </w:tcPr>
          <w:p w14:paraId="4D1F597C">
            <w:pPr>
              <w:jc w:val="center"/>
              <w:rPr>
                <w:rFonts w:hint="eastAsia" w:ascii="宋体"/>
              </w:rPr>
            </w:pPr>
            <w:r>
              <w:rPr>
                <w:rFonts w:hint="eastAsia" w:ascii="宋体"/>
              </w:rPr>
              <w:t>≥2.5</w:t>
            </w:r>
          </w:p>
        </w:tc>
      </w:tr>
      <w:tr w14:paraId="188EB0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683" w:type="dxa"/>
            <w:vMerge w:val="restart"/>
            <w:vAlign w:val="top"/>
          </w:tcPr>
          <w:p w14:paraId="445211A0">
            <w:pPr>
              <w:rPr>
                <w:rFonts w:hint="eastAsia" w:ascii="宋体"/>
              </w:rPr>
            </w:pPr>
            <w:r>
              <w:rPr>
                <w:rFonts w:hint="eastAsia" w:ascii="宋体"/>
              </w:rPr>
              <w:t>感官特征</w:t>
            </w:r>
          </w:p>
        </w:tc>
        <w:tc>
          <w:tcPr>
            <w:tcW w:w="7887" w:type="dxa"/>
            <w:gridSpan w:val="3"/>
            <w:vAlign w:val="top"/>
          </w:tcPr>
          <w:p w14:paraId="3AA437CB">
            <w:pPr>
              <w:rPr>
                <w:rFonts w:hint="eastAsia" w:ascii="宋体"/>
              </w:rPr>
            </w:pPr>
            <w:r>
              <w:rPr>
                <w:rFonts w:hint="eastAsia" w:ascii="宋体"/>
              </w:rPr>
              <w:t>葱白致密紧实，质地脆嫩，多汁鲜甜微辣、不辛辣</w:t>
            </w:r>
          </w:p>
        </w:tc>
      </w:tr>
      <w:tr w14:paraId="240E0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683" w:type="dxa"/>
            <w:vMerge w:val="continue"/>
            <w:vAlign w:val="top"/>
          </w:tcPr>
          <w:p w14:paraId="0A9A0B76">
            <w:pPr>
              <w:rPr>
                <w:rFonts w:hint="eastAsia" w:ascii="宋体"/>
              </w:rPr>
            </w:pPr>
          </w:p>
        </w:tc>
        <w:tc>
          <w:tcPr>
            <w:tcW w:w="2625" w:type="dxa"/>
            <w:vAlign w:val="top"/>
          </w:tcPr>
          <w:p w14:paraId="23D91885">
            <w:pPr>
              <w:ind w:firstLine="210" w:firstLineChars="100"/>
              <w:rPr>
                <w:rFonts w:hint="eastAsia" w:ascii="宋体"/>
              </w:rPr>
            </w:pPr>
            <w:bookmarkStart w:id="29" w:name="OLE_LINK10"/>
            <w:r>
              <w:rPr>
                <w:rFonts w:hint="eastAsia" w:ascii="宋体"/>
              </w:rPr>
              <w:t>具有该品种特有的外形和色泽。清洁，整齐，直立，葱白肥厚，松紧适度，质嫩，纤维少，葱白无破裂、空心、汁液外溢和明显失水，无冷冻、病虫害原因引起的病斑及机械等损伤</w:t>
            </w:r>
            <w:bookmarkEnd w:id="29"/>
          </w:p>
        </w:tc>
        <w:tc>
          <w:tcPr>
            <w:tcW w:w="2625" w:type="dxa"/>
            <w:vAlign w:val="top"/>
          </w:tcPr>
          <w:p w14:paraId="4BE6F9F1">
            <w:pPr>
              <w:ind w:firstLine="210" w:firstLineChars="100"/>
              <w:rPr>
                <w:rFonts w:hint="eastAsia" w:ascii="宋体"/>
              </w:rPr>
            </w:pPr>
            <w:bookmarkStart w:id="30" w:name="OLE_LINK13"/>
            <w:r>
              <w:rPr>
                <w:rFonts w:hint="eastAsia" w:ascii="宋体"/>
              </w:rPr>
              <w:t>具有该品种特有的外形和色泽。清洁，整齐，较直立，葱白肥厚，松紧适度，质嫩，纤维少，葱白基本无破裂、弯曲、汁液外溢，无冷冻、病虫害原因引起的病斑及机械等损伤</w:t>
            </w:r>
            <w:bookmarkEnd w:id="30"/>
          </w:p>
        </w:tc>
        <w:tc>
          <w:tcPr>
            <w:tcW w:w="2637" w:type="dxa"/>
            <w:vAlign w:val="top"/>
          </w:tcPr>
          <w:p w14:paraId="09D9DC35">
            <w:pPr>
              <w:ind w:firstLine="105" w:firstLineChars="50"/>
              <w:rPr>
                <w:rFonts w:hint="eastAsia" w:ascii="宋体"/>
              </w:rPr>
            </w:pPr>
            <w:r>
              <w:rPr>
                <w:rFonts w:hint="eastAsia" w:ascii="宋体"/>
              </w:rPr>
              <w:t>具有该品种特有的外形和色泽。清洁，较整齐，允许少量葱白破裂、弯曲和葱白汁液少量外溢，无冷冻、病虫害原因引起的病斑及机械等损伤</w:t>
            </w:r>
          </w:p>
        </w:tc>
      </w:tr>
      <w:tr w14:paraId="1CACA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683" w:type="dxa"/>
            <w:vAlign w:val="top"/>
          </w:tcPr>
          <w:p w14:paraId="66BEB2DA">
            <w:pPr>
              <w:rPr>
                <w:rFonts w:hint="eastAsia" w:ascii="宋体"/>
              </w:rPr>
            </w:pPr>
            <w:r>
              <w:rPr>
                <w:rFonts w:hint="eastAsia" w:ascii="宋体"/>
              </w:rPr>
              <w:t>等级不合格允许度</w:t>
            </w:r>
          </w:p>
        </w:tc>
        <w:tc>
          <w:tcPr>
            <w:tcW w:w="2625" w:type="dxa"/>
            <w:vAlign w:val="top"/>
          </w:tcPr>
          <w:p w14:paraId="4A708672">
            <w:pPr>
              <w:rPr>
                <w:rFonts w:hint="eastAsia" w:ascii="宋体"/>
              </w:rPr>
            </w:pPr>
            <w:bookmarkStart w:id="31" w:name="OLE_LINK14"/>
            <w:r>
              <w:rPr>
                <w:rFonts w:hint="eastAsia" w:ascii="宋体"/>
              </w:rPr>
              <w:t>特级允许有4 %的产品不符合该等级的要求，但应符合一级的要求</w:t>
            </w:r>
            <w:bookmarkEnd w:id="31"/>
          </w:p>
        </w:tc>
        <w:tc>
          <w:tcPr>
            <w:tcW w:w="2625" w:type="dxa"/>
            <w:vAlign w:val="top"/>
          </w:tcPr>
          <w:p w14:paraId="6E916FA6">
            <w:pPr>
              <w:rPr>
                <w:rFonts w:hint="eastAsia" w:ascii="宋体"/>
              </w:rPr>
            </w:pPr>
            <w:r>
              <w:rPr>
                <w:rFonts w:hint="eastAsia" w:ascii="宋体"/>
              </w:rPr>
              <w:t>一级允许有8 %的产品不符合该等级的要求，但应符合二级的要求</w:t>
            </w:r>
          </w:p>
        </w:tc>
        <w:tc>
          <w:tcPr>
            <w:tcW w:w="2637" w:type="dxa"/>
            <w:vAlign w:val="top"/>
          </w:tcPr>
          <w:p w14:paraId="32DA2FE1">
            <w:pPr>
              <w:rPr>
                <w:rFonts w:hint="eastAsia" w:ascii="宋体"/>
              </w:rPr>
            </w:pPr>
            <w:r>
              <w:rPr>
                <w:rFonts w:hint="eastAsia" w:ascii="宋体"/>
              </w:rPr>
              <w:t xml:space="preserve">二级允许有8 </w:t>
            </w:r>
            <w:r>
              <w:rPr>
                <w:rFonts w:ascii="宋体"/>
              </w:rPr>
              <w:t>%</w:t>
            </w:r>
            <w:r>
              <w:rPr>
                <w:rFonts w:hint="eastAsia" w:ascii="宋体"/>
              </w:rPr>
              <w:t>的产品不符合该等级的要求，但应符合无异味、冻害及变质的基本要求</w:t>
            </w:r>
          </w:p>
        </w:tc>
      </w:tr>
      <w:tr w14:paraId="11664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0" w:type="dxa"/>
            <w:gridSpan w:val="4"/>
            <w:vAlign w:val="top"/>
          </w:tcPr>
          <w:p w14:paraId="6D58BA51">
            <w:pPr>
              <w:ind w:firstLine="735" w:firstLineChars="350"/>
              <w:rPr>
                <w:rFonts w:hint="eastAsia" w:ascii="宋体"/>
              </w:rPr>
            </w:pPr>
            <w:r>
              <w:rPr>
                <w:rFonts w:hint="eastAsia" w:ascii="宋体"/>
              </w:rPr>
              <w:t>a仅作为参考指标;</w:t>
            </w:r>
          </w:p>
          <w:p w14:paraId="5F3A6C81">
            <w:pPr>
              <w:ind w:firstLine="735" w:firstLineChars="350"/>
              <w:rPr>
                <w:rFonts w:hint="eastAsia" w:ascii="宋体"/>
              </w:rPr>
            </w:pPr>
            <w:r>
              <w:rPr>
                <w:rFonts w:hint="eastAsia" w:ascii="宋体"/>
              </w:rPr>
              <w:t>b、c同一包装中允许误差：特级</w:t>
            </w:r>
            <w:bookmarkStart w:id="32" w:name="OLE_LINK24"/>
            <w:bookmarkStart w:id="33" w:name="OLE_LINK25"/>
            <w:r>
              <w:rPr>
                <w:rFonts w:hint="eastAsia" w:ascii="宋体"/>
              </w:rPr>
              <w:t>≤</w:t>
            </w:r>
            <w:bookmarkEnd w:id="32"/>
            <w:bookmarkEnd w:id="33"/>
            <w:r>
              <w:rPr>
                <w:rFonts w:hint="eastAsia" w:ascii="宋体"/>
              </w:rPr>
              <w:t>15 %，一级、二级≤10 %。</w:t>
            </w:r>
          </w:p>
        </w:tc>
      </w:tr>
    </w:tbl>
    <w:p w14:paraId="62B7A468">
      <w:pPr>
        <w:pStyle w:val="45"/>
        <w:numPr>
          <w:ilvl w:val="0"/>
          <w:numId w:val="0"/>
        </w:numPr>
        <w:spacing w:before="156" w:after="156"/>
        <w:rPr>
          <w:rFonts w:hint="eastAsia"/>
        </w:rPr>
      </w:pPr>
    </w:p>
    <w:p w14:paraId="2A7F80A7">
      <w:pPr>
        <w:pStyle w:val="45"/>
        <w:spacing w:before="156" w:after="156"/>
        <w:rPr>
          <w:rFonts w:hint="eastAsia"/>
        </w:rPr>
      </w:pPr>
      <w:r>
        <w:rPr>
          <w:rFonts w:hint="eastAsia"/>
        </w:rPr>
        <w:t>理化指标</w:t>
      </w:r>
    </w:p>
    <w:p w14:paraId="358577AA">
      <w:pPr>
        <w:pStyle w:val="26"/>
        <w:tabs>
          <w:tab w:val="clear" w:pos="4201"/>
          <w:tab w:val="clear" w:pos="9298"/>
        </w:tabs>
        <w:rPr>
          <w:rFonts w:hint="eastAsia"/>
        </w:rPr>
      </w:pPr>
      <w:r>
        <w:rPr>
          <w:rFonts w:hint="eastAsia"/>
        </w:rPr>
        <w:t>理化指标应符合表2的规定。</w:t>
      </w:r>
    </w:p>
    <w:p w14:paraId="4F204D76">
      <w:pPr>
        <w:pStyle w:val="125"/>
        <w:tabs>
          <w:tab w:val="clear" w:pos="360"/>
        </w:tabs>
        <w:jc w:val="both"/>
        <w:rPr>
          <w:rFonts w:hint="eastAsia"/>
        </w:rPr>
      </w:pPr>
      <w:r>
        <w:rPr>
          <w:rFonts w:hint="eastAsia"/>
        </w:rPr>
        <w:t>理化指标</w:t>
      </w:r>
    </w:p>
    <w:p w14:paraId="1EA5157D">
      <w:pPr>
        <w:pStyle w:val="26"/>
        <w:tabs>
          <w:tab w:val="clear" w:pos="4201"/>
          <w:tab w:val="clear" w:pos="9298"/>
        </w:tabs>
        <w:rPr>
          <w:rFonts w:hint="eastAsia"/>
        </w:rPr>
      </w:pPr>
    </w:p>
    <w:tbl>
      <w:tblPr>
        <w:tblStyle w:val="35"/>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93"/>
        <w:gridCol w:w="5577"/>
      </w:tblGrid>
      <w:tr w14:paraId="062A4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993" w:type="dxa"/>
            <w:vAlign w:val="top"/>
          </w:tcPr>
          <w:p w14:paraId="14E2A5DD">
            <w:pPr>
              <w:jc w:val="center"/>
              <w:rPr>
                <w:rFonts w:hint="eastAsia" w:ascii="宋体"/>
              </w:rPr>
            </w:pPr>
            <w:r>
              <w:rPr>
                <w:rFonts w:hint="eastAsia" w:ascii="宋体"/>
              </w:rPr>
              <w:t>项目</w:t>
            </w:r>
          </w:p>
        </w:tc>
        <w:tc>
          <w:tcPr>
            <w:tcW w:w="5577" w:type="dxa"/>
            <w:vAlign w:val="top"/>
          </w:tcPr>
          <w:p w14:paraId="61650B97">
            <w:pPr>
              <w:jc w:val="center"/>
              <w:rPr>
                <w:rFonts w:hint="eastAsia" w:ascii="宋体"/>
              </w:rPr>
            </w:pPr>
            <w:r>
              <w:rPr>
                <w:rFonts w:hint="eastAsia" w:ascii="宋体"/>
              </w:rPr>
              <w:t>指标</w:t>
            </w:r>
          </w:p>
        </w:tc>
      </w:tr>
      <w:tr w14:paraId="1368B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993" w:type="dxa"/>
            <w:vAlign w:val="top"/>
          </w:tcPr>
          <w:p w14:paraId="36600E54">
            <w:pPr>
              <w:rPr>
                <w:rFonts w:hint="eastAsia" w:ascii="宋体"/>
              </w:rPr>
            </w:pPr>
            <w:r>
              <w:rPr>
                <w:rFonts w:hint="eastAsia" w:ascii="宋体"/>
              </w:rPr>
              <w:t>水分</w:t>
            </w:r>
            <w:bookmarkStart w:id="34" w:name="OLE_LINK15"/>
            <w:bookmarkStart w:id="35" w:name="OLE_LINK16"/>
            <w:r>
              <w:rPr>
                <w:rFonts w:hint="eastAsia" w:ascii="宋体"/>
              </w:rPr>
              <w:t>/%</w:t>
            </w:r>
            <w:bookmarkEnd w:id="34"/>
            <w:bookmarkEnd w:id="35"/>
          </w:p>
        </w:tc>
        <w:tc>
          <w:tcPr>
            <w:tcW w:w="5577" w:type="dxa"/>
            <w:vAlign w:val="top"/>
          </w:tcPr>
          <w:p w14:paraId="3D8BC780">
            <w:pPr>
              <w:jc w:val="center"/>
              <w:rPr>
                <w:rFonts w:hint="eastAsia" w:ascii="宋体"/>
              </w:rPr>
            </w:pPr>
            <w:r>
              <w:rPr>
                <w:rFonts w:hint="eastAsia" w:ascii="宋体"/>
              </w:rPr>
              <w:t>≤85.5</w:t>
            </w:r>
          </w:p>
        </w:tc>
      </w:tr>
      <w:tr w14:paraId="7092B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993" w:type="dxa"/>
            <w:vAlign w:val="top"/>
          </w:tcPr>
          <w:p w14:paraId="5015FAB2">
            <w:pPr>
              <w:rPr>
                <w:rFonts w:hint="eastAsia" w:ascii="宋体"/>
              </w:rPr>
            </w:pPr>
            <w:r>
              <w:rPr>
                <w:rFonts w:hint="eastAsia" w:ascii="宋体"/>
              </w:rPr>
              <w:t>可溶性糖/%</w:t>
            </w:r>
          </w:p>
        </w:tc>
        <w:tc>
          <w:tcPr>
            <w:tcW w:w="5577" w:type="dxa"/>
            <w:vAlign w:val="top"/>
          </w:tcPr>
          <w:p w14:paraId="4786A0E3">
            <w:pPr>
              <w:jc w:val="center"/>
              <w:rPr>
                <w:rFonts w:hint="eastAsia" w:ascii="宋体"/>
              </w:rPr>
            </w:pPr>
            <w:bookmarkStart w:id="36" w:name="OLE_LINK17"/>
            <w:bookmarkStart w:id="37" w:name="OLE_LINK18"/>
            <w:r>
              <w:rPr>
                <w:rFonts w:hint="eastAsia" w:ascii="宋体"/>
              </w:rPr>
              <w:t>≥</w:t>
            </w:r>
            <w:bookmarkEnd w:id="36"/>
            <w:bookmarkEnd w:id="37"/>
            <w:r>
              <w:rPr>
                <w:rFonts w:hint="eastAsia" w:ascii="宋体"/>
              </w:rPr>
              <w:t>3.0</w:t>
            </w:r>
          </w:p>
        </w:tc>
      </w:tr>
      <w:tr w14:paraId="74FCB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993" w:type="dxa"/>
            <w:vAlign w:val="top"/>
          </w:tcPr>
          <w:p w14:paraId="241D8B7F">
            <w:pPr>
              <w:rPr>
                <w:rFonts w:hint="eastAsia" w:ascii="宋体"/>
              </w:rPr>
            </w:pPr>
            <w:r>
              <w:rPr>
                <w:rFonts w:hint="eastAsia" w:ascii="宋体"/>
              </w:rPr>
              <w:t>钙/（mg/100g）</w:t>
            </w:r>
          </w:p>
        </w:tc>
        <w:tc>
          <w:tcPr>
            <w:tcW w:w="5577" w:type="dxa"/>
            <w:vAlign w:val="top"/>
          </w:tcPr>
          <w:p w14:paraId="7862A49B">
            <w:pPr>
              <w:jc w:val="center"/>
              <w:rPr>
                <w:rFonts w:hint="eastAsia" w:ascii="宋体"/>
              </w:rPr>
            </w:pPr>
            <w:r>
              <w:rPr>
                <w:rFonts w:hint="eastAsia" w:ascii="宋体"/>
              </w:rPr>
              <w:t>≥37.0</w:t>
            </w:r>
          </w:p>
        </w:tc>
      </w:tr>
      <w:tr w14:paraId="42129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993" w:type="dxa"/>
            <w:vAlign w:val="top"/>
          </w:tcPr>
          <w:p w14:paraId="791D9891">
            <w:pPr>
              <w:rPr>
                <w:rFonts w:hint="eastAsia" w:ascii="宋体"/>
              </w:rPr>
            </w:pPr>
            <w:r>
              <w:rPr>
                <w:rFonts w:hint="eastAsia" w:ascii="宋体"/>
              </w:rPr>
              <w:t>粗纤维/%</w:t>
            </w:r>
          </w:p>
        </w:tc>
        <w:tc>
          <w:tcPr>
            <w:tcW w:w="5577" w:type="dxa"/>
            <w:vAlign w:val="top"/>
          </w:tcPr>
          <w:p w14:paraId="238E7EFB">
            <w:pPr>
              <w:jc w:val="center"/>
              <w:rPr>
                <w:rFonts w:hint="eastAsia" w:ascii="宋体"/>
              </w:rPr>
            </w:pPr>
            <w:r>
              <w:rPr>
                <w:rFonts w:hint="eastAsia" w:ascii="宋体"/>
              </w:rPr>
              <w:t>≤0.6</w:t>
            </w:r>
          </w:p>
        </w:tc>
      </w:tr>
    </w:tbl>
    <w:p w14:paraId="3EDACA10">
      <w:pPr>
        <w:pStyle w:val="26"/>
        <w:tabs>
          <w:tab w:val="clear" w:pos="4201"/>
          <w:tab w:val="clear" w:pos="9298"/>
        </w:tabs>
        <w:ind w:firstLine="0" w:firstLineChars="0"/>
        <w:rPr>
          <w:rFonts w:hint="eastAsia"/>
        </w:rPr>
      </w:pPr>
    </w:p>
    <w:p w14:paraId="2D05DF90">
      <w:pPr>
        <w:pStyle w:val="44"/>
        <w:rPr>
          <w:rFonts w:hint="eastAsia"/>
        </w:rPr>
      </w:pPr>
      <w:r>
        <w:rPr>
          <w:rFonts w:hint="eastAsia"/>
        </w:rPr>
        <w:t>检验方法</w:t>
      </w:r>
    </w:p>
    <w:p w14:paraId="468BB6AA">
      <w:pPr>
        <w:pStyle w:val="41"/>
        <w:ind w:left="0"/>
        <w:rPr>
          <w:rFonts w:hint="eastAsia" w:hAnsi="黑体"/>
        </w:rPr>
      </w:pPr>
      <w:r>
        <w:rPr>
          <w:rFonts w:hint="eastAsia" w:hAnsi="黑体"/>
        </w:rPr>
        <w:t>葱白长度</w:t>
      </w:r>
    </w:p>
    <w:p w14:paraId="60FDB150">
      <w:pPr>
        <w:pStyle w:val="41"/>
        <w:numPr>
          <w:ilvl w:val="0"/>
          <w:numId w:val="0"/>
        </w:numPr>
        <w:ind w:firstLine="420" w:firstLineChars="200"/>
        <w:rPr>
          <w:rFonts w:hint="eastAsia" w:ascii="宋体" w:hAnsi="宋体" w:eastAsia="宋体"/>
        </w:rPr>
      </w:pPr>
      <w:r>
        <w:rPr>
          <w:rFonts w:hint="eastAsia" w:ascii="宋体" w:hAnsi="宋体" w:eastAsia="宋体"/>
        </w:rPr>
        <w:t>从假茎基部至出叶口处测量葱白长度。</w:t>
      </w:r>
    </w:p>
    <w:p w14:paraId="74ED2954">
      <w:pPr>
        <w:pStyle w:val="41"/>
        <w:ind w:left="0"/>
        <w:rPr>
          <w:rFonts w:hint="eastAsia" w:hAnsi="黑体"/>
        </w:rPr>
      </w:pPr>
      <w:r>
        <w:rPr>
          <w:rFonts w:hint="eastAsia" w:hAnsi="黑体"/>
        </w:rPr>
        <w:t>葱白直径</w:t>
      </w:r>
    </w:p>
    <w:p w14:paraId="1AAC4507">
      <w:pPr>
        <w:pStyle w:val="41"/>
        <w:numPr>
          <w:ilvl w:val="0"/>
          <w:numId w:val="0"/>
        </w:numPr>
        <w:ind w:firstLine="315" w:firstLineChars="150"/>
        <w:rPr>
          <w:rFonts w:hint="eastAsia" w:ascii="宋体" w:hAnsi="宋体" w:eastAsia="宋体"/>
        </w:rPr>
      </w:pPr>
      <w:r>
        <w:rPr>
          <w:rFonts w:hint="eastAsia" w:ascii="宋体" w:hAnsi="宋体" w:eastAsia="宋体"/>
        </w:rPr>
        <w:t>用游标卡尺测量葱白假茎的最大直径。</w:t>
      </w:r>
    </w:p>
    <w:p w14:paraId="4B77B2A4">
      <w:pPr>
        <w:pStyle w:val="41"/>
        <w:ind w:left="0"/>
        <w:rPr>
          <w:rFonts w:hint="eastAsia"/>
        </w:rPr>
      </w:pPr>
      <w:r>
        <w:rPr>
          <w:rFonts w:hint="eastAsia"/>
        </w:rPr>
        <w:t>感官特征</w:t>
      </w:r>
    </w:p>
    <w:p w14:paraId="284512FD">
      <w:pPr>
        <w:pStyle w:val="26"/>
        <w:tabs>
          <w:tab w:val="clear" w:pos="4201"/>
          <w:tab w:val="clear" w:pos="9298"/>
        </w:tabs>
        <w:rPr>
          <w:rFonts w:hint="eastAsia"/>
        </w:rPr>
      </w:pPr>
      <w:r>
        <w:rPr>
          <w:rFonts w:hint="eastAsia"/>
        </w:rPr>
        <w:t>采用嗅、摸、目测，对感官特性进行检测，冻害、病虫害等症状不明显而由怀疑时应将样品剖开检验。</w:t>
      </w:r>
    </w:p>
    <w:p w14:paraId="7244025A">
      <w:pPr>
        <w:pStyle w:val="41"/>
        <w:ind w:left="0"/>
        <w:rPr>
          <w:rFonts w:hint="eastAsia"/>
        </w:rPr>
      </w:pPr>
      <w:r>
        <w:rPr>
          <w:rFonts w:hint="eastAsia"/>
        </w:rPr>
        <w:t>不合格率计算</w:t>
      </w:r>
    </w:p>
    <w:p w14:paraId="5C04E30B">
      <w:pPr>
        <w:pStyle w:val="26"/>
        <w:tabs>
          <w:tab w:val="clear" w:pos="4201"/>
          <w:tab w:val="clear" w:pos="9298"/>
        </w:tabs>
        <w:rPr>
          <w:rFonts w:hint="eastAsia"/>
        </w:rPr>
      </w:pPr>
      <w:r>
        <w:rPr>
          <w:rFonts w:hint="eastAsia"/>
        </w:rPr>
        <w:t>对同批产品中所抽取的样品及不合格产品分别进行称重，按公式（1）计算等级不合格品率。</w:t>
      </w:r>
    </w:p>
    <w:p w14:paraId="4933F511">
      <w:pPr>
        <w:pStyle w:val="26"/>
        <w:tabs>
          <w:tab w:val="clear" w:pos="4201"/>
          <w:tab w:val="clear" w:pos="9298"/>
        </w:tabs>
        <w:ind w:firstLine="0" w:firstLineChars="0"/>
        <w:jc w:val="center"/>
        <w:rPr>
          <w:rFonts w:hint="eastAsia"/>
        </w:rPr>
      </w:pPr>
      <w:r>
        <w:rPr>
          <w:rFonts w:hint="eastAsia"/>
        </w:rPr>
        <w:t xml:space="preserve">                               </w:t>
      </w:r>
      <w:r>
        <w:rPr>
          <w:position w:val="-24"/>
        </w:rPr>
        <w:drawing>
          <wp:inline distT="0" distB="0" distL="0" distR="0">
            <wp:extent cx="456565" cy="393700"/>
            <wp:effectExtent l="0" t="0" r="0" b="0"/>
            <wp:docPr id="10" name="_x0000_i1049"/>
            <wp:cNvGraphicFramePr/>
            <a:graphic xmlns:a="http://schemas.openxmlformats.org/drawingml/2006/main">
              <a:graphicData uri="http://schemas.openxmlformats.org/drawingml/2006/picture">
                <pic:pic xmlns:pic="http://schemas.openxmlformats.org/drawingml/2006/picture">
                  <pic:nvPicPr>
                    <pic:cNvPr id="10" name="_x0000_i1049"/>
                    <pic:cNvPicPr/>
                  </pic:nvPicPr>
                  <pic:blipFill>
                    <a:blip r:embed="rId10"/>
                    <a:stretch>
                      <a:fillRect/>
                    </a:stretch>
                  </pic:blipFill>
                  <pic:spPr>
                    <a:xfrm>
                      <a:off x="0" y="0"/>
                      <a:ext cx="457020" cy="393851"/>
                    </a:xfrm>
                    <a:prstGeom prst="rect">
                      <a:avLst/>
                    </a:prstGeom>
                  </pic:spPr>
                </pic:pic>
              </a:graphicData>
            </a:graphic>
          </wp:inline>
        </w:drawing>
      </w:r>
      <w:r>
        <w:rPr>
          <w:rFonts w:hint="eastAsia"/>
        </w:rPr>
        <w:t>×100%</w:t>
      </w:r>
      <w:r>
        <w:rPr>
          <w:rFonts w:hint="eastAsia" w:hAnsi="宋体"/>
        </w:rPr>
        <w:t>……………………………………………………（1）</w:t>
      </w:r>
    </w:p>
    <w:p w14:paraId="74C6E1EF">
      <w:pPr>
        <w:pStyle w:val="26"/>
        <w:tabs>
          <w:tab w:val="clear" w:pos="4201"/>
          <w:tab w:val="clear" w:pos="9298"/>
        </w:tabs>
        <w:rPr>
          <w:rFonts w:hint="eastAsia"/>
        </w:rPr>
      </w:pPr>
      <w:r>
        <w:rPr>
          <w:rFonts w:hint="eastAsia"/>
        </w:rPr>
        <w:t>式中：</w:t>
      </w:r>
    </w:p>
    <w:p w14:paraId="4115309F">
      <w:pPr>
        <w:pStyle w:val="26"/>
        <w:tabs>
          <w:tab w:val="clear" w:pos="4201"/>
          <w:tab w:val="clear" w:pos="9298"/>
        </w:tabs>
      </w:pPr>
      <w:r>
        <w:rPr>
          <w:position w:val="-6"/>
        </w:rPr>
        <w:drawing>
          <wp:inline distT="0" distB="0" distL="0" distR="0">
            <wp:extent cx="127000" cy="139700"/>
            <wp:effectExtent l="0" t="0" r="0" b="0"/>
            <wp:docPr id="11" name="_x0000_i1050"/>
            <wp:cNvGraphicFramePr/>
            <a:graphic xmlns:a="http://schemas.openxmlformats.org/drawingml/2006/main">
              <a:graphicData uri="http://schemas.openxmlformats.org/drawingml/2006/picture">
                <pic:pic xmlns:pic="http://schemas.openxmlformats.org/drawingml/2006/picture">
                  <pic:nvPicPr>
                    <pic:cNvPr id="11" name="_x0000_i1050"/>
                    <pic:cNvPicPr/>
                  </pic:nvPicPr>
                  <pic:blipFill>
                    <a:blip r:embed="rId11"/>
                    <a:stretch>
                      <a:fillRect/>
                    </a:stretch>
                  </pic:blipFill>
                  <pic:spPr>
                    <a:xfrm>
                      <a:off x="0" y="0"/>
                      <a:ext cx="127248" cy="139899"/>
                    </a:xfrm>
                    <a:prstGeom prst="rect">
                      <a:avLst/>
                    </a:prstGeom>
                  </pic:spPr>
                </pic:pic>
              </a:graphicData>
            </a:graphic>
          </wp:inline>
        </w:drawing>
      </w:r>
      <w:r>
        <w:rPr>
          <w:rFonts w:hint="eastAsia"/>
        </w:rPr>
        <w:t>----等级不合格率，%；</w:t>
      </w:r>
    </w:p>
    <w:p w14:paraId="6C71E06F">
      <w:pPr>
        <w:pStyle w:val="26"/>
        <w:tabs>
          <w:tab w:val="clear" w:pos="4201"/>
          <w:tab w:val="clear" w:pos="9298"/>
        </w:tabs>
      </w:pPr>
      <w:r>
        <w:rPr>
          <w:position w:val="-10"/>
        </w:rPr>
        <w:drawing>
          <wp:inline distT="0" distB="0" distL="0" distR="0">
            <wp:extent cx="190500" cy="215900"/>
            <wp:effectExtent l="0" t="0" r="0" b="0"/>
            <wp:docPr id="12" name="_x0000_i1051"/>
            <wp:cNvGraphicFramePr/>
            <a:graphic xmlns:a="http://schemas.openxmlformats.org/drawingml/2006/main">
              <a:graphicData uri="http://schemas.openxmlformats.org/drawingml/2006/picture">
                <pic:pic xmlns:pic="http://schemas.openxmlformats.org/drawingml/2006/picture">
                  <pic:nvPicPr>
                    <pic:cNvPr id="12" name="_x0000_i1051"/>
                    <pic:cNvPicPr/>
                  </pic:nvPicPr>
                  <pic:blipFill>
                    <a:blip r:embed="rId12"/>
                    <a:stretch>
                      <a:fillRect/>
                    </a:stretch>
                  </pic:blipFill>
                  <pic:spPr>
                    <a:xfrm>
                      <a:off x="0" y="0"/>
                      <a:ext cx="190624" cy="216126"/>
                    </a:xfrm>
                    <a:prstGeom prst="rect">
                      <a:avLst/>
                    </a:prstGeom>
                  </pic:spPr>
                </pic:pic>
              </a:graphicData>
            </a:graphic>
          </wp:inline>
        </w:drawing>
      </w:r>
      <w:r>
        <w:rPr>
          <w:rFonts w:hint="eastAsia"/>
        </w:rPr>
        <w:t>----不合格样品质量，单位为千克（kg）</w:t>
      </w:r>
    </w:p>
    <w:p w14:paraId="381CE4E0">
      <w:pPr>
        <w:pStyle w:val="26"/>
        <w:tabs>
          <w:tab w:val="clear" w:pos="4201"/>
          <w:tab w:val="clear" w:pos="9298"/>
        </w:tabs>
      </w:pPr>
      <w:r>
        <w:rPr>
          <w:position w:val="-6"/>
        </w:rPr>
        <w:drawing>
          <wp:inline distT="0" distB="0" distL="0" distR="0">
            <wp:extent cx="165100" cy="139700"/>
            <wp:effectExtent l="0" t="0" r="0" b="0"/>
            <wp:docPr id="13" name="_x0000_i1052"/>
            <wp:cNvGraphicFramePr/>
            <a:graphic xmlns:a="http://schemas.openxmlformats.org/drawingml/2006/main">
              <a:graphicData uri="http://schemas.openxmlformats.org/drawingml/2006/picture">
                <pic:pic xmlns:pic="http://schemas.openxmlformats.org/drawingml/2006/picture">
                  <pic:nvPicPr>
                    <pic:cNvPr id="13" name="_x0000_i1052"/>
                    <pic:cNvPicPr/>
                  </pic:nvPicPr>
                  <pic:blipFill>
                    <a:blip r:embed="rId13"/>
                    <a:stretch>
                      <a:fillRect/>
                    </a:stretch>
                  </pic:blipFill>
                  <pic:spPr>
                    <a:xfrm>
                      <a:off x="0" y="0"/>
                      <a:ext cx="165286" cy="139759"/>
                    </a:xfrm>
                    <a:prstGeom prst="rect">
                      <a:avLst/>
                    </a:prstGeom>
                  </pic:spPr>
                </pic:pic>
              </a:graphicData>
            </a:graphic>
          </wp:inline>
        </w:drawing>
      </w:r>
      <w:r>
        <w:rPr>
          <w:rFonts w:hint="eastAsia"/>
        </w:rPr>
        <w:t>----测定用样品质量，单位为千克（kg）</w:t>
      </w:r>
    </w:p>
    <w:p w14:paraId="6F2A0349">
      <w:pPr>
        <w:pStyle w:val="41"/>
        <w:ind w:left="0"/>
        <w:rPr>
          <w:rFonts w:hint="eastAsia"/>
        </w:rPr>
      </w:pPr>
      <w:r>
        <w:rPr>
          <w:rFonts w:hint="eastAsia"/>
        </w:rPr>
        <w:t>理化指标</w:t>
      </w:r>
    </w:p>
    <w:p w14:paraId="023C32FB">
      <w:pPr>
        <w:pStyle w:val="45"/>
        <w:spacing w:before="156" w:after="156"/>
        <w:rPr>
          <w:rFonts w:hint="eastAsia"/>
        </w:rPr>
      </w:pPr>
      <w:r>
        <w:rPr>
          <w:rFonts w:hint="eastAsia"/>
        </w:rPr>
        <w:t>水分</w:t>
      </w:r>
    </w:p>
    <w:p w14:paraId="45C0704B">
      <w:pPr>
        <w:pStyle w:val="26"/>
        <w:tabs>
          <w:tab w:val="clear" w:pos="4201"/>
          <w:tab w:val="clear" w:pos="9298"/>
        </w:tabs>
        <w:rPr>
          <w:rFonts w:hint="eastAsia"/>
        </w:rPr>
      </w:pPr>
      <w:r>
        <w:rPr>
          <w:rFonts w:hint="eastAsia"/>
        </w:rPr>
        <w:t>按GB 5009.3的规定执行。</w:t>
      </w:r>
    </w:p>
    <w:p w14:paraId="0BDC33BC">
      <w:pPr>
        <w:pStyle w:val="45"/>
        <w:spacing w:before="156" w:after="156"/>
        <w:rPr>
          <w:rFonts w:hint="eastAsia"/>
        </w:rPr>
      </w:pPr>
      <w:r>
        <w:rPr>
          <w:rFonts w:hint="eastAsia"/>
        </w:rPr>
        <w:t>可溶性糖</w:t>
      </w:r>
    </w:p>
    <w:p w14:paraId="484BCE42">
      <w:pPr>
        <w:pStyle w:val="26"/>
        <w:tabs>
          <w:tab w:val="clear" w:pos="4201"/>
          <w:tab w:val="clear" w:pos="9298"/>
        </w:tabs>
        <w:rPr>
          <w:rFonts w:hint="eastAsia"/>
        </w:rPr>
      </w:pPr>
      <w:r>
        <w:rPr>
          <w:rFonts w:hint="eastAsia"/>
        </w:rPr>
        <w:t>按NY/T 1278的规定执行。</w:t>
      </w:r>
    </w:p>
    <w:p w14:paraId="0271EC49">
      <w:pPr>
        <w:pStyle w:val="45"/>
        <w:spacing w:before="156" w:after="156"/>
        <w:rPr>
          <w:rFonts w:hint="eastAsia"/>
        </w:rPr>
      </w:pPr>
      <w:r>
        <w:rPr>
          <w:rFonts w:hint="eastAsia"/>
        </w:rPr>
        <w:t>钙</w:t>
      </w:r>
    </w:p>
    <w:p w14:paraId="01245108">
      <w:pPr>
        <w:pStyle w:val="26"/>
        <w:tabs>
          <w:tab w:val="clear" w:pos="4201"/>
          <w:tab w:val="clear" w:pos="9298"/>
        </w:tabs>
        <w:rPr>
          <w:rFonts w:hint="eastAsia"/>
        </w:rPr>
      </w:pPr>
      <w:r>
        <w:rPr>
          <w:rFonts w:hint="eastAsia"/>
        </w:rPr>
        <w:t>按GB 5009.92的规定执行。</w:t>
      </w:r>
    </w:p>
    <w:p w14:paraId="2A35CE04">
      <w:pPr>
        <w:pStyle w:val="45"/>
        <w:spacing w:before="156" w:after="156"/>
        <w:rPr>
          <w:rFonts w:hint="eastAsia"/>
        </w:rPr>
      </w:pPr>
      <w:r>
        <w:rPr>
          <w:rFonts w:hint="eastAsia"/>
        </w:rPr>
        <w:t>粗纤维</w:t>
      </w:r>
    </w:p>
    <w:p w14:paraId="3AAA5C16">
      <w:pPr>
        <w:pStyle w:val="26"/>
        <w:tabs>
          <w:tab w:val="clear" w:pos="4201"/>
          <w:tab w:val="clear" w:pos="9298"/>
        </w:tabs>
        <w:rPr>
          <w:rFonts w:hint="eastAsia"/>
        </w:rPr>
      </w:pPr>
      <w:r>
        <w:rPr>
          <w:rFonts w:hint="eastAsia"/>
        </w:rPr>
        <w:t>按按GB 5009.10的规定执行。</w:t>
      </w:r>
    </w:p>
    <w:p w14:paraId="6F9E1288">
      <w:pPr>
        <w:pStyle w:val="44"/>
        <w:rPr>
          <w:rFonts w:hint="eastAsia"/>
        </w:rPr>
      </w:pPr>
      <w:r>
        <w:rPr>
          <w:rFonts w:hint="eastAsia"/>
        </w:rPr>
        <w:t>检验规则</w:t>
      </w:r>
    </w:p>
    <w:p w14:paraId="5B55659A">
      <w:pPr>
        <w:pStyle w:val="41"/>
        <w:ind w:left="0"/>
        <w:rPr>
          <w:rFonts w:hint="eastAsia"/>
        </w:rPr>
      </w:pPr>
      <w:r>
        <w:rPr>
          <w:rFonts w:hint="eastAsia"/>
        </w:rPr>
        <w:t>批次</w:t>
      </w:r>
    </w:p>
    <w:p w14:paraId="376C35A5">
      <w:pPr>
        <w:pStyle w:val="26"/>
        <w:tabs>
          <w:tab w:val="clear" w:pos="4201"/>
          <w:tab w:val="clear" w:pos="9298"/>
        </w:tabs>
        <w:rPr>
          <w:rFonts w:hint="eastAsia"/>
        </w:rPr>
      </w:pPr>
      <w:r>
        <w:rPr>
          <w:rFonts w:hint="eastAsia"/>
        </w:rPr>
        <w:t>以同一产地、同一品种的漳浦大葱为一个检验批次。</w:t>
      </w:r>
    </w:p>
    <w:p w14:paraId="4B831644">
      <w:pPr>
        <w:pStyle w:val="41"/>
        <w:ind w:left="0"/>
        <w:rPr>
          <w:rFonts w:hint="eastAsia"/>
        </w:rPr>
      </w:pPr>
      <w:r>
        <w:rPr>
          <w:rFonts w:hint="eastAsia"/>
        </w:rPr>
        <w:t>抽样方法</w:t>
      </w:r>
    </w:p>
    <w:p w14:paraId="46BD2139">
      <w:pPr>
        <w:pStyle w:val="26"/>
        <w:tabs>
          <w:tab w:val="clear" w:pos="4201"/>
          <w:tab w:val="clear" w:pos="9298"/>
        </w:tabs>
        <w:rPr>
          <w:rFonts w:hint="eastAsia"/>
        </w:rPr>
      </w:pPr>
      <w:r>
        <w:rPr>
          <w:rFonts w:hint="eastAsia"/>
        </w:rPr>
        <w:t>每批随机抽取或根据签订合同的规定抽样。</w:t>
      </w:r>
    </w:p>
    <w:p w14:paraId="51FDC119">
      <w:pPr>
        <w:pStyle w:val="41"/>
        <w:ind w:left="0"/>
        <w:rPr>
          <w:rFonts w:hint="eastAsia"/>
        </w:rPr>
      </w:pPr>
      <w:r>
        <w:rPr>
          <w:rFonts w:hint="eastAsia"/>
        </w:rPr>
        <w:t>交收检验</w:t>
      </w:r>
    </w:p>
    <w:p w14:paraId="5F399FA1">
      <w:pPr>
        <w:pStyle w:val="26"/>
        <w:tabs>
          <w:tab w:val="clear" w:pos="4201"/>
          <w:tab w:val="clear" w:pos="9298"/>
        </w:tabs>
        <w:rPr>
          <w:rFonts w:hint="eastAsia"/>
        </w:rPr>
      </w:pPr>
      <w:r>
        <w:rPr>
          <w:rFonts w:hint="eastAsia"/>
        </w:rPr>
        <w:t>每批产品交收前，生产单位应进行交收检验，其内容包括等级要求、理化指标指标，经检验合格后，方可交收。</w:t>
      </w:r>
    </w:p>
    <w:p w14:paraId="197501CC">
      <w:pPr>
        <w:pStyle w:val="41"/>
        <w:ind w:left="0"/>
        <w:rPr>
          <w:rFonts w:hint="eastAsia"/>
        </w:rPr>
      </w:pPr>
      <w:r>
        <w:rPr>
          <w:rFonts w:hint="eastAsia"/>
        </w:rPr>
        <w:t>复检</w:t>
      </w:r>
    </w:p>
    <w:p w14:paraId="4EE7E36B">
      <w:pPr>
        <w:pStyle w:val="26"/>
        <w:tabs>
          <w:tab w:val="clear" w:pos="4201"/>
          <w:tab w:val="clear" w:pos="9298"/>
        </w:tabs>
        <w:rPr>
          <w:rFonts w:hint="eastAsia"/>
        </w:rPr>
      </w:pPr>
      <w:r>
        <w:rPr>
          <w:rFonts w:hint="eastAsia"/>
        </w:rPr>
        <w:t>理化指标出现不合格项时，允许重新抽取一份样品进行复检，若仍存在不合格项，则判断该产批产品不合格，若复验合格，则判断该批产品合格。</w:t>
      </w:r>
    </w:p>
    <w:p w14:paraId="577C21A0">
      <w:pPr>
        <w:pStyle w:val="44"/>
        <w:rPr>
          <w:rFonts w:hint="eastAsia"/>
        </w:rPr>
      </w:pPr>
      <w:r>
        <w:rPr>
          <w:rFonts w:hint="eastAsia"/>
        </w:rPr>
        <w:t>包装、标志、运输和贮存</w:t>
      </w:r>
    </w:p>
    <w:p w14:paraId="63D70693">
      <w:pPr>
        <w:pStyle w:val="41"/>
        <w:ind w:left="0"/>
        <w:rPr>
          <w:rFonts w:hint="eastAsia"/>
        </w:rPr>
      </w:pPr>
      <w:r>
        <w:rPr>
          <w:rFonts w:hint="eastAsia"/>
        </w:rPr>
        <w:t>包装</w:t>
      </w:r>
    </w:p>
    <w:p w14:paraId="4BA4608C">
      <w:pPr>
        <w:pStyle w:val="26"/>
        <w:tabs>
          <w:tab w:val="clear" w:pos="4201"/>
          <w:tab w:val="clear" w:pos="9298"/>
        </w:tabs>
        <w:rPr>
          <w:rFonts w:hint="eastAsia"/>
        </w:rPr>
      </w:pPr>
      <w:r>
        <w:rPr>
          <w:rFonts w:hint="eastAsia"/>
        </w:rPr>
        <w:t>采用捆扎或纸箱包装，一个包装单位一般为5 kg左右，净含量允许偏差见《</w:t>
      </w:r>
      <w:r>
        <w:rPr>
          <w:rFonts w:hint="eastAsia" w:hAnsi="宋体"/>
        </w:rPr>
        <w:t>定量包装商品计量监督管理办法</w:t>
      </w:r>
      <w:r>
        <w:rPr>
          <w:rFonts w:hint="eastAsia"/>
        </w:rPr>
        <w:t>》的规定。</w:t>
      </w:r>
    </w:p>
    <w:p w14:paraId="74251764">
      <w:pPr>
        <w:pStyle w:val="41"/>
        <w:ind w:left="0"/>
        <w:rPr>
          <w:rFonts w:hint="eastAsia"/>
        </w:rPr>
      </w:pPr>
      <w:r>
        <w:rPr>
          <w:rFonts w:hint="eastAsia"/>
        </w:rPr>
        <w:t>标志</w:t>
      </w:r>
    </w:p>
    <w:p w14:paraId="5112C9E9">
      <w:pPr>
        <w:pStyle w:val="26"/>
        <w:tabs>
          <w:tab w:val="clear" w:pos="4201"/>
          <w:tab w:val="clear" w:pos="9298"/>
        </w:tabs>
        <w:rPr>
          <w:rFonts w:hint="eastAsia"/>
        </w:rPr>
      </w:pPr>
      <w:r>
        <w:rPr>
          <w:rFonts w:hint="eastAsia"/>
        </w:rPr>
        <w:t>获准使用地理标志证明商标专用标志的生产者可在其外包装上使用地理标志证明商标专用标志，地理标志证明商标专用标志及其使用应符合国家知识产权行政主管部门的规定。包装储存图示标志应符合GB/T 191规定。</w:t>
      </w:r>
    </w:p>
    <w:p w14:paraId="2DC160F7">
      <w:pPr>
        <w:pStyle w:val="41"/>
        <w:ind w:left="0"/>
        <w:rPr>
          <w:rFonts w:hint="eastAsia"/>
        </w:rPr>
      </w:pPr>
      <w:r>
        <w:rPr>
          <w:rFonts w:hint="eastAsia"/>
        </w:rPr>
        <w:t>运输</w:t>
      </w:r>
    </w:p>
    <w:p w14:paraId="690E8532">
      <w:pPr>
        <w:pStyle w:val="26"/>
        <w:tabs>
          <w:tab w:val="clear" w:pos="4201"/>
          <w:tab w:val="clear" w:pos="9298"/>
        </w:tabs>
        <w:rPr>
          <w:rFonts w:hint="eastAsia"/>
        </w:rPr>
      </w:pPr>
      <w:r>
        <w:rPr>
          <w:rFonts w:hint="eastAsia"/>
        </w:rPr>
        <w:t>运输时应做到轻装、轻卸。防止机械损伤。运输工具应清洁、卫生、无污染。运输过程中应防止日晒、雨淋，不得与有异味和有害的物品混装。长途运输应采取防冻保温或降温措施，避免产品质量受影响。</w:t>
      </w:r>
    </w:p>
    <w:p w14:paraId="0B2B8BE5">
      <w:pPr>
        <w:pStyle w:val="41"/>
        <w:ind w:left="0"/>
        <w:rPr>
          <w:rFonts w:hint="eastAsia"/>
        </w:rPr>
      </w:pPr>
      <w:r>
        <w:rPr>
          <w:rFonts w:hint="eastAsia"/>
        </w:rPr>
        <w:t>贮存</w:t>
      </w:r>
    </w:p>
    <w:p w14:paraId="49C5716A">
      <w:pPr>
        <w:pStyle w:val="26"/>
        <w:tabs>
          <w:tab w:val="clear" w:pos="4201"/>
          <w:tab w:val="clear" w:pos="9298"/>
        </w:tabs>
        <w:rPr>
          <w:rFonts w:hint="eastAsia"/>
        </w:rPr>
      </w:pPr>
      <w:r>
        <w:rPr>
          <w:rFonts w:hint="eastAsia"/>
        </w:rPr>
        <w:t>临时贮存应在阴凉通风、清洁、卫生的条件下，防止日晒、雨淋、冻害及有害有毒物质污染，短期贮存应按品种、规格分别存放，货堆不得过大，保持通风散热，控制适宜的温、湿度。贮存库内菜体温度保持在（0±0.5）℃，空气相对湿度保持在80%</w:t>
      </w:r>
      <w:r>
        <w:rPr>
          <w:rFonts w:hint="eastAsia" w:hAnsi="宋体"/>
        </w:rPr>
        <w:t>～85%。</w:t>
      </w:r>
    </w:p>
    <w:p w14:paraId="43611603">
      <w:pPr>
        <w:pStyle w:val="97"/>
        <w:rPr>
          <w:rFonts w:hint="eastAsia"/>
        </w:rPr>
      </w:pPr>
    </w:p>
    <w:p w14:paraId="7D46EA37">
      <w:pPr>
        <w:pStyle w:val="85"/>
        <w:rPr>
          <w:rFonts w:hint="eastAsia"/>
        </w:rPr>
      </w:pPr>
    </w:p>
    <w:p w14:paraId="43AE896E">
      <w:pPr>
        <w:pStyle w:val="83"/>
        <w:tabs>
          <w:tab w:val="clear" w:pos="360"/>
          <w:tab w:val="clear" w:pos="6405"/>
        </w:tabs>
      </w:pPr>
      <w:r>
        <w:br w:type="textWrapping"/>
      </w:r>
      <w:r>
        <w:rPr>
          <w:rFonts w:hint="eastAsia"/>
        </w:rPr>
        <w:t>（规范性附录）</w:t>
      </w:r>
      <w:r>
        <w:br w:type="textWrapping"/>
      </w:r>
      <w:r>
        <w:rPr>
          <w:rFonts w:hint="eastAsia"/>
        </w:rPr>
        <w:t>漳浦大葱产地范围</w:t>
      </w:r>
    </w:p>
    <w:p w14:paraId="53981A1D">
      <w:pPr>
        <w:pStyle w:val="101"/>
        <w:tabs>
          <w:tab w:val="clear" w:pos="360"/>
        </w:tabs>
        <w:spacing w:before="312" w:after="312"/>
        <w:rPr>
          <w:rFonts w:hint="eastAsia"/>
        </w:rPr>
      </w:pPr>
      <w:r>
        <w:rPr>
          <w:rFonts w:hint="eastAsia"/>
        </w:rPr>
        <w:t>漳浦大葱地理标志证明产品产地范围应符合图A.1中所示的地理范围</w:t>
      </w:r>
    </w:p>
    <w:p w14:paraId="2D7F11AD">
      <w:pPr>
        <w:pStyle w:val="26"/>
        <w:rPr>
          <w:rFonts w:hint="eastAsia"/>
        </w:rPr>
      </w:pPr>
    </w:p>
    <w:p w14:paraId="2C4F2C1A">
      <w:pPr>
        <w:pStyle w:val="26"/>
        <w:rPr>
          <w:rFonts w:hint="eastAsia"/>
        </w:rPr>
      </w:pPr>
    </w:p>
    <w:p w14:paraId="13AE0499">
      <w:pPr>
        <w:pStyle w:val="26"/>
        <w:rPr>
          <w:rFonts w:hint="eastAsia"/>
        </w:rPr>
      </w:pPr>
    </w:p>
    <w:p w14:paraId="4D650BA7">
      <w:pPr>
        <w:pStyle w:val="26"/>
        <w:keepNext w:val="0"/>
        <w:keepLines w:val="0"/>
        <w:pageBreakBefore w:val="0"/>
        <w:widowControl/>
        <w:tabs>
          <w:tab w:val="clear" w:pos="4201"/>
          <w:tab w:val="clear" w:pos="9298"/>
        </w:tabs>
        <w:kinsoku/>
        <w:wordWrap/>
        <w:overflowPunct/>
        <w:topLinePunct w:val="0"/>
        <w:autoSpaceDE w:val="0"/>
        <w:autoSpaceDN w:val="0"/>
        <w:bidi w:val="0"/>
        <w:snapToGrid/>
        <w:ind w:firstLine="0" w:firstLineChars="0"/>
        <w:jc w:val="center"/>
        <w:rPr>
          <w:rFonts w:hint="eastAsia" w:eastAsia="宋体"/>
          <w:lang w:eastAsia="zh-CN"/>
        </w:rPr>
      </w:pPr>
      <w:r>
        <w:rPr>
          <w:rFonts w:hint="eastAsia" w:eastAsia="宋体"/>
          <w:lang w:eastAsia="zh-CN"/>
        </w:rPr>
        <w:drawing>
          <wp:inline distT="0" distB="0" distL="0" distR="0">
            <wp:extent cx="4330065" cy="4691380"/>
            <wp:effectExtent l="0" t="0" r="0" b="0"/>
            <wp:docPr id="14" name="_x0000_i1053"/>
            <wp:cNvGraphicFramePr/>
            <a:graphic xmlns:a="http://schemas.openxmlformats.org/drawingml/2006/main">
              <a:graphicData uri="http://schemas.openxmlformats.org/drawingml/2006/picture">
                <pic:pic xmlns:pic="http://schemas.openxmlformats.org/drawingml/2006/picture">
                  <pic:nvPicPr>
                    <pic:cNvPr id="14" name="_x0000_i1053"/>
                    <pic:cNvPicPr/>
                  </pic:nvPicPr>
                  <pic:blipFill>
                    <a:blip r:embed="rId14"/>
                    <a:stretch>
                      <a:fillRect/>
                    </a:stretch>
                  </pic:blipFill>
                  <pic:spPr>
                    <a:xfrm>
                      <a:off x="0" y="0"/>
                      <a:ext cx="4330141" cy="4691507"/>
                    </a:xfrm>
                    <a:prstGeom prst="rect">
                      <a:avLst/>
                    </a:prstGeom>
                  </pic:spPr>
                </pic:pic>
              </a:graphicData>
            </a:graphic>
          </wp:inline>
        </w:drawing>
      </w:r>
    </w:p>
    <w:p w14:paraId="3DAFD3DA">
      <w:pPr>
        <w:pStyle w:val="26"/>
        <w:tabs>
          <w:tab w:val="clear" w:pos="4201"/>
          <w:tab w:val="clear" w:pos="9298"/>
        </w:tabs>
        <w:rPr>
          <w:rFonts w:hint="eastAsia"/>
        </w:rPr>
      </w:pPr>
    </w:p>
    <w:p w14:paraId="22A31BFF">
      <w:pPr>
        <w:pStyle w:val="26"/>
        <w:tabs>
          <w:tab w:val="clear" w:pos="4201"/>
          <w:tab w:val="clear" w:pos="9298"/>
        </w:tabs>
        <w:rPr>
          <w:rFonts w:hint="eastAsia"/>
        </w:rPr>
      </w:pPr>
    </w:p>
    <w:p w14:paraId="72425E47">
      <w:pPr>
        <w:pStyle w:val="26"/>
        <w:tabs>
          <w:tab w:val="clear" w:pos="4201"/>
          <w:tab w:val="clear" w:pos="9298"/>
        </w:tabs>
        <w:rPr>
          <w:rFonts w:hint="eastAsia"/>
        </w:rPr>
      </w:pPr>
    </w:p>
    <w:p w14:paraId="715B527E">
      <w:pPr>
        <w:pStyle w:val="26"/>
        <w:tabs>
          <w:tab w:val="clear" w:pos="4201"/>
          <w:tab w:val="clear" w:pos="9298"/>
        </w:tabs>
        <w:ind w:firstLine="0" w:firstLineChars="0"/>
        <w:jc w:val="center"/>
        <w:rPr>
          <w:rFonts w:hint="eastAsia" w:ascii="黑体" w:hAnsi="黑体" w:eastAsia="黑体"/>
        </w:rPr>
      </w:pPr>
      <w:r>
        <w:rPr>
          <w:rFonts w:hint="eastAsia" w:ascii="黑体" w:hAnsi="黑体" w:eastAsia="黑体"/>
        </w:rPr>
        <w:t>图A.1 漳浦大葱地理标志证明产品产地范围图</w:t>
      </w:r>
    </w:p>
    <w:p w14:paraId="63FFED6E">
      <w:pPr>
        <w:pStyle w:val="26"/>
        <w:tabs>
          <w:tab w:val="clear" w:pos="4201"/>
          <w:tab w:val="clear" w:pos="9298"/>
        </w:tabs>
        <w:rPr>
          <w:rFonts w:hint="eastAsia"/>
        </w:rPr>
      </w:pPr>
    </w:p>
    <w:p w14:paraId="322FB098">
      <w:pPr>
        <w:pStyle w:val="97"/>
        <w:rPr>
          <w:rFonts w:hint="eastAsia"/>
        </w:rPr>
      </w:pPr>
    </w:p>
    <w:p w14:paraId="22847DB8">
      <w:pPr>
        <w:pStyle w:val="85"/>
        <w:rPr>
          <w:rFonts w:hint="eastAsia"/>
        </w:rPr>
      </w:pPr>
    </w:p>
    <w:p w14:paraId="5A1F006B">
      <w:pPr>
        <w:pStyle w:val="83"/>
        <w:tabs>
          <w:tab w:val="clear" w:pos="360"/>
          <w:tab w:val="clear" w:pos="6405"/>
        </w:tabs>
      </w:pPr>
      <w:r>
        <w:br w:type="textWrapping"/>
      </w:r>
      <w:r>
        <w:rPr>
          <w:rFonts w:hint="eastAsia"/>
        </w:rPr>
        <w:t>（规范性附录）</w:t>
      </w:r>
      <w:r>
        <w:br w:type="textWrapping"/>
      </w:r>
      <w:r>
        <w:rPr>
          <w:rFonts w:hint="eastAsia"/>
        </w:rPr>
        <w:t>栽培技术</w:t>
      </w:r>
    </w:p>
    <w:p w14:paraId="5C2F2E51">
      <w:pPr>
        <w:pStyle w:val="101"/>
        <w:tabs>
          <w:tab w:val="clear" w:pos="360"/>
        </w:tabs>
        <w:spacing w:before="312" w:after="312"/>
        <w:rPr>
          <w:rFonts w:hint="eastAsia"/>
        </w:rPr>
      </w:pPr>
      <w:r>
        <w:rPr>
          <w:rFonts w:hint="eastAsia"/>
        </w:rPr>
        <w:t>品种选择</w:t>
      </w:r>
    </w:p>
    <w:p w14:paraId="6822266E">
      <w:pPr>
        <w:pStyle w:val="26"/>
        <w:tabs>
          <w:tab w:val="clear" w:pos="4201"/>
          <w:tab w:val="clear" w:pos="9298"/>
        </w:tabs>
        <w:rPr>
          <w:rFonts w:hint="eastAsia"/>
        </w:rPr>
      </w:pPr>
      <w:r>
        <w:rPr>
          <w:rFonts w:hint="eastAsia"/>
        </w:rPr>
        <w:t>宜以“光天一本”为核心品种。</w:t>
      </w:r>
    </w:p>
    <w:p w14:paraId="52002776">
      <w:pPr>
        <w:pStyle w:val="101"/>
        <w:tabs>
          <w:tab w:val="clear" w:pos="360"/>
        </w:tabs>
        <w:spacing w:before="312" w:after="312"/>
        <w:rPr>
          <w:rFonts w:hint="eastAsia"/>
        </w:rPr>
      </w:pPr>
      <w:r>
        <w:rPr>
          <w:rFonts w:hint="eastAsia"/>
        </w:rPr>
        <w:t>耕作制度</w:t>
      </w:r>
    </w:p>
    <w:p w14:paraId="40A1B8A5">
      <w:pPr>
        <w:pStyle w:val="26"/>
        <w:tabs>
          <w:tab w:val="clear" w:pos="4201"/>
          <w:tab w:val="clear" w:pos="9298"/>
        </w:tabs>
        <w:rPr>
          <w:rFonts w:hint="eastAsia"/>
        </w:rPr>
      </w:pPr>
      <w:r>
        <w:rPr>
          <w:rFonts w:hint="eastAsia"/>
        </w:rPr>
        <w:t>3年内未种植过葱蒜类作物的地块。</w:t>
      </w:r>
    </w:p>
    <w:p w14:paraId="3A6E3C61">
      <w:pPr>
        <w:pStyle w:val="101"/>
        <w:tabs>
          <w:tab w:val="clear" w:pos="360"/>
        </w:tabs>
        <w:spacing w:before="312" w:after="312"/>
        <w:rPr>
          <w:rFonts w:hint="eastAsia"/>
        </w:rPr>
      </w:pPr>
      <w:r>
        <w:rPr>
          <w:rFonts w:hint="eastAsia"/>
        </w:rPr>
        <w:t>立地条件</w:t>
      </w:r>
    </w:p>
    <w:p w14:paraId="26B2BF40">
      <w:pPr>
        <w:pStyle w:val="44"/>
        <w:numPr>
          <w:ilvl w:val="0"/>
          <w:numId w:val="0"/>
        </w:numPr>
        <w:ind w:firstLine="420" w:firstLineChars="200"/>
        <w:rPr>
          <w:rFonts w:hint="eastAsia" w:ascii="宋体" w:hAnsi="宋体" w:eastAsia="宋体"/>
        </w:rPr>
      </w:pPr>
      <w:r>
        <w:rPr>
          <w:rFonts w:hint="eastAsia" w:ascii="宋体" w:hAnsi="宋体" w:eastAsia="宋体"/>
        </w:rPr>
        <w:t>光照充足，排水良好，质地沙壤土或壤土，耕作层厚度≥35 mm，pH值6.0～7,0，有机质≥1 %。</w:t>
      </w:r>
    </w:p>
    <w:p w14:paraId="32632AF1">
      <w:pPr>
        <w:pStyle w:val="101"/>
        <w:tabs>
          <w:tab w:val="clear" w:pos="360"/>
        </w:tabs>
        <w:spacing w:before="312" w:after="312"/>
        <w:rPr>
          <w:rFonts w:hint="eastAsia"/>
        </w:rPr>
      </w:pPr>
      <w:r>
        <w:rPr>
          <w:rFonts w:hint="eastAsia"/>
        </w:rPr>
        <w:t>育苗</w:t>
      </w:r>
    </w:p>
    <w:p w14:paraId="34ABF59A">
      <w:pPr>
        <w:pStyle w:val="102"/>
        <w:spacing w:before="156" w:after="156"/>
        <w:ind w:left="0"/>
        <w:rPr>
          <w:rFonts w:hint="eastAsia" w:ascii="宋体" w:hAnsi="宋体" w:eastAsia="宋体"/>
        </w:rPr>
      </w:pPr>
      <w:r>
        <w:rPr>
          <w:rFonts w:hint="eastAsia" w:ascii="宋体" w:hAnsi="宋体" w:eastAsia="宋体"/>
        </w:rPr>
        <w:t xml:space="preserve">播种时间：7月上旬至8月下旬。 </w:t>
      </w:r>
    </w:p>
    <w:p w14:paraId="5F44A86A">
      <w:pPr>
        <w:pStyle w:val="102"/>
        <w:spacing w:before="156" w:after="156"/>
        <w:ind w:left="0"/>
        <w:rPr>
          <w:rFonts w:hint="eastAsia" w:ascii="宋体" w:hAnsi="宋体" w:eastAsia="宋体"/>
        </w:rPr>
      </w:pPr>
      <w:r>
        <w:rPr>
          <w:rFonts w:hint="eastAsia" w:ascii="宋体" w:hAnsi="宋体" w:eastAsia="宋体"/>
        </w:rPr>
        <w:t>苗床准备：地势平坦，排水良好的地块，深耕细耙，畦宽1m左右，亩施腐熟农家肥2000 kg、复合肥50 kg基肥。</w:t>
      </w:r>
    </w:p>
    <w:p w14:paraId="32148217">
      <w:pPr>
        <w:pStyle w:val="102"/>
        <w:spacing w:before="156" w:after="156"/>
        <w:ind w:left="0"/>
        <w:rPr>
          <w:rFonts w:hint="eastAsia" w:ascii="宋体" w:hAnsi="宋体" w:eastAsia="宋体"/>
        </w:rPr>
      </w:pPr>
      <w:r>
        <w:rPr>
          <w:rFonts w:hint="eastAsia" w:ascii="宋体" w:hAnsi="宋体" w:eastAsia="宋体"/>
        </w:rPr>
        <w:t>播种方法：采用撒播或条播，亩用种量1.5 kg～2 kg，播后覆盖细土1 cm～1.5 cm。苗期保持土壤湿润，出苗后间苗剔除弱苗。</w:t>
      </w:r>
    </w:p>
    <w:p w14:paraId="5F616EC0">
      <w:pPr>
        <w:pStyle w:val="102"/>
        <w:spacing w:before="156" w:after="156"/>
        <w:ind w:left="0"/>
        <w:rPr>
          <w:rFonts w:hint="eastAsia" w:ascii="宋体" w:hAnsi="宋体" w:eastAsia="宋体"/>
        </w:rPr>
      </w:pPr>
      <w:r>
        <w:rPr>
          <w:rFonts w:hint="eastAsia" w:ascii="宋体" w:hAnsi="宋体" w:eastAsia="宋体"/>
        </w:rPr>
        <w:t>出苗规格：苗龄约60 d，苗长至30 cm</w:t>
      </w:r>
      <w:bookmarkStart w:id="38" w:name="OLE_LINK28"/>
      <w:r>
        <w:rPr>
          <w:rFonts w:hint="eastAsia" w:ascii="宋体" w:hAnsi="宋体" w:eastAsia="宋体"/>
        </w:rPr>
        <w:t>～40 cm</w:t>
      </w:r>
      <w:bookmarkEnd w:id="38"/>
      <w:r>
        <w:rPr>
          <w:rFonts w:hint="eastAsia" w:ascii="宋体" w:hAnsi="宋体" w:eastAsia="宋体"/>
        </w:rPr>
        <w:t>，3 cm～5 cm片功能叶，茎粗约0.5 cm，无病虫、根系发达。</w:t>
      </w:r>
    </w:p>
    <w:p w14:paraId="5A9886B9">
      <w:pPr>
        <w:pStyle w:val="101"/>
        <w:tabs>
          <w:tab w:val="clear" w:pos="360"/>
        </w:tabs>
        <w:spacing w:before="312" w:after="312"/>
        <w:rPr>
          <w:rFonts w:hint="eastAsia"/>
        </w:rPr>
      </w:pPr>
      <w:r>
        <w:rPr>
          <w:rFonts w:hint="eastAsia"/>
        </w:rPr>
        <w:t>定植</w:t>
      </w:r>
    </w:p>
    <w:p w14:paraId="754CA922">
      <w:pPr>
        <w:pStyle w:val="102"/>
        <w:spacing w:before="156" w:after="156"/>
        <w:ind w:left="0"/>
        <w:rPr>
          <w:rFonts w:hint="eastAsia" w:ascii="宋体" w:hAnsi="宋体" w:eastAsia="宋体"/>
        </w:rPr>
      </w:pPr>
      <w:r>
        <w:rPr>
          <w:rFonts w:hint="eastAsia" w:ascii="宋体" w:hAnsi="宋体" w:eastAsia="宋体"/>
        </w:rPr>
        <w:t>整地施肥：深耕20 cm以上，晒土，亩施腐熟农家肥4000 kg及适量氮磷钾复合肥。开定植沟，行距70 cm～80 cm，沟深25 cm。</w:t>
      </w:r>
    </w:p>
    <w:p w14:paraId="3788024E">
      <w:pPr>
        <w:pStyle w:val="102"/>
        <w:spacing w:before="156" w:after="156"/>
        <w:ind w:left="0"/>
        <w:rPr>
          <w:rFonts w:hint="eastAsia" w:ascii="宋体" w:hAnsi="宋体" w:eastAsia="宋体"/>
        </w:rPr>
      </w:pPr>
      <w:r>
        <w:rPr>
          <w:rFonts w:hint="eastAsia" w:ascii="宋体" w:hAnsi="宋体" w:eastAsia="宋体"/>
        </w:rPr>
        <w:t>定植密度：亩2.5万株左右。开沟定植，沟深</w:t>
      </w:r>
      <w:bookmarkStart w:id="39" w:name="OLE_LINK32"/>
      <w:bookmarkStart w:id="40" w:name="OLE_LINK31"/>
      <w:r>
        <w:rPr>
          <w:rFonts w:hint="eastAsia" w:ascii="宋体" w:hAnsi="宋体" w:eastAsia="宋体"/>
        </w:rPr>
        <w:t>15 cm</w:t>
      </w:r>
      <w:bookmarkStart w:id="41" w:name="OLE_LINK29"/>
      <w:bookmarkStart w:id="42" w:name="OLE_LINK30"/>
      <w:bookmarkStart w:id="43" w:name="OLE_LINK23"/>
      <w:bookmarkStart w:id="44" w:name="OLE_LINK20"/>
      <w:r>
        <w:rPr>
          <w:rFonts w:hint="eastAsia" w:ascii="宋体" w:hAnsi="宋体" w:eastAsia="宋体"/>
        </w:rPr>
        <w:t>～</w:t>
      </w:r>
      <w:bookmarkEnd w:id="41"/>
      <w:bookmarkEnd w:id="42"/>
      <w:r>
        <w:rPr>
          <w:rFonts w:hint="eastAsia" w:ascii="宋体" w:hAnsi="宋体" w:eastAsia="宋体"/>
        </w:rPr>
        <w:t>20 cm</w:t>
      </w:r>
      <w:bookmarkEnd w:id="39"/>
      <w:bookmarkEnd w:id="40"/>
      <w:bookmarkEnd w:id="43"/>
      <w:bookmarkEnd w:id="44"/>
      <w:r>
        <w:rPr>
          <w:rFonts w:hint="eastAsia" w:ascii="宋体" w:hAnsi="宋体" w:eastAsia="宋体"/>
        </w:rPr>
        <w:t>，株距5 cm左右。</w:t>
      </w:r>
    </w:p>
    <w:p w14:paraId="7B560E03">
      <w:pPr>
        <w:pStyle w:val="102"/>
        <w:spacing w:before="156" w:after="156"/>
        <w:ind w:left="0"/>
        <w:rPr>
          <w:rFonts w:hint="eastAsia" w:ascii="宋体" w:hAnsi="宋体" w:eastAsia="宋体"/>
        </w:rPr>
      </w:pPr>
      <w:r>
        <w:rPr>
          <w:rFonts w:hint="eastAsia" w:ascii="宋体" w:hAnsi="宋体" w:eastAsia="宋体"/>
        </w:rPr>
        <w:t>种植方法：将幼苗分级，剪除过长根，摘除枯黄叶，垂直植入沟内，覆土压实，并浇足定根水。</w:t>
      </w:r>
    </w:p>
    <w:p w14:paraId="5B22D22A">
      <w:pPr>
        <w:pStyle w:val="101"/>
        <w:tabs>
          <w:tab w:val="clear" w:pos="360"/>
        </w:tabs>
        <w:spacing w:before="312" w:after="312"/>
        <w:rPr>
          <w:rFonts w:hint="eastAsia"/>
        </w:rPr>
      </w:pPr>
      <w:r>
        <w:rPr>
          <w:rFonts w:hint="eastAsia"/>
        </w:rPr>
        <w:t>田间管理</w:t>
      </w:r>
    </w:p>
    <w:p w14:paraId="35002368">
      <w:pPr>
        <w:pStyle w:val="102"/>
        <w:spacing w:before="156" w:after="156"/>
        <w:ind w:left="0"/>
        <w:rPr>
          <w:rFonts w:hint="eastAsia" w:ascii="宋体" w:hAnsi="宋体" w:eastAsia="宋体"/>
        </w:rPr>
      </w:pPr>
      <w:r>
        <w:rPr>
          <w:rFonts w:hint="eastAsia" w:ascii="宋体" w:hAnsi="宋体" w:eastAsia="宋体"/>
        </w:rPr>
        <w:t>水肥调控：追肥前轻、中重、后期控氮增钾，有机肥与无机肥结合，薄肥勤施；缓苗期保持土壤湿润，促进发根，生长初期适当控水，防止徒长，生长盛期结合施肥，进行沟灌和浇水，采收前7 d～8 d停止浇水。</w:t>
      </w:r>
    </w:p>
    <w:p w14:paraId="0B9AB504">
      <w:pPr>
        <w:pStyle w:val="102"/>
        <w:spacing w:before="156" w:after="156"/>
        <w:ind w:left="0"/>
        <w:rPr>
          <w:rFonts w:hint="eastAsia" w:ascii="宋体" w:hAnsi="宋体" w:eastAsia="宋体"/>
        </w:rPr>
      </w:pPr>
      <w:r>
        <w:rPr>
          <w:rFonts w:hint="eastAsia" w:ascii="宋体" w:hAnsi="宋体" w:eastAsia="宋体"/>
        </w:rPr>
        <w:t>培土软化：旺盛生长期后，随叶鞘加长分次培土3～4次，培土高度以不埋葱心为宜，最终培土高度可达70 cm～80 cm。</w:t>
      </w:r>
    </w:p>
    <w:p w14:paraId="6FCFCC10">
      <w:pPr>
        <w:pStyle w:val="101"/>
        <w:tabs>
          <w:tab w:val="clear" w:pos="360"/>
        </w:tabs>
        <w:spacing w:before="312" w:after="312"/>
        <w:rPr>
          <w:rFonts w:hint="eastAsia"/>
        </w:rPr>
      </w:pPr>
      <w:r>
        <w:rPr>
          <w:rFonts w:hint="eastAsia"/>
        </w:rPr>
        <w:t>病虫害防治</w:t>
      </w:r>
    </w:p>
    <w:p w14:paraId="0857A9D9">
      <w:pPr>
        <w:pStyle w:val="26"/>
        <w:tabs>
          <w:tab w:val="clear" w:pos="4201"/>
          <w:tab w:val="clear" w:pos="9298"/>
        </w:tabs>
        <w:rPr>
          <w:rFonts w:hint="eastAsia"/>
        </w:rPr>
      </w:pPr>
      <w:r>
        <w:rPr>
          <w:rFonts w:hint="eastAsia"/>
        </w:rPr>
        <w:t>坚持综合防治的原则，农业防治为基础，优先采用农业防治与生物防治措施，严格控制化学农药使用。重点防治霜霉病、紫斑病、软腐病，注意防控蓟马、潜叶蝇、葱地种蝇等虫害发生，严格农药田间使用间隔期。</w:t>
      </w:r>
    </w:p>
    <w:p w14:paraId="455B5E9D">
      <w:pPr>
        <w:pStyle w:val="101"/>
        <w:tabs>
          <w:tab w:val="clear" w:pos="360"/>
        </w:tabs>
        <w:spacing w:before="312" w:after="312"/>
        <w:rPr>
          <w:rFonts w:hint="eastAsia"/>
        </w:rPr>
      </w:pPr>
      <w:r>
        <w:rPr>
          <w:rFonts w:hint="eastAsia"/>
        </w:rPr>
        <w:t>采收</w:t>
      </w:r>
    </w:p>
    <w:p w14:paraId="54616EF8">
      <w:pPr>
        <w:pStyle w:val="102"/>
        <w:spacing w:before="156" w:after="156"/>
        <w:ind w:left="0"/>
        <w:rPr>
          <w:rFonts w:hint="eastAsia" w:ascii="宋体" w:hAnsi="宋体" w:eastAsia="宋体"/>
        </w:rPr>
      </w:pPr>
      <w:r>
        <w:rPr>
          <w:rFonts w:hint="eastAsia" w:ascii="宋体" w:hAnsi="宋体" w:eastAsia="宋体"/>
        </w:rPr>
        <w:t>周期：从播种到收获180 d</w:t>
      </w:r>
      <w:bookmarkStart w:id="45" w:name="OLE_LINK33"/>
      <w:r>
        <w:rPr>
          <w:rFonts w:hint="eastAsia" w:ascii="宋体" w:hAnsi="宋体" w:eastAsia="宋体"/>
        </w:rPr>
        <w:t>～</w:t>
      </w:r>
      <w:bookmarkEnd w:id="45"/>
      <w:r>
        <w:rPr>
          <w:rFonts w:hint="eastAsia" w:ascii="宋体" w:hAnsi="宋体" w:eastAsia="宋体"/>
        </w:rPr>
        <w:t>200 d，不宜超过200 d。</w:t>
      </w:r>
    </w:p>
    <w:p w14:paraId="2F17F715">
      <w:pPr>
        <w:pStyle w:val="102"/>
        <w:spacing w:before="156" w:after="156"/>
        <w:ind w:left="0"/>
        <w:rPr>
          <w:rFonts w:hint="eastAsia" w:ascii="宋体" w:hAnsi="宋体" w:eastAsia="宋体"/>
        </w:rPr>
      </w:pPr>
      <w:r>
        <w:rPr>
          <w:rFonts w:hint="eastAsia" w:ascii="宋体" w:hAnsi="宋体" w:eastAsia="宋体"/>
        </w:rPr>
        <w:t>采收：葱白长度达25 cm～35 cm，单株重250 g～350 g时，适时采收，避免过晚导致品质下降。</w:t>
      </w:r>
    </w:p>
    <w:p w14:paraId="16AE4849">
      <w:pPr>
        <w:pStyle w:val="101"/>
        <w:numPr>
          <w:ilvl w:val="0"/>
          <w:numId w:val="0"/>
        </w:numPr>
        <w:tabs>
          <w:tab w:val="clear" w:pos="360"/>
        </w:tabs>
        <w:spacing w:before="312" w:after="312"/>
        <w:rPr>
          <w:rFonts w:hint="eastAsia"/>
        </w:rPr>
      </w:pPr>
    </w:p>
    <w:p w14:paraId="3327471D">
      <w:pPr>
        <w:pStyle w:val="26"/>
        <w:tabs>
          <w:tab w:val="clear" w:pos="4201"/>
          <w:tab w:val="clear" w:pos="9298"/>
        </w:tabs>
        <w:rPr>
          <w:rFonts w:hint="eastAsia"/>
        </w:rPr>
      </w:pPr>
    </w:p>
    <w:p w14:paraId="401D7F79">
      <w:pPr>
        <w:pStyle w:val="26"/>
        <w:tabs>
          <w:tab w:val="clear" w:pos="4201"/>
          <w:tab w:val="clear" w:pos="9298"/>
        </w:tabs>
        <w:rPr>
          <w:rFonts w:hint="eastAsia"/>
        </w:rPr>
      </w:pPr>
    </w:p>
    <w:p w14:paraId="359C701D">
      <w:pPr>
        <w:pStyle w:val="70"/>
        <w:rPr>
          <w:rFonts w:hint="eastAsia"/>
        </w:rPr>
      </w:pPr>
      <w:bookmarkStart w:id="46" w:name="_Toc81176967"/>
      <w:bookmarkStart w:id="47" w:name="BKCKWX"/>
      <w:bookmarkStart w:id="48" w:name="_Toc81176813"/>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46"/>
      <w:bookmarkEnd w:id="47"/>
      <w:bookmarkEnd w:id="48"/>
    </w:p>
    <w:p w14:paraId="7F978042">
      <w:pPr>
        <w:pStyle w:val="26"/>
        <w:tabs>
          <w:tab w:val="clear" w:pos="4201"/>
          <w:tab w:val="clear" w:pos="9298"/>
        </w:tabs>
        <w:rPr>
          <w:rFonts w:hint="eastAsia" w:hAnsi="宋体"/>
        </w:rPr>
      </w:pPr>
      <w:r>
        <w:rPr>
          <w:rFonts w:hint="eastAsia" w:hAnsi="宋体"/>
        </w:rPr>
        <w:t>[1]《定量包装商品计量监督管理办法》（国家市场监督管理总局第70号）</w:t>
      </w:r>
    </w:p>
    <w:p w14:paraId="2C68E75A">
      <w:pPr>
        <w:pStyle w:val="26"/>
        <w:tabs>
          <w:tab w:val="clear" w:pos="4201"/>
          <w:tab w:val="clear" w:pos="9298"/>
        </w:tabs>
        <w:rPr>
          <w:rFonts w:hint="eastAsia"/>
        </w:rPr>
      </w:pPr>
      <w:r>
        <w:rPr>
          <w:rFonts w:hint="eastAsia"/>
        </w:rPr>
        <w:t>[2]《集体商标、证明商标注册管理办法》（国家工商行政管理总局令第6号）</w:t>
      </w:r>
    </w:p>
    <w:p w14:paraId="6E6B4D61">
      <w:pPr>
        <w:pStyle w:val="26"/>
        <w:tabs>
          <w:tab w:val="clear" w:pos="4201"/>
          <w:tab w:val="clear" w:pos="9298"/>
        </w:tabs>
        <w:rPr>
          <w:rFonts w:hint="eastAsia"/>
        </w:rPr>
      </w:pPr>
    </w:p>
    <w:p w14:paraId="65AD52ED">
      <w:pPr>
        <w:pStyle w:val="26"/>
        <w:tabs>
          <w:tab w:val="clear" w:pos="4201"/>
          <w:tab w:val="clear" w:pos="9298"/>
        </w:tabs>
        <w:ind w:firstLine="2730" w:firstLineChars="1300"/>
      </w:pPr>
      <w:r>
        <w:t>________________________________</w:t>
      </w:r>
    </w:p>
    <w:sectPr>
      <w:footerReference r:id="rId5" w:type="default"/>
      <w:pgSz w:w="11906" w:h="16838"/>
      <w:pgMar w:top="567" w:right="1134" w:bottom="1134" w:left="1418" w:header="1418" w:footer="113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0000012" w:usb3="00000000" w:csb0="0002009F" w:csb1="00000000"/>
  </w:font>
  <w:font w:name="★日文毛笔">
    <w:altName w:val="FFont-Family"/>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57AF3">
    <w:pPr>
      <w:pStyle w:val="42"/>
    </w:pPr>
    <w:r>
      <w:fldChar w:fldCharType="begin"/>
    </w:r>
    <w:r>
      <w:instrText xml:space="preserve"> PAGE  \* MERGEFORMAT </w:instrText>
    </w:r>
    <w:r>
      <w:fldChar w:fldCharType="separate"/>
    </w:r>
    <w:r>
      <w:t>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5D07C">
    <w:pPr>
      <w:pStyle w:val="42"/>
    </w:pPr>
    <w:r>
      <w:fldChar w:fldCharType="begin"/>
    </w:r>
    <w:r>
      <w:instrText xml:space="preserve"> PAGE  \* MERGEFORMAT </w:instrText>
    </w:r>
    <w:r>
      <w:fldChar w:fldCharType="separate"/>
    </w:r>
    <w:r>
      <w:t>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A26B7">
    <w:pPr>
      <w:pStyle w:val="43"/>
      <w:tabs>
        <w:tab w:val="clear" w:pos="4154"/>
        <w:tab w:val="clear" w:pos="8306"/>
      </w:tabs>
      <w:rPr>
        <w:rFonts w:hint="eastAsia"/>
      </w:rPr>
    </w:pPr>
    <w:r>
      <w:rPr>
        <w:rFonts w:hint="eastAsia"/>
      </w:rPr>
      <w:t>T</w:t>
    </w:r>
    <w:r>
      <w:t>/</w:t>
    </w:r>
    <w:r>
      <w:rPr>
        <w:rFonts w:hint="eastAsia"/>
      </w:rPr>
      <w:t>FJBR</w:t>
    </w:r>
    <w:r>
      <w:t xml:space="preserve"> </w:t>
    </w:r>
    <w:r>
      <w:rPr>
        <w:rFonts w:hint="default" w:ascii="Arial" w:hAnsi="Arial" w:cs="Arial"/>
      </w:rPr>
      <w:t>×</w:t>
    </w:r>
    <w:r>
      <w:rPr>
        <w:rFonts w:hint="default" w:ascii="Arial" w:hAnsi="Arial" w:cs="Arial"/>
      </w:rPr>
      <w:t>××</w:t>
    </w:r>
    <w:r>
      <w:t>—</w:t>
    </w:r>
    <w:r>
      <w:rPr>
        <w:rFonts w:hint="eastAsia"/>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5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15"/>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decimal"/>
      <w:pStyle w:val="5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20"/>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6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4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1"/>
      <w:suff w:val="nothing"/>
      <w:lvlText w:val="%1.%2　"/>
      <w:lvlJc w:val="left"/>
      <w:pPr>
        <w:ind w:left="315" w:firstLine="0"/>
      </w:pPr>
      <w:rPr>
        <w:rFonts w:hint="eastAsia" w:ascii="黑体" w:hAnsi="Times New Roman" w:eastAsia="黑体"/>
        <w:b w:val="0"/>
        <w:bCs w:val="0"/>
        <w:i w:val="0"/>
        <w:iCs w:val="0"/>
        <w:shadow w:val="0"/>
        <w:vanish/>
        <w:spacing w:val="0"/>
        <w:kern w:val="0"/>
        <w:sz w:val="21"/>
        <w:szCs w:val="21"/>
        <w:u w:val="none"/>
        <w:vertAlign w:val="baseline"/>
      </w:rPr>
    </w:lvl>
    <w:lvl w:ilvl="2" w:tentative="0">
      <w:start w:val="1"/>
      <w:numFmt w:val="decimal"/>
      <w:pStyle w:val="45"/>
      <w:suff w:val="nothing"/>
      <w:lvlText w:val="%1.%2.%3　"/>
      <w:lvlJc w:val="left"/>
      <w:pPr>
        <w:ind w:left="0" w:firstLine="0"/>
      </w:pPr>
      <w:rPr>
        <w:rFonts w:hint="eastAsia" w:ascii="黑体" w:hAnsi="Times New Roman" w:eastAsia="黑体"/>
        <w:b w:val="0"/>
        <w:i w:val="0"/>
        <w:sz w:val="21"/>
      </w:rPr>
    </w:lvl>
    <w:lvl w:ilvl="3" w:tentative="0">
      <w:start w:val="1"/>
      <w:numFmt w:val="decimal"/>
      <w:pStyle w:val="50"/>
      <w:suff w:val="nothing"/>
      <w:lvlText w:val="%1.%2.%3.%4　"/>
      <w:lvlJc w:val="left"/>
      <w:pPr>
        <w:ind w:left="0" w:firstLine="0"/>
      </w:pPr>
      <w:rPr>
        <w:rFonts w:hint="eastAsia" w:ascii="黑体" w:hAnsi="Times New Roman" w:eastAsia="黑体"/>
        <w:b w:val="0"/>
        <w:i w:val="0"/>
        <w:sz w:val="21"/>
      </w:rPr>
    </w:lvl>
    <w:lvl w:ilvl="4" w:tentative="0">
      <w:start w:val="1"/>
      <w:numFmt w:val="decimal"/>
      <w:pStyle w:val="54"/>
      <w:suff w:val="nothing"/>
      <w:lvlText w:val="%1.%2.%3.%4.%5　"/>
      <w:lvlJc w:val="left"/>
      <w:pPr>
        <w:ind w:left="0" w:firstLine="0"/>
      </w:pPr>
      <w:rPr>
        <w:rFonts w:hint="eastAsia" w:ascii="黑体" w:hAnsi="Times New Roman" w:eastAsia="黑体"/>
        <w:b w:val="0"/>
        <w:i w:val="0"/>
        <w:sz w:val="21"/>
      </w:rPr>
    </w:lvl>
    <w:lvl w:ilvl="5" w:tentative="0">
      <w:start w:val="1"/>
      <w:numFmt w:val="decimal"/>
      <w:pStyle w:val="5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97"/>
      <w:suff w:val="space"/>
      <w:lvlText w:val="%1"/>
      <w:lvlJc w:val="left"/>
      <w:pPr>
        <w:ind w:left="623" w:hanging="425"/>
      </w:pPr>
      <w:rPr>
        <w:rFonts w:hint="eastAsia"/>
      </w:rPr>
    </w:lvl>
    <w:lvl w:ilvl="1" w:tentative="0">
      <w:start w:val="1"/>
      <w:numFmt w:val="decimal"/>
      <w:pStyle w:val="98"/>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decimal"/>
      <w:pStyle w:val="47"/>
      <w:suff w:val="nothing"/>
      <w:lvlText w:val="%1——"/>
      <w:lvlJc w:val="left"/>
      <w:pPr>
        <w:ind w:left="833" w:hanging="408"/>
      </w:pPr>
      <w:rPr>
        <w:rFonts w:hint="eastAsia"/>
      </w:rPr>
    </w:lvl>
    <w:lvl w:ilvl="1" w:tentative="0">
      <w:start w:val="1"/>
      <w:numFmt w:val="bullet"/>
      <w:pStyle w:val="48"/>
      <w:lvlText w:val=""/>
      <w:lvlJc w:val="left"/>
      <w:pPr>
        <w:tabs>
          <w:tab w:val="left" w:pos="760"/>
        </w:tabs>
        <w:ind w:left="1264" w:hanging="413"/>
      </w:pPr>
      <w:rPr>
        <w:rFonts w:ascii="Symbol" w:hAnsi="Symbol"/>
        <w:color w:val="000000"/>
      </w:rPr>
    </w:lvl>
    <w:lvl w:ilvl="2" w:tentative="0">
      <w:start w:val="1"/>
      <w:numFmt w:val="bullet"/>
      <w:pStyle w:val="59"/>
      <w:lvlText w:val=""/>
      <w:lvlJc w:val="left"/>
      <w:pPr>
        <w:tabs>
          <w:tab w:val="left" w:pos="1678"/>
        </w:tabs>
        <w:ind w:left="1678" w:hanging="414"/>
      </w:pPr>
      <w:rPr>
        <w:rFonts w:ascii="Symbol" w:hAnsi="Symbol"/>
        <w:color w:val="000000"/>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8"/>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5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3"/>
      <w:lvlText w:val="%2)"/>
      <w:lvlJc w:val="left"/>
      <w:pPr>
        <w:tabs>
          <w:tab w:val="left" w:pos="1260"/>
        </w:tabs>
        <w:ind w:left="1259" w:hanging="419"/>
      </w:pPr>
      <w:rPr>
        <w:rFonts w:hint="eastAsia"/>
      </w:rPr>
    </w:lvl>
    <w:lvl w:ilvl="2" w:tentative="0">
      <w:start w:val="1"/>
      <w:numFmt w:val="decimal"/>
      <w:pStyle w:val="6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4B733A5F"/>
    <w:multiLevelType w:val="multilevel"/>
    <w:tmpl w:val="4B733A5F"/>
    <w:lvl w:ilvl="0" w:tentative="0">
      <w:start w:val="1"/>
      <w:numFmt w:val="decimal"/>
      <w:pStyle w:val="6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decimal"/>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2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ascii="Times New Roman" w:hAnsi="Times New Roman" w:eastAsia="黑体"/>
        <w:b w:val="0"/>
        <w:i w:val="0"/>
        <w:sz w:val="21"/>
      </w:rPr>
    </w:lvl>
    <w:lvl w:ilvl="2" w:tentative="0">
      <w:start w:val="1"/>
      <w:numFmt w:val="decimal"/>
      <w:suff w:val="nothing"/>
      <w:lvlText w:val="%1%2.%3　"/>
      <w:lvlJc w:val="left"/>
      <w:pPr>
        <w:ind w:left="0" w:firstLine="0"/>
      </w:pPr>
      <w:rPr>
        <w:rFonts w:ascii="Times New Roman" w:hAnsi="Times New Roman" w:eastAsia="黑体"/>
        <w:b w:val="0"/>
        <w:i w:val="0"/>
        <w:sz w:val="21"/>
      </w:rPr>
    </w:lvl>
    <w:lvl w:ilvl="3" w:tentative="0">
      <w:start w:val="1"/>
      <w:numFmt w:val="decimal"/>
      <w:suff w:val="nothing"/>
      <w:lvlText w:val="%1%2.%3.%4　"/>
      <w:lvlJc w:val="left"/>
      <w:pPr>
        <w:ind w:left="0" w:firstLine="0"/>
      </w:pPr>
      <w:rPr>
        <w:rFonts w:ascii="Times New Roman" w:hAnsi="Times New Roman" w:eastAsia="黑体"/>
        <w:b w:val="0"/>
        <w:i w:val="0"/>
        <w:sz w:val="21"/>
      </w:rPr>
    </w:lvl>
    <w:lvl w:ilvl="4" w:tentative="0">
      <w:start w:val="1"/>
      <w:numFmt w:val="decimal"/>
      <w:suff w:val="nothing"/>
      <w:lvlText w:val="%1%2.%3.%4.%5　"/>
      <w:lvlJc w:val="left"/>
      <w:pPr>
        <w:ind w:left="0" w:firstLine="0"/>
      </w:pPr>
      <w:rPr>
        <w:rFonts w:ascii="Times New Roman" w:hAnsi="Times New Roman" w:eastAsia="黑体"/>
        <w:b w:val="0"/>
        <w:i w:val="0"/>
        <w:sz w:val="21"/>
      </w:rPr>
    </w:lvl>
    <w:lvl w:ilvl="5" w:tentative="0">
      <w:start w:val="1"/>
      <w:numFmt w:val="decimal"/>
      <w:suff w:val="nothing"/>
      <w:lvlText w:val="%1%2.%3.%4.%5.%6　"/>
      <w:lvlJc w:val="left"/>
      <w:pPr>
        <w:ind w:left="0" w:firstLine="0"/>
      </w:pPr>
      <w:rPr>
        <w:rFonts w:ascii="Times New Roman" w:hAnsi="Times New Roman" w:eastAsia="黑体"/>
        <w:b w:val="0"/>
        <w:i w:val="0"/>
        <w:sz w:val="21"/>
      </w:rPr>
    </w:lvl>
    <w:lvl w:ilvl="6" w:tentative="0">
      <w:start w:val="1"/>
      <w:numFmt w:val="decimal"/>
      <w:suff w:val="nothing"/>
      <w:lvlText w:val="%1%2.%3.%4.%5.%6.%7　"/>
      <w:lvlJc w:val="left"/>
      <w:pPr>
        <w:ind w:left="0" w:firstLine="0"/>
      </w:pPr>
      <w:rPr>
        <w:rFonts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85"/>
      <w:lvlText w:val="%1"/>
      <w:lvlJc w:val="left"/>
      <w:pPr>
        <w:tabs>
          <w:tab w:val="left" w:pos="0"/>
        </w:tabs>
        <w:ind w:left="0" w:hanging="425"/>
      </w:pPr>
      <w:rPr>
        <w:rFonts w:hint="eastAsia"/>
      </w:rPr>
    </w:lvl>
    <w:lvl w:ilvl="1" w:tentative="0">
      <w:start w:val="1"/>
      <w:numFmt w:val="decimal"/>
      <w:pStyle w:val="8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25"/>
      <w:suff w:val="nothing"/>
      <w:lvlText w:val="表%1　"/>
      <w:lvlJc w:val="left"/>
      <w:pPr>
        <w:ind w:left="4305"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8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1"/>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pStyle w:val="102"/>
      <w:suff w:val="nothing"/>
      <w:lvlText w:val="%1.%2.%3　"/>
      <w:lvlJc w:val="left"/>
      <w:pPr>
        <w:ind w:left="630" w:firstLine="0"/>
      </w:pPr>
      <w:rPr>
        <w:rFonts w:hint="eastAsia" w:ascii="黑体" w:hAnsi="Times New Roman" w:eastAsia="黑体"/>
        <w:b w:val="0"/>
        <w:i w:val="0"/>
        <w:sz w:val="21"/>
        <w:lang w:eastAsia="zh-CN"/>
      </w:rPr>
    </w:lvl>
    <w:lvl w:ilvl="3" w:tentative="0">
      <w:start w:val="1"/>
      <w:numFmt w:val="decimal"/>
      <w:pStyle w:val="87"/>
      <w:suff w:val="nothing"/>
      <w:lvlText w:val="%1.%2.%3.%4　"/>
      <w:lvlJc w:val="left"/>
      <w:pPr>
        <w:ind w:left="0" w:firstLine="0"/>
      </w:pPr>
      <w:rPr>
        <w:rFonts w:hint="eastAsia" w:ascii="黑体" w:hAnsi="Times New Roman" w:eastAsia="黑体"/>
        <w:b w:val="0"/>
        <w:i w:val="0"/>
        <w:sz w:val="21"/>
      </w:rPr>
    </w:lvl>
    <w:lvl w:ilvl="4" w:tentative="0">
      <w:start w:val="1"/>
      <w:numFmt w:val="decimal"/>
      <w:pStyle w:val="92"/>
      <w:suff w:val="nothing"/>
      <w:lvlText w:val="%1.%2.%3.%4.%5　"/>
      <w:lvlJc w:val="left"/>
      <w:pPr>
        <w:ind w:left="0" w:firstLine="0"/>
      </w:pPr>
      <w:rPr>
        <w:rFonts w:hint="eastAsia" w:ascii="黑体" w:hAnsi="Times New Roman" w:eastAsia="黑体"/>
        <w:b w:val="0"/>
        <w:i w:val="0"/>
        <w:sz w:val="21"/>
      </w:rPr>
    </w:lvl>
    <w:lvl w:ilvl="5" w:tentative="0">
      <w:start w:val="1"/>
      <w:numFmt w:val="decimal"/>
      <w:pStyle w:val="95"/>
      <w:suff w:val="nothing"/>
      <w:lvlText w:val="%1.%2.%3.%4.%5.%6　"/>
      <w:lvlJc w:val="left"/>
      <w:pPr>
        <w:ind w:left="0" w:firstLine="0"/>
      </w:pPr>
      <w:rPr>
        <w:rFonts w:hint="eastAsia" w:ascii="黑体" w:hAnsi="Times New Roman" w:eastAsia="黑体"/>
        <w:b w:val="0"/>
        <w:i w:val="0"/>
        <w:sz w:val="21"/>
      </w:rPr>
    </w:lvl>
    <w:lvl w:ilvl="6" w:tentative="0">
      <w:start w:val="1"/>
      <w:numFmt w:val="decimal"/>
      <w:pStyle w:val="9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04"/>
      <w:lvlText w:val="%1)"/>
      <w:lvlJc w:val="left"/>
      <w:pPr>
        <w:tabs>
          <w:tab w:val="left" w:pos="839"/>
        </w:tabs>
        <w:ind w:left="839" w:hanging="419"/>
      </w:pPr>
      <w:rPr>
        <w:rFonts w:hint="eastAsia" w:ascii="宋体" w:eastAsia="宋体"/>
        <w:b w:val="0"/>
        <w:i w:val="0"/>
        <w:sz w:val="21"/>
      </w:rPr>
    </w:lvl>
    <w:lvl w:ilvl="1" w:tentative="0">
      <w:start w:val="1"/>
      <w:numFmt w:val="decimal"/>
      <w:pStyle w:val="94"/>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decimal"/>
      <w:pStyle w:val="56"/>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5"/>
  </w:num>
  <w:num w:numId="3">
    <w:abstractNumId w:val="7"/>
  </w:num>
  <w:num w:numId="4">
    <w:abstractNumId w:val="2"/>
  </w:num>
  <w:num w:numId="5">
    <w:abstractNumId w:val="9"/>
  </w:num>
  <w:num w:numId="6">
    <w:abstractNumId w:val="16"/>
  </w:num>
  <w:num w:numId="7">
    <w:abstractNumId w:val="0"/>
  </w:num>
  <w:num w:numId="8">
    <w:abstractNumId w:val="10"/>
  </w:num>
  <w:num w:numId="9">
    <w:abstractNumId w:val="4"/>
  </w:num>
  <w:num w:numId="10">
    <w:abstractNumId w:val="14"/>
  </w:num>
  <w:num w:numId="11">
    <w:abstractNumId w:val="12"/>
  </w:num>
  <w:num w:numId="12">
    <w:abstractNumId w:val="15"/>
  </w:num>
  <w:num w:numId="13">
    <w:abstractNumId w:val="6"/>
  </w:num>
  <w:num w:numId="14">
    <w:abstractNumId w:val="1"/>
  </w:num>
  <w:num w:numId="15">
    <w:abstractNumId w:val="3"/>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1"/>
  </w:compat>
  <w:rsids>
    <w:rsidRoot w:val="00000000"/>
    <w:rsid w:val="2B7C23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默认段落字体1"/>
    <w:link w:val="1"/>
    <w:semiHidden/>
    <w:uiPriority w:val="0"/>
  </w:style>
  <w:style w:type="table" w:customStyle="1" w:styleId="7">
    <w:name w:val="普通表格1"/>
    <w:semiHidden/>
    <w:uiPriority w:val="0"/>
  </w:style>
  <w:style w:type="paragraph" w:customStyle="1" w:styleId="8">
    <w:name w:val="目录 71"/>
    <w:basedOn w:val="1"/>
    <w:semiHidden/>
    <w:uiPriority w:val="0"/>
    <w:pPr>
      <w:tabs>
        <w:tab w:val="right" w:leader="dot" w:pos="9241"/>
      </w:tabs>
      <w:ind w:firstLine="505" w:firstLineChars="500"/>
      <w:jc w:val="left"/>
    </w:pPr>
    <w:rPr>
      <w:rFonts w:ascii="宋体"/>
      <w:szCs w:val="21"/>
    </w:rPr>
  </w:style>
  <w:style w:type="paragraph" w:customStyle="1" w:styleId="9">
    <w:name w:val="索引 81"/>
    <w:basedOn w:val="1"/>
    <w:uiPriority w:val="0"/>
    <w:pPr>
      <w:ind w:left="1680" w:hanging="210"/>
      <w:jc w:val="left"/>
    </w:pPr>
    <w:rPr>
      <w:rFonts w:ascii="Calibri" w:hAnsi="Calibri"/>
      <w:sz w:val="20"/>
      <w:szCs w:val="20"/>
    </w:rPr>
  </w:style>
  <w:style w:type="paragraph" w:customStyle="1" w:styleId="10">
    <w:name w:val="题注1"/>
    <w:basedOn w:val="1"/>
    <w:uiPriority w:val="0"/>
    <w:pPr>
      <w:spacing w:before="152" w:after="160"/>
    </w:pPr>
    <w:rPr>
      <w:rFonts w:ascii="Arial" w:hAnsi="Arial" w:eastAsia="黑体"/>
      <w:sz w:val="20"/>
      <w:szCs w:val="20"/>
    </w:rPr>
  </w:style>
  <w:style w:type="paragraph" w:customStyle="1" w:styleId="11">
    <w:name w:val="索引 51"/>
    <w:basedOn w:val="1"/>
    <w:uiPriority w:val="0"/>
    <w:pPr>
      <w:ind w:left="1050" w:hanging="210"/>
      <w:jc w:val="left"/>
    </w:pPr>
    <w:rPr>
      <w:rFonts w:ascii="Calibri" w:hAnsi="Calibri"/>
      <w:sz w:val="20"/>
      <w:szCs w:val="20"/>
    </w:rPr>
  </w:style>
  <w:style w:type="paragraph" w:customStyle="1" w:styleId="12">
    <w:name w:val="文档结构图1"/>
    <w:basedOn w:val="1"/>
    <w:semiHidden/>
    <w:uiPriority w:val="0"/>
    <w:pPr>
      <w:shd w:val="clear" w:color="auto" w:fill="000080"/>
    </w:pPr>
  </w:style>
  <w:style w:type="paragraph" w:customStyle="1" w:styleId="13">
    <w:name w:val="索引 61"/>
    <w:basedOn w:val="1"/>
    <w:uiPriority w:val="0"/>
    <w:pPr>
      <w:ind w:left="1260" w:hanging="210"/>
      <w:jc w:val="left"/>
    </w:pPr>
    <w:rPr>
      <w:rFonts w:ascii="Calibri" w:hAnsi="Calibri"/>
      <w:sz w:val="20"/>
      <w:szCs w:val="20"/>
    </w:rPr>
  </w:style>
  <w:style w:type="paragraph" w:customStyle="1" w:styleId="14">
    <w:name w:val="索引 41"/>
    <w:basedOn w:val="1"/>
    <w:uiPriority w:val="0"/>
    <w:pPr>
      <w:ind w:left="840" w:hanging="210"/>
      <w:jc w:val="left"/>
    </w:pPr>
    <w:rPr>
      <w:rFonts w:ascii="Calibri" w:hAnsi="Calibri"/>
      <w:sz w:val="20"/>
      <w:szCs w:val="20"/>
    </w:rPr>
  </w:style>
  <w:style w:type="paragraph" w:customStyle="1" w:styleId="15">
    <w:name w:val="目录 51"/>
    <w:basedOn w:val="1"/>
    <w:semiHidden/>
    <w:uiPriority w:val="0"/>
    <w:pPr>
      <w:tabs>
        <w:tab w:val="right" w:leader="dot" w:pos="9241"/>
      </w:tabs>
      <w:ind w:firstLine="300" w:firstLineChars="300"/>
      <w:jc w:val="left"/>
    </w:pPr>
    <w:rPr>
      <w:rFonts w:ascii="宋体"/>
      <w:szCs w:val="21"/>
    </w:rPr>
  </w:style>
  <w:style w:type="paragraph" w:customStyle="1" w:styleId="16">
    <w:name w:val="目录 31"/>
    <w:basedOn w:val="1"/>
    <w:semiHidden/>
    <w:uiPriority w:val="0"/>
    <w:pPr>
      <w:tabs>
        <w:tab w:val="right" w:leader="dot" w:pos="9241"/>
      </w:tabs>
      <w:ind w:firstLine="102" w:firstLineChars="100"/>
      <w:jc w:val="left"/>
    </w:pPr>
    <w:rPr>
      <w:rFonts w:ascii="宋体"/>
      <w:szCs w:val="21"/>
    </w:rPr>
  </w:style>
  <w:style w:type="paragraph" w:customStyle="1" w:styleId="17">
    <w:name w:val="目录 81"/>
    <w:basedOn w:val="1"/>
    <w:semiHidden/>
    <w:uiPriority w:val="0"/>
    <w:pPr>
      <w:tabs>
        <w:tab w:val="right" w:leader="dot" w:pos="9241"/>
      </w:tabs>
      <w:ind w:firstLine="607" w:firstLineChars="600"/>
      <w:jc w:val="left"/>
    </w:pPr>
    <w:rPr>
      <w:rFonts w:ascii="宋体"/>
      <w:szCs w:val="21"/>
    </w:rPr>
  </w:style>
  <w:style w:type="paragraph" w:customStyle="1" w:styleId="18">
    <w:name w:val="索引 31"/>
    <w:basedOn w:val="1"/>
    <w:uiPriority w:val="0"/>
    <w:pPr>
      <w:ind w:left="630" w:hanging="210"/>
      <w:jc w:val="left"/>
    </w:pPr>
    <w:rPr>
      <w:rFonts w:ascii="Calibri" w:hAnsi="Calibri"/>
      <w:sz w:val="20"/>
      <w:szCs w:val="20"/>
    </w:rPr>
  </w:style>
  <w:style w:type="paragraph" w:customStyle="1" w:styleId="19">
    <w:name w:val="尾注文本1"/>
    <w:basedOn w:val="1"/>
    <w:semiHidden/>
    <w:uiPriority w:val="0"/>
    <w:pPr>
      <w:snapToGrid w:val="0"/>
      <w:jc w:val="left"/>
    </w:pPr>
  </w:style>
  <w:style w:type="paragraph" w:customStyle="1" w:styleId="20">
    <w:name w:val="页脚1"/>
    <w:basedOn w:val="1"/>
    <w:uiPriority w:val="0"/>
    <w:pPr>
      <w:snapToGrid w:val="0"/>
      <w:ind w:right="210" w:rightChars="100"/>
      <w:jc w:val="right"/>
    </w:pPr>
    <w:rPr>
      <w:sz w:val="18"/>
      <w:szCs w:val="18"/>
    </w:rPr>
  </w:style>
  <w:style w:type="paragraph" w:customStyle="1" w:styleId="21">
    <w:name w:val="页眉1"/>
    <w:basedOn w:val="1"/>
    <w:uiPriority w:val="0"/>
    <w:pPr>
      <w:snapToGrid w:val="0"/>
      <w:jc w:val="left"/>
    </w:pPr>
    <w:rPr>
      <w:sz w:val="18"/>
      <w:szCs w:val="18"/>
    </w:rPr>
  </w:style>
  <w:style w:type="paragraph" w:customStyle="1" w:styleId="22">
    <w:name w:val="目录 11"/>
    <w:basedOn w:val="1"/>
    <w:semiHidden/>
    <w:uiPriority w:val="0"/>
    <w:pPr>
      <w:tabs>
        <w:tab w:val="right" w:leader="dot" w:pos="9241"/>
      </w:tabs>
      <w:spacing w:before="25" w:after="25"/>
      <w:jc w:val="left"/>
    </w:pPr>
    <w:rPr>
      <w:rFonts w:ascii="宋体"/>
      <w:szCs w:val="21"/>
    </w:rPr>
  </w:style>
  <w:style w:type="paragraph" w:customStyle="1" w:styleId="23">
    <w:name w:val="目录 41"/>
    <w:basedOn w:val="1"/>
    <w:semiHidden/>
    <w:uiPriority w:val="0"/>
    <w:pPr>
      <w:tabs>
        <w:tab w:val="right" w:leader="dot" w:pos="9241"/>
      </w:tabs>
      <w:ind w:firstLine="198" w:firstLineChars="200"/>
      <w:jc w:val="left"/>
    </w:pPr>
    <w:rPr>
      <w:rFonts w:ascii="宋体"/>
      <w:szCs w:val="21"/>
    </w:rPr>
  </w:style>
  <w:style w:type="paragraph" w:customStyle="1" w:styleId="24">
    <w:name w:val="索引标题1"/>
    <w:basedOn w:val="1"/>
    <w:qFormat/>
    <w:uiPriority w:val="0"/>
    <w:pPr>
      <w:spacing w:before="120" w:after="120"/>
      <w:jc w:val="center"/>
    </w:pPr>
    <w:rPr>
      <w:rFonts w:ascii="Calibri" w:hAnsi="Calibri"/>
      <w:b/>
      <w:bCs/>
      <w:iCs/>
      <w:szCs w:val="20"/>
    </w:rPr>
  </w:style>
  <w:style w:type="paragraph" w:customStyle="1" w:styleId="25">
    <w:name w:val="索引 11"/>
    <w:basedOn w:val="1"/>
    <w:qFormat/>
    <w:uiPriority w:val="0"/>
    <w:pPr>
      <w:tabs>
        <w:tab w:val="right" w:leader="dot" w:pos="9299"/>
      </w:tabs>
      <w:jc w:val="left"/>
    </w:pPr>
    <w:rPr>
      <w:rFonts w:ascii="宋体"/>
      <w:szCs w:val="21"/>
    </w:rPr>
  </w:style>
  <w:style w:type="paragraph" w:customStyle="1" w:styleId="26">
    <w:name w:val="段"/>
    <w:link w:val="2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7">
    <w:name w:val="段 Char"/>
    <w:basedOn w:val="6"/>
    <w:link w:val="26"/>
    <w:qFormat/>
    <w:uiPriority w:val="0"/>
    <w:rPr>
      <w:rFonts w:ascii="宋体"/>
      <w:sz w:val="21"/>
      <w:lang w:val="en-US" w:eastAsia="zh-CN" w:bidi="ar-SA"/>
    </w:rPr>
  </w:style>
  <w:style w:type="paragraph" w:customStyle="1" w:styleId="28">
    <w:name w:val="脚注文本1"/>
    <w:basedOn w:val="1"/>
    <w:qFormat/>
    <w:uiPriority w:val="0"/>
    <w:pPr>
      <w:numPr>
        <w:ilvl w:val="0"/>
        <w:numId w:val="1"/>
      </w:numPr>
      <w:tabs>
        <w:tab w:val="clear" w:pos="0"/>
      </w:tabs>
      <w:snapToGrid w:val="0"/>
      <w:jc w:val="left"/>
    </w:pPr>
    <w:rPr>
      <w:rFonts w:ascii="宋体"/>
      <w:sz w:val="18"/>
      <w:szCs w:val="18"/>
    </w:rPr>
  </w:style>
  <w:style w:type="paragraph" w:customStyle="1" w:styleId="29">
    <w:name w:val="目录 61"/>
    <w:basedOn w:val="1"/>
    <w:semiHidden/>
    <w:qFormat/>
    <w:uiPriority w:val="0"/>
    <w:pPr>
      <w:tabs>
        <w:tab w:val="right" w:leader="dot" w:pos="9241"/>
      </w:tabs>
      <w:ind w:firstLine="403" w:firstLineChars="400"/>
      <w:jc w:val="left"/>
    </w:pPr>
    <w:rPr>
      <w:rFonts w:ascii="宋体"/>
      <w:szCs w:val="21"/>
    </w:rPr>
  </w:style>
  <w:style w:type="paragraph" w:customStyle="1" w:styleId="30">
    <w:name w:val="索引 71"/>
    <w:basedOn w:val="1"/>
    <w:qFormat/>
    <w:uiPriority w:val="0"/>
    <w:pPr>
      <w:ind w:left="1470" w:hanging="210"/>
      <w:jc w:val="left"/>
    </w:pPr>
    <w:rPr>
      <w:rFonts w:ascii="Calibri" w:hAnsi="Calibri"/>
      <w:sz w:val="20"/>
      <w:szCs w:val="20"/>
    </w:rPr>
  </w:style>
  <w:style w:type="paragraph" w:customStyle="1" w:styleId="31">
    <w:name w:val="索引 91"/>
    <w:basedOn w:val="1"/>
    <w:qFormat/>
    <w:uiPriority w:val="0"/>
    <w:pPr>
      <w:ind w:left="1890" w:hanging="210"/>
      <w:jc w:val="left"/>
    </w:pPr>
    <w:rPr>
      <w:rFonts w:ascii="Calibri" w:hAnsi="Calibri"/>
      <w:sz w:val="20"/>
      <w:szCs w:val="20"/>
    </w:rPr>
  </w:style>
  <w:style w:type="paragraph" w:customStyle="1" w:styleId="32">
    <w:name w:val="目录 21"/>
    <w:basedOn w:val="1"/>
    <w:semiHidden/>
    <w:qFormat/>
    <w:uiPriority w:val="0"/>
    <w:pPr>
      <w:tabs>
        <w:tab w:val="right" w:leader="dot" w:pos="9241"/>
      </w:tabs>
    </w:pPr>
    <w:rPr>
      <w:rFonts w:ascii="宋体"/>
      <w:szCs w:val="21"/>
    </w:rPr>
  </w:style>
  <w:style w:type="paragraph" w:customStyle="1" w:styleId="33">
    <w:name w:val="目录 91"/>
    <w:basedOn w:val="1"/>
    <w:semiHidden/>
    <w:qFormat/>
    <w:uiPriority w:val="0"/>
    <w:pPr>
      <w:ind w:left="1470"/>
      <w:jc w:val="left"/>
    </w:pPr>
    <w:rPr>
      <w:sz w:val="20"/>
      <w:szCs w:val="20"/>
    </w:rPr>
  </w:style>
  <w:style w:type="paragraph" w:customStyle="1" w:styleId="34">
    <w:name w:val="索引 21"/>
    <w:basedOn w:val="1"/>
    <w:qFormat/>
    <w:uiPriority w:val="0"/>
    <w:pPr>
      <w:ind w:left="420" w:hanging="210"/>
      <w:jc w:val="left"/>
    </w:pPr>
    <w:rPr>
      <w:rFonts w:ascii="Calibri" w:hAnsi="Calibri"/>
      <w:sz w:val="20"/>
      <w:szCs w:val="20"/>
    </w:rPr>
  </w:style>
  <w:style w:type="table" w:customStyle="1" w:styleId="35">
    <w:name w:val="网格型1"/>
    <w:basedOn w:val="7"/>
    <w:qFormat/>
    <w:uiPriority w:val="0"/>
    <w:rPr>
      <w:rFonts w:ascii="宋体"/>
      <w:sz w:val="18"/>
      <w:szCs w:val="18"/>
    </w:rPr>
  </w:style>
  <w:style w:type="character" w:customStyle="1" w:styleId="36">
    <w:name w:val="尾注引用1"/>
    <w:basedOn w:val="6"/>
    <w:link w:val="1"/>
    <w:semiHidden/>
    <w:qFormat/>
    <w:uiPriority w:val="0"/>
    <w:rPr>
      <w:vertAlign w:val="superscript"/>
    </w:rPr>
  </w:style>
  <w:style w:type="character" w:customStyle="1" w:styleId="37">
    <w:name w:val="页码1"/>
    <w:basedOn w:val="6"/>
    <w:link w:val="1"/>
    <w:qFormat/>
    <w:uiPriority w:val="0"/>
    <w:rPr>
      <w:rFonts w:ascii="Times New Roman" w:hAnsi="Times New Roman" w:eastAsia="宋体"/>
      <w:sz w:val="18"/>
    </w:rPr>
  </w:style>
  <w:style w:type="character" w:customStyle="1" w:styleId="38">
    <w:name w:val="已访问的超链接1"/>
    <w:basedOn w:val="6"/>
    <w:link w:val="1"/>
    <w:qFormat/>
    <w:uiPriority w:val="0"/>
    <w:rPr>
      <w:color w:val="800080"/>
      <w:u w:val="single"/>
    </w:rPr>
  </w:style>
  <w:style w:type="character" w:customStyle="1" w:styleId="39">
    <w:name w:val="超链接1"/>
    <w:basedOn w:val="6"/>
    <w:link w:val="1"/>
    <w:qFormat/>
    <w:uiPriority w:val="0"/>
    <w:rPr>
      <w:color w:val="0000FF"/>
      <w:spacing w:val="0"/>
      <w:w w:val="100"/>
      <w:szCs w:val="21"/>
      <w:u w:val="single"/>
    </w:rPr>
  </w:style>
  <w:style w:type="character" w:customStyle="1" w:styleId="40">
    <w:name w:val="脚注引用1"/>
    <w:basedOn w:val="6"/>
    <w:link w:val="1"/>
    <w:semiHidden/>
    <w:qFormat/>
    <w:uiPriority w:val="0"/>
    <w:rPr>
      <w:vertAlign w:val="superscript"/>
    </w:rPr>
  </w:style>
  <w:style w:type="paragraph" w:customStyle="1" w:styleId="41">
    <w:name w:val="一级条标题"/>
    <w:qFormat/>
    <w:uiPriority w:val="0"/>
    <w:pPr>
      <w:numPr>
        <w:ilvl w:val="1"/>
        <w:numId w:val="2"/>
      </w:numPr>
      <w:spacing w:before="156" w:after="156"/>
      <w:outlineLvl w:val="2"/>
    </w:pPr>
    <w:rPr>
      <w:rFonts w:ascii="黑体" w:hAnsi="Times New Roman" w:eastAsia="黑体" w:cs="Times New Roman"/>
      <w:sz w:val="21"/>
      <w:szCs w:val="21"/>
      <w:lang w:val="en-US" w:eastAsia="zh-CN" w:bidi="ar-SA"/>
    </w:rPr>
  </w:style>
  <w:style w:type="paragraph" w:customStyle="1" w:styleId="4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3">
    <w:name w:val="标准书眉_奇数页"/>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4">
    <w:name w:val="章标题"/>
    <w:qFormat/>
    <w:uiPriority w:val="0"/>
    <w:pPr>
      <w:numPr>
        <w:ilvl w:val="0"/>
        <w:numId w:val="2"/>
      </w:numPr>
      <w:spacing w:before="312" w:after="312"/>
      <w:jc w:val="both"/>
      <w:outlineLvl w:val="1"/>
    </w:pPr>
    <w:rPr>
      <w:rFonts w:ascii="黑体" w:hAnsi="Times New Roman" w:eastAsia="黑体" w:cs="Times New Roman"/>
      <w:sz w:val="21"/>
      <w:lang w:val="en-US" w:eastAsia="zh-CN" w:bidi="ar-SA"/>
    </w:rPr>
  </w:style>
  <w:style w:type="paragraph" w:customStyle="1" w:styleId="45">
    <w:name w:val="二级条标题"/>
    <w:basedOn w:val="41"/>
    <w:qFormat/>
    <w:uiPriority w:val="0"/>
    <w:pPr>
      <w:numPr>
        <w:ilvl w:val="2"/>
        <w:numId w:val="2"/>
      </w:numPr>
      <w:spacing w:before="50" w:after="50"/>
      <w:outlineLvl w:val="3"/>
    </w:pPr>
  </w:style>
  <w:style w:type="paragraph" w:customStyle="1" w:styleId="46">
    <w:name w:val="封面标准号2"/>
    <w:qFormat/>
    <w:uiPriority w:val="0"/>
    <w:pPr>
      <w:framePr w:w="9140" w:h="1242" w:hSpace="284" w:wrap="around" w:vAnchor="page" w:hAnchor="page" w:x="1645" w:y="2910"/>
      <w:spacing w:before="357" w:line="280" w:lineRule="exact"/>
      <w:jc w:val="right"/>
    </w:pPr>
    <w:rPr>
      <w:rFonts w:ascii="黑体" w:hAnsi="Times New Roman" w:eastAsia="黑体" w:cs="Times New Roman"/>
      <w:sz w:val="28"/>
      <w:szCs w:val="28"/>
      <w:lang w:val="en-US" w:eastAsia="zh-CN" w:bidi="ar-SA"/>
    </w:rPr>
  </w:style>
  <w:style w:type="paragraph" w:customStyle="1" w:styleId="47">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8">
    <w:name w:val="列项●（二级）"/>
    <w:qFormat/>
    <w:uiPriority w:val="0"/>
    <w:pPr>
      <w:numPr>
        <w:ilvl w:val="1"/>
        <w:numId w:val="3"/>
      </w:numPr>
      <w:tabs>
        <w:tab w:val="clear" w:pos="760"/>
      </w:tabs>
      <w:jc w:val="both"/>
    </w:pPr>
    <w:rPr>
      <w:rFonts w:ascii="宋体" w:hAnsi="Times New Roman" w:eastAsia="宋体" w:cs="Times New Roman"/>
      <w:sz w:val="21"/>
      <w:lang w:val="en-US" w:eastAsia="zh-CN" w:bidi="ar-SA"/>
    </w:rPr>
  </w:style>
  <w:style w:type="paragraph" w:customStyle="1" w:styleId="49">
    <w:name w:val="目次、标准名称标题"/>
    <w:basedOn w:val="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0">
    <w:name w:val="三级条标题"/>
    <w:basedOn w:val="45"/>
    <w:qFormat/>
    <w:uiPriority w:val="0"/>
    <w:pPr>
      <w:numPr>
        <w:ilvl w:val="3"/>
        <w:numId w:val="2"/>
      </w:numPr>
      <w:outlineLvl w:val="4"/>
    </w:pPr>
  </w:style>
  <w:style w:type="paragraph" w:customStyle="1" w:styleId="51">
    <w:name w:val="示例"/>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3">
    <w:name w:val="数字编号列项（二级）"/>
    <w:qFormat/>
    <w:uiPriority w:val="0"/>
    <w:pPr>
      <w:numPr>
        <w:ilvl w:val="1"/>
        <w:numId w:val="5"/>
      </w:numPr>
      <w:tabs>
        <w:tab w:val="clear" w:pos="1260"/>
      </w:tabs>
      <w:jc w:val="both"/>
    </w:pPr>
    <w:rPr>
      <w:rFonts w:ascii="宋体" w:hAnsi="Times New Roman" w:eastAsia="宋体" w:cs="Times New Roman"/>
      <w:sz w:val="21"/>
      <w:lang w:val="en-US" w:eastAsia="zh-CN" w:bidi="ar-SA"/>
    </w:rPr>
  </w:style>
  <w:style w:type="paragraph" w:customStyle="1" w:styleId="54">
    <w:name w:val="四级条标题"/>
    <w:basedOn w:val="50"/>
    <w:qFormat/>
    <w:uiPriority w:val="0"/>
    <w:pPr>
      <w:numPr>
        <w:ilvl w:val="4"/>
        <w:numId w:val="2"/>
      </w:numPr>
      <w:outlineLvl w:val="5"/>
    </w:pPr>
  </w:style>
  <w:style w:type="paragraph" w:customStyle="1" w:styleId="55">
    <w:name w:val="五级条标题"/>
    <w:basedOn w:val="54"/>
    <w:qFormat/>
    <w:uiPriority w:val="0"/>
    <w:pPr>
      <w:numPr>
        <w:ilvl w:val="5"/>
        <w:numId w:val="2"/>
      </w:numPr>
      <w:outlineLvl w:val="6"/>
    </w:pPr>
  </w:style>
  <w:style w:type="paragraph" w:customStyle="1" w:styleId="56">
    <w:name w:val="注："/>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57">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58">
    <w:name w:val="字母编号列项（一级）"/>
    <w:qFormat/>
    <w:uiPriority w:val="0"/>
    <w:pPr>
      <w:numPr>
        <w:ilvl w:val="0"/>
        <w:numId w:val="5"/>
      </w:numPr>
      <w:tabs>
        <w:tab w:val="clear" w:pos="840"/>
      </w:tabs>
      <w:jc w:val="both"/>
    </w:pPr>
    <w:rPr>
      <w:rFonts w:ascii="宋体" w:hAnsi="Times New Roman" w:eastAsia="宋体" w:cs="Times New Roman"/>
      <w:sz w:val="21"/>
      <w:lang w:val="en-US" w:eastAsia="zh-CN" w:bidi="ar-SA"/>
    </w:rPr>
  </w:style>
  <w:style w:type="paragraph" w:customStyle="1" w:styleId="59">
    <w:name w:val="列项◆（三级）"/>
    <w:basedOn w:val="1"/>
    <w:qFormat/>
    <w:uiPriority w:val="0"/>
    <w:pPr>
      <w:numPr>
        <w:ilvl w:val="2"/>
        <w:numId w:val="3"/>
      </w:numPr>
      <w:tabs>
        <w:tab w:val="clear" w:pos="1678"/>
      </w:tabs>
    </w:pPr>
    <w:rPr>
      <w:rFonts w:ascii="宋体"/>
      <w:szCs w:val="21"/>
    </w:rPr>
  </w:style>
  <w:style w:type="paragraph" w:customStyle="1" w:styleId="60">
    <w:name w:val="编号列项（三级）"/>
    <w:qFormat/>
    <w:uiPriority w:val="0"/>
    <w:pPr>
      <w:numPr>
        <w:ilvl w:val="2"/>
        <w:numId w:val="5"/>
      </w:numPr>
      <w:tabs>
        <w:tab w:val="clear" w:pos="0"/>
      </w:tabs>
    </w:pPr>
    <w:rPr>
      <w:rFonts w:ascii="宋体" w:hAnsi="Times New Roman" w:eastAsia="宋体" w:cs="Times New Roman"/>
      <w:sz w:val="21"/>
      <w:lang w:val="en-US" w:eastAsia="zh-CN" w:bidi="ar-SA"/>
    </w:rPr>
  </w:style>
  <w:style w:type="paragraph" w:customStyle="1" w:styleId="61">
    <w:name w:val="示例×："/>
    <w:basedOn w:val="44"/>
    <w:qFormat/>
    <w:uiPriority w:val="0"/>
    <w:pPr>
      <w:numPr>
        <w:ilvl w:val="0"/>
        <w:numId w:val="8"/>
      </w:numPr>
      <w:spacing w:before="0" w:after="0"/>
      <w:outlineLvl w:val="9"/>
    </w:pPr>
    <w:rPr>
      <w:rFonts w:ascii="宋体" w:eastAsia="宋体"/>
      <w:sz w:val="18"/>
      <w:szCs w:val="18"/>
    </w:rPr>
  </w:style>
  <w:style w:type="paragraph" w:customStyle="1" w:styleId="62">
    <w:name w:val="二级无"/>
    <w:basedOn w:val="45"/>
    <w:qFormat/>
    <w:uiPriority w:val="0"/>
    <w:pPr>
      <w:spacing w:before="0" w:after="0"/>
      <w:ind w:left="0" w:firstLine="0"/>
    </w:pPr>
    <w:rPr>
      <w:rFonts w:ascii="宋体" w:eastAsia="宋体"/>
    </w:rPr>
  </w:style>
  <w:style w:type="paragraph" w:customStyle="1" w:styleId="63">
    <w:name w:val="注：（正文）"/>
    <w:basedOn w:val="56"/>
    <w:qFormat/>
    <w:uiPriority w:val="0"/>
  </w:style>
  <w:style w:type="paragraph" w:customStyle="1" w:styleId="64">
    <w:name w:val="注×：（正文）"/>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65">
    <w:name w:val="标准标志"/>
    <w:qFormat/>
    <w:uiPriority w:val="0"/>
    <w:pPr>
      <w:framePr w:w="2546" w:h="1389" w:hSpace="181" w:vSpace="181" w:wrap="around" w:vAnchor="margin" w:hAnchor="margin" w:x="6522" w:y="398"/>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6">
    <w:name w:val="标准称谓"/>
    <w:qFormat/>
    <w:uiPriority w:val="0"/>
    <w:pPr>
      <w:framePr w:w="9639" w:h="624" w:hSpace="181" w:vSpace="181" w:wrap="around" w:vAnchor="page" w:hAnchor="page" w:x="1419" w:y="2286"/>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7">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8">
    <w:name w:val="标准书眉_偶数页"/>
    <w:basedOn w:val="43"/>
    <w:qFormat/>
    <w:uiPriority w:val="0"/>
    <w:pPr>
      <w:tabs>
        <w:tab w:val="clear" w:pos="4154"/>
        <w:tab w:val="clear" w:pos="8306"/>
      </w:tabs>
      <w:jc w:val="left"/>
    </w:pPr>
    <w:rPr>
      <w:rFonts w:ascii="黑体" w:eastAsia="黑体"/>
    </w:rPr>
  </w:style>
  <w:style w:type="paragraph" w:customStyle="1" w:styleId="69">
    <w:name w:val="标准书眉一"/>
    <w:qFormat/>
    <w:uiPriority w:val="0"/>
    <w:pPr>
      <w:jc w:val="both"/>
    </w:pPr>
    <w:rPr>
      <w:rFonts w:ascii="Times New Roman" w:hAnsi="Times New Roman" w:eastAsia="宋体" w:cs="Times New Roman"/>
      <w:lang w:val="en-US" w:eastAsia="zh-CN" w:bidi="ar-SA"/>
    </w:rPr>
  </w:style>
  <w:style w:type="paragraph" w:customStyle="1" w:styleId="70">
    <w:name w:val="参考文献"/>
    <w:basedOn w:val="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参考文献、索引标题"/>
    <w:basedOn w:val="1"/>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2">
    <w:name w:val="发布"/>
    <w:basedOn w:val="6"/>
    <w:link w:val="1"/>
    <w:uiPriority w:val="0"/>
    <w:rPr>
      <w:rFonts w:ascii="黑体" w:eastAsia="黑体"/>
      <w:spacing w:val="85"/>
      <w:w w:val="100"/>
      <w:position w:val="3"/>
      <w:sz w:val="28"/>
      <w:szCs w:val="28"/>
    </w:rPr>
  </w:style>
  <w:style w:type="paragraph" w:customStyle="1" w:styleId="73">
    <w:name w:val="发布部门"/>
    <w:uiPriority w:val="0"/>
    <w:pPr>
      <w:framePr w:w="7938" w:h="1134" w:hSpace="125" w:vSpace="181" w:wrap="around" w:vAnchor="page" w:hAnchor="page" w:x="2150" w:y="14630"/>
      <w:jc w:val="center"/>
    </w:pPr>
    <w:rPr>
      <w:rFonts w:ascii="宋体" w:hAnsi="Times New Roman" w:eastAsia="宋体" w:cs="Times New Roman"/>
      <w:b/>
      <w:spacing w:val="20"/>
      <w:w w:val="135"/>
      <w:sz w:val="28"/>
      <w:lang w:val="en-US" w:eastAsia="zh-CN" w:bidi="ar-SA"/>
    </w:rPr>
  </w:style>
  <w:style w:type="paragraph" w:customStyle="1" w:styleId="74">
    <w:name w:val="发布日期"/>
    <w:uiPriority w:val="0"/>
    <w:pPr>
      <w:framePr w:w="3997" w:h="471" w:vSpace="181" w:wrap="around" w:vAnchor="margin" w:hAnchor="page" w:x="7089" w:y="14097"/>
    </w:pPr>
    <w:rPr>
      <w:rFonts w:ascii="Times New Roman" w:hAnsi="Times New Roman" w:eastAsia="黑体" w:cs="Times New Roman"/>
      <w:sz w:val="28"/>
      <w:lang w:val="en-US" w:eastAsia="zh-CN" w:bidi="ar-SA"/>
    </w:rPr>
  </w:style>
  <w:style w:type="paragraph" w:customStyle="1" w:styleId="75">
    <w:name w:val="封面标准代替信息"/>
    <w:uiPriority w:val="0"/>
    <w:pPr>
      <w:framePr w:w="9140" w:h="1242" w:hSpace="284" w:wrap="around" w:vAnchor="page" w:hAnchor="page" w:x="1645" w:y="2910"/>
      <w:spacing w:before="57" w:line="280" w:lineRule="exact"/>
      <w:jc w:val="right"/>
    </w:pPr>
    <w:rPr>
      <w:rFonts w:ascii="宋体" w:hAnsi="Times New Roman" w:eastAsia="宋体" w:cs="Times New Roman"/>
      <w:sz w:val="21"/>
      <w:szCs w:val="21"/>
      <w:lang w:val="en-US" w:eastAsia="zh-CN" w:bidi="ar-SA"/>
    </w:rPr>
  </w:style>
  <w:style w:type="paragraph" w:customStyle="1" w:styleId="76">
    <w:name w:val="封面标准号1"/>
    <w:uiPriority w:val="0"/>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paragraph" w:customStyle="1" w:styleId="77">
    <w:name w:val="封面标准名称"/>
    <w:uiPriority w:val="0"/>
    <w:pPr>
      <w:framePr w:w="9639" w:h="6917" w:wrap="around" w:vAnchor="page" w:hAnchor="page" w:xAlign="center" w:y="6408"/>
      <w:widowControl w:val="0"/>
      <w:spacing w:line="680" w:lineRule="exact"/>
      <w:jc w:val="center"/>
    </w:pPr>
    <w:rPr>
      <w:rFonts w:ascii="黑体" w:hAnsi="Times New Roman" w:eastAsia="黑体" w:cs="Times New Roman"/>
      <w:sz w:val="52"/>
      <w:lang w:val="en-US" w:eastAsia="zh-CN" w:bidi="ar-SA"/>
    </w:rPr>
  </w:style>
  <w:style w:type="paragraph" w:customStyle="1" w:styleId="78">
    <w:name w:val="封面标准英文名称"/>
    <w:basedOn w:val="77"/>
    <w:uiPriority w:val="0"/>
    <w:pPr>
      <w:spacing w:before="370" w:line="400" w:lineRule="exact"/>
    </w:pPr>
    <w:rPr>
      <w:rFonts w:ascii="Times New Roman"/>
      <w:sz w:val="28"/>
      <w:szCs w:val="28"/>
    </w:rPr>
  </w:style>
  <w:style w:type="paragraph" w:customStyle="1" w:styleId="79">
    <w:name w:val="封面一致性程度标识"/>
    <w:basedOn w:val="78"/>
    <w:uiPriority w:val="0"/>
    <w:pPr>
      <w:spacing w:before="440"/>
    </w:pPr>
    <w:rPr>
      <w:rFonts w:ascii="宋体" w:eastAsia="宋体"/>
    </w:rPr>
  </w:style>
  <w:style w:type="paragraph" w:customStyle="1" w:styleId="80">
    <w:name w:val="封面标准文稿类别"/>
    <w:basedOn w:val="79"/>
    <w:uiPriority w:val="0"/>
    <w:pPr>
      <w:spacing w:after="160" w:line="240" w:lineRule="auto"/>
    </w:pPr>
    <w:rPr>
      <w:sz w:val="24"/>
    </w:rPr>
  </w:style>
  <w:style w:type="paragraph" w:customStyle="1" w:styleId="81">
    <w:name w:val="封面标准文稿编辑信息"/>
    <w:basedOn w:val="80"/>
    <w:uiPriority w:val="0"/>
    <w:pPr>
      <w:spacing w:before="180" w:line="180" w:lineRule="exact"/>
    </w:pPr>
    <w:rPr>
      <w:sz w:val="21"/>
    </w:rPr>
  </w:style>
  <w:style w:type="paragraph" w:customStyle="1" w:styleId="82">
    <w:name w:val="封面正文"/>
    <w:uiPriority w:val="0"/>
    <w:pPr>
      <w:jc w:val="both"/>
    </w:pPr>
    <w:rPr>
      <w:rFonts w:ascii="Times New Roman" w:hAnsi="Times New Roman" w:eastAsia="宋体" w:cs="Times New Roman"/>
      <w:lang w:val="en-US" w:eastAsia="zh-CN" w:bidi="ar-SA"/>
    </w:rPr>
  </w:style>
  <w:style w:type="paragraph" w:customStyle="1" w:styleId="83">
    <w:name w:val="附录标识"/>
    <w:basedOn w:val="1"/>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4">
    <w:name w:val="附录标题"/>
    <w:basedOn w:val="26"/>
    <w:uiPriority w:val="0"/>
    <w:pPr>
      <w:tabs>
        <w:tab w:val="clear" w:pos="4201"/>
        <w:tab w:val="clear" w:pos="9298"/>
      </w:tabs>
      <w:ind w:firstLine="0" w:firstLineChars="0"/>
      <w:jc w:val="center"/>
    </w:pPr>
    <w:rPr>
      <w:rFonts w:ascii="黑体" w:eastAsia="黑体"/>
    </w:rPr>
  </w:style>
  <w:style w:type="paragraph" w:customStyle="1" w:styleId="85">
    <w:name w:val="附录表标号"/>
    <w:basedOn w:val="1"/>
    <w:uiPriority w:val="0"/>
    <w:pPr>
      <w:numPr>
        <w:ilvl w:val="0"/>
        <w:numId w:val="11"/>
      </w:numPr>
      <w:tabs>
        <w:tab w:val="clear" w:pos="0"/>
      </w:tabs>
      <w:spacing w:line="14" w:lineRule="exact"/>
      <w:ind w:left="811" w:hanging="448"/>
      <w:jc w:val="center"/>
      <w:outlineLvl w:val="0"/>
    </w:pPr>
    <w:rPr>
      <w:color w:val="FFFFFF"/>
    </w:rPr>
  </w:style>
  <w:style w:type="paragraph" w:customStyle="1" w:styleId="86">
    <w:name w:val="附录表标题"/>
    <w:basedOn w:val="1"/>
    <w:uiPriority w:val="0"/>
    <w:pPr>
      <w:numPr>
        <w:ilvl w:val="1"/>
        <w:numId w:val="11"/>
      </w:numPr>
      <w:tabs>
        <w:tab w:val="left" w:pos="180"/>
      </w:tabs>
      <w:spacing w:before="50" w:after="50"/>
      <w:ind w:left="0" w:firstLine="0"/>
      <w:jc w:val="center"/>
    </w:pPr>
    <w:rPr>
      <w:rFonts w:ascii="黑体" w:eastAsia="黑体"/>
      <w:szCs w:val="21"/>
    </w:rPr>
  </w:style>
  <w:style w:type="paragraph" w:customStyle="1" w:styleId="87">
    <w:name w:val="附录二级条标题"/>
    <w:basedOn w:val="1"/>
    <w:uiPriority w:val="0"/>
    <w:pPr>
      <w:widowControl/>
      <w:numPr>
        <w:ilvl w:val="3"/>
        <w:numId w:val="10"/>
      </w:numPr>
      <w:tabs>
        <w:tab w:val="left" w:pos="360"/>
      </w:tabs>
      <w:wordWrap w:val="0"/>
      <w:overflowPunct w:val="0"/>
      <w:autoSpaceDE w:val="0"/>
      <w:autoSpaceDN w:val="0"/>
      <w:spacing w:before="50" w:after="50"/>
      <w:outlineLvl w:val="3"/>
    </w:pPr>
    <w:rPr>
      <w:rFonts w:ascii="黑体" w:eastAsia="黑体"/>
      <w:kern w:val="21"/>
      <w:szCs w:val="20"/>
    </w:rPr>
  </w:style>
  <w:style w:type="paragraph" w:customStyle="1" w:styleId="88">
    <w:name w:val="附录二级无"/>
    <w:basedOn w:val="87"/>
    <w:uiPriority w:val="0"/>
    <w:pPr>
      <w:tabs>
        <w:tab w:val="clear" w:pos="360"/>
      </w:tabs>
      <w:spacing w:before="0" w:after="0"/>
    </w:pPr>
    <w:rPr>
      <w:rFonts w:ascii="宋体" w:eastAsia="宋体"/>
      <w:szCs w:val="21"/>
    </w:rPr>
  </w:style>
  <w:style w:type="paragraph" w:customStyle="1" w:styleId="89">
    <w:name w:val="附录公式"/>
    <w:basedOn w:val="26"/>
    <w:link w:val="90"/>
    <w:uiPriority w:val="0"/>
    <w:pPr>
      <w:tabs>
        <w:tab w:val="clear" w:pos="4201"/>
        <w:tab w:val="clear" w:pos="9298"/>
      </w:tabs>
    </w:pPr>
  </w:style>
  <w:style w:type="character" w:customStyle="1" w:styleId="90">
    <w:name w:val="附录公式 Char"/>
    <w:basedOn w:val="27"/>
    <w:link w:val="89"/>
    <w:uiPriority w:val="0"/>
  </w:style>
  <w:style w:type="paragraph" w:customStyle="1" w:styleId="91">
    <w:name w:val="附录公式编号制表符"/>
    <w:basedOn w:val="1"/>
    <w:uiPriority w:val="0"/>
    <w:pPr>
      <w:widowControl/>
      <w:tabs>
        <w:tab w:val="center" w:pos="4201"/>
        <w:tab w:val="right" w:leader="dot" w:pos="9298"/>
      </w:tabs>
      <w:autoSpaceDE w:val="0"/>
      <w:autoSpaceDN w:val="0"/>
    </w:pPr>
    <w:rPr>
      <w:rFonts w:ascii="宋体"/>
      <w:kern w:val="0"/>
      <w:szCs w:val="20"/>
    </w:rPr>
  </w:style>
  <w:style w:type="paragraph" w:customStyle="1" w:styleId="92">
    <w:name w:val="附录三级条标题"/>
    <w:basedOn w:val="87"/>
    <w:uiPriority w:val="0"/>
    <w:pPr>
      <w:numPr>
        <w:ilvl w:val="4"/>
        <w:numId w:val="10"/>
      </w:numPr>
      <w:tabs>
        <w:tab w:val="clear" w:pos="360"/>
      </w:tabs>
      <w:outlineLvl w:val="4"/>
    </w:pPr>
  </w:style>
  <w:style w:type="paragraph" w:customStyle="1" w:styleId="93">
    <w:name w:val="附录三级无"/>
    <w:basedOn w:val="92"/>
    <w:uiPriority w:val="0"/>
    <w:pPr>
      <w:spacing w:before="0" w:after="0"/>
    </w:pPr>
    <w:rPr>
      <w:rFonts w:ascii="宋体" w:eastAsia="宋体"/>
      <w:szCs w:val="21"/>
    </w:rPr>
  </w:style>
  <w:style w:type="paragraph" w:customStyle="1" w:styleId="94">
    <w:name w:val="附录数字编号列项（二级）"/>
    <w:uiPriority w:val="0"/>
    <w:pPr>
      <w:numPr>
        <w:ilvl w:val="1"/>
        <w:numId w:val="12"/>
      </w:numPr>
      <w:tabs>
        <w:tab w:val="clear" w:pos="840"/>
      </w:tabs>
    </w:pPr>
    <w:rPr>
      <w:rFonts w:ascii="宋体" w:hAnsi="Times New Roman" w:eastAsia="宋体" w:cs="Times New Roman"/>
      <w:sz w:val="21"/>
      <w:lang w:val="en-US" w:eastAsia="zh-CN" w:bidi="ar-SA"/>
    </w:rPr>
  </w:style>
  <w:style w:type="paragraph" w:customStyle="1" w:styleId="95">
    <w:name w:val="附录四级条标题"/>
    <w:basedOn w:val="92"/>
    <w:uiPriority w:val="0"/>
    <w:pPr>
      <w:numPr>
        <w:ilvl w:val="5"/>
        <w:numId w:val="10"/>
      </w:numPr>
      <w:outlineLvl w:val="5"/>
    </w:pPr>
  </w:style>
  <w:style w:type="paragraph" w:customStyle="1" w:styleId="96">
    <w:name w:val="附录四级无"/>
    <w:basedOn w:val="95"/>
    <w:uiPriority w:val="0"/>
    <w:pPr>
      <w:spacing w:before="0" w:after="0"/>
    </w:pPr>
    <w:rPr>
      <w:rFonts w:ascii="宋体" w:eastAsia="宋体"/>
      <w:szCs w:val="21"/>
    </w:rPr>
  </w:style>
  <w:style w:type="paragraph" w:customStyle="1" w:styleId="97">
    <w:name w:val="附录图标号"/>
    <w:basedOn w:val="1"/>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98">
    <w:name w:val="附录图标题"/>
    <w:basedOn w:val="1"/>
    <w:uiPriority w:val="0"/>
    <w:pPr>
      <w:numPr>
        <w:ilvl w:val="1"/>
        <w:numId w:val="13"/>
      </w:numPr>
      <w:tabs>
        <w:tab w:val="left" w:pos="363"/>
      </w:tabs>
      <w:spacing w:before="50" w:after="50"/>
      <w:ind w:left="0" w:firstLine="0"/>
      <w:jc w:val="center"/>
    </w:pPr>
    <w:rPr>
      <w:rFonts w:ascii="黑体" w:eastAsia="黑体"/>
      <w:szCs w:val="21"/>
    </w:rPr>
  </w:style>
  <w:style w:type="paragraph" w:customStyle="1" w:styleId="99">
    <w:name w:val="附录五级条标题"/>
    <w:basedOn w:val="95"/>
    <w:uiPriority w:val="0"/>
    <w:pPr>
      <w:numPr>
        <w:ilvl w:val="6"/>
        <w:numId w:val="10"/>
      </w:numPr>
      <w:outlineLvl w:val="6"/>
    </w:pPr>
  </w:style>
  <w:style w:type="paragraph" w:customStyle="1" w:styleId="100">
    <w:name w:val="附录五级无"/>
    <w:basedOn w:val="99"/>
    <w:uiPriority w:val="0"/>
    <w:pPr>
      <w:spacing w:before="0" w:after="0"/>
    </w:pPr>
    <w:rPr>
      <w:rFonts w:ascii="宋体" w:eastAsia="宋体"/>
      <w:szCs w:val="21"/>
    </w:rPr>
  </w:style>
  <w:style w:type="paragraph" w:customStyle="1" w:styleId="101">
    <w:name w:val="附录章标题"/>
    <w:uiPriority w:val="0"/>
    <w:pPr>
      <w:numPr>
        <w:ilvl w:val="1"/>
        <w:numId w:val="10"/>
      </w:numPr>
      <w:tabs>
        <w:tab w:val="left" w:pos="360"/>
      </w:tabs>
      <w:wordWrap w:val="0"/>
      <w:overflowPunct w:val="0"/>
      <w:autoSpaceDE w:val="0"/>
      <w:spacing w:before="100" w:after="100"/>
      <w:jc w:val="both"/>
      <w:outlineLvl w:val="1"/>
    </w:pPr>
    <w:rPr>
      <w:rFonts w:ascii="黑体" w:hAnsi="Times New Roman" w:eastAsia="黑体" w:cs="Times New Roman"/>
      <w:kern w:val="21"/>
      <w:sz w:val="21"/>
      <w:lang w:val="en-US" w:eastAsia="zh-CN" w:bidi="ar-SA"/>
    </w:rPr>
  </w:style>
  <w:style w:type="paragraph" w:customStyle="1" w:styleId="102">
    <w:name w:val="附录一级条标题"/>
    <w:basedOn w:val="101"/>
    <w:uiPriority w:val="0"/>
    <w:pPr>
      <w:numPr>
        <w:ilvl w:val="2"/>
        <w:numId w:val="10"/>
      </w:numPr>
      <w:tabs>
        <w:tab w:val="clear" w:pos="360"/>
      </w:tabs>
      <w:autoSpaceDN w:val="0"/>
      <w:spacing w:before="50" w:after="50"/>
      <w:outlineLvl w:val="2"/>
    </w:pPr>
  </w:style>
  <w:style w:type="paragraph" w:customStyle="1" w:styleId="103">
    <w:name w:val="附录一级无"/>
    <w:basedOn w:val="102"/>
    <w:uiPriority w:val="0"/>
    <w:pPr>
      <w:spacing w:before="0" w:after="0"/>
    </w:pPr>
    <w:rPr>
      <w:rFonts w:ascii="宋体" w:eastAsia="宋体"/>
      <w:szCs w:val="21"/>
    </w:rPr>
  </w:style>
  <w:style w:type="paragraph" w:customStyle="1" w:styleId="104">
    <w:name w:val="附录字母编号列项（一级）"/>
    <w:uiPriority w:val="0"/>
    <w:pPr>
      <w:numPr>
        <w:ilvl w:val="0"/>
        <w:numId w:val="12"/>
      </w:numPr>
      <w:tabs>
        <w:tab w:val="clear" w:pos="839"/>
      </w:tabs>
    </w:pPr>
    <w:rPr>
      <w:rFonts w:ascii="宋体" w:hAnsi="Times New Roman" w:eastAsia="宋体" w:cs="Times New Roman"/>
      <w:sz w:val="21"/>
      <w:lang w:val="en-US" w:eastAsia="zh-CN" w:bidi="ar-SA"/>
    </w:rPr>
  </w:style>
  <w:style w:type="paragraph" w:customStyle="1" w:styleId="105">
    <w:name w:val="列项说明"/>
    <w:basedOn w:val="1"/>
    <w:uiPriority w:val="0"/>
    <w:pPr>
      <w:spacing w:line="320" w:lineRule="exact"/>
      <w:ind w:left="400" w:leftChars="200" w:hanging="200" w:hangingChars="200"/>
      <w:jc w:val="left"/>
    </w:pPr>
    <w:rPr>
      <w:rFonts w:ascii="宋体"/>
      <w:kern w:val="0"/>
      <w:szCs w:val="20"/>
    </w:rPr>
  </w:style>
  <w:style w:type="paragraph" w:customStyle="1" w:styleId="106">
    <w:name w:val="列项说明数字编号"/>
    <w:uiPriority w:val="0"/>
    <w:pPr>
      <w:ind w:left="600" w:leftChars="400" w:hanging="200" w:hangingChars="200"/>
    </w:pPr>
    <w:rPr>
      <w:rFonts w:ascii="宋体" w:hAnsi="Times New Roman" w:eastAsia="宋体" w:cs="Times New Roman"/>
      <w:sz w:val="21"/>
      <w:lang w:val="en-US" w:eastAsia="zh-CN" w:bidi="ar-SA"/>
    </w:rPr>
  </w:style>
  <w:style w:type="paragraph" w:customStyle="1" w:styleId="107">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08">
    <w:name w:val="其他标准标志"/>
    <w:basedOn w:val="65"/>
    <w:uiPriority w:val="0"/>
    <w:pPr>
      <w:framePr w:w="6101" w:vAnchor="page" w:hAnchor="page" w:x="4673" w:y="942"/>
    </w:pPr>
    <w:rPr>
      <w:w w:val="130"/>
    </w:rPr>
  </w:style>
  <w:style w:type="paragraph" w:customStyle="1" w:styleId="109">
    <w:name w:val="其他标准称谓"/>
    <w:uiPriority w:val="0"/>
    <w:pPr>
      <w:framePr w:hSpace="181" w:vSpace="181" w:wrap="around" w:vAnchor="page" w:hAnchor="page" w:x="1419" w:y="2286"/>
      <w:spacing w:line="0" w:lineRule="atLeast"/>
      <w:jc w:val="distribute"/>
    </w:pPr>
    <w:rPr>
      <w:rFonts w:ascii="黑体" w:hAnsi="宋体" w:eastAsia="黑体" w:cs="Times New Roman"/>
      <w:spacing w:val="-40"/>
      <w:sz w:val="48"/>
      <w:szCs w:val="52"/>
      <w:lang w:val="en-US" w:eastAsia="zh-CN" w:bidi="ar-SA"/>
    </w:rPr>
  </w:style>
  <w:style w:type="paragraph" w:customStyle="1" w:styleId="110">
    <w:name w:val="其他发布部门"/>
    <w:basedOn w:val="73"/>
    <w:uiPriority w:val="0"/>
    <w:pPr>
      <w:framePr w:y="15310"/>
      <w:spacing w:line="0" w:lineRule="atLeast"/>
    </w:pPr>
    <w:rPr>
      <w:rFonts w:ascii="黑体" w:eastAsia="黑体"/>
      <w:b w:val="0"/>
    </w:rPr>
  </w:style>
  <w:style w:type="paragraph" w:customStyle="1" w:styleId="111">
    <w:name w:val="前言、引言标题"/>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2">
    <w:name w:val="三级无"/>
    <w:basedOn w:val="50"/>
    <w:uiPriority w:val="0"/>
    <w:pPr>
      <w:spacing w:before="0" w:after="0"/>
    </w:pPr>
    <w:rPr>
      <w:rFonts w:ascii="宋体" w:eastAsia="宋体"/>
    </w:rPr>
  </w:style>
  <w:style w:type="paragraph" w:customStyle="1" w:styleId="113">
    <w:name w:val="实施日期"/>
    <w:basedOn w:val="74"/>
    <w:uiPriority w:val="0"/>
    <w:pPr>
      <w:framePr w:vAnchor="page" w:hAnchor="page"/>
      <w:jc w:val="right"/>
    </w:pPr>
  </w:style>
  <w:style w:type="paragraph" w:customStyle="1" w:styleId="114">
    <w:name w:val="示例后文字"/>
    <w:basedOn w:val="26"/>
    <w:uiPriority w:val="0"/>
    <w:pPr>
      <w:tabs>
        <w:tab w:val="clear" w:pos="4201"/>
        <w:tab w:val="clear" w:pos="9298"/>
      </w:tabs>
      <w:ind w:firstLine="360"/>
    </w:pPr>
    <w:rPr>
      <w:sz w:val="18"/>
    </w:rPr>
  </w:style>
  <w:style w:type="paragraph" w:customStyle="1" w:styleId="115">
    <w:name w:val="首示例"/>
    <w:link w:val="116"/>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character" w:customStyle="1" w:styleId="116">
    <w:name w:val="首示例 Char"/>
    <w:basedOn w:val="6"/>
    <w:link w:val="115"/>
    <w:uiPriority w:val="0"/>
    <w:rPr>
      <w:rFonts w:ascii="宋体" w:hAnsi="宋体"/>
      <w:kern w:val="2"/>
      <w:sz w:val="18"/>
      <w:szCs w:val="18"/>
      <w:lang w:val="en-US" w:eastAsia="zh-CN" w:bidi="ar-SA"/>
    </w:rPr>
  </w:style>
  <w:style w:type="paragraph" w:customStyle="1" w:styleId="117">
    <w:name w:val="四级无"/>
    <w:basedOn w:val="54"/>
    <w:uiPriority w:val="0"/>
    <w:pPr>
      <w:spacing w:before="0" w:after="0"/>
    </w:pPr>
    <w:rPr>
      <w:rFonts w:ascii="宋体" w:eastAsia="宋体"/>
    </w:rPr>
  </w:style>
  <w:style w:type="paragraph" w:customStyle="1" w:styleId="118">
    <w:name w:val="条文脚注"/>
    <w:basedOn w:val="28"/>
    <w:uiPriority w:val="0"/>
    <w:pPr>
      <w:numPr>
        <w:ilvl w:val="0"/>
        <w:numId w:val="0"/>
      </w:numPr>
      <w:jc w:val="both"/>
    </w:pPr>
    <w:rPr>
      <w:rFonts w:ascii="宋体"/>
    </w:rPr>
  </w:style>
  <w:style w:type="paragraph" w:customStyle="1" w:styleId="119">
    <w:name w:val="图标脚注说明"/>
    <w:basedOn w:val="26"/>
    <w:uiPriority w:val="0"/>
    <w:pPr>
      <w:tabs>
        <w:tab w:val="clear" w:pos="4201"/>
        <w:tab w:val="clear" w:pos="9298"/>
      </w:tabs>
      <w:ind w:left="840" w:hanging="420" w:firstLineChars="0"/>
    </w:pPr>
    <w:rPr>
      <w:sz w:val="18"/>
      <w:szCs w:val="18"/>
    </w:rPr>
  </w:style>
  <w:style w:type="paragraph" w:customStyle="1" w:styleId="120">
    <w:name w:val="图表脚注说明"/>
    <w:basedOn w:val="1"/>
    <w:uiPriority w:val="0"/>
    <w:pPr>
      <w:numPr>
        <w:ilvl w:val="0"/>
        <w:numId w:val="15"/>
      </w:numPr>
    </w:pPr>
    <w:rPr>
      <w:rFonts w:ascii="宋体"/>
      <w:sz w:val="18"/>
      <w:szCs w:val="18"/>
    </w:rPr>
  </w:style>
  <w:style w:type="paragraph" w:customStyle="1" w:styleId="121">
    <w:name w:val="图的脚注"/>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2">
    <w:name w:val="文献分类号"/>
    <w:uiPriority w:val="0"/>
    <w:pPr>
      <w:framePr w:hSpace="180" w:vSpace="180" w:wrap="around" w:vAnchor="margin" w:hAnchor="margin" w:y="1"/>
      <w:widowControl w:val="0"/>
    </w:pPr>
    <w:rPr>
      <w:rFonts w:ascii="黑体" w:hAnsi="Times New Roman" w:eastAsia="黑体" w:cs="Times New Roman"/>
      <w:sz w:val="21"/>
      <w:szCs w:val="21"/>
      <w:lang w:val="en-US" w:eastAsia="zh-CN" w:bidi="ar-SA"/>
    </w:rPr>
  </w:style>
  <w:style w:type="paragraph" w:customStyle="1" w:styleId="123">
    <w:name w:val="五级无"/>
    <w:basedOn w:val="55"/>
    <w:uiPriority w:val="0"/>
    <w:pPr>
      <w:spacing w:before="0" w:after="0"/>
    </w:pPr>
    <w:rPr>
      <w:rFonts w:ascii="宋体" w:eastAsia="宋体"/>
    </w:rPr>
  </w:style>
  <w:style w:type="paragraph" w:customStyle="1" w:styleId="124">
    <w:name w:val="一级无"/>
    <w:basedOn w:val="41"/>
    <w:uiPriority w:val="0"/>
    <w:pPr>
      <w:spacing w:before="0" w:after="0"/>
    </w:pPr>
    <w:rPr>
      <w:rFonts w:ascii="宋体" w:eastAsia="宋体"/>
    </w:rPr>
  </w:style>
  <w:style w:type="paragraph" w:customStyle="1" w:styleId="125">
    <w:name w:val="正文表标题"/>
    <w:uiPriority w:val="0"/>
    <w:pPr>
      <w:numPr>
        <w:ilvl w:val="0"/>
        <w:numId w:val="16"/>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126">
    <w:name w:val="正文公式编号制表符"/>
    <w:basedOn w:val="26"/>
    <w:uiPriority w:val="0"/>
    <w:pPr>
      <w:tabs>
        <w:tab w:val="clear" w:pos="4201"/>
        <w:tab w:val="clear" w:pos="9298"/>
      </w:tabs>
      <w:ind w:firstLine="0" w:firstLineChars="0"/>
    </w:pPr>
  </w:style>
  <w:style w:type="paragraph" w:customStyle="1" w:styleId="127">
    <w:name w:val="正文图标题"/>
    <w:uiPriority w:val="0"/>
    <w:pPr>
      <w:numPr>
        <w:ilvl w:val="0"/>
        <w:numId w:val="17"/>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128">
    <w:name w:val="终结线"/>
    <w:basedOn w:val="1"/>
    <w:uiPriority w:val="0"/>
    <w:pPr>
      <w:framePr w:hSpace="181" w:vSpace="181" w:wrap="around" w:vAnchor="text" w:hAnchor="margin" w:xAlign="center" w:y="285"/>
    </w:pPr>
  </w:style>
  <w:style w:type="paragraph" w:customStyle="1" w:styleId="129">
    <w:name w:val="其他发布日期"/>
    <w:basedOn w:val="74"/>
    <w:uiPriority w:val="0"/>
    <w:pPr>
      <w:framePr w:vAnchor="page" w:hAnchor="page" w:x="1419"/>
    </w:pPr>
  </w:style>
  <w:style w:type="paragraph" w:customStyle="1" w:styleId="130">
    <w:name w:val="其他实施日期"/>
    <w:basedOn w:val="113"/>
    <w:uiPriority w:val="0"/>
  </w:style>
  <w:style w:type="paragraph" w:customStyle="1" w:styleId="131">
    <w:name w:val="封面标准名称2"/>
    <w:basedOn w:val="77"/>
    <w:uiPriority w:val="0"/>
    <w:pPr>
      <w:framePr w:y="4469"/>
      <w:spacing w:before="630"/>
    </w:pPr>
  </w:style>
  <w:style w:type="paragraph" w:customStyle="1" w:styleId="132">
    <w:name w:val="封面标准英文名称2"/>
    <w:basedOn w:val="78"/>
    <w:uiPriority w:val="0"/>
    <w:pPr>
      <w:framePr w:y="4469"/>
    </w:pPr>
  </w:style>
  <w:style w:type="paragraph" w:customStyle="1" w:styleId="133">
    <w:name w:val="封面一致性程度标识2"/>
    <w:basedOn w:val="79"/>
    <w:uiPriority w:val="0"/>
    <w:pPr>
      <w:framePr w:y="4469"/>
    </w:pPr>
  </w:style>
  <w:style w:type="paragraph" w:customStyle="1" w:styleId="134">
    <w:name w:val="封面标准文稿类别2"/>
    <w:basedOn w:val="80"/>
    <w:uiPriority w:val="0"/>
    <w:pPr>
      <w:framePr w:y="4469"/>
    </w:pPr>
  </w:style>
  <w:style w:type="paragraph" w:customStyle="1" w:styleId="135">
    <w:name w:val="封面标准文稿编辑信息2"/>
    <w:basedOn w:val="81"/>
    <w:uiPriority w:val="0"/>
    <w:pPr>
      <w:framePr w:y="4469"/>
    </w:p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image" Target="media/image2.wmf"/><Relationship Id="rId7" Type="http://schemas.openxmlformats.org/officeDocument/2006/relationships/image" Target="media/image1.w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wmf"/><Relationship Id="rId12" Type="http://schemas.openxmlformats.org/officeDocument/2006/relationships/image" Target="media/image6.wmf"/><Relationship Id="rId11" Type="http://schemas.openxmlformats.org/officeDocument/2006/relationships/image" Target="media/image5.wmf"/><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3429</Words>
  <Characters>3915</Characters>
  <Lines>0</Lines>
  <Paragraphs>0</Paragraphs>
  <TotalTime>3</TotalTime>
  <ScaleCrop>false</ScaleCrop>
  <LinksUpToDate>false</LinksUpToDate>
  <CharactersWithSpaces>4051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2026-08-26T09:52:10Z</dcterms:created>
  <dc:creator>燕子</dc:creator>
  <cp:lastModifiedBy>燕子</cp:lastModifiedBy>
  <dcterms:modified xsi:type="dcterms:W3CDTF">2026-08-26T09:55:43Z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eyJoZGlkIjoiMmFiMjJkMDg4ZDdmZTMyMzI2MGJiYzRiZWJiZDYyZDAiLCJ1c2VySWQiOiIxMTU5MzQzMDM3In0=</vt:lpwstr>
  </property>
  <property fmtid="{D5CDD505-2E9C-101B-9397-08002B2CF9AE}" pid="3" name="KSOProductBuildVer">
    <vt:lpwstr>2052-12.1.0.28043</vt:lpwstr>
  </property>
  <property fmtid="{D5CDD505-2E9C-101B-9397-08002B2CF9AE}" pid="4" name="ICV">
    <vt:lpwstr>60D46C7FDF16487F9C5C10EBC259CE49_12</vt:lpwstr>
  </property>
</Properties>
</file>