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黑体" w:hAnsi="黑体" w:eastAsia="黑体"/>
          <w:sz w:val="48"/>
          <w:szCs w:val="48"/>
          <w:highlight w:val="none"/>
        </w:rPr>
      </w:pPr>
      <w:r>
        <w:rPr>
          <w:rFonts w:hint="eastAsia" w:ascii="黑体" w:hAnsi="黑体" w:eastAsia="黑体"/>
          <w:sz w:val="48"/>
          <w:szCs w:val="48"/>
          <w:highlight w:val="none"/>
        </w:rPr>
        <w:t>《膳食营养补充剂通用要求》</w:t>
      </w:r>
    </w:p>
    <w:p>
      <w:pPr>
        <w:ind w:firstLine="0" w:firstLineChars="0"/>
        <w:jc w:val="center"/>
        <w:rPr>
          <w:rFonts w:hint="eastAsia" w:ascii="黑体" w:hAnsi="黑体" w:eastAsia="黑体"/>
          <w:sz w:val="48"/>
          <w:szCs w:val="48"/>
          <w:highlight w:val="none"/>
        </w:rPr>
      </w:pPr>
      <w:r>
        <w:rPr>
          <w:rFonts w:hint="eastAsia" w:ascii="黑体" w:hAnsi="黑体" w:eastAsia="黑体"/>
          <w:sz w:val="48"/>
          <w:szCs w:val="48"/>
          <w:highlight w:val="none"/>
        </w:rPr>
        <w:t>团体标准编制说明</w:t>
      </w:r>
    </w:p>
    <w:p>
      <w:pPr>
        <w:ind w:firstLine="640"/>
        <w:jc w:val="center"/>
        <w:rPr>
          <w:rFonts w:hint="eastAsia" w:ascii="黑体" w:hAnsi="黑体" w:eastAsia="黑体"/>
          <w:sz w:val="32"/>
          <w:szCs w:val="32"/>
          <w:highlight w:val="none"/>
        </w:rPr>
      </w:pPr>
    </w:p>
    <w:p>
      <w:pPr>
        <w:ind w:firstLine="640"/>
        <w:jc w:val="center"/>
        <w:rPr>
          <w:rFonts w:hint="eastAsia" w:ascii="黑体" w:hAnsi="黑体" w:eastAsia="黑体"/>
          <w:sz w:val="32"/>
          <w:szCs w:val="32"/>
          <w:highlight w:val="none"/>
        </w:rPr>
      </w:pPr>
    </w:p>
    <w:p>
      <w:pPr>
        <w:ind w:firstLine="640"/>
        <w:jc w:val="center"/>
        <w:rPr>
          <w:rFonts w:hint="eastAsia" w:ascii="黑体" w:hAnsi="黑体" w:eastAsia="黑体"/>
          <w:sz w:val="32"/>
          <w:szCs w:val="32"/>
          <w:highlight w:val="none"/>
        </w:rPr>
      </w:pPr>
    </w:p>
    <w:p>
      <w:pPr>
        <w:ind w:firstLine="640"/>
        <w:jc w:val="center"/>
        <w:rPr>
          <w:rFonts w:hint="eastAsia" w:ascii="黑体" w:hAnsi="黑体" w:eastAsia="黑体"/>
          <w:sz w:val="32"/>
          <w:szCs w:val="32"/>
          <w:highlight w:val="none"/>
        </w:rPr>
      </w:pPr>
    </w:p>
    <w:p>
      <w:pPr>
        <w:ind w:firstLine="640"/>
        <w:jc w:val="center"/>
        <w:rPr>
          <w:rFonts w:hint="eastAsia" w:ascii="黑体" w:hAnsi="黑体" w:eastAsia="黑体"/>
          <w:sz w:val="32"/>
          <w:szCs w:val="32"/>
          <w:highlight w:val="none"/>
        </w:rPr>
      </w:pPr>
    </w:p>
    <w:p>
      <w:pPr>
        <w:ind w:firstLine="640"/>
        <w:jc w:val="center"/>
        <w:rPr>
          <w:rFonts w:hint="eastAsia" w:ascii="黑体" w:hAnsi="黑体" w:eastAsia="黑体"/>
          <w:sz w:val="32"/>
          <w:szCs w:val="32"/>
          <w:highlight w:val="none"/>
        </w:rPr>
      </w:pPr>
    </w:p>
    <w:p>
      <w:pPr>
        <w:ind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中国医药保健品进出口商会</w:t>
      </w:r>
    </w:p>
    <w:p>
      <w:pPr>
        <w:ind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膳食营养补充剂专业委员会</w:t>
      </w:r>
    </w:p>
    <w:p>
      <w:pPr>
        <w:ind w:firstLine="640"/>
        <w:jc w:val="center"/>
        <w:rPr>
          <w:rFonts w:hint="eastAsia" w:ascii="黑体" w:hAnsi="黑体" w:eastAsia="黑体"/>
          <w:sz w:val="32"/>
          <w:szCs w:val="32"/>
          <w:highlight w:val="none"/>
        </w:rPr>
      </w:pPr>
      <w:r>
        <w:rPr>
          <w:rFonts w:hint="eastAsia" w:ascii="黑体" w:hAnsi="黑体" w:eastAsia="黑体"/>
          <w:sz w:val="32"/>
          <w:szCs w:val="32"/>
          <w:highlight w:val="none"/>
        </w:rPr>
        <w:t>2026年7月</w:t>
      </w:r>
      <w:r>
        <w:rPr>
          <w:rFonts w:hint="eastAsia" w:ascii="黑体" w:hAnsi="黑体" w:eastAsia="黑体"/>
          <w:sz w:val="32"/>
          <w:szCs w:val="32"/>
          <w:highlight w:val="none"/>
        </w:rPr>
        <w:br w:type="page"/>
      </w:r>
    </w:p>
    <w:p>
      <w:pPr>
        <w:pStyle w:val="15"/>
        <w:rPr>
          <w:sz w:val="36"/>
          <w:szCs w:val="36"/>
          <w:highlight w:val="none"/>
        </w:rPr>
      </w:pPr>
      <w:r>
        <w:rPr>
          <w:rFonts w:hint="eastAsia"/>
          <w:sz w:val="36"/>
          <w:szCs w:val="36"/>
          <w:highlight w:val="none"/>
        </w:rPr>
        <w:t>目录</w:t>
      </w:r>
    </w:p>
    <w:p>
      <w:pPr>
        <w:pStyle w:val="15"/>
        <w:rPr>
          <w:rFonts w:hint="eastAsia" w:asciiTheme="minorHAnsi" w:hAnsiTheme="minorHAnsi" w:eastAsiaTheme="minorEastAsia"/>
          <w:sz w:val="22"/>
          <w:highlight w:val="none"/>
        </w:rPr>
      </w:pPr>
      <w:r>
        <w:rPr>
          <w:rFonts w:hint="eastAsia" w:ascii="黑体" w:hAnsi="黑体" w:eastAsia="黑体"/>
          <w:sz w:val="32"/>
          <w:szCs w:val="32"/>
          <w:highlight w:val="none"/>
        </w:rPr>
        <w:fldChar w:fldCharType="begin"/>
      </w:r>
      <w:r>
        <w:rPr>
          <w:rFonts w:hint="eastAsia" w:ascii="黑体" w:hAnsi="黑体" w:eastAsia="黑体"/>
          <w:sz w:val="32"/>
          <w:szCs w:val="32"/>
          <w:highlight w:val="none"/>
        </w:rPr>
        <w:instrText xml:space="preserve"> TOC \o "1-3" \h \z \u </w:instrText>
      </w:r>
      <w:r>
        <w:rPr>
          <w:rFonts w:hint="eastAsia" w:ascii="黑体" w:hAnsi="黑体" w:eastAsia="黑体"/>
          <w:sz w:val="32"/>
          <w:szCs w:val="32"/>
          <w:highlight w:val="none"/>
        </w:rPr>
        <w:fldChar w:fldCharType="separate"/>
      </w:r>
      <w:r>
        <w:rPr>
          <w:highlight w:val="none"/>
        </w:rPr>
        <w:fldChar w:fldCharType="begin"/>
      </w:r>
      <w:r>
        <w:rPr>
          <w:highlight w:val="none"/>
        </w:rPr>
        <w:instrText xml:space="preserve"> HYPERLINK \l "_Toc234510474" </w:instrText>
      </w:r>
      <w:r>
        <w:rPr>
          <w:highlight w:val="none"/>
        </w:rPr>
        <w:fldChar w:fldCharType="separate"/>
      </w:r>
      <w:r>
        <w:rPr>
          <w:rStyle w:val="24"/>
          <w:rFonts w:hint="eastAsia"/>
          <w:highlight w:val="none"/>
        </w:rPr>
        <w:t>一、工作简况，包括任务来源、协作单位、主要工作过程、标准起草单位及人员</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_Toc234510474 \h</w:instrText>
      </w:r>
      <w:r>
        <w:rPr>
          <w:rFonts w:hint="eastAsia"/>
          <w:highlight w:val="none"/>
        </w:rPr>
        <w:instrText xml:space="preserve"> </w:instrText>
      </w:r>
      <w:r>
        <w:rPr>
          <w:rFonts w:hint="eastAsia"/>
          <w:highlight w:val="none"/>
        </w:rPr>
        <w:fldChar w:fldCharType="separate"/>
      </w:r>
      <w:r>
        <w:rPr>
          <w:highlight w:val="none"/>
        </w:rPr>
        <w:t>3</w:t>
      </w:r>
      <w:r>
        <w:rPr>
          <w:rFonts w:hint="eastAsia"/>
          <w:highlight w:val="none"/>
        </w:rPr>
        <w:fldChar w:fldCharType="end"/>
      </w:r>
      <w:r>
        <w:rPr>
          <w:rFonts w:hint="eastAsia"/>
          <w:highlight w:val="none"/>
        </w:rPr>
        <w:fldChar w:fldCharType="end"/>
      </w:r>
    </w:p>
    <w:p>
      <w:pPr>
        <w:pStyle w:val="17"/>
        <w:tabs>
          <w:tab w:val="right" w:leader="dot" w:pos="8296"/>
        </w:tabs>
        <w:ind w:firstLine="21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"_Toc234510475" </w:instrText>
      </w:r>
      <w:r>
        <w:rPr>
          <w:highlight w:val="none"/>
        </w:rPr>
        <w:fldChar w:fldCharType="separate"/>
      </w:r>
      <w:r>
        <w:rPr>
          <w:rStyle w:val="24"/>
          <w:rFonts w:hint="eastAsia"/>
          <w:highlight w:val="none"/>
        </w:rPr>
        <w:t>1、任务来源</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_Toc234510475 \h</w:instrText>
      </w:r>
      <w:r>
        <w:rPr>
          <w:rFonts w:hint="eastAsia"/>
          <w:highlight w:val="none"/>
        </w:rPr>
        <w:instrText xml:space="preserve"> </w:instrText>
      </w:r>
      <w:r>
        <w:rPr>
          <w:rFonts w:hint="eastAsia"/>
          <w:highlight w:val="none"/>
        </w:rPr>
        <w:fldChar w:fldCharType="separate"/>
      </w:r>
      <w:r>
        <w:rPr>
          <w:highlight w:val="none"/>
        </w:rPr>
        <w:t>3</w:t>
      </w:r>
      <w:r>
        <w:rPr>
          <w:rFonts w:hint="eastAsia"/>
          <w:highlight w:val="none"/>
        </w:rPr>
        <w:fldChar w:fldCharType="end"/>
      </w:r>
      <w:r>
        <w:rPr>
          <w:rFonts w:hint="eastAsia"/>
          <w:highlight w:val="none"/>
        </w:rPr>
        <w:fldChar w:fldCharType="end"/>
      </w:r>
    </w:p>
    <w:p>
      <w:pPr>
        <w:pStyle w:val="17"/>
        <w:tabs>
          <w:tab w:val="right" w:leader="dot" w:pos="8296"/>
        </w:tabs>
        <w:ind w:firstLine="21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"_Toc234510476" </w:instrText>
      </w:r>
      <w:r>
        <w:rPr>
          <w:highlight w:val="none"/>
        </w:rPr>
        <w:fldChar w:fldCharType="separate"/>
      </w:r>
      <w:r>
        <w:rPr>
          <w:rStyle w:val="24"/>
          <w:rFonts w:hint="eastAsia"/>
          <w:highlight w:val="none"/>
        </w:rPr>
        <w:t>2、标准起草目的及意义</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_Toc234510476 \h</w:instrText>
      </w:r>
      <w:r>
        <w:rPr>
          <w:rFonts w:hint="eastAsia"/>
          <w:highlight w:val="none"/>
        </w:rPr>
        <w:instrText xml:space="preserve"> </w:instrText>
      </w:r>
      <w:r>
        <w:rPr>
          <w:rFonts w:hint="eastAsia"/>
          <w:highlight w:val="none"/>
        </w:rPr>
        <w:fldChar w:fldCharType="separate"/>
      </w:r>
      <w:r>
        <w:rPr>
          <w:highlight w:val="none"/>
        </w:rPr>
        <w:t>3</w:t>
      </w:r>
      <w:r>
        <w:rPr>
          <w:rFonts w:hint="eastAsia"/>
          <w:highlight w:val="none"/>
        </w:rPr>
        <w:fldChar w:fldCharType="end"/>
      </w:r>
      <w:r>
        <w:rPr>
          <w:rFonts w:hint="eastAsia"/>
          <w:highlight w:val="none"/>
        </w:rPr>
        <w:fldChar w:fldCharType="end"/>
      </w:r>
    </w:p>
    <w:p>
      <w:pPr>
        <w:pStyle w:val="17"/>
        <w:tabs>
          <w:tab w:val="right" w:leader="dot" w:pos="8296"/>
        </w:tabs>
        <w:ind w:firstLine="21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"_Toc234510477" </w:instrText>
      </w:r>
      <w:r>
        <w:rPr>
          <w:highlight w:val="none"/>
        </w:rPr>
        <w:fldChar w:fldCharType="separate"/>
      </w:r>
      <w:r>
        <w:rPr>
          <w:rStyle w:val="24"/>
          <w:rFonts w:hint="eastAsia"/>
          <w:highlight w:val="none"/>
        </w:rPr>
        <w:t>3、国内外情况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_Toc234510477 \h</w:instrText>
      </w:r>
      <w:r>
        <w:rPr>
          <w:rFonts w:hint="eastAsia"/>
          <w:highlight w:val="none"/>
        </w:rPr>
        <w:instrText xml:space="preserve"> </w:instrText>
      </w:r>
      <w:r>
        <w:rPr>
          <w:rFonts w:hint="eastAsia"/>
          <w:highlight w:val="none"/>
        </w:rPr>
        <w:fldChar w:fldCharType="separate"/>
      </w:r>
      <w:r>
        <w:rPr>
          <w:highlight w:val="none"/>
        </w:rPr>
        <w:t>3</w:t>
      </w:r>
      <w:r>
        <w:rPr>
          <w:rFonts w:hint="eastAsia"/>
          <w:highlight w:val="none"/>
        </w:rPr>
        <w:fldChar w:fldCharType="end"/>
      </w:r>
      <w:r>
        <w:rPr>
          <w:rFonts w:hint="eastAsia"/>
          <w:highlight w:val="none"/>
        </w:rPr>
        <w:fldChar w:fldCharType="end"/>
      </w:r>
    </w:p>
    <w:p>
      <w:pPr>
        <w:pStyle w:val="17"/>
        <w:tabs>
          <w:tab w:val="right" w:leader="dot" w:pos="8296"/>
        </w:tabs>
        <w:ind w:firstLine="21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"_Toc234510478" </w:instrText>
      </w:r>
      <w:r>
        <w:rPr>
          <w:highlight w:val="none"/>
        </w:rPr>
        <w:fldChar w:fldCharType="separate"/>
      </w:r>
      <w:r>
        <w:rPr>
          <w:rStyle w:val="24"/>
          <w:rFonts w:hint="eastAsia"/>
          <w:highlight w:val="none"/>
        </w:rPr>
        <w:t>4、主要工作过程</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_Toc234510478 \h</w:instrText>
      </w:r>
      <w:r>
        <w:rPr>
          <w:rFonts w:hint="eastAsia"/>
          <w:highlight w:val="none"/>
        </w:rPr>
        <w:instrText xml:space="preserve"> </w:instrText>
      </w:r>
      <w:r>
        <w:rPr>
          <w:rFonts w:hint="eastAsia"/>
          <w:highlight w:val="none"/>
        </w:rPr>
        <w:fldChar w:fldCharType="separate"/>
      </w:r>
      <w:r>
        <w:rPr>
          <w:highlight w:val="none"/>
        </w:rPr>
        <w:t>5</w:t>
      </w:r>
      <w:r>
        <w:rPr>
          <w:rFonts w:hint="eastAsia"/>
          <w:highlight w:val="none"/>
        </w:rPr>
        <w:fldChar w:fldCharType="end"/>
      </w:r>
      <w:r>
        <w:rPr>
          <w:rFonts w:hint="eastAsia"/>
          <w:highlight w:val="none"/>
        </w:rPr>
        <w:fldChar w:fldCharType="end"/>
      </w:r>
    </w:p>
    <w:p>
      <w:pPr>
        <w:pStyle w:val="15"/>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"_Toc234510479" </w:instrText>
      </w:r>
      <w:r>
        <w:rPr>
          <w:highlight w:val="none"/>
        </w:rPr>
        <w:fldChar w:fldCharType="separate"/>
      </w:r>
      <w:r>
        <w:rPr>
          <w:rStyle w:val="24"/>
          <w:rFonts w:hint="eastAsia"/>
          <w:highlight w:val="none"/>
        </w:rPr>
        <w:t>二、标准编制原则和标准主要内容</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_Toc234510479 \h</w:instrText>
      </w:r>
      <w:r>
        <w:rPr>
          <w:rFonts w:hint="eastAsia"/>
          <w:highlight w:val="none"/>
        </w:rPr>
        <w:instrText xml:space="preserve"> </w:instrText>
      </w:r>
      <w:r>
        <w:rPr>
          <w:rFonts w:hint="eastAsia"/>
          <w:highlight w:val="none"/>
        </w:rPr>
        <w:fldChar w:fldCharType="separate"/>
      </w:r>
      <w:r>
        <w:rPr>
          <w:highlight w:val="none"/>
        </w:rPr>
        <w:t>6</w:t>
      </w:r>
      <w:r>
        <w:rPr>
          <w:rFonts w:hint="eastAsia"/>
          <w:highlight w:val="none"/>
        </w:rPr>
        <w:fldChar w:fldCharType="end"/>
      </w:r>
      <w:r>
        <w:rPr>
          <w:rFonts w:hint="eastAsia"/>
          <w:highlight w:val="none"/>
        </w:rPr>
        <w:fldChar w:fldCharType="end"/>
      </w:r>
    </w:p>
    <w:p>
      <w:pPr>
        <w:pStyle w:val="17"/>
        <w:tabs>
          <w:tab w:val="right" w:leader="dot" w:pos="8296"/>
        </w:tabs>
        <w:ind w:firstLine="21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"_Toc234510480" </w:instrText>
      </w:r>
      <w:r>
        <w:rPr>
          <w:highlight w:val="none"/>
        </w:rPr>
        <w:fldChar w:fldCharType="separate"/>
      </w:r>
      <w:r>
        <w:rPr>
          <w:rStyle w:val="24"/>
          <w:rFonts w:hint="eastAsia"/>
          <w:highlight w:val="none"/>
        </w:rPr>
        <w:t>1、标准编制原则</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_Toc234510480 \h</w:instrText>
      </w:r>
      <w:r>
        <w:rPr>
          <w:rFonts w:hint="eastAsia"/>
          <w:highlight w:val="none"/>
        </w:rPr>
        <w:instrText xml:space="preserve"> </w:instrText>
      </w:r>
      <w:r>
        <w:rPr>
          <w:rFonts w:hint="eastAsia"/>
          <w:highlight w:val="none"/>
        </w:rPr>
        <w:fldChar w:fldCharType="separate"/>
      </w:r>
      <w:r>
        <w:rPr>
          <w:highlight w:val="none"/>
        </w:rPr>
        <w:t>6</w:t>
      </w:r>
      <w:r>
        <w:rPr>
          <w:rFonts w:hint="eastAsia"/>
          <w:highlight w:val="none"/>
        </w:rPr>
        <w:fldChar w:fldCharType="end"/>
      </w:r>
      <w:r>
        <w:rPr>
          <w:rFonts w:hint="eastAsia"/>
          <w:highlight w:val="none"/>
        </w:rPr>
        <w:fldChar w:fldCharType="end"/>
      </w:r>
    </w:p>
    <w:p>
      <w:pPr>
        <w:pStyle w:val="17"/>
        <w:tabs>
          <w:tab w:val="right" w:leader="dot" w:pos="8296"/>
        </w:tabs>
        <w:ind w:firstLine="21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"_Toc234510481" </w:instrText>
      </w:r>
      <w:r>
        <w:rPr>
          <w:highlight w:val="none"/>
        </w:rPr>
        <w:fldChar w:fldCharType="separate"/>
      </w:r>
      <w:r>
        <w:rPr>
          <w:rStyle w:val="24"/>
          <w:rFonts w:hint="eastAsia"/>
          <w:highlight w:val="none"/>
        </w:rPr>
        <w:t>2、标准主要内容及确定依据</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_Toc234510481 \h</w:instrText>
      </w:r>
      <w:r>
        <w:rPr>
          <w:rFonts w:hint="eastAsia"/>
          <w:highlight w:val="none"/>
        </w:rPr>
        <w:instrText xml:space="preserve"> </w:instrText>
      </w:r>
      <w:r>
        <w:rPr>
          <w:rFonts w:hint="eastAsia"/>
          <w:highlight w:val="none"/>
        </w:rPr>
        <w:fldChar w:fldCharType="separate"/>
      </w:r>
      <w:r>
        <w:rPr>
          <w:highlight w:val="none"/>
        </w:rPr>
        <w:t>6</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"_Toc234510482" </w:instrText>
      </w:r>
      <w:r>
        <w:rPr>
          <w:highlight w:val="none"/>
        </w:rPr>
        <w:fldChar w:fldCharType="separate"/>
      </w:r>
      <w:r>
        <w:rPr>
          <w:rStyle w:val="24"/>
          <w:rFonts w:hint="eastAsia"/>
          <w:highlight w:val="none"/>
        </w:rPr>
        <w:t>1、关于“标准名称”的考虑</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_Toc234510482 \h</w:instrText>
      </w:r>
      <w:r>
        <w:rPr>
          <w:rFonts w:hint="eastAsia"/>
          <w:highlight w:val="none"/>
        </w:rPr>
        <w:instrText xml:space="preserve"> </w:instrText>
      </w:r>
      <w:r>
        <w:rPr>
          <w:rFonts w:hint="eastAsia"/>
          <w:highlight w:val="none"/>
        </w:rPr>
        <w:fldChar w:fldCharType="separate"/>
      </w:r>
      <w:r>
        <w:rPr>
          <w:highlight w:val="none"/>
        </w:rPr>
        <w:t>6</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"_Toc234510483" </w:instrText>
      </w:r>
      <w:r>
        <w:rPr>
          <w:highlight w:val="none"/>
        </w:rPr>
        <w:fldChar w:fldCharType="separate"/>
      </w:r>
      <w:r>
        <w:rPr>
          <w:rStyle w:val="24"/>
          <w:rFonts w:hint="eastAsia"/>
          <w:highlight w:val="none"/>
        </w:rPr>
        <w:t>2、标准文件体例确定</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_Toc234510483 \h</w:instrText>
      </w:r>
      <w:r>
        <w:rPr>
          <w:rFonts w:hint="eastAsia"/>
          <w:highlight w:val="none"/>
        </w:rPr>
        <w:instrText xml:space="preserve"> </w:instrText>
      </w:r>
      <w:r>
        <w:rPr>
          <w:rFonts w:hint="eastAsia"/>
          <w:highlight w:val="none"/>
        </w:rPr>
        <w:fldChar w:fldCharType="separate"/>
      </w:r>
      <w:r>
        <w:rPr>
          <w:highlight w:val="none"/>
        </w:rPr>
        <w:t>7</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"_Toc234510484" </w:instrText>
      </w:r>
      <w:r>
        <w:rPr>
          <w:highlight w:val="none"/>
        </w:rPr>
        <w:fldChar w:fldCharType="separate"/>
      </w:r>
      <w:r>
        <w:rPr>
          <w:rStyle w:val="24"/>
          <w:rFonts w:hint="eastAsia"/>
          <w:highlight w:val="none"/>
        </w:rPr>
        <w:t>3、术语和定义</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_Toc234510484 \h</w:instrText>
      </w:r>
      <w:r>
        <w:rPr>
          <w:rFonts w:hint="eastAsia"/>
          <w:highlight w:val="none"/>
        </w:rPr>
        <w:instrText xml:space="preserve"> </w:instrText>
      </w:r>
      <w:r>
        <w:rPr>
          <w:rFonts w:hint="eastAsia"/>
          <w:highlight w:val="none"/>
        </w:rPr>
        <w:fldChar w:fldCharType="separate"/>
      </w:r>
      <w:r>
        <w:rPr>
          <w:highlight w:val="none"/>
        </w:rPr>
        <w:t>8</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"_Toc234510485" </w:instrText>
      </w:r>
      <w:r>
        <w:rPr>
          <w:highlight w:val="none"/>
        </w:rPr>
        <w:fldChar w:fldCharType="separate"/>
      </w:r>
      <w:r>
        <w:rPr>
          <w:rStyle w:val="24"/>
          <w:rFonts w:hint="eastAsia"/>
          <w:highlight w:val="none"/>
        </w:rPr>
        <w:t>4、分类</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_Toc234510485 \h</w:instrText>
      </w:r>
      <w:r>
        <w:rPr>
          <w:rFonts w:hint="eastAsia"/>
          <w:highlight w:val="none"/>
        </w:rPr>
        <w:instrText xml:space="preserve"> </w:instrText>
      </w:r>
      <w:r>
        <w:rPr>
          <w:rFonts w:hint="eastAsia"/>
          <w:highlight w:val="none"/>
        </w:rPr>
        <w:fldChar w:fldCharType="separate"/>
      </w:r>
      <w:r>
        <w:rPr>
          <w:highlight w:val="none"/>
        </w:rPr>
        <w:t>10</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"_Toc234510486" </w:instrText>
      </w:r>
      <w:r>
        <w:rPr>
          <w:highlight w:val="none"/>
        </w:rPr>
        <w:fldChar w:fldCharType="separate"/>
      </w:r>
      <w:r>
        <w:rPr>
          <w:rStyle w:val="24"/>
          <w:rFonts w:hint="eastAsia"/>
          <w:highlight w:val="none"/>
        </w:rPr>
        <w:t>5、技术要求</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_Toc234510486 \h</w:instrText>
      </w:r>
      <w:r>
        <w:rPr>
          <w:rFonts w:hint="eastAsia"/>
          <w:highlight w:val="none"/>
        </w:rPr>
        <w:instrText xml:space="preserve"> </w:instrText>
      </w:r>
      <w:r>
        <w:rPr>
          <w:rFonts w:hint="eastAsia"/>
          <w:highlight w:val="none"/>
        </w:rPr>
        <w:fldChar w:fldCharType="separate"/>
      </w:r>
      <w:r>
        <w:rPr>
          <w:highlight w:val="none"/>
        </w:rPr>
        <w:t>11</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"_Toc234510487" </w:instrText>
      </w:r>
      <w:r>
        <w:rPr>
          <w:highlight w:val="none"/>
        </w:rPr>
        <w:fldChar w:fldCharType="separate"/>
      </w:r>
      <w:r>
        <w:rPr>
          <w:rStyle w:val="24"/>
          <w:rFonts w:hint="eastAsia"/>
          <w:highlight w:val="none"/>
        </w:rPr>
        <w:t>6、原辅料要求</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_Toc234510487 \h</w:instrText>
      </w:r>
      <w:r>
        <w:rPr>
          <w:rFonts w:hint="eastAsia"/>
          <w:highlight w:val="none"/>
        </w:rPr>
        <w:instrText xml:space="preserve"> </w:instrText>
      </w:r>
      <w:r>
        <w:rPr>
          <w:rFonts w:hint="eastAsia"/>
          <w:highlight w:val="none"/>
        </w:rPr>
        <w:fldChar w:fldCharType="separate"/>
      </w:r>
      <w:r>
        <w:rPr>
          <w:highlight w:val="none"/>
        </w:rPr>
        <w:t>11</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"_Toc234510488" </w:instrText>
      </w:r>
      <w:r>
        <w:rPr>
          <w:highlight w:val="none"/>
        </w:rPr>
        <w:fldChar w:fldCharType="separate"/>
      </w:r>
      <w:r>
        <w:rPr>
          <w:rStyle w:val="24"/>
          <w:rFonts w:hint="eastAsia"/>
          <w:highlight w:val="none"/>
        </w:rPr>
        <w:t>7、产品研发</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_Toc234510488 \h</w:instrText>
      </w:r>
      <w:r>
        <w:rPr>
          <w:rFonts w:hint="eastAsia"/>
          <w:highlight w:val="none"/>
        </w:rPr>
        <w:instrText xml:space="preserve"> </w:instrText>
      </w:r>
      <w:r>
        <w:rPr>
          <w:rFonts w:hint="eastAsia"/>
          <w:highlight w:val="none"/>
        </w:rPr>
        <w:fldChar w:fldCharType="separate"/>
      </w:r>
      <w:r>
        <w:rPr>
          <w:highlight w:val="none"/>
        </w:rPr>
        <w:t>12</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"_Toc234510489" </w:instrText>
      </w:r>
      <w:r>
        <w:rPr>
          <w:highlight w:val="none"/>
        </w:rPr>
        <w:fldChar w:fldCharType="separate"/>
      </w:r>
      <w:r>
        <w:rPr>
          <w:rStyle w:val="24"/>
          <w:rFonts w:hint="eastAsia"/>
          <w:highlight w:val="none"/>
        </w:rPr>
        <w:t>8、产品质量要求</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_Toc234510489 \h</w:instrText>
      </w:r>
      <w:r>
        <w:rPr>
          <w:rFonts w:hint="eastAsia"/>
          <w:highlight w:val="none"/>
        </w:rPr>
        <w:instrText xml:space="preserve"> </w:instrText>
      </w:r>
      <w:r>
        <w:rPr>
          <w:rFonts w:hint="eastAsia"/>
          <w:highlight w:val="none"/>
        </w:rPr>
        <w:fldChar w:fldCharType="separate"/>
      </w:r>
      <w:r>
        <w:rPr>
          <w:highlight w:val="none"/>
        </w:rPr>
        <w:t>12</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"_Toc234510490" </w:instrText>
      </w:r>
      <w:r>
        <w:rPr>
          <w:highlight w:val="none"/>
        </w:rPr>
        <w:fldChar w:fldCharType="separate"/>
      </w:r>
      <w:r>
        <w:rPr>
          <w:rStyle w:val="24"/>
          <w:rFonts w:hint="eastAsia"/>
          <w:highlight w:val="none"/>
        </w:rPr>
        <w:t>9、生产过程要求</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_Toc234510490 \h</w:instrText>
      </w:r>
      <w:r>
        <w:rPr>
          <w:rFonts w:hint="eastAsia"/>
          <w:highlight w:val="none"/>
        </w:rPr>
        <w:instrText xml:space="preserve"> </w:instrText>
      </w:r>
      <w:r>
        <w:rPr>
          <w:rFonts w:hint="eastAsia"/>
          <w:highlight w:val="none"/>
        </w:rPr>
        <w:fldChar w:fldCharType="separate"/>
      </w:r>
      <w:r>
        <w:rPr>
          <w:highlight w:val="none"/>
        </w:rPr>
        <w:t>12</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"_Toc234510491" </w:instrText>
      </w:r>
      <w:r>
        <w:rPr>
          <w:highlight w:val="none"/>
        </w:rPr>
        <w:fldChar w:fldCharType="separate"/>
      </w:r>
      <w:r>
        <w:rPr>
          <w:rStyle w:val="24"/>
          <w:rFonts w:hint="eastAsia"/>
          <w:highlight w:val="none"/>
        </w:rPr>
        <w:t>10、标识、包装、运输、贮存</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_Toc234510491 \h</w:instrText>
      </w:r>
      <w:r>
        <w:rPr>
          <w:rFonts w:hint="eastAsia"/>
          <w:highlight w:val="none"/>
        </w:rPr>
        <w:instrText xml:space="preserve"> </w:instrText>
      </w:r>
      <w:r>
        <w:rPr>
          <w:rFonts w:hint="eastAsia"/>
          <w:highlight w:val="none"/>
        </w:rPr>
        <w:fldChar w:fldCharType="separate"/>
      </w:r>
      <w:r>
        <w:rPr>
          <w:highlight w:val="none"/>
        </w:rPr>
        <w:t>12</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"_Toc234510492" </w:instrText>
      </w:r>
      <w:r>
        <w:rPr>
          <w:highlight w:val="none"/>
        </w:rPr>
        <w:fldChar w:fldCharType="separate"/>
      </w:r>
      <w:r>
        <w:rPr>
          <w:rStyle w:val="24"/>
          <w:rFonts w:hint="eastAsia"/>
          <w:highlight w:val="none"/>
        </w:rPr>
        <w:t>11、追溯</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_Toc234510492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"_Toc234510493" </w:instrText>
      </w:r>
      <w:r>
        <w:rPr>
          <w:highlight w:val="none"/>
        </w:rPr>
        <w:fldChar w:fldCharType="separate"/>
      </w:r>
      <w:r>
        <w:rPr>
          <w:rStyle w:val="24"/>
          <w:rFonts w:hint="eastAsia"/>
          <w:highlight w:val="none"/>
        </w:rPr>
        <w:t>12、产品信息展示与宣传</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_Toc234510493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2"/>
        <w:tabs>
          <w:tab w:val="right" w:leader="dot" w:pos="8296"/>
        </w:tabs>
        <w:ind w:firstLine="420"/>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"_Toc234510494" </w:instrText>
      </w:r>
      <w:r>
        <w:rPr>
          <w:highlight w:val="none"/>
        </w:rPr>
        <w:fldChar w:fldCharType="separate"/>
      </w:r>
      <w:r>
        <w:rPr>
          <w:rStyle w:val="24"/>
          <w:rFonts w:hint="eastAsia"/>
          <w:highlight w:val="none"/>
        </w:rPr>
        <w:t>13、其他</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_Toc234510494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5"/>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"_Toc234510495" </w:instrText>
      </w:r>
      <w:r>
        <w:rPr>
          <w:highlight w:val="none"/>
        </w:rPr>
        <w:fldChar w:fldCharType="separate"/>
      </w:r>
      <w:r>
        <w:rPr>
          <w:rStyle w:val="24"/>
          <w:rFonts w:hint="eastAsia"/>
          <w:highlight w:val="none"/>
        </w:rPr>
        <w:t>三、采用国际标准和国外先进标准的程度，以及与国际同类标准的对比情况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_Toc234510495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5"/>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"_Toc234510496" </w:instrText>
      </w:r>
      <w:r>
        <w:rPr>
          <w:highlight w:val="none"/>
        </w:rPr>
        <w:fldChar w:fldCharType="separate"/>
      </w:r>
      <w:r>
        <w:rPr>
          <w:rStyle w:val="24"/>
          <w:rFonts w:hint="eastAsia"/>
          <w:highlight w:val="none"/>
        </w:rPr>
        <w:t>四、与现行法律、法规和强制性标准的关系</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_Toc234510496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5"/>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"_Toc234510497" </w:instrText>
      </w:r>
      <w:r>
        <w:rPr>
          <w:highlight w:val="none"/>
        </w:rPr>
        <w:fldChar w:fldCharType="separate"/>
      </w:r>
      <w:r>
        <w:rPr>
          <w:rStyle w:val="24"/>
          <w:rFonts w:hint="eastAsia"/>
          <w:highlight w:val="none"/>
        </w:rPr>
        <w:t>五、重大分歧意见的处理经过和依据</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_Toc234510497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5"/>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"_Toc234510498" </w:instrText>
      </w:r>
      <w:r>
        <w:rPr>
          <w:highlight w:val="none"/>
        </w:rPr>
        <w:fldChar w:fldCharType="separate"/>
      </w:r>
      <w:r>
        <w:rPr>
          <w:rStyle w:val="24"/>
          <w:rFonts w:hint="eastAsia"/>
          <w:highlight w:val="none"/>
        </w:rPr>
        <w:t>六、作为强制性标准或推荐性标准的建议</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_Toc234510498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5"/>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"_Toc234510499" </w:instrText>
      </w:r>
      <w:r>
        <w:rPr>
          <w:highlight w:val="none"/>
        </w:rPr>
        <w:fldChar w:fldCharType="separate"/>
      </w:r>
      <w:r>
        <w:rPr>
          <w:rStyle w:val="24"/>
          <w:rFonts w:hint="eastAsia"/>
          <w:highlight w:val="none"/>
        </w:rPr>
        <w:t>七、贯彻标准的要求和措施建议（包括组织措施、技术措施、过渡办法、实施日期等）</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_Toc234510499 \h</w:instrText>
      </w:r>
      <w:r>
        <w:rPr>
          <w:rFonts w:hint="eastAsia"/>
          <w:highlight w:val="none"/>
        </w:rPr>
        <w:instrText xml:space="preserve"> </w:instrText>
      </w:r>
      <w:r>
        <w:rPr>
          <w:rFonts w:hint="eastAsia"/>
          <w:highlight w:val="none"/>
        </w:rPr>
        <w:fldChar w:fldCharType="separate"/>
      </w:r>
      <w:r>
        <w:rPr>
          <w:highlight w:val="none"/>
        </w:rPr>
        <w:t>13</w:t>
      </w:r>
      <w:r>
        <w:rPr>
          <w:rFonts w:hint="eastAsia"/>
          <w:highlight w:val="none"/>
        </w:rPr>
        <w:fldChar w:fldCharType="end"/>
      </w:r>
      <w:r>
        <w:rPr>
          <w:rFonts w:hint="eastAsia"/>
          <w:highlight w:val="none"/>
        </w:rPr>
        <w:fldChar w:fldCharType="end"/>
      </w:r>
    </w:p>
    <w:p>
      <w:pPr>
        <w:pStyle w:val="15"/>
        <w:rPr>
          <w:rFonts w:hint="eastAsia" w:asciiTheme="minorHAnsi" w:hAnsiTheme="minorHAnsi" w:eastAsiaTheme="minorEastAsia"/>
          <w:sz w:val="22"/>
          <w:highlight w:val="none"/>
        </w:rPr>
      </w:pPr>
      <w:r>
        <w:rPr>
          <w:highlight w:val="none"/>
        </w:rPr>
        <w:fldChar w:fldCharType="begin"/>
      </w:r>
      <w:r>
        <w:rPr>
          <w:highlight w:val="none"/>
        </w:rPr>
        <w:instrText xml:space="preserve"> HYPERLINK \l "_Toc234510500" </w:instrText>
      </w:r>
      <w:r>
        <w:rPr>
          <w:highlight w:val="none"/>
        </w:rPr>
        <w:fldChar w:fldCharType="separate"/>
      </w:r>
      <w:r>
        <w:rPr>
          <w:rStyle w:val="24"/>
          <w:rFonts w:hint="eastAsia"/>
          <w:highlight w:val="none"/>
        </w:rPr>
        <w:t>八、其他需要说明的事项</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_Toc234510500 \h</w:instrText>
      </w:r>
      <w:r>
        <w:rPr>
          <w:rFonts w:hint="eastAsia"/>
          <w:highlight w:val="none"/>
        </w:rPr>
        <w:instrText xml:space="preserve"> </w:instrText>
      </w:r>
      <w:r>
        <w:rPr>
          <w:rFonts w:hint="eastAsia"/>
          <w:highlight w:val="none"/>
        </w:rPr>
        <w:fldChar w:fldCharType="separate"/>
      </w:r>
      <w:r>
        <w:rPr>
          <w:highlight w:val="none"/>
        </w:rPr>
        <w:t>14</w:t>
      </w:r>
      <w:r>
        <w:rPr>
          <w:rFonts w:hint="eastAsia"/>
          <w:highlight w:val="none"/>
        </w:rPr>
        <w:fldChar w:fldCharType="end"/>
      </w:r>
      <w:r>
        <w:rPr>
          <w:rFonts w:hint="eastAsia"/>
          <w:highlight w:val="none"/>
        </w:rPr>
        <w:fldChar w:fldCharType="end"/>
      </w:r>
    </w:p>
    <w:p>
      <w:pPr>
        <w:ind w:firstLine="640"/>
        <w:jc w:val="center"/>
        <w:rPr>
          <w:rFonts w:hint="eastAsia" w:ascii="黑体" w:hAnsi="黑体" w:eastAsia="黑体"/>
          <w:sz w:val="32"/>
          <w:szCs w:val="32"/>
          <w:highlight w:val="none"/>
        </w:rPr>
      </w:pPr>
      <w:r>
        <w:rPr>
          <w:rFonts w:hint="eastAsia" w:ascii="黑体" w:hAnsi="黑体" w:eastAsia="黑体"/>
          <w:sz w:val="32"/>
          <w:szCs w:val="32"/>
          <w:highlight w:val="none"/>
        </w:rPr>
        <w:fldChar w:fldCharType="end"/>
      </w:r>
      <w:r>
        <w:rPr>
          <w:rFonts w:hint="eastAsia" w:ascii="黑体" w:hAnsi="黑体" w:eastAsia="黑体"/>
          <w:sz w:val="32"/>
          <w:szCs w:val="32"/>
          <w:highlight w:val="none"/>
        </w:rPr>
        <w:br w:type="page"/>
      </w:r>
    </w:p>
    <w:p>
      <w:pPr>
        <w:pStyle w:val="2"/>
        <w:ind w:firstLine="560"/>
        <w:rPr>
          <w:highlight w:val="none"/>
        </w:rPr>
      </w:pPr>
      <w:bookmarkStart w:id="0" w:name="_Toc234510474"/>
      <w:r>
        <w:rPr>
          <w:rFonts w:hint="eastAsia"/>
          <w:highlight w:val="none"/>
        </w:rPr>
        <w:t>一、工作简况，包括任务来源、协作单位、主要工作过程、标准起草单位及人员</w:t>
      </w:r>
      <w:bookmarkEnd w:id="0"/>
    </w:p>
    <w:p>
      <w:pPr>
        <w:pStyle w:val="3"/>
        <w:ind w:firstLine="480"/>
        <w:rPr>
          <w:highlight w:val="none"/>
        </w:rPr>
      </w:pPr>
      <w:bookmarkStart w:id="1" w:name="_Toc234510475"/>
      <w:r>
        <w:rPr>
          <w:rFonts w:hint="eastAsia"/>
          <w:highlight w:val="none"/>
        </w:rPr>
        <w:t>1、任务来源</w:t>
      </w:r>
      <w:bookmarkEnd w:id="1"/>
    </w:p>
    <w:p>
      <w:pPr>
        <w:ind w:firstLine="420"/>
        <w:rPr>
          <w:highlight w:val="none"/>
        </w:rPr>
      </w:pPr>
      <w:r>
        <w:rPr>
          <w:rFonts w:hint="eastAsia"/>
          <w:highlight w:val="none"/>
        </w:rPr>
        <w:t xml:space="preserve">  </w:t>
      </w:r>
      <w:r>
        <w:rPr>
          <w:highlight w:val="none"/>
        </w:rPr>
        <w:t>《</w:t>
      </w:r>
      <w:r>
        <w:rPr>
          <w:rFonts w:hint="eastAsia"/>
          <w:highlight w:val="none"/>
        </w:rPr>
        <w:t>膳食营养补充剂通用要求</w:t>
      </w:r>
      <w:r>
        <w:rPr>
          <w:highlight w:val="none"/>
        </w:rPr>
        <w:t>》团体标准于202</w:t>
      </w:r>
      <w:r>
        <w:rPr>
          <w:rFonts w:hint="eastAsia"/>
          <w:highlight w:val="none"/>
        </w:rPr>
        <w:t>5</w:t>
      </w:r>
      <w:r>
        <w:rPr>
          <w:highlight w:val="none"/>
        </w:rPr>
        <w:t>年</w:t>
      </w:r>
      <w:r>
        <w:rPr>
          <w:rFonts w:hint="eastAsia"/>
          <w:highlight w:val="none"/>
        </w:rPr>
        <w:t>11</w:t>
      </w:r>
      <w:r>
        <w:rPr>
          <w:highlight w:val="none"/>
        </w:rPr>
        <w:t>月由</w:t>
      </w:r>
      <w:r>
        <w:rPr>
          <w:rFonts w:hint="eastAsia"/>
          <w:highlight w:val="none"/>
        </w:rPr>
        <w:t>中国医药保健品进出口商会</w:t>
      </w:r>
      <w:r>
        <w:rPr>
          <w:highlight w:val="none"/>
        </w:rPr>
        <w:t>立项，牵头单位为</w:t>
      </w:r>
      <w:r>
        <w:rPr>
          <w:rFonts w:hint="eastAsia"/>
          <w:highlight w:val="none"/>
        </w:rPr>
        <w:t>中国医药保健品进出口商会膳食营养补充剂专业委员会</w:t>
      </w:r>
      <w:r>
        <w:rPr>
          <w:highlight w:val="none"/>
        </w:rPr>
        <w:t>。该标准规定了</w:t>
      </w:r>
      <w:r>
        <w:rPr>
          <w:rFonts w:hint="eastAsia"/>
          <w:highlight w:val="none"/>
        </w:rPr>
        <w:t>膳食营养补充剂的术语和定义、分类、基本要求、原辅料要求、产品研发、产品质量要求、生</w:t>
      </w:r>
      <w:r>
        <w:rPr>
          <w:rFonts w:hint="eastAsia"/>
          <w:highlight w:val="none"/>
        </w:rPr>
        <w:t>产过程要求、标识、包装、运输、储存、追溯、产品信息展示与宣传等方面要求。适用于膳食营养补充剂的科研、经营、贸易及其他有关领域</w:t>
      </w:r>
      <w:r>
        <w:rPr>
          <w:highlight w:val="none"/>
        </w:rPr>
        <w:t>。</w:t>
      </w:r>
    </w:p>
    <w:p>
      <w:pPr>
        <w:ind w:firstLine="420"/>
        <w:rPr>
          <w:highlight w:val="none"/>
        </w:rPr>
      </w:pPr>
      <w:r>
        <w:rPr>
          <w:highlight w:val="none"/>
        </w:rPr>
        <w:t>本标准由</w:t>
      </w:r>
      <w:r>
        <w:rPr>
          <w:rFonts w:hint="eastAsia"/>
          <w:highlight w:val="none"/>
        </w:rPr>
        <w:t>中国医药保健品进出口商会膳食营养补充剂专业委员会、汤臣倍健股份有限公司、佳岁（上海）贸易有限公司、拜耳医药保健有限公司、联合利华（中国）投资有限公司、广州若羽臣科技股份有限公司、</w:t>
      </w:r>
      <w:r>
        <w:rPr>
          <w:highlight w:val="none"/>
        </w:rPr>
        <w:t>上海城建职业学院</w:t>
      </w:r>
      <w:r>
        <w:rPr>
          <w:rFonts w:hint="eastAsia"/>
          <w:highlight w:val="none"/>
        </w:rPr>
        <w:t>、赫力昂（中国）有限公司、美药典标准研发技术服务（上海）有限公司</w:t>
      </w:r>
      <w:r>
        <w:rPr>
          <w:highlight w:val="none"/>
        </w:rPr>
        <w:t>等单位共同起草。</w:t>
      </w:r>
    </w:p>
    <w:p>
      <w:pPr>
        <w:ind w:firstLine="420"/>
        <w:rPr>
          <w:highlight w:val="none"/>
        </w:rPr>
      </w:pPr>
      <w:r>
        <w:rPr>
          <w:highlight w:val="none"/>
        </w:rPr>
        <w:t>本标准主要起草人有：XXX等。</w:t>
      </w:r>
    </w:p>
    <w:p>
      <w:pPr>
        <w:pStyle w:val="3"/>
        <w:ind w:firstLine="480"/>
        <w:rPr>
          <w:highlight w:val="none"/>
        </w:rPr>
      </w:pPr>
      <w:bookmarkStart w:id="2" w:name="_Toc234510476"/>
      <w:r>
        <w:rPr>
          <w:rFonts w:hint="eastAsia"/>
          <w:highlight w:val="none"/>
        </w:rPr>
        <w:t>2、标准起草目的及意义</w:t>
      </w:r>
      <w:bookmarkEnd w:id="2"/>
    </w:p>
    <w:p>
      <w:pPr>
        <w:ind w:firstLine="420"/>
        <w:rPr>
          <w:highlight w:val="none"/>
        </w:rPr>
      </w:pPr>
      <w:r>
        <w:rPr>
          <w:rFonts w:hint="eastAsia"/>
          <w:highlight w:val="none"/>
        </w:rPr>
        <w:t>1、明确膳食营养补充剂概念和范围，促进产业交流和国际交流</w:t>
      </w:r>
    </w:p>
    <w:p>
      <w:pPr>
        <w:ind w:firstLine="420"/>
        <w:rPr>
          <w:highlight w:val="none"/>
        </w:rPr>
      </w:pPr>
      <w:r>
        <w:rPr>
          <w:rFonts w:hint="eastAsia"/>
          <w:highlight w:val="none"/>
        </w:rPr>
        <w:t xml:space="preserve">随着居民生活水平提升与国民健康意识增强，膳食营养补充剂市场需求稳步增长。目前，膳食营养补充剂行业存在“产品范围界定不清晰 、产品质量水平不一”的问题。当前中国市场中具备补充营养功能的产品包括保健食品、运动营养食品、营养强化食品等。这些产品部分归属于特殊食品范畴，部分被纳入普通食品管理。国外膳食营养补充剂涵盖膳食补充剂（美国）、食品补充剂（欧盟）、登记补充药品（澳洲）、特定保健用食品/功能性标示食品/营养机能食品（日本）等，各产品适用的法规标准各不相同。膳食营养补充剂因范围很宽，产品多样，管理要求多样，目前没有明确膳食营养补充剂范围以及基本要求，产业界的交流沟通存在诸多理解不一致的情况，比如定义、涵盖的范围等。本标准将首次在标准中界定膳食营养补充剂的概念。 </w:t>
      </w:r>
    </w:p>
    <w:p>
      <w:pPr>
        <w:ind w:firstLine="420"/>
        <w:rPr>
          <w:highlight w:val="none"/>
        </w:rPr>
      </w:pPr>
      <w:r>
        <w:rPr>
          <w:rFonts w:hint="eastAsia"/>
          <w:highlight w:val="none"/>
        </w:rPr>
        <w:t>2、提升产品质量，促进产业升级</w:t>
      </w:r>
    </w:p>
    <w:p>
      <w:pPr>
        <w:ind w:firstLine="420"/>
        <w:rPr>
          <w:highlight w:val="none"/>
        </w:rPr>
      </w:pPr>
      <w:r>
        <w:rPr>
          <w:rFonts w:hint="eastAsia"/>
          <w:highlight w:val="none"/>
        </w:rPr>
        <w:t>针对进出口贸易中膳食营养补充剂产品，适用的法规标准各不相同，建立统一的原则性要求，特别是提升产品质量的要求，能够引导膳食营养补充剂生产企业将发展重心转向产品质量提升与技术创新，加大在研发投入、生产过程控制和工艺改进等方面的资源配置。规范和引导良好的市场秩序。这不仅有助于消费者科学合理地选择产品，还能促进国内外膳食营养补充剂产品的正常流通与贸易，推动形成公平、有序的市场竞争环境。</w:t>
      </w:r>
    </w:p>
    <w:p>
      <w:pPr>
        <w:ind w:firstLine="420"/>
        <w:rPr>
          <w:highlight w:val="none"/>
        </w:rPr>
      </w:pPr>
      <w:r>
        <w:rPr>
          <w:rFonts w:hint="eastAsia"/>
          <w:highlight w:val="none"/>
        </w:rPr>
        <w:t>3、促进进出口贸易发展</w:t>
      </w:r>
    </w:p>
    <w:p>
      <w:pPr>
        <w:ind w:firstLine="420"/>
        <w:rPr>
          <w:highlight w:val="none"/>
        </w:rPr>
      </w:pPr>
      <w:r>
        <w:rPr>
          <w:rFonts w:hint="eastAsia"/>
          <w:highlight w:val="none"/>
        </w:rPr>
        <w:t>全球膳食营养补充剂市场呈现多元化发展格局，我国在贸易中缺乏统一、清晰且与国际接轨的产品标准，出口产品常面临 "身份认证困难"。制定膳食营养补充剂通用要求团体标准，构建统一的原则要求，制定膳食营养补充剂产品的技术框架，规范膳食营养补充剂产品要求，提升产品质量信任，推动国际互认机制，推动双边或多边贸易互认，促进国际贸易发展。</w:t>
      </w:r>
    </w:p>
    <w:p>
      <w:pPr>
        <w:ind w:firstLine="420"/>
        <w:rPr>
          <w:highlight w:val="none"/>
        </w:rPr>
      </w:pPr>
      <w:r>
        <w:rPr>
          <w:rFonts w:hint="eastAsia"/>
          <w:highlight w:val="none"/>
        </w:rPr>
        <w:t>4、为膳食营养补充剂领域标准建设提供参考及框架。</w:t>
      </w:r>
    </w:p>
    <w:p>
      <w:pPr>
        <w:ind w:firstLine="420"/>
        <w:rPr>
          <w:highlight w:val="none"/>
        </w:rPr>
      </w:pPr>
      <w:r>
        <w:rPr>
          <w:rFonts w:hint="eastAsia"/>
          <w:highlight w:val="none"/>
        </w:rPr>
        <w:t>当前膳食营养补充剂领域缺乏统一的通用框架，以指导本领域标准建设。本标准立项后，将明确领域内核心定义、范围和基础要求，为未来本领域标准（如生产规范类）的制定提供顶层设计参考。</w:t>
      </w:r>
    </w:p>
    <w:p>
      <w:pPr>
        <w:pStyle w:val="3"/>
        <w:ind w:firstLine="480"/>
        <w:rPr>
          <w:highlight w:val="none"/>
        </w:rPr>
      </w:pPr>
      <w:bookmarkStart w:id="3" w:name="_Toc234510477"/>
      <w:r>
        <w:rPr>
          <w:rFonts w:hint="eastAsia"/>
          <w:highlight w:val="none"/>
        </w:rPr>
        <w:t>3、国内外情况</w:t>
      </w:r>
      <w:bookmarkEnd w:id="3"/>
    </w:p>
    <w:p>
      <w:pPr>
        <w:ind w:firstLine="420"/>
        <w:rPr>
          <w:highlight w:val="none"/>
        </w:rPr>
      </w:pPr>
      <w:r>
        <w:rPr>
          <w:rFonts w:hint="eastAsia"/>
          <w:highlight w:val="none"/>
        </w:rPr>
        <w:t>智研咨询数据显示，2025年中国膳食营养补充剂行业市场规模约 3123.8 亿元，年复合增长率（CAGR）：8.65%。</w:t>
      </w:r>
      <w:r>
        <w:rPr>
          <w:highlight w:val="none"/>
        </w:rPr>
        <w:t>与此同时，国家政策大力支持健康产业发展，2025 年中共中央办公厅、国务院办公厅印发的《提振消费专项行动方案》明确提出 “支持新型消费加快发展，开展健康消费专项行动”，叠加银发经济蓬勃发展，进一步推动营养健康食品市场规模增长。</w:t>
      </w:r>
    </w:p>
    <w:p>
      <w:pPr>
        <w:ind w:firstLine="420"/>
        <w:rPr>
          <w:highlight w:val="none"/>
        </w:rPr>
      </w:pPr>
      <w:r>
        <w:rPr>
          <w:highlight w:val="none"/>
        </w:rPr>
        <w:t>1.美国</w:t>
      </w:r>
    </w:p>
    <w:p>
      <w:pPr>
        <w:ind w:firstLine="420"/>
        <w:jc w:val="both"/>
        <w:rPr>
          <w:highlight w:val="none"/>
        </w:rPr>
      </w:pPr>
      <w:r>
        <w:rPr>
          <w:rFonts w:hint="eastAsia"/>
          <w:highlight w:val="none"/>
        </w:rPr>
        <w:t>美国膳食补充剂（</w:t>
      </w:r>
      <w:r>
        <w:rPr>
          <w:highlight w:val="none"/>
        </w:rPr>
        <w:t>Dietary supplement）的监管主要依据《膳食补充剂健康与教育法案》（DSHEA），该法案于1994年颁布，旨在规范膳食补充剂的生产、标签、功能声称和市场准入。</w:t>
      </w:r>
    </w:p>
    <w:p>
      <w:pPr>
        <w:ind w:firstLine="420"/>
        <w:jc w:val="both"/>
        <w:rPr>
          <w:highlight w:val="none"/>
        </w:rPr>
      </w:pPr>
      <w:r>
        <w:rPr>
          <w:rFonts w:hint="eastAsia"/>
          <w:highlight w:val="none"/>
        </w:rPr>
        <w:t>膳食补充剂的生产需符合</w:t>
      </w:r>
      <w:r>
        <w:rPr>
          <w:highlight w:val="none"/>
        </w:rPr>
        <w:t>21CFR 111 Current Good Manufacturing Practice in Manufacturing, Packaging, Labeling, or Holding Operations for Dietary Supplements膳食补充剂和膳食成分的制造、包装或保存的现行生产管理规范。要求所有膳食补充剂的生产、包装、储存和标签必须符合相关要求，以确保产品质量、纯度、身份和安全性。</w:t>
      </w:r>
    </w:p>
    <w:p>
      <w:pPr>
        <w:ind w:firstLine="420"/>
        <w:jc w:val="both"/>
        <w:rPr>
          <w:highlight w:val="none"/>
        </w:rPr>
      </w:pPr>
      <w:r>
        <w:rPr>
          <w:rFonts w:hint="eastAsia"/>
          <w:highlight w:val="none"/>
        </w:rPr>
        <w:t>有</w:t>
      </w:r>
      <w:r>
        <w:rPr>
          <w:highlight w:val="none"/>
        </w:rPr>
        <w:t>3类声称可用在美国膳食补充剂标签上，分别是健康声称、结构/功能声称和营养素含量声称。</w:t>
      </w:r>
      <w:r>
        <w:rPr>
          <w:rFonts w:hint="eastAsia"/>
          <w:highlight w:val="none"/>
        </w:rPr>
        <w:t>健康声称包括显著科学共识的声称（</w:t>
      </w:r>
      <w:r>
        <w:rPr>
          <w:highlight w:val="none"/>
        </w:rPr>
        <w:t>SSA）和限制性声称（Qualified Claim），需经FDA审批。结构/功能声称无需批准，需在首次销售后30天内通知FDA，并保证真实无误导。</w:t>
      </w:r>
      <w:r>
        <w:rPr>
          <w:rFonts w:hint="eastAsia"/>
          <w:highlight w:val="none"/>
        </w:rPr>
        <w:t>根据</w:t>
      </w:r>
      <w:r>
        <w:rPr>
          <w:highlight w:val="none"/>
        </w:rPr>
        <w:t>FDA指南文件《Guidance for Industry: Substantiation for Dietary Supplement Claims》制造商必须为宣传的声称提供科学证据，其原则应符合FTC(federal trade Commission) “可靠科学证据”原则——需要基于专业知识的测试、分析或研究，由合格人员客观执行，采用公认方法得出准确结果。</w:t>
      </w:r>
    </w:p>
    <w:p>
      <w:pPr>
        <w:ind w:firstLine="420"/>
        <w:rPr>
          <w:highlight w:val="none"/>
        </w:rPr>
      </w:pPr>
      <w:r>
        <w:rPr>
          <w:rFonts w:hint="eastAsia"/>
          <w:highlight w:val="none"/>
        </w:rPr>
        <w:t>2 澳大利亚</w:t>
      </w:r>
    </w:p>
    <w:p>
      <w:pPr>
        <w:ind w:firstLine="420"/>
        <w:jc w:val="both"/>
        <w:rPr>
          <w:highlight w:val="none"/>
        </w:rPr>
      </w:pPr>
      <w:r>
        <w:rPr>
          <w:rFonts w:hint="eastAsia"/>
          <w:highlight w:val="none"/>
        </w:rPr>
        <w:t>在澳大利亚，补充药物（</w:t>
      </w:r>
      <w:r>
        <w:rPr>
          <w:highlight w:val="none"/>
        </w:rPr>
        <w:t>complementary medicines）由治疗用品管理局（TGA）进行监管，主要依据为《Therapeutic Goods Act 1989》并由《Therapeutic Goods Regulations 1990》进行细化的解释说明。其生产应在GMP条件下生产。</w:t>
      </w:r>
    </w:p>
    <w:p>
      <w:pPr>
        <w:ind w:firstLine="420"/>
        <w:jc w:val="both"/>
        <w:rPr>
          <w:highlight w:val="none"/>
        </w:rPr>
      </w:pPr>
      <w:r>
        <w:rPr>
          <w:rFonts w:hint="eastAsia"/>
          <w:highlight w:val="none"/>
        </w:rPr>
        <w:t>补充药物包括一般备案制药物、评定备案制药物和注册药物。</w:t>
      </w:r>
    </w:p>
    <w:p>
      <w:pPr>
        <w:ind w:firstLine="420"/>
        <w:jc w:val="both"/>
        <w:rPr>
          <w:highlight w:val="none"/>
        </w:rPr>
      </w:pPr>
      <w:r>
        <w:rPr>
          <w:highlight w:val="none"/>
        </w:rPr>
        <w:t>TGA建立了《治疗产品允许使用原料列表Therapeutic Goods (Permissible Ingredients) Determination》，所有新原料都必须经过 TGA 的安全评估后方可纳入。</w:t>
      </w:r>
    </w:p>
    <w:p>
      <w:pPr>
        <w:ind w:firstLine="420"/>
        <w:jc w:val="both"/>
        <w:rPr>
          <w:highlight w:val="none"/>
        </w:rPr>
      </w:pPr>
      <w:r>
        <w:rPr>
          <w:highlight w:val="none"/>
        </w:rPr>
        <w:t>TGA为补充药品的声称设置了风险等级，被划分为低风险、中风险、高风险，分别对应一般备案制药物、评定备案制药物和注册药物。</w:t>
      </w:r>
    </w:p>
    <w:p>
      <w:pPr>
        <w:ind w:firstLine="420"/>
        <w:jc w:val="both"/>
        <w:rPr>
          <w:highlight w:val="none"/>
        </w:rPr>
      </w:pPr>
      <w:r>
        <w:rPr>
          <w:rFonts w:hint="eastAsia"/>
          <w:highlight w:val="none"/>
        </w:rPr>
        <w:t>低风险声称收录于《治疗产品允许声称列表》，</w:t>
      </w:r>
      <w:r>
        <w:rPr>
          <w:highlight w:val="none"/>
        </w:rPr>
        <w:t>Therapeutic Goods permissible indication determination，选择该类声称，申请人须有相应证据，并当TGA提出要求时提供。支持声称所需的证据要求应按照《Guidelines on the evidence required to support indications for listed complementary medicines》，包括传统声称、科学声称和交叉声称，证据必须相关、高质量和可信。需要评估证据的相关</w:t>
      </w:r>
      <w:r>
        <w:rPr>
          <w:rFonts w:hint="eastAsia"/>
          <w:highlight w:val="none"/>
        </w:rPr>
        <w:t>性、质量和平衡性，确保所有证据支持所声称的健康益处。证据应涵盖所有相关研究，包括支持和不支持的研究，以提供全面的证据基础。</w:t>
      </w:r>
    </w:p>
    <w:p>
      <w:pPr>
        <w:ind w:firstLine="420"/>
        <w:jc w:val="both"/>
        <w:rPr>
          <w:highlight w:val="none"/>
        </w:rPr>
      </w:pPr>
      <w:r>
        <w:rPr>
          <w:rFonts w:hint="eastAsia"/>
          <w:highlight w:val="none"/>
        </w:rPr>
        <w:t>中风险生产需向</w:t>
      </w:r>
      <w:r>
        <w:rPr>
          <w:highlight w:val="none"/>
        </w:rPr>
        <w:t>TGA递交支持性证据，且通过TGA上市前评估。《Assessed listed medicines evidence guidelines》中对评定备案制补充药品声称的格式、分类及支持声称所需的证据要求进行了规定。相关证据需基于对产品的整体评估，其证据基于科学证据。</w:t>
      </w:r>
    </w:p>
    <w:p>
      <w:pPr>
        <w:ind w:firstLine="420"/>
        <w:rPr>
          <w:highlight w:val="none"/>
        </w:rPr>
      </w:pPr>
      <w:r>
        <w:rPr>
          <w:rFonts w:hint="eastAsia"/>
          <w:highlight w:val="none"/>
        </w:rPr>
        <w:t>3欧盟</w:t>
      </w:r>
    </w:p>
    <w:p>
      <w:pPr>
        <w:ind w:firstLine="420"/>
        <w:jc w:val="both"/>
        <w:rPr>
          <w:highlight w:val="none"/>
        </w:rPr>
      </w:pPr>
      <w:r>
        <w:rPr>
          <w:rFonts w:hint="eastAsia"/>
          <w:highlight w:val="none"/>
        </w:rPr>
        <w:t>在欧洲，食品补充剂（</w:t>
      </w:r>
      <w:r>
        <w:rPr>
          <w:highlight w:val="none"/>
        </w:rPr>
        <w:t>food supplement） 是由欧盟委员会和各成员国的主管部门进行综合管理，</w:t>
      </w:r>
      <w:r>
        <w:rPr>
          <w:rFonts w:hint="eastAsia"/>
          <w:highlight w:val="none"/>
        </w:rPr>
        <w:t>Directive 2002/46/EC定义食品补充剂(Food Supplement)是补充正常膳食的食品，主要成分是营养素（特指维生素和矿物质）或具有营养和生理功能的其他物质，可为单一成分或复合成分。食品补充剂隶属于食品。</w:t>
      </w:r>
      <w:r>
        <w:rPr>
          <w:highlight w:val="none"/>
        </w:rPr>
        <w:t>主要法规依据为Directive 2002/46/EC of the European Parliament and of the Council of 10 June 2002 on the approximation of the laws of the Member States relating to food supplements。生产应满足GMP（Regulation (EC) No 2023/2006）和HACCP（Regulation (EC) No 852/2004）的要求。</w:t>
      </w:r>
    </w:p>
    <w:p>
      <w:pPr>
        <w:ind w:firstLine="420"/>
        <w:jc w:val="both"/>
        <w:rPr>
          <w:highlight w:val="none"/>
        </w:rPr>
      </w:pPr>
      <w:r>
        <w:rPr>
          <w:rFonts w:hint="eastAsia"/>
          <w:highlight w:val="none"/>
        </w:rPr>
        <w:t>对于健康声称的申请，应按照《</w:t>
      </w:r>
      <w:r>
        <w:rPr>
          <w:highlight w:val="none"/>
        </w:rPr>
        <w:t>General scientific guidance for stakeholders on health claim applications》和《Scientific and technical guidance for the preparation and presentation of a health claim》，营养声称是指明示或暗示食品具有特定有益营养特性的声</w:t>
      </w:r>
      <w:r>
        <w:rPr>
          <w:rFonts w:hint="eastAsia"/>
          <w:highlight w:val="none"/>
        </w:rPr>
        <w:t>称</w:t>
      </w:r>
      <w:r>
        <w:rPr>
          <w:highlight w:val="none"/>
        </w:rPr>
        <w:t>，主要包括能量（提供能量</w:t>
      </w:r>
      <w:r>
        <w:rPr>
          <w:rFonts w:hint="eastAsia"/>
          <w:highlight w:val="none"/>
        </w:rPr>
        <w:t>/</w:t>
      </w:r>
      <w:r>
        <w:rPr>
          <w:highlight w:val="none"/>
        </w:rPr>
        <w:t>不提供能量），营养素或其它物质（提供</w:t>
      </w:r>
      <w:r>
        <w:rPr>
          <w:rFonts w:hint="eastAsia"/>
          <w:highlight w:val="none"/>
        </w:rPr>
        <w:t>/</w:t>
      </w:r>
      <w:r>
        <w:rPr>
          <w:highlight w:val="none"/>
        </w:rPr>
        <w:t>不提供）。营养素包括蛋白质、碳水化合物、脂肪、膳食纤维、维生素和矿物质，其它物质指的是除前面营养素之外的具有营养或生理作用的物质。目前能使用的营养声称一定是纳入(EC) No 1924/2006附录中的营养声称。同时需要注意同(EC) No 1169/2011的协同性。</w:t>
      </w:r>
    </w:p>
    <w:p>
      <w:pPr>
        <w:ind w:firstLine="420"/>
        <w:rPr>
          <w:highlight w:val="none"/>
        </w:rPr>
      </w:pPr>
      <w:r>
        <w:rPr>
          <w:rFonts w:hint="eastAsia"/>
          <w:highlight w:val="none"/>
        </w:rPr>
        <w:t>4日本</w:t>
      </w:r>
    </w:p>
    <w:p>
      <w:pPr>
        <w:ind w:firstLine="420"/>
        <w:jc w:val="both"/>
        <w:rPr>
          <w:highlight w:val="none"/>
        </w:rPr>
      </w:pPr>
      <w:r>
        <w:rPr>
          <w:rFonts w:hint="eastAsia"/>
          <w:highlight w:val="none"/>
        </w:rPr>
        <w:t>在日本，保健机能食品（</w:t>
      </w:r>
      <w:r>
        <w:rPr>
          <w:highlight w:val="none"/>
        </w:rPr>
        <w:t>Food with health claim）包括特定保健用食品（Food for specified health claim）、功能性食品（food with function claims）以及营养功能食品（food with nutrient function claims）。</w:t>
      </w:r>
    </w:p>
    <w:p>
      <w:pPr>
        <w:ind w:firstLine="420"/>
        <w:jc w:val="both"/>
        <w:rPr>
          <w:highlight w:val="none"/>
        </w:rPr>
      </w:pPr>
      <w:r>
        <w:rPr>
          <w:rFonts w:hint="eastAsia"/>
          <w:highlight w:val="none"/>
        </w:rPr>
        <w:t>特定保健用食品</w:t>
      </w:r>
      <w:r>
        <w:rPr>
          <w:highlight w:val="none"/>
        </w:rPr>
        <w:t xml:space="preserve"> (FOSHU)：允许做出特定健康益处声称。需提交详尽的科学证据（通常包括高质量的人体干预试验）供MHLW个案审批。证据需充分证明摄入该产品与声称效果之间的因果关系。其证据要求参考《特定保健用食品标示许可（特定保健用食品の表示許可等について）》。</w:t>
      </w:r>
    </w:p>
    <w:p>
      <w:pPr>
        <w:ind w:firstLine="420"/>
        <w:jc w:val="both"/>
        <w:rPr>
          <w:highlight w:val="none"/>
        </w:rPr>
      </w:pPr>
      <w:r>
        <w:rPr>
          <w:rFonts w:hint="eastAsia"/>
          <w:highlight w:val="none"/>
        </w:rPr>
        <w:t>功能性标示食品</w:t>
      </w:r>
      <w:r>
        <w:rPr>
          <w:highlight w:val="none"/>
        </w:rPr>
        <w:t xml:space="preserve"> (FFC)： 允许基于企业自身责任提交科学依据（不限于人体试验，可包括系统文献综述）进行声称，无需政府预先审批。但必须事先向消费者厅备案科学依据概要。政府事后监管。其证据要求参考《功能性标示食品申报指南（機能性表示食品の届出等に関する手引き）》。</w:t>
      </w:r>
    </w:p>
    <w:p>
      <w:pPr>
        <w:ind w:firstLine="420"/>
        <w:jc w:val="both"/>
        <w:rPr>
          <w:highlight w:val="none"/>
        </w:rPr>
      </w:pPr>
      <w:r>
        <w:rPr>
          <w:rFonts w:hint="eastAsia"/>
          <w:highlight w:val="none"/>
        </w:rPr>
        <w:t>营养功能食品是指以补充特定的营养成分为目的的保健功能食品。其中营养成分的种类及含量必须符合厚生劳动省制定的标准，主要包括13种维生素、6种矿物质和1种脂肪酸。</w:t>
      </w:r>
    </w:p>
    <w:p>
      <w:pPr>
        <w:pStyle w:val="3"/>
        <w:ind w:firstLine="480"/>
        <w:rPr>
          <w:highlight w:val="none"/>
        </w:rPr>
      </w:pPr>
      <w:bookmarkStart w:id="4" w:name="_Toc234510478"/>
      <w:r>
        <w:rPr>
          <w:rFonts w:hint="eastAsia"/>
          <w:highlight w:val="none"/>
        </w:rPr>
        <w:t>4、主要工作过程</w:t>
      </w:r>
      <w:bookmarkEnd w:id="4"/>
    </w:p>
    <w:p>
      <w:pPr>
        <w:ind w:firstLine="422"/>
        <w:rPr>
          <w:rStyle w:val="27"/>
          <w:b/>
          <w:bCs/>
          <w:highlight w:val="none"/>
        </w:rPr>
      </w:pPr>
      <w:r>
        <w:rPr>
          <w:rFonts w:hint="eastAsia"/>
          <w:b/>
          <w:bCs/>
          <w:highlight w:val="none"/>
        </w:rPr>
        <w:t>4.1标准研制阶段</w:t>
      </w:r>
    </w:p>
    <w:p>
      <w:pPr>
        <w:ind w:firstLine="420"/>
        <w:jc w:val="both"/>
        <w:rPr>
          <w:highlight w:val="none"/>
        </w:rPr>
      </w:pPr>
      <w:r>
        <w:rPr>
          <w:rFonts w:hint="eastAsia"/>
          <w:highlight w:val="none"/>
        </w:rPr>
        <w:t>《膳食营养补充剂通用要求》团体标准的研制工作由中国医药保健品进出口商会膳食营养补充剂专业委员会联合相关企业共同发起。在正式立项前，起草组系统开展了前期调研和技术储备，查阅、收集和整理了国内外有关研究和标准、法规等文献资料，基于此形成了标准制定的初步构想与必要性论证说明，编写完成立项申请书及标准框架内容，并向中国医药保健品进出口商会提出立项申请。</w:t>
      </w:r>
    </w:p>
    <w:p>
      <w:pPr>
        <w:ind w:firstLine="422"/>
        <w:rPr>
          <w:b/>
          <w:bCs/>
          <w:highlight w:val="none"/>
        </w:rPr>
      </w:pPr>
      <w:r>
        <w:rPr>
          <w:rFonts w:hint="eastAsia"/>
          <w:b/>
          <w:bCs/>
          <w:highlight w:val="none"/>
        </w:rPr>
        <w:t>4.2标准立项阶段（2025年10月-2025年11月）</w:t>
      </w:r>
    </w:p>
    <w:p>
      <w:pPr>
        <w:ind w:firstLine="422"/>
        <w:rPr>
          <w:rFonts w:hint="eastAsia"/>
          <w:highlight w:val="none"/>
        </w:rPr>
      </w:pPr>
      <w:r>
        <w:rPr>
          <w:rFonts w:hint="eastAsia"/>
          <w:highlight w:val="none"/>
        </w:rPr>
        <w:t>根据《中国老年保健医学研究会团体标准工作管理办法》和《中国医药保健品进出口商会团体标准管理办法》，中国老年保健医学研究会和中国医药保健品进出口商会于2025年11月召开《膳食营养补充剂通则》团体标准立项审核论证会，与会专家对标准立项材料进行了审查，经过认真研究和充分讨论，同意该标准的立项申请，同时针对标准框架相关内容提出建议。</w:t>
      </w:r>
    </w:p>
    <w:p>
      <w:pPr>
        <w:ind w:firstLine="422"/>
        <w:rPr>
          <w:b/>
          <w:bCs/>
          <w:highlight w:val="none"/>
        </w:rPr>
      </w:pPr>
      <w:r>
        <w:rPr>
          <w:rFonts w:hint="eastAsia"/>
          <w:b/>
          <w:bCs/>
          <w:highlight w:val="none"/>
        </w:rPr>
        <w:t>4.3标准起草阶段（2025年11月-2026年3月）</w:t>
      </w:r>
    </w:p>
    <w:p>
      <w:pPr>
        <w:ind w:firstLine="422"/>
        <w:rPr>
          <w:b/>
          <w:bCs/>
          <w:highlight w:val="none"/>
        </w:rPr>
      </w:pPr>
      <w:r>
        <w:rPr>
          <w:rFonts w:hint="eastAsia"/>
          <w:b/>
          <w:bCs/>
          <w:highlight w:val="none"/>
        </w:rPr>
        <w:t>4.3.1标准文本和编制说明起草</w:t>
      </w:r>
    </w:p>
    <w:p>
      <w:pPr>
        <w:ind w:firstLine="420"/>
        <w:jc w:val="both"/>
        <w:rPr>
          <w:highlight w:val="none"/>
        </w:rPr>
      </w:pPr>
      <w:r>
        <w:rPr>
          <w:rFonts w:hint="eastAsia"/>
          <w:highlight w:val="none"/>
        </w:rPr>
        <w:t>团体标准《膳食营养补充剂通用要求》成功立项后，项目组及时开展了“膳食营养补充剂”相关内容的标准法规调研和行业调研，并撰写标准文本和编制说明。</w:t>
      </w:r>
    </w:p>
    <w:p>
      <w:pPr>
        <w:ind w:firstLine="422"/>
        <w:rPr>
          <w:b/>
          <w:bCs/>
          <w:highlight w:val="none"/>
        </w:rPr>
      </w:pPr>
      <w:bookmarkStart w:id="5" w:name="_Hlk228459478"/>
      <w:r>
        <w:rPr>
          <w:rFonts w:hint="eastAsia"/>
          <w:b/>
          <w:bCs/>
          <w:highlight w:val="none"/>
        </w:rPr>
        <w:t>4.3.2 起草组内部讨论会</w:t>
      </w:r>
    </w:p>
    <w:p>
      <w:pPr>
        <w:ind w:firstLine="420"/>
        <w:jc w:val="both"/>
        <w:rPr>
          <w:highlight w:val="none"/>
        </w:rPr>
      </w:pPr>
      <w:r>
        <w:rPr>
          <w:rFonts w:hint="eastAsia"/>
          <w:highlight w:val="none"/>
        </w:rPr>
        <w:t>2026年2月召开起草组</w:t>
      </w:r>
      <w:bookmarkStart w:id="45" w:name="_GoBack"/>
      <w:bookmarkEnd w:id="45"/>
      <w:r>
        <w:rPr>
          <w:rFonts w:hint="eastAsia"/>
          <w:highlight w:val="none"/>
        </w:rPr>
        <w:t>内部讨论会，起草组针对文本共提出39条建议，其中采纳35条，不采纳4条</w:t>
      </w:r>
      <w:bookmarkEnd w:id="5"/>
      <w:r>
        <w:rPr>
          <w:rFonts w:hint="eastAsia"/>
          <w:highlight w:val="none"/>
        </w:rPr>
        <w:t>。</w:t>
      </w:r>
    </w:p>
    <w:p>
      <w:pPr>
        <w:ind w:firstLine="422"/>
        <w:rPr>
          <w:b/>
          <w:bCs/>
          <w:highlight w:val="none"/>
        </w:rPr>
      </w:pPr>
      <w:r>
        <w:rPr>
          <w:rFonts w:hint="eastAsia"/>
          <w:b/>
          <w:bCs/>
          <w:highlight w:val="none"/>
        </w:rPr>
        <w:t>4.3.3 专家讨论会</w:t>
      </w:r>
    </w:p>
    <w:p>
      <w:pPr>
        <w:ind w:firstLine="420"/>
        <w:jc w:val="both"/>
        <w:rPr>
          <w:highlight w:val="none"/>
        </w:rPr>
      </w:pPr>
      <w:r>
        <w:rPr>
          <w:rFonts w:hint="eastAsia"/>
          <w:highlight w:val="none"/>
        </w:rPr>
        <w:t>2026年4月召开专家讨论会，专家针对文本共提出10条建议，其中采纳10条。</w:t>
      </w:r>
    </w:p>
    <w:p>
      <w:pPr>
        <w:ind w:firstLine="422"/>
        <w:rPr>
          <w:b/>
          <w:bCs/>
          <w:highlight w:val="none"/>
        </w:rPr>
      </w:pPr>
      <w:r>
        <w:rPr>
          <w:rFonts w:hint="eastAsia"/>
          <w:b/>
          <w:bCs/>
          <w:highlight w:val="none"/>
        </w:rPr>
        <w:t>4.3.4 起草组讨论会</w:t>
      </w:r>
    </w:p>
    <w:p>
      <w:pPr>
        <w:ind w:firstLine="420"/>
        <w:rPr>
          <w:highlight w:val="none"/>
        </w:rPr>
      </w:pPr>
      <w:r>
        <w:rPr>
          <w:rFonts w:hint="eastAsia"/>
          <w:highlight w:val="none"/>
        </w:rPr>
        <w:t>2026年6月召开起草组讨论会，针对标准定义、范围、原料、剂型等内容进行讨论。</w:t>
      </w:r>
    </w:p>
    <w:p>
      <w:pPr>
        <w:pStyle w:val="2"/>
        <w:ind w:firstLine="560"/>
        <w:rPr>
          <w:highlight w:val="none"/>
        </w:rPr>
      </w:pPr>
      <w:bookmarkStart w:id="6" w:name="_Toc234510479"/>
      <w:r>
        <w:rPr>
          <w:rFonts w:hint="eastAsia"/>
          <w:highlight w:val="none"/>
        </w:rPr>
        <w:t>二、标准编制原则和标准主要内容</w:t>
      </w:r>
      <w:bookmarkEnd w:id="6"/>
    </w:p>
    <w:p>
      <w:pPr>
        <w:pStyle w:val="3"/>
        <w:ind w:firstLine="480"/>
        <w:rPr>
          <w:highlight w:val="none"/>
        </w:rPr>
      </w:pPr>
      <w:bookmarkStart w:id="7" w:name="_Toc234510480"/>
      <w:r>
        <w:rPr>
          <w:rFonts w:hint="eastAsia"/>
          <w:highlight w:val="none"/>
        </w:rPr>
        <w:t>1、标准编制原则</w:t>
      </w:r>
      <w:bookmarkEnd w:id="7"/>
    </w:p>
    <w:p>
      <w:pPr>
        <w:ind w:firstLine="420"/>
        <w:jc w:val="both"/>
        <w:rPr>
          <w:highlight w:val="none"/>
        </w:rPr>
      </w:pPr>
      <w:r>
        <w:rPr>
          <w:rFonts w:hint="eastAsia"/>
          <w:highlight w:val="none"/>
        </w:rPr>
        <w:t>本标准立足我国膳食营养补充剂产业发展，对标国际通行规则，坚持合规衔接、科学界定、安全底线、引导提升四大核心原则，统筹行业规范、市场需求与国际贸易，构建科学适用、开放兼容的膳食营养补充剂产品通用标准。</w:t>
      </w:r>
    </w:p>
    <w:p>
      <w:pPr>
        <w:ind w:firstLine="422"/>
        <w:rPr>
          <w:highlight w:val="none"/>
        </w:rPr>
      </w:pPr>
      <w:r>
        <w:rPr>
          <w:rFonts w:hint="eastAsia"/>
          <w:b/>
          <w:bCs/>
          <w:highlight w:val="none"/>
        </w:rPr>
        <w:t>合规衔接原则</w:t>
      </w:r>
      <w:r>
        <w:rPr>
          <w:rFonts w:hint="eastAsia"/>
          <w:highlight w:val="none"/>
        </w:rPr>
        <w:t>：严格遵循国家食品安全相关法律法规与政策导向，与国内食品监管体系有效衔接，同步对接国际主要市场监管规则与贸易惯例，兼顾境内生产、跨境电商、进出口贸易等多元场景，确保标准合法合规、内外兼容、落地可行。</w:t>
      </w:r>
    </w:p>
    <w:p>
      <w:pPr>
        <w:ind w:firstLine="422"/>
        <w:rPr>
          <w:highlight w:val="none"/>
        </w:rPr>
      </w:pPr>
      <w:r>
        <w:rPr>
          <w:rFonts w:hint="eastAsia"/>
          <w:b/>
          <w:bCs/>
          <w:highlight w:val="none"/>
        </w:rPr>
        <w:t>科学界定原则</w:t>
      </w:r>
      <w:r>
        <w:rPr>
          <w:rFonts w:hint="eastAsia"/>
          <w:highlight w:val="none"/>
        </w:rPr>
        <w:t>：以营养学、食品科学为理论基础，科学界定产品内涵、边界与核心属性，厘清与普通食品、保健食品、药品的区别，坚持分类科学、定义清晰、内涵准确，为行业统一认知、规范发展提供依据。</w:t>
      </w:r>
    </w:p>
    <w:p>
      <w:pPr>
        <w:ind w:firstLine="422"/>
        <w:rPr>
          <w:highlight w:val="none"/>
        </w:rPr>
      </w:pPr>
      <w:r>
        <w:rPr>
          <w:rFonts w:hint="eastAsia"/>
          <w:b/>
          <w:bCs/>
          <w:highlight w:val="none"/>
        </w:rPr>
        <w:t>安全底线原则</w:t>
      </w:r>
      <w:r>
        <w:rPr>
          <w:rFonts w:hint="eastAsia"/>
          <w:highlight w:val="none"/>
        </w:rPr>
        <w:t>：坚守健康安全核心底线，强化全链条风险防控，突出源头管控、过程控制，构建覆盖原料、生产、质量、流通的安全管控框架，保障产品安全可靠、风险可控。</w:t>
      </w:r>
    </w:p>
    <w:p>
      <w:pPr>
        <w:ind w:firstLine="422"/>
        <w:rPr>
          <w:highlight w:val="none"/>
        </w:rPr>
      </w:pPr>
      <w:r>
        <w:rPr>
          <w:rFonts w:hint="eastAsia"/>
          <w:b/>
          <w:bCs/>
          <w:highlight w:val="none"/>
        </w:rPr>
        <w:t>引导提升原则</w:t>
      </w:r>
      <w:r>
        <w:rPr>
          <w:rFonts w:hint="eastAsia"/>
          <w:highlight w:val="none"/>
        </w:rPr>
        <w:t>：以高标准引领高质量发展，鼓励技术创新、体系完善与国际认证，推动行业研发科学化、生产规范化、管理数字化、宣传理性化，助力产业转型升级与国际竞争力提升。</w:t>
      </w:r>
    </w:p>
    <w:p>
      <w:pPr>
        <w:pStyle w:val="3"/>
        <w:ind w:firstLine="480"/>
        <w:rPr>
          <w:highlight w:val="none"/>
        </w:rPr>
      </w:pPr>
      <w:bookmarkStart w:id="8" w:name="_Toc234510481"/>
      <w:r>
        <w:rPr>
          <w:rFonts w:hint="eastAsia"/>
          <w:highlight w:val="none"/>
        </w:rPr>
        <w:t>2、标准主要内容及确定依据</w:t>
      </w:r>
      <w:bookmarkEnd w:id="8"/>
    </w:p>
    <w:p>
      <w:pPr>
        <w:pStyle w:val="4"/>
        <w:ind w:firstLine="240"/>
        <w:rPr>
          <w:highlight w:val="none"/>
        </w:rPr>
      </w:pPr>
      <w:bookmarkStart w:id="9" w:name="_Toc234510482"/>
      <w:r>
        <w:rPr>
          <w:rFonts w:hint="eastAsia"/>
          <w:highlight w:val="none"/>
        </w:rPr>
        <w:t>1、关于“标准名称”的考虑</w:t>
      </w:r>
      <w:bookmarkEnd w:id="9"/>
    </w:p>
    <w:p>
      <w:pPr>
        <w:ind w:firstLine="420"/>
        <w:jc w:val="both"/>
        <w:rPr>
          <w:highlight w:val="none"/>
        </w:rPr>
      </w:pPr>
      <w:r>
        <w:rPr>
          <w:rFonts w:hint="eastAsia"/>
          <w:highlight w:val="none"/>
        </w:rPr>
        <w:t>本标准立项名称为《膳食营养补充剂通则》。经立项会讨论，明确该标准定位为行业顶层标准文件，界定领域边界、统一行业基本共识，标准内容不设置具体技术指标限值，重点在对膳食营养补充剂提出高质量导向要求。经论证，“通则”名称与本标准定位及内容不匹配。</w:t>
      </w:r>
    </w:p>
    <w:p>
      <w:pPr>
        <w:ind w:firstLine="420"/>
        <w:jc w:val="both"/>
        <w:rPr>
          <w:highlight w:val="none"/>
        </w:rPr>
      </w:pPr>
      <w:r>
        <w:rPr>
          <w:rFonts w:hint="eastAsia"/>
          <w:highlight w:val="none"/>
        </w:rPr>
        <w:t>现将“通用技术规范”“通用技术要求”“通用要求” 三类标准名称进行对比分析，结合本标准定位、功能与内容特征进行契合度研判，最终确定采用“通用要求”作为标准名称核心结构，标准名称调整为：《膳食营养补充剂通用要求》。</w:t>
      </w:r>
    </w:p>
    <w:tbl>
      <w:tblPr>
        <w:tblStyle w:val="21"/>
        <w:tblW w:w="100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0" w:type="dxa"/>
          <w:bottom w:w="0" w:type="dxa"/>
          <w:right w:w="0" w:type="dxa"/>
        </w:tblCellMar>
      </w:tblPr>
      <w:tblGrid>
        <w:gridCol w:w="993"/>
        <w:gridCol w:w="2977"/>
        <w:gridCol w:w="311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c>
          <w:tcPr>
            <w:tcW w:w="993" w:type="dxa"/>
            <w:shd w:val="clear" w:color="auto" w:fill="FFFFFF" w:themeFill="background1"/>
            <w:vAlign w:val="center"/>
          </w:tcPr>
          <w:p>
            <w:pPr>
              <w:ind w:firstLine="0" w:firstLineChars="0"/>
              <w:jc w:val="both"/>
              <w:rPr>
                <w:highlight w:val="none"/>
              </w:rPr>
            </w:pPr>
            <w:r>
              <w:rPr>
                <w:rFonts w:hint="eastAsia"/>
                <w:b/>
                <w:bCs/>
                <w:highlight w:val="none"/>
              </w:rPr>
              <w:t>对比维度</w:t>
            </w:r>
          </w:p>
        </w:tc>
        <w:tc>
          <w:tcPr>
            <w:tcW w:w="2977" w:type="dxa"/>
            <w:shd w:val="clear" w:color="auto" w:fill="FFFFFF" w:themeFill="background1"/>
            <w:vAlign w:val="center"/>
          </w:tcPr>
          <w:p>
            <w:pPr>
              <w:ind w:firstLine="0" w:firstLineChars="0"/>
              <w:jc w:val="both"/>
              <w:rPr>
                <w:highlight w:val="none"/>
              </w:rPr>
            </w:pPr>
            <w:r>
              <w:rPr>
                <w:rFonts w:hint="eastAsia"/>
                <w:b/>
                <w:bCs/>
                <w:highlight w:val="none"/>
              </w:rPr>
              <w:t>1. 通用技术规范</w:t>
            </w:r>
          </w:p>
        </w:tc>
        <w:tc>
          <w:tcPr>
            <w:tcW w:w="3118" w:type="dxa"/>
            <w:shd w:val="clear" w:color="auto" w:fill="FFFFFF" w:themeFill="background1"/>
            <w:vAlign w:val="center"/>
          </w:tcPr>
          <w:p>
            <w:pPr>
              <w:ind w:firstLine="0" w:firstLineChars="0"/>
              <w:jc w:val="both"/>
              <w:rPr>
                <w:highlight w:val="none"/>
              </w:rPr>
            </w:pPr>
            <w:r>
              <w:rPr>
                <w:rFonts w:hint="eastAsia"/>
                <w:b/>
                <w:bCs/>
                <w:highlight w:val="none"/>
              </w:rPr>
              <w:t>2. 通用技术要求</w:t>
            </w:r>
          </w:p>
        </w:tc>
        <w:tc>
          <w:tcPr>
            <w:tcW w:w="2977" w:type="dxa"/>
            <w:shd w:val="clear" w:color="auto" w:fill="FFFFFF" w:themeFill="background1"/>
            <w:vAlign w:val="center"/>
          </w:tcPr>
          <w:p>
            <w:pPr>
              <w:ind w:firstLine="0" w:firstLineChars="0"/>
              <w:jc w:val="both"/>
              <w:rPr>
                <w:highlight w:val="none"/>
              </w:rPr>
            </w:pPr>
            <w:r>
              <w:rPr>
                <w:rFonts w:hint="eastAsia"/>
                <w:b/>
                <w:bCs/>
                <w:highlight w:val="none"/>
              </w:rPr>
              <w:t>3. 通用要求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c>
          <w:tcPr>
            <w:tcW w:w="993" w:type="dxa"/>
            <w:shd w:val="clear" w:color="auto" w:fill="FFFFFF" w:themeFill="background1"/>
            <w:vAlign w:val="center"/>
          </w:tcPr>
          <w:p>
            <w:pPr>
              <w:ind w:firstLine="0" w:firstLineChars="0"/>
              <w:jc w:val="both"/>
              <w:rPr>
                <w:highlight w:val="none"/>
              </w:rPr>
            </w:pPr>
            <w:r>
              <w:rPr>
                <w:rFonts w:hint="eastAsia"/>
                <w:b/>
                <w:bCs/>
                <w:highlight w:val="none"/>
              </w:rPr>
              <w:t>核心定义</w:t>
            </w:r>
          </w:p>
        </w:tc>
        <w:tc>
          <w:tcPr>
            <w:tcW w:w="2977" w:type="dxa"/>
            <w:shd w:val="clear" w:color="auto" w:fill="FFFFFF" w:themeFill="background1"/>
            <w:vAlign w:val="center"/>
          </w:tcPr>
          <w:p>
            <w:pPr>
              <w:ind w:firstLine="0" w:firstLineChars="0"/>
              <w:jc w:val="both"/>
              <w:rPr>
                <w:highlight w:val="none"/>
              </w:rPr>
            </w:pPr>
            <w:r>
              <w:rPr>
                <w:rFonts w:hint="eastAsia"/>
                <w:highlight w:val="none"/>
              </w:rPr>
              <w:t>以 “全环节技术闭环” 为核心，明确产品从原料到流通（含检测、处置）的技术细节、操作流程及合规边界</w:t>
            </w:r>
          </w:p>
        </w:tc>
        <w:tc>
          <w:tcPr>
            <w:tcW w:w="3118" w:type="dxa"/>
            <w:shd w:val="clear" w:color="auto" w:fill="FFFFFF" w:themeFill="background1"/>
            <w:vAlign w:val="center"/>
          </w:tcPr>
          <w:p>
            <w:pPr>
              <w:ind w:firstLine="0" w:firstLineChars="0"/>
              <w:jc w:val="both"/>
              <w:rPr>
                <w:highlight w:val="none"/>
              </w:rPr>
            </w:pPr>
            <w:r>
              <w:rPr>
                <w:rFonts w:hint="eastAsia"/>
                <w:highlight w:val="none"/>
              </w:rPr>
              <w:t>聚焦 “技术指标本身”，仅规定产品 / 过程的技术参数、质量限值，不涉及后续检验、不合格处置等闭环</w:t>
            </w:r>
          </w:p>
        </w:tc>
        <w:tc>
          <w:tcPr>
            <w:tcW w:w="2977" w:type="dxa"/>
            <w:shd w:val="clear" w:color="auto" w:fill="FFFFFF" w:themeFill="background1"/>
            <w:vAlign w:val="center"/>
          </w:tcPr>
          <w:p>
            <w:pPr>
              <w:ind w:firstLine="0" w:firstLineChars="0"/>
              <w:jc w:val="both"/>
              <w:rPr>
                <w:highlight w:val="none"/>
              </w:rPr>
            </w:pPr>
            <w:r>
              <w:rPr>
                <w:rFonts w:hint="eastAsia"/>
                <w:highlight w:val="none"/>
              </w:rPr>
              <w:t>以 “原则性指引” 为核心，覆盖技术 + 管理的通用规则，不深入技术细节，侧重范围界定与高质量的要求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c>
          <w:tcPr>
            <w:tcW w:w="993" w:type="dxa"/>
            <w:shd w:val="clear" w:color="auto" w:fill="FFFFFF" w:themeFill="background1"/>
            <w:vAlign w:val="center"/>
          </w:tcPr>
          <w:p>
            <w:pPr>
              <w:ind w:firstLine="0" w:firstLineChars="0"/>
              <w:jc w:val="both"/>
              <w:rPr>
                <w:highlight w:val="none"/>
              </w:rPr>
            </w:pPr>
            <w:r>
              <w:rPr>
                <w:rFonts w:hint="eastAsia"/>
                <w:b/>
                <w:bCs/>
                <w:highlight w:val="none"/>
              </w:rPr>
              <w:t>覆盖范围</w:t>
            </w:r>
          </w:p>
        </w:tc>
        <w:tc>
          <w:tcPr>
            <w:tcW w:w="2977" w:type="dxa"/>
            <w:shd w:val="clear" w:color="auto" w:fill="FFFFFF" w:themeFill="background1"/>
            <w:vAlign w:val="center"/>
          </w:tcPr>
          <w:p>
            <w:pPr>
              <w:ind w:firstLine="0" w:firstLineChars="0"/>
              <w:jc w:val="both"/>
              <w:rPr>
                <w:highlight w:val="none"/>
              </w:rPr>
            </w:pPr>
            <w:r>
              <w:rPr>
                <w:rFonts w:hint="eastAsia"/>
                <w:highlight w:val="none"/>
              </w:rPr>
              <w:t>全链条（原料、生产、质量、储运、检测、宣称、不合格处置）</w:t>
            </w:r>
          </w:p>
        </w:tc>
        <w:tc>
          <w:tcPr>
            <w:tcW w:w="3118" w:type="dxa"/>
            <w:shd w:val="clear" w:color="auto" w:fill="FFFFFF" w:themeFill="background1"/>
            <w:vAlign w:val="center"/>
          </w:tcPr>
          <w:p>
            <w:pPr>
              <w:ind w:firstLine="0" w:firstLineChars="0"/>
              <w:jc w:val="both"/>
              <w:rPr>
                <w:highlight w:val="none"/>
              </w:rPr>
            </w:pPr>
            <w:r>
              <w:rPr>
                <w:rFonts w:hint="eastAsia"/>
                <w:highlight w:val="none"/>
              </w:rPr>
              <w:t>局部聚焦（技术指标，如原料纯度、生产工艺参数、产品理化限值）</w:t>
            </w:r>
          </w:p>
        </w:tc>
        <w:tc>
          <w:tcPr>
            <w:tcW w:w="2977" w:type="dxa"/>
            <w:shd w:val="clear" w:color="auto" w:fill="FFFFFF" w:themeFill="background1"/>
            <w:vAlign w:val="center"/>
          </w:tcPr>
          <w:p>
            <w:pPr>
              <w:ind w:firstLine="0" w:firstLineChars="0"/>
              <w:jc w:val="both"/>
              <w:rPr>
                <w:highlight w:val="none"/>
              </w:rPr>
            </w:pPr>
            <w:r>
              <w:rPr>
                <w:rFonts w:hint="eastAsia"/>
                <w:highlight w:val="none"/>
              </w:rPr>
              <w:t>宽泛框架（定义、适用范围、基本合规原则，无具体技术量化）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3" w:type="dxa"/>
            <w:shd w:val="clear" w:color="auto" w:fill="FFFFFF" w:themeFill="background1"/>
            <w:vAlign w:val="center"/>
          </w:tcPr>
          <w:p>
            <w:pPr>
              <w:ind w:firstLine="0" w:firstLineChars="0"/>
              <w:jc w:val="both"/>
              <w:rPr>
                <w:highlight w:val="none"/>
              </w:rPr>
            </w:pPr>
            <w:r>
              <w:rPr>
                <w:rFonts w:hint="eastAsia"/>
                <w:b/>
                <w:bCs/>
                <w:highlight w:val="none"/>
              </w:rPr>
              <w:t>侧重点</w:t>
            </w:r>
          </w:p>
        </w:tc>
        <w:tc>
          <w:tcPr>
            <w:tcW w:w="2977" w:type="dxa"/>
            <w:shd w:val="clear" w:color="auto" w:fill="FFFFFF" w:themeFill="background1"/>
            <w:vAlign w:val="center"/>
          </w:tcPr>
          <w:p>
            <w:pPr>
              <w:ind w:firstLine="0" w:firstLineChars="0"/>
              <w:jc w:val="both"/>
              <w:rPr>
                <w:highlight w:val="none"/>
              </w:rPr>
            </w:pPr>
            <w:r>
              <w:rPr>
                <w:rFonts w:hint="eastAsia"/>
                <w:highlight w:val="none"/>
              </w:rPr>
              <w:t>技术可操作性 + 合规闭环（明确 “要求 - 检测 - 判定 - 处置” 流程）</w:t>
            </w:r>
          </w:p>
        </w:tc>
        <w:tc>
          <w:tcPr>
            <w:tcW w:w="3118" w:type="dxa"/>
            <w:shd w:val="clear" w:color="auto" w:fill="FFFFFF" w:themeFill="background1"/>
            <w:vAlign w:val="center"/>
          </w:tcPr>
          <w:p>
            <w:pPr>
              <w:ind w:firstLine="0" w:firstLineChars="0"/>
              <w:jc w:val="both"/>
              <w:rPr>
                <w:highlight w:val="none"/>
              </w:rPr>
            </w:pPr>
            <w:r>
              <w:rPr>
                <w:rFonts w:hint="eastAsia"/>
                <w:highlight w:val="none"/>
              </w:rPr>
              <w:t>技术量化（仅明确 “要达到什么标准”，不说明 “怎么检测、怎么处理”）</w:t>
            </w:r>
          </w:p>
        </w:tc>
        <w:tc>
          <w:tcPr>
            <w:tcW w:w="2977" w:type="dxa"/>
            <w:shd w:val="clear" w:color="auto" w:fill="FFFFFF" w:themeFill="background1"/>
            <w:vAlign w:val="center"/>
          </w:tcPr>
          <w:p>
            <w:pPr>
              <w:ind w:firstLine="0" w:firstLineChars="0"/>
              <w:jc w:val="both"/>
              <w:rPr>
                <w:highlight w:val="none"/>
              </w:rPr>
            </w:pPr>
            <w:r>
              <w:rPr>
                <w:rFonts w:hint="eastAsia"/>
                <w:highlight w:val="none"/>
              </w:rPr>
              <w:t>原则性指引（仅明确 “需符合什么方向”，不量化具体标准）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3" w:type="dxa"/>
            <w:shd w:val="clear" w:color="auto" w:fill="FFFFFF" w:themeFill="background1"/>
            <w:vAlign w:val="center"/>
          </w:tcPr>
          <w:p>
            <w:pPr>
              <w:ind w:firstLine="0" w:firstLineChars="0"/>
              <w:jc w:val="both"/>
              <w:rPr>
                <w:highlight w:val="none"/>
              </w:rPr>
            </w:pPr>
            <w:r>
              <w:rPr>
                <w:rFonts w:hint="eastAsia"/>
                <w:b/>
                <w:bCs/>
                <w:highlight w:val="none"/>
              </w:rPr>
              <w:t>约束力</w:t>
            </w:r>
          </w:p>
        </w:tc>
        <w:tc>
          <w:tcPr>
            <w:tcW w:w="2977" w:type="dxa"/>
            <w:shd w:val="clear" w:color="auto" w:fill="FFFFFF" w:themeFill="background1"/>
            <w:vAlign w:val="center"/>
          </w:tcPr>
          <w:p>
            <w:pPr>
              <w:ind w:firstLine="0" w:firstLineChars="0"/>
              <w:jc w:val="both"/>
              <w:rPr>
                <w:highlight w:val="none"/>
              </w:rPr>
            </w:pPr>
            <w:r>
              <w:rPr>
                <w:rFonts w:hint="eastAsia"/>
                <w:highlight w:val="none"/>
              </w:rPr>
              <w:t>强（技术细节具体，可直接作为生产、检验、监管的依据）</w:t>
            </w:r>
          </w:p>
        </w:tc>
        <w:tc>
          <w:tcPr>
            <w:tcW w:w="3118" w:type="dxa"/>
            <w:shd w:val="clear" w:color="auto" w:fill="FFFFFF" w:themeFill="background1"/>
            <w:vAlign w:val="center"/>
          </w:tcPr>
          <w:p>
            <w:pPr>
              <w:ind w:firstLine="0" w:firstLineChars="0"/>
              <w:jc w:val="both"/>
              <w:rPr>
                <w:highlight w:val="none"/>
              </w:rPr>
            </w:pPr>
            <w:r>
              <w:rPr>
                <w:rFonts w:hint="eastAsia"/>
                <w:highlight w:val="none"/>
              </w:rPr>
              <w:t>中（仅技术指标可落地，需搭配其他标准完成检验与处置）</w:t>
            </w:r>
          </w:p>
        </w:tc>
        <w:tc>
          <w:tcPr>
            <w:tcW w:w="2977" w:type="dxa"/>
            <w:shd w:val="clear" w:color="auto" w:fill="FFFFFF" w:themeFill="background1"/>
            <w:vAlign w:val="center"/>
          </w:tcPr>
          <w:p>
            <w:pPr>
              <w:ind w:firstLine="0" w:firstLineChars="0"/>
              <w:jc w:val="both"/>
              <w:rPr>
                <w:highlight w:val="none"/>
              </w:rPr>
            </w:pPr>
            <w:r>
              <w:rPr>
                <w:rFonts w:hint="eastAsia"/>
                <w:highlight w:val="none"/>
              </w:rPr>
              <w:t>弱（仅提供框架，需配套专项标准才能落地）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c>
          <w:tcPr>
            <w:tcW w:w="993" w:type="dxa"/>
            <w:shd w:val="clear" w:color="auto" w:fill="FFFFFF" w:themeFill="background1"/>
            <w:vAlign w:val="center"/>
          </w:tcPr>
          <w:p>
            <w:pPr>
              <w:ind w:firstLine="0" w:firstLineChars="0"/>
              <w:jc w:val="both"/>
              <w:rPr>
                <w:highlight w:val="none"/>
              </w:rPr>
            </w:pPr>
            <w:r>
              <w:rPr>
                <w:rFonts w:hint="eastAsia"/>
                <w:b/>
                <w:bCs/>
                <w:highlight w:val="none"/>
              </w:rPr>
              <w:t>适用场景</w:t>
            </w:r>
          </w:p>
        </w:tc>
        <w:tc>
          <w:tcPr>
            <w:tcW w:w="2977" w:type="dxa"/>
            <w:shd w:val="clear" w:color="auto" w:fill="FFFFFF" w:themeFill="background1"/>
            <w:vAlign w:val="center"/>
          </w:tcPr>
          <w:p>
            <w:pPr>
              <w:ind w:firstLine="0" w:firstLineChars="0"/>
              <w:jc w:val="both"/>
              <w:rPr>
                <w:highlight w:val="none"/>
              </w:rPr>
            </w:pPr>
            <w:r>
              <w:rPr>
                <w:rFonts w:hint="eastAsia"/>
                <w:highlight w:val="none"/>
              </w:rPr>
              <w:t>需全环节管控、多场景适配（如进出口 + 跨境电商）的产品</w:t>
            </w:r>
          </w:p>
        </w:tc>
        <w:tc>
          <w:tcPr>
            <w:tcW w:w="3118" w:type="dxa"/>
            <w:shd w:val="clear" w:color="auto" w:fill="FFFFFF" w:themeFill="background1"/>
            <w:vAlign w:val="center"/>
          </w:tcPr>
          <w:p>
            <w:pPr>
              <w:ind w:firstLine="0" w:firstLineChars="0"/>
              <w:jc w:val="both"/>
              <w:rPr>
                <w:highlight w:val="none"/>
              </w:rPr>
            </w:pPr>
            <w:r>
              <w:rPr>
                <w:rFonts w:hint="eastAsia"/>
                <w:highlight w:val="none"/>
              </w:rPr>
              <w:t>仅需统一技术指标，无需覆盖全链条的产品 / 过程</w:t>
            </w:r>
          </w:p>
        </w:tc>
        <w:tc>
          <w:tcPr>
            <w:tcW w:w="2977" w:type="dxa"/>
            <w:shd w:val="clear" w:color="auto" w:fill="FFFFFF" w:themeFill="background1"/>
            <w:vAlign w:val="center"/>
          </w:tcPr>
          <w:p>
            <w:pPr>
              <w:ind w:firstLine="0" w:firstLineChars="0"/>
              <w:jc w:val="both"/>
              <w:rPr>
                <w:highlight w:val="none"/>
              </w:rPr>
            </w:pPr>
            <w:r>
              <w:rPr>
                <w:rFonts w:hint="eastAsia"/>
                <w:highlight w:val="none"/>
              </w:rPr>
              <w:t>行业顶层框架性文件，用于界定领域边界、统一基本共识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c>
          <w:tcPr>
            <w:tcW w:w="993" w:type="dxa"/>
            <w:shd w:val="clear" w:color="auto" w:fill="FFFFFF" w:themeFill="background1"/>
            <w:vAlign w:val="center"/>
          </w:tcPr>
          <w:p>
            <w:pPr>
              <w:ind w:firstLine="0" w:firstLineChars="0"/>
              <w:jc w:val="both"/>
              <w:rPr>
                <w:highlight w:val="none"/>
              </w:rPr>
            </w:pPr>
            <w:r>
              <w:rPr>
                <w:rFonts w:hint="eastAsia"/>
                <w:b/>
                <w:bCs/>
                <w:highlight w:val="none"/>
              </w:rPr>
              <w:t>典型示例</w:t>
            </w:r>
          </w:p>
        </w:tc>
        <w:tc>
          <w:tcPr>
            <w:tcW w:w="2977" w:type="dxa"/>
            <w:shd w:val="clear" w:color="auto" w:fill="FFFFFF" w:themeFill="background1"/>
            <w:vAlign w:val="center"/>
          </w:tcPr>
          <w:p>
            <w:pPr>
              <w:ind w:firstLine="0" w:firstLineChars="0"/>
              <w:jc w:val="both"/>
              <w:rPr>
                <w:highlight w:val="none"/>
              </w:rPr>
            </w:pPr>
            <w:r>
              <w:rPr>
                <w:rFonts w:hint="eastAsia"/>
                <w:highlight w:val="none"/>
              </w:rPr>
              <w:t>GB20097-2025防护服装_通用技术规范</w:t>
            </w:r>
          </w:p>
          <w:p>
            <w:pPr>
              <w:ind w:firstLine="0" w:firstLineChars="0"/>
              <w:jc w:val="both"/>
              <w:rPr>
                <w:highlight w:val="none"/>
              </w:rPr>
            </w:pPr>
            <w:r>
              <w:rPr>
                <w:rFonts w:hint="eastAsia"/>
                <w:highlight w:val="none"/>
              </w:rPr>
              <w:t>GB/T 46511-2025《食品数字化工厂通用技术规范》</w:t>
            </w:r>
          </w:p>
        </w:tc>
        <w:tc>
          <w:tcPr>
            <w:tcW w:w="3118" w:type="dxa"/>
            <w:shd w:val="clear" w:color="auto" w:fill="FFFFFF" w:themeFill="background1"/>
            <w:vAlign w:val="center"/>
          </w:tcPr>
          <w:p>
            <w:pPr>
              <w:ind w:firstLine="0" w:firstLineChars="0"/>
              <w:jc w:val="both"/>
              <w:rPr>
                <w:highlight w:val="none"/>
              </w:rPr>
            </w:pPr>
            <w:r>
              <w:rPr>
                <w:rFonts w:hint="eastAsia"/>
                <w:highlight w:val="none"/>
              </w:rPr>
              <w:t>GB/T 18006.1—2025《塑料一次性餐饮具通用技术要求》</w:t>
            </w:r>
          </w:p>
          <w:p>
            <w:pPr>
              <w:ind w:firstLine="0" w:firstLineChars="0"/>
              <w:jc w:val="both"/>
              <w:rPr>
                <w:highlight w:val="none"/>
              </w:rPr>
            </w:pPr>
            <w:r>
              <w:rPr>
                <w:rFonts w:hint="eastAsia"/>
                <w:highlight w:val="none"/>
              </w:rPr>
              <w:t>GB/T 36975-2018《鞋类通用技术要求》</w:t>
            </w:r>
          </w:p>
        </w:tc>
        <w:tc>
          <w:tcPr>
            <w:tcW w:w="2977" w:type="dxa"/>
            <w:shd w:val="clear" w:color="auto" w:fill="FFFFFF" w:themeFill="background1"/>
            <w:vAlign w:val="center"/>
          </w:tcPr>
          <w:p>
            <w:pPr>
              <w:ind w:firstLine="0" w:firstLineChars="0"/>
              <w:jc w:val="both"/>
              <w:rPr>
                <w:highlight w:val="none"/>
              </w:rPr>
            </w:pPr>
            <w:r>
              <w:rPr>
                <w:rFonts w:hint="eastAsia"/>
                <w:highlight w:val="none"/>
              </w:rPr>
              <w:t>GB 27951-2021《皮肤消毒剂通用要求》</w:t>
            </w:r>
          </w:p>
          <w:p>
            <w:pPr>
              <w:ind w:firstLine="0" w:firstLineChars="0"/>
              <w:jc w:val="both"/>
              <w:rPr>
                <w:highlight w:val="none"/>
              </w:rPr>
            </w:pPr>
            <w:r>
              <w:rPr>
                <w:rFonts w:hint="eastAsia"/>
                <w:highlight w:val="none"/>
              </w:rPr>
              <w:t>GB/T 22000-2018《食品安全管理体系 通用要求》</w:t>
            </w:r>
          </w:p>
        </w:tc>
      </w:tr>
    </w:tbl>
    <w:p>
      <w:pPr>
        <w:ind w:firstLine="420"/>
        <w:rPr>
          <w:highlight w:val="none"/>
        </w:rPr>
      </w:pPr>
    </w:p>
    <w:p>
      <w:pPr>
        <w:pStyle w:val="4"/>
        <w:ind w:firstLine="240"/>
        <w:rPr>
          <w:highlight w:val="none"/>
        </w:rPr>
      </w:pPr>
      <w:bookmarkStart w:id="10" w:name="_Toc234510483"/>
      <w:r>
        <w:rPr>
          <w:rFonts w:hint="eastAsia"/>
          <w:highlight w:val="none"/>
        </w:rPr>
        <w:t>2、标准文件体例确定</w:t>
      </w:r>
      <w:bookmarkEnd w:id="10"/>
    </w:p>
    <w:p>
      <w:pPr>
        <w:ind w:firstLine="420"/>
        <w:jc w:val="both"/>
        <w:rPr>
          <w:highlight w:val="none"/>
        </w:rPr>
      </w:pPr>
      <w:r>
        <w:rPr>
          <w:rFonts w:hint="eastAsia"/>
          <w:highlight w:val="none"/>
        </w:rPr>
        <w:t>起草组参考国家标准、行业标准中 “通用要求” 类标准的体例框架（详见下表），结合膳食营养补充剂产品特点与行业发展需求，确定本标准体例结构为：范围、规范性引用文件、术语和定义、分类、基本要求、原辅料要求、产品研发、产品质量要求、生产过程要求、标识、包装、运输、储存、追溯、产品信息展示与宣传要求。</w:t>
      </w:r>
    </w:p>
    <w:p>
      <w:pPr>
        <w:ind w:firstLine="420"/>
        <w:jc w:val="both"/>
        <w:rPr>
          <w:highlight w:val="none"/>
        </w:rPr>
      </w:pPr>
      <w:r>
        <w:rPr>
          <w:rFonts w:hint="eastAsia"/>
          <w:highlight w:val="none"/>
        </w:rPr>
        <w:t>鉴于膳食营养补充剂具有一定的功能属性、产品研发要求较高、宣传行为需严格规范等特点，为鼓励促进源头研发，引导行业基于产品属性与科学依据开展信息展示与宣传，杜绝夸大、虚假宣传，本标准在体例中专门增设产品研发及产品信息展示与宣传相关要求。</w:t>
      </w:r>
    </w:p>
    <w:p>
      <w:pPr>
        <w:ind w:firstLine="420"/>
        <w:jc w:val="both"/>
        <w:rPr>
          <w:highlight w:val="none"/>
        </w:rPr>
      </w:pPr>
      <w:bookmarkStart w:id="11" w:name="OLE_LINK6"/>
      <w:r>
        <w:rPr>
          <w:rFonts w:hint="eastAsia"/>
          <w:highlight w:val="none"/>
        </w:rPr>
        <w:t>本标准定位为膳食营养补充剂行业顶层通用要求，旨在界定领域边界、统一行业基本共识，仅提出高质量导向要求。依据 GB/T 1.1-2020 及通用要求类标准编写惯例，本标准不增设检验规则章节；具体检验方法、抽样与判定规则由下游专项产品标准配套制定。</w:t>
      </w:r>
    </w:p>
    <w:bookmarkEnd w:id="11"/>
    <w:tbl>
      <w:tblPr>
        <w:tblStyle w:val="2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551"/>
        <w:gridCol w:w="2410"/>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体例</w:t>
            </w:r>
          </w:p>
        </w:tc>
        <w:tc>
          <w:tcPr>
            <w:tcW w:w="2551" w:type="dxa"/>
          </w:tcPr>
          <w:p>
            <w:pPr>
              <w:ind w:firstLine="0" w:firstLineChars="0"/>
              <w:jc w:val="both"/>
              <w:rPr>
                <w:b/>
                <w:bCs/>
                <w:highlight w:val="none"/>
              </w:rPr>
            </w:pPr>
            <w:r>
              <w:rPr>
                <w:rFonts w:hint="eastAsia"/>
                <w:b/>
                <w:bCs/>
                <w:highlight w:val="none"/>
              </w:rPr>
              <w:t>微生物饲料添加通用要求（GB/T 23181）</w:t>
            </w:r>
          </w:p>
        </w:tc>
        <w:tc>
          <w:tcPr>
            <w:tcW w:w="2410" w:type="dxa"/>
          </w:tcPr>
          <w:p>
            <w:pPr>
              <w:ind w:firstLine="0" w:firstLineChars="0"/>
              <w:jc w:val="both"/>
              <w:rPr>
                <w:b/>
                <w:bCs/>
                <w:highlight w:val="none"/>
              </w:rPr>
            </w:pPr>
            <w:r>
              <w:rPr>
                <w:rFonts w:hint="eastAsia"/>
                <w:b/>
                <w:bCs/>
                <w:highlight w:val="none"/>
              </w:rPr>
              <w:t>饲料添加剂 无机酸通用要求 （GB/T 22143）</w:t>
            </w:r>
          </w:p>
        </w:tc>
        <w:tc>
          <w:tcPr>
            <w:tcW w:w="2410" w:type="dxa"/>
          </w:tcPr>
          <w:p>
            <w:pPr>
              <w:ind w:firstLine="0" w:firstLineChars="0"/>
              <w:jc w:val="both"/>
              <w:rPr>
                <w:b/>
                <w:bCs/>
                <w:highlight w:val="none"/>
              </w:rPr>
            </w:pPr>
            <w:r>
              <w:rPr>
                <w:rFonts w:hint="eastAsia"/>
                <w:b/>
                <w:bCs/>
                <w:highlight w:val="none"/>
              </w:rPr>
              <w:t>冻干宠物食品通用要求</w:t>
            </w:r>
          </w:p>
          <w:p>
            <w:pPr>
              <w:ind w:firstLine="0" w:firstLineChars="0"/>
              <w:jc w:val="both"/>
              <w:rPr>
                <w:b/>
                <w:bCs/>
                <w:highlight w:val="none"/>
              </w:rPr>
            </w:pPr>
            <w:r>
              <w:rPr>
                <w:rFonts w:hint="eastAsia"/>
                <w:b/>
                <w:bCs/>
                <w:highlight w:val="none"/>
              </w:rPr>
              <w:t xml:space="preserve">中华人民共和国农业行业标准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1范围</w:t>
            </w:r>
          </w:p>
        </w:tc>
        <w:tc>
          <w:tcPr>
            <w:tcW w:w="2551" w:type="dxa"/>
          </w:tcPr>
          <w:p>
            <w:pPr>
              <w:ind w:firstLine="0" w:firstLineChars="0"/>
              <w:jc w:val="both"/>
              <w:rPr>
                <w:highlight w:val="none"/>
              </w:rPr>
            </w:pPr>
            <w:r>
              <w:rPr>
                <w:rFonts w:hint="eastAsia"/>
                <w:highlight w:val="none"/>
              </w:rPr>
              <w:t>√</w:t>
            </w:r>
          </w:p>
        </w:tc>
        <w:tc>
          <w:tcPr>
            <w:tcW w:w="2410" w:type="dxa"/>
          </w:tcPr>
          <w:p>
            <w:pPr>
              <w:ind w:firstLine="0" w:firstLineChars="0"/>
              <w:jc w:val="both"/>
              <w:rPr>
                <w:highlight w:val="none"/>
              </w:rPr>
            </w:pPr>
            <w:r>
              <w:rPr>
                <w:rFonts w:hint="eastAsia"/>
                <w:highlight w:val="none"/>
              </w:rPr>
              <w:t>√</w:t>
            </w:r>
          </w:p>
        </w:tc>
        <w:tc>
          <w:tcPr>
            <w:tcW w:w="2410" w:type="dxa"/>
          </w:tcPr>
          <w:p>
            <w:pPr>
              <w:ind w:firstLine="0" w:firstLineChars="0"/>
              <w:jc w:val="both"/>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2规范性引用文件</w:t>
            </w:r>
          </w:p>
        </w:tc>
        <w:tc>
          <w:tcPr>
            <w:tcW w:w="2551" w:type="dxa"/>
          </w:tcPr>
          <w:p>
            <w:pPr>
              <w:ind w:firstLine="0" w:firstLineChars="0"/>
              <w:jc w:val="both"/>
              <w:rPr>
                <w:highlight w:val="none"/>
              </w:rPr>
            </w:pPr>
            <w:r>
              <w:rPr>
                <w:rFonts w:hint="eastAsia"/>
                <w:highlight w:val="none"/>
              </w:rPr>
              <w:t>√</w:t>
            </w:r>
          </w:p>
        </w:tc>
        <w:tc>
          <w:tcPr>
            <w:tcW w:w="2410" w:type="dxa"/>
          </w:tcPr>
          <w:p>
            <w:pPr>
              <w:ind w:firstLine="0" w:firstLineChars="0"/>
              <w:jc w:val="both"/>
              <w:rPr>
                <w:highlight w:val="none"/>
              </w:rPr>
            </w:pPr>
            <w:r>
              <w:rPr>
                <w:rFonts w:hint="eastAsia"/>
                <w:highlight w:val="none"/>
              </w:rPr>
              <w:t>√</w:t>
            </w:r>
          </w:p>
        </w:tc>
        <w:tc>
          <w:tcPr>
            <w:tcW w:w="2410" w:type="dxa"/>
          </w:tcPr>
          <w:p>
            <w:pPr>
              <w:ind w:firstLine="0" w:firstLineChars="0"/>
              <w:jc w:val="both"/>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3术语和定义</w:t>
            </w:r>
          </w:p>
        </w:tc>
        <w:tc>
          <w:tcPr>
            <w:tcW w:w="2551" w:type="dxa"/>
          </w:tcPr>
          <w:p>
            <w:pPr>
              <w:ind w:firstLine="0" w:firstLineChars="0"/>
              <w:jc w:val="both"/>
              <w:rPr>
                <w:highlight w:val="none"/>
              </w:rPr>
            </w:pPr>
            <w:r>
              <w:rPr>
                <w:rFonts w:hint="eastAsia"/>
                <w:highlight w:val="none"/>
              </w:rPr>
              <w:t>3术语和定义</w:t>
            </w:r>
          </w:p>
          <w:p>
            <w:pPr>
              <w:ind w:firstLine="0" w:firstLineChars="0"/>
              <w:jc w:val="both"/>
              <w:rPr>
                <w:highlight w:val="none"/>
              </w:rPr>
            </w:pPr>
            <w:r>
              <w:rPr>
                <w:rFonts w:hint="eastAsia"/>
                <w:highlight w:val="none"/>
              </w:rPr>
              <w:t>3.1微生物饲料添加剂</w:t>
            </w:r>
          </w:p>
          <w:p>
            <w:pPr>
              <w:ind w:firstLine="0" w:firstLineChars="0"/>
              <w:jc w:val="both"/>
              <w:rPr>
                <w:highlight w:val="none"/>
              </w:rPr>
            </w:pPr>
            <w:r>
              <w:rPr>
                <w:rFonts w:hint="eastAsia"/>
                <w:highlight w:val="none"/>
              </w:rPr>
              <w:t>3.1混合型微生物饲料添加剂</w:t>
            </w:r>
          </w:p>
        </w:tc>
        <w:tc>
          <w:tcPr>
            <w:tcW w:w="2410" w:type="dxa"/>
          </w:tcPr>
          <w:p>
            <w:pPr>
              <w:ind w:firstLine="0" w:firstLineChars="0"/>
              <w:jc w:val="both"/>
              <w:rPr>
                <w:highlight w:val="none"/>
              </w:rPr>
            </w:pPr>
          </w:p>
        </w:tc>
        <w:tc>
          <w:tcPr>
            <w:tcW w:w="2410" w:type="dxa"/>
          </w:tcPr>
          <w:p>
            <w:pPr>
              <w:ind w:firstLine="0" w:firstLineChars="0"/>
              <w:jc w:val="both"/>
              <w:rPr>
                <w:highlight w:val="none"/>
              </w:rPr>
            </w:pPr>
            <w:r>
              <w:rPr>
                <w:rFonts w:hint="eastAsia"/>
                <w:highlight w:val="none"/>
              </w:rPr>
              <w:t>3.1真空冷冻干燥</w:t>
            </w:r>
          </w:p>
          <w:p>
            <w:pPr>
              <w:ind w:firstLine="0" w:firstLineChars="0"/>
              <w:jc w:val="both"/>
              <w:rPr>
                <w:highlight w:val="none"/>
              </w:rPr>
            </w:pPr>
            <w:r>
              <w:rPr>
                <w:rFonts w:hint="eastAsia"/>
                <w:highlight w:val="none"/>
              </w:rPr>
              <w:t>3.2冻干</w:t>
            </w:r>
          </w:p>
          <w:p>
            <w:pPr>
              <w:ind w:firstLine="0" w:firstLineChars="0"/>
              <w:jc w:val="both"/>
              <w:rPr>
                <w:highlight w:val="none"/>
              </w:rPr>
            </w:pPr>
            <w:r>
              <w:rPr>
                <w:rFonts w:hint="eastAsia"/>
                <w:highlight w:val="none"/>
              </w:rPr>
              <w:t>3.3冻干宠物食品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4原料</w:t>
            </w:r>
          </w:p>
        </w:tc>
        <w:tc>
          <w:tcPr>
            <w:tcW w:w="2551" w:type="dxa"/>
          </w:tcPr>
          <w:p>
            <w:pPr>
              <w:ind w:firstLine="0" w:firstLineChars="0"/>
              <w:jc w:val="both"/>
              <w:rPr>
                <w:highlight w:val="none"/>
              </w:rPr>
            </w:pPr>
            <w:r>
              <w:rPr>
                <w:rFonts w:hint="eastAsia"/>
                <w:highlight w:val="none"/>
              </w:rPr>
              <w:t>4 原料和菌种</w:t>
            </w:r>
          </w:p>
          <w:p>
            <w:pPr>
              <w:ind w:firstLine="0" w:firstLineChars="0"/>
              <w:jc w:val="both"/>
              <w:rPr>
                <w:highlight w:val="none"/>
              </w:rPr>
            </w:pPr>
            <w:r>
              <w:rPr>
                <w:rFonts w:hint="eastAsia"/>
                <w:highlight w:val="none"/>
              </w:rPr>
              <w:t>4.1原料</w:t>
            </w:r>
          </w:p>
          <w:p>
            <w:pPr>
              <w:ind w:firstLine="0" w:firstLineChars="0"/>
              <w:jc w:val="both"/>
              <w:rPr>
                <w:highlight w:val="none"/>
              </w:rPr>
            </w:pPr>
            <w:r>
              <w:rPr>
                <w:rFonts w:hint="eastAsia"/>
                <w:highlight w:val="none"/>
              </w:rPr>
              <w:t>4.2菌种</w:t>
            </w:r>
          </w:p>
        </w:tc>
        <w:tc>
          <w:tcPr>
            <w:tcW w:w="2410" w:type="dxa"/>
          </w:tcPr>
          <w:p>
            <w:pPr>
              <w:ind w:firstLine="0" w:firstLineChars="0"/>
              <w:jc w:val="both"/>
              <w:rPr>
                <w:highlight w:val="none"/>
              </w:rPr>
            </w:pPr>
          </w:p>
        </w:tc>
        <w:tc>
          <w:tcPr>
            <w:tcW w:w="2410" w:type="dxa"/>
          </w:tcPr>
          <w:p>
            <w:pPr>
              <w:ind w:firstLine="0" w:firstLineChars="0"/>
              <w:jc w:val="both"/>
              <w:rPr>
                <w:highlight w:val="none"/>
              </w:rPr>
            </w:pPr>
            <w:r>
              <w:rPr>
                <w:rFonts w:hint="eastAsia"/>
                <w:highlight w:val="none"/>
              </w:rPr>
              <w:t>4.1原料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5技术要求</w:t>
            </w:r>
          </w:p>
        </w:tc>
        <w:tc>
          <w:tcPr>
            <w:tcW w:w="2551" w:type="dxa"/>
          </w:tcPr>
          <w:p>
            <w:pPr>
              <w:ind w:firstLine="0" w:firstLineChars="0"/>
              <w:jc w:val="both"/>
              <w:rPr>
                <w:highlight w:val="none"/>
              </w:rPr>
            </w:pPr>
            <w:r>
              <w:rPr>
                <w:rFonts w:hint="eastAsia"/>
                <w:highlight w:val="none"/>
              </w:rPr>
              <w:t>5技术要求</w:t>
            </w:r>
          </w:p>
          <w:p>
            <w:pPr>
              <w:ind w:firstLine="0" w:firstLineChars="0"/>
              <w:jc w:val="both"/>
              <w:rPr>
                <w:highlight w:val="none"/>
              </w:rPr>
            </w:pPr>
            <w:r>
              <w:rPr>
                <w:rFonts w:hint="eastAsia"/>
                <w:highlight w:val="none"/>
              </w:rPr>
              <w:t>5.1外观与性状</w:t>
            </w:r>
          </w:p>
          <w:p>
            <w:pPr>
              <w:ind w:firstLine="0" w:firstLineChars="0"/>
              <w:jc w:val="both"/>
              <w:rPr>
                <w:highlight w:val="none"/>
              </w:rPr>
            </w:pPr>
            <w:r>
              <w:rPr>
                <w:rFonts w:hint="eastAsia"/>
                <w:highlight w:val="none"/>
              </w:rPr>
              <w:t>5.2质量指标</w:t>
            </w:r>
          </w:p>
          <w:p>
            <w:pPr>
              <w:ind w:firstLine="0" w:firstLineChars="0"/>
              <w:jc w:val="both"/>
              <w:rPr>
                <w:highlight w:val="none"/>
              </w:rPr>
            </w:pPr>
            <w:r>
              <w:rPr>
                <w:rFonts w:hint="eastAsia"/>
                <w:highlight w:val="none"/>
              </w:rPr>
              <w:t>5.3卫生指标（重金属、污染物）</w:t>
            </w:r>
          </w:p>
        </w:tc>
        <w:tc>
          <w:tcPr>
            <w:tcW w:w="2410" w:type="dxa"/>
          </w:tcPr>
          <w:p>
            <w:pPr>
              <w:ind w:firstLine="0" w:firstLineChars="0"/>
              <w:jc w:val="both"/>
              <w:rPr>
                <w:highlight w:val="none"/>
              </w:rPr>
            </w:pPr>
            <w:r>
              <w:rPr>
                <w:rFonts w:hint="eastAsia"/>
                <w:highlight w:val="none"/>
              </w:rPr>
              <w:t>3 技术要求</w:t>
            </w:r>
          </w:p>
          <w:p>
            <w:pPr>
              <w:ind w:firstLine="0" w:firstLineChars="0"/>
              <w:jc w:val="both"/>
              <w:rPr>
                <w:highlight w:val="none"/>
              </w:rPr>
            </w:pPr>
            <w:r>
              <w:rPr>
                <w:rFonts w:hint="eastAsia"/>
                <w:highlight w:val="none"/>
              </w:rPr>
              <w:t>3.1感官指标</w:t>
            </w:r>
          </w:p>
          <w:p>
            <w:pPr>
              <w:ind w:firstLine="0" w:firstLineChars="0"/>
              <w:jc w:val="both"/>
              <w:rPr>
                <w:highlight w:val="none"/>
              </w:rPr>
            </w:pPr>
            <w:r>
              <w:rPr>
                <w:rFonts w:hint="eastAsia"/>
                <w:highlight w:val="none"/>
              </w:rPr>
              <w:t>3.2产品质量指标</w:t>
            </w:r>
          </w:p>
          <w:p>
            <w:pPr>
              <w:ind w:firstLine="0" w:firstLineChars="0"/>
              <w:jc w:val="both"/>
              <w:rPr>
                <w:highlight w:val="none"/>
              </w:rPr>
            </w:pPr>
            <w:r>
              <w:rPr>
                <w:rFonts w:hint="eastAsia"/>
                <w:highlight w:val="none"/>
              </w:rPr>
              <w:t>3.3有害有毒物质和杂质指标</w:t>
            </w:r>
          </w:p>
        </w:tc>
        <w:tc>
          <w:tcPr>
            <w:tcW w:w="2410" w:type="dxa"/>
          </w:tcPr>
          <w:p>
            <w:pPr>
              <w:ind w:firstLine="0" w:firstLineChars="0"/>
              <w:jc w:val="both"/>
              <w:rPr>
                <w:highlight w:val="none"/>
              </w:rPr>
            </w:pPr>
            <w:r>
              <w:rPr>
                <w:rFonts w:hint="eastAsia"/>
                <w:highlight w:val="none"/>
              </w:rPr>
              <w:t>4.2产品</w:t>
            </w:r>
          </w:p>
          <w:p>
            <w:pPr>
              <w:ind w:firstLine="0" w:firstLineChars="0"/>
              <w:jc w:val="both"/>
              <w:rPr>
                <w:highlight w:val="none"/>
              </w:rPr>
            </w:pPr>
            <w:r>
              <w:rPr>
                <w:rFonts w:hint="eastAsia"/>
                <w:highlight w:val="none"/>
              </w:rPr>
              <w:t>4.2.1外观与性状（色泽、气味、形态、状态、复水性）</w:t>
            </w:r>
          </w:p>
          <w:p>
            <w:pPr>
              <w:ind w:firstLine="0" w:firstLineChars="0"/>
              <w:jc w:val="both"/>
              <w:rPr>
                <w:highlight w:val="none"/>
              </w:rPr>
            </w:pPr>
            <w:r>
              <w:rPr>
                <w:rFonts w:hint="eastAsia"/>
                <w:highlight w:val="none"/>
              </w:rPr>
              <w:t>4.2.2理化指标</w:t>
            </w:r>
          </w:p>
          <w:p>
            <w:pPr>
              <w:ind w:firstLine="0" w:firstLineChars="0"/>
              <w:jc w:val="both"/>
              <w:rPr>
                <w:highlight w:val="none"/>
              </w:rPr>
            </w:pPr>
            <w:r>
              <w:rPr>
                <w:rFonts w:hint="eastAsia"/>
                <w:highlight w:val="none"/>
              </w:rPr>
              <w:t>4.2.3卫生指标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6采样</w:t>
            </w:r>
          </w:p>
        </w:tc>
        <w:tc>
          <w:tcPr>
            <w:tcW w:w="2551" w:type="dxa"/>
          </w:tcPr>
          <w:p>
            <w:pPr>
              <w:ind w:firstLine="0" w:firstLineChars="0"/>
              <w:jc w:val="both"/>
              <w:rPr>
                <w:highlight w:val="none"/>
              </w:rPr>
            </w:pPr>
            <w:r>
              <w:rPr>
                <w:rFonts w:hint="eastAsia"/>
                <w:highlight w:val="none"/>
              </w:rPr>
              <w:t>√</w:t>
            </w:r>
          </w:p>
        </w:tc>
        <w:tc>
          <w:tcPr>
            <w:tcW w:w="2410" w:type="dxa"/>
          </w:tcPr>
          <w:p>
            <w:pPr>
              <w:ind w:firstLine="0" w:firstLineChars="0"/>
              <w:jc w:val="both"/>
              <w:rPr>
                <w:highlight w:val="none"/>
              </w:rPr>
            </w:pPr>
          </w:p>
        </w:tc>
        <w:tc>
          <w:tcPr>
            <w:tcW w:w="2410" w:type="dxa"/>
          </w:tcPr>
          <w:p>
            <w:pPr>
              <w:ind w:firstLine="0" w:firstLineChars="0"/>
              <w:jc w:val="both"/>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7试验方法</w:t>
            </w:r>
          </w:p>
        </w:tc>
        <w:tc>
          <w:tcPr>
            <w:tcW w:w="2551" w:type="dxa"/>
          </w:tcPr>
          <w:p>
            <w:pPr>
              <w:ind w:firstLine="0" w:firstLineChars="0"/>
              <w:jc w:val="both"/>
              <w:rPr>
                <w:highlight w:val="none"/>
              </w:rPr>
            </w:pPr>
            <w:r>
              <w:rPr>
                <w:rFonts w:hint="eastAsia"/>
                <w:highlight w:val="none"/>
              </w:rPr>
              <w:t>√</w:t>
            </w:r>
          </w:p>
        </w:tc>
        <w:tc>
          <w:tcPr>
            <w:tcW w:w="2410" w:type="dxa"/>
          </w:tcPr>
          <w:p>
            <w:pPr>
              <w:ind w:firstLine="0" w:firstLineChars="0"/>
              <w:jc w:val="both"/>
              <w:rPr>
                <w:highlight w:val="none"/>
              </w:rPr>
            </w:pPr>
            <w:r>
              <w:rPr>
                <w:rFonts w:hint="eastAsia"/>
                <w:highlight w:val="none"/>
              </w:rPr>
              <w:t>4检测方法</w:t>
            </w:r>
          </w:p>
        </w:tc>
        <w:tc>
          <w:tcPr>
            <w:tcW w:w="2410" w:type="dxa"/>
          </w:tcPr>
          <w:p>
            <w:pPr>
              <w:ind w:firstLine="0" w:firstLineChars="0"/>
              <w:jc w:val="both"/>
              <w:rPr>
                <w:highlight w:val="none"/>
              </w:rPr>
            </w:pPr>
            <w:r>
              <w:rPr>
                <w:rFonts w:hint="eastAsia"/>
                <w:highlight w:val="none"/>
              </w:rPr>
              <w:t>5试验方法</w:t>
            </w:r>
          </w:p>
          <w:p>
            <w:pPr>
              <w:ind w:firstLine="0" w:firstLineChars="0"/>
              <w:jc w:val="both"/>
              <w:rPr>
                <w:highlight w:val="none"/>
              </w:rPr>
            </w:pPr>
            <w:r>
              <w:rPr>
                <w:rFonts w:hint="eastAsia"/>
                <w:highlight w:val="none"/>
              </w:rPr>
              <w:t>6抽样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8检验规则</w:t>
            </w:r>
          </w:p>
        </w:tc>
        <w:tc>
          <w:tcPr>
            <w:tcW w:w="2551" w:type="dxa"/>
          </w:tcPr>
          <w:p>
            <w:pPr>
              <w:ind w:firstLine="0" w:firstLineChars="0"/>
              <w:jc w:val="both"/>
              <w:rPr>
                <w:highlight w:val="none"/>
              </w:rPr>
            </w:pPr>
            <w:r>
              <w:rPr>
                <w:rFonts w:hint="eastAsia"/>
                <w:highlight w:val="none"/>
              </w:rPr>
              <w:t>8.1 组批</w:t>
            </w:r>
          </w:p>
          <w:p>
            <w:pPr>
              <w:ind w:firstLine="0" w:firstLineChars="0"/>
              <w:jc w:val="both"/>
              <w:rPr>
                <w:highlight w:val="none"/>
              </w:rPr>
            </w:pPr>
            <w:r>
              <w:rPr>
                <w:rFonts w:hint="eastAsia"/>
                <w:highlight w:val="none"/>
              </w:rPr>
              <w:t>8.2 出厂检验</w:t>
            </w:r>
          </w:p>
          <w:p>
            <w:pPr>
              <w:ind w:firstLine="0" w:firstLineChars="0"/>
              <w:jc w:val="both"/>
              <w:rPr>
                <w:highlight w:val="none"/>
              </w:rPr>
            </w:pPr>
            <w:r>
              <w:rPr>
                <w:rFonts w:hint="eastAsia"/>
                <w:highlight w:val="none"/>
              </w:rPr>
              <w:t>8.3 型式检验</w:t>
            </w:r>
          </w:p>
          <w:p>
            <w:pPr>
              <w:ind w:firstLine="0" w:firstLineChars="0"/>
              <w:jc w:val="both"/>
              <w:rPr>
                <w:highlight w:val="none"/>
              </w:rPr>
            </w:pPr>
            <w:r>
              <w:rPr>
                <w:rFonts w:hint="eastAsia"/>
                <w:highlight w:val="none"/>
              </w:rPr>
              <w:t>8.4 判定规则</w:t>
            </w:r>
          </w:p>
        </w:tc>
        <w:tc>
          <w:tcPr>
            <w:tcW w:w="2410" w:type="dxa"/>
          </w:tcPr>
          <w:p>
            <w:pPr>
              <w:ind w:firstLine="0" w:firstLineChars="0"/>
              <w:jc w:val="both"/>
              <w:rPr>
                <w:highlight w:val="none"/>
              </w:rPr>
            </w:pPr>
            <w:r>
              <w:rPr>
                <w:rFonts w:hint="eastAsia"/>
                <w:highlight w:val="none"/>
              </w:rPr>
              <w:t>5检验规则</w:t>
            </w:r>
          </w:p>
          <w:p>
            <w:pPr>
              <w:ind w:firstLine="0" w:firstLineChars="0"/>
              <w:jc w:val="both"/>
              <w:rPr>
                <w:highlight w:val="none"/>
              </w:rPr>
            </w:pPr>
            <w:r>
              <w:rPr>
                <w:rFonts w:hint="eastAsia"/>
                <w:highlight w:val="none"/>
              </w:rPr>
              <w:t>5.1检验</w:t>
            </w:r>
          </w:p>
          <w:p>
            <w:pPr>
              <w:ind w:firstLine="0" w:firstLineChars="0"/>
              <w:jc w:val="both"/>
              <w:rPr>
                <w:highlight w:val="none"/>
              </w:rPr>
            </w:pPr>
            <w:r>
              <w:rPr>
                <w:rFonts w:hint="eastAsia"/>
                <w:highlight w:val="none"/>
              </w:rPr>
              <w:t>5.2抽样比例和方法</w:t>
            </w:r>
          </w:p>
          <w:p>
            <w:pPr>
              <w:ind w:firstLine="0" w:firstLineChars="0"/>
              <w:jc w:val="both"/>
              <w:rPr>
                <w:highlight w:val="none"/>
              </w:rPr>
            </w:pPr>
            <w:r>
              <w:rPr>
                <w:rFonts w:hint="eastAsia"/>
                <w:highlight w:val="none"/>
              </w:rPr>
              <w:t>5.3复检</w:t>
            </w:r>
          </w:p>
        </w:tc>
        <w:tc>
          <w:tcPr>
            <w:tcW w:w="2410" w:type="dxa"/>
          </w:tcPr>
          <w:p>
            <w:pPr>
              <w:ind w:firstLine="0" w:firstLineChars="0"/>
              <w:jc w:val="both"/>
              <w:rPr>
                <w:highlight w:val="none"/>
              </w:rPr>
            </w:pPr>
            <w:r>
              <w:rPr>
                <w:rFonts w:hint="eastAsia"/>
                <w:highlight w:val="none"/>
              </w:rPr>
              <w:t>7检验规则</w:t>
            </w:r>
          </w:p>
          <w:p>
            <w:pPr>
              <w:ind w:firstLine="0" w:firstLineChars="0"/>
              <w:jc w:val="both"/>
              <w:rPr>
                <w:highlight w:val="none"/>
              </w:rPr>
            </w:pPr>
            <w:r>
              <w:rPr>
                <w:rFonts w:hint="eastAsia"/>
                <w:highlight w:val="none"/>
              </w:rPr>
              <w:t>7.1组批</w:t>
            </w:r>
          </w:p>
          <w:p>
            <w:pPr>
              <w:ind w:firstLine="0" w:firstLineChars="0"/>
              <w:jc w:val="both"/>
              <w:rPr>
                <w:highlight w:val="none"/>
              </w:rPr>
            </w:pPr>
            <w:r>
              <w:rPr>
                <w:rFonts w:hint="eastAsia"/>
                <w:highlight w:val="none"/>
              </w:rPr>
              <w:t>7.2出厂检验</w:t>
            </w:r>
          </w:p>
          <w:p>
            <w:pPr>
              <w:ind w:firstLine="0" w:firstLineChars="0"/>
              <w:jc w:val="both"/>
              <w:rPr>
                <w:highlight w:val="none"/>
              </w:rPr>
            </w:pPr>
            <w:r>
              <w:rPr>
                <w:rFonts w:hint="eastAsia"/>
                <w:highlight w:val="none"/>
              </w:rPr>
              <w:t>7.3型式检验</w:t>
            </w:r>
          </w:p>
          <w:p>
            <w:pPr>
              <w:ind w:firstLine="0" w:firstLineChars="0"/>
              <w:jc w:val="both"/>
              <w:rPr>
                <w:highlight w:val="none"/>
              </w:rPr>
            </w:pPr>
            <w:r>
              <w:rPr>
                <w:rFonts w:hint="eastAsia"/>
                <w:highlight w:val="none"/>
              </w:rPr>
              <w:t>7.4判定规则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ind w:firstLine="0" w:firstLineChars="0"/>
              <w:jc w:val="both"/>
              <w:rPr>
                <w:b/>
                <w:bCs/>
                <w:highlight w:val="none"/>
              </w:rPr>
            </w:pPr>
            <w:r>
              <w:rPr>
                <w:rFonts w:hint="eastAsia"/>
                <w:b/>
                <w:bCs/>
                <w:highlight w:val="none"/>
              </w:rPr>
              <w:t>9 标签、包装、运输、贮存和保质期</w:t>
            </w:r>
          </w:p>
        </w:tc>
        <w:tc>
          <w:tcPr>
            <w:tcW w:w="2551" w:type="dxa"/>
          </w:tcPr>
          <w:p>
            <w:pPr>
              <w:ind w:firstLine="0" w:firstLineChars="0"/>
              <w:jc w:val="both"/>
              <w:rPr>
                <w:highlight w:val="none"/>
              </w:rPr>
            </w:pPr>
            <w:r>
              <w:rPr>
                <w:rFonts w:hint="eastAsia"/>
                <w:highlight w:val="none"/>
              </w:rPr>
              <w:t>9.1 标签</w:t>
            </w:r>
          </w:p>
          <w:p>
            <w:pPr>
              <w:ind w:firstLine="0" w:firstLineChars="0"/>
              <w:jc w:val="both"/>
              <w:rPr>
                <w:highlight w:val="none"/>
              </w:rPr>
            </w:pPr>
            <w:r>
              <w:rPr>
                <w:rFonts w:hint="eastAsia"/>
                <w:highlight w:val="none"/>
              </w:rPr>
              <w:t>9.2包装</w:t>
            </w:r>
          </w:p>
          <w:p>
            <w:pPr>
              <w:ind w:firstLine="0" w:firstLineChars="0"/>
              <w:jc w:val="both"/>
              <w:rPr>
                <w:highlight w:val="none"/>
              </w:rPr>
            </w:pPr>
            <w:r>
              <w:rPr>
                <w:rFonts w:hint="eastAsia"/>
                <w:highlight w:val="none"/>
              </w:rPr>
              <w:t>9.3运输</w:t>
            </w:r>
          </w:p>
          <w:p>
            <w:pPr>
              <w:ind w:firstLine="0" w:firstLineChars="0"/>
              <w:jc w:val="both"/>
              <w:rPr>
                <w:highlight w:val="none"/>
              </w:rPr>
            </w:pPr>
            <w:r>
              <w:rPr>
                <w:rFonts w:hint="eastAsia"/>
                <w:highlight w:val="none"/>
              </w:rPr>
              <w:t>9.4贮存</w:t>
            </w:r>
          </w:p>
          <w:p>
            <w:pPr>
              <w:ind w:firstLine="0" w:firstLineChars="0"/>
              <w:jc w:val="both"/>
              <w:rPr>
                <w:highlight w:val="none"/>
              </w:rPr>
            </w:pPr>
            <w:r>
              <w:rPr>
                <w:rFonts w:hint="eastAsia"/>
                <w:highlight w:val="none"/>
              </w:rPr>
              <w:t>9.5保质期</w:t>
            </w:r>
          </w:p>
        </w:tc>
        <w:tc>
          <w:tcPr>
            <w:tcW w:w="2410" w:type="dxa"/>
          </w:tcPr>
          <w:p>
            <w:pPr>
              <w:ind w:firstLine="0" w:firstLineChars="0"/>
              <w:jc w:val="both"/>
              <w:rPr>
                <w:highlight w:val="none"/>
              </w:rPr>
            </w:pPr>
            <w:r>
              <w:rPr>
                <w:rFonts w:hint="eastAsia"/>
                <w:highlight w:val="none"/>
              </w:rPr>
              <w:t>6 标签、包装、贮存和运输</w:t>
            </w:r>
          </w:p>
          <w:p>
            <w:pPr>
              <w:ind w:firstLine="0" w:firstLineChars="0"/>
              <w:jc w:val="both"/>
              <w:rPr>
                <w:highlight w:val="none"/>
              </w:rPr>
            </w:pPr>
            <w:r>
              <w:rPr>
                <w:rFonts w:hint="eastAsia"/>
                <w:highlight w:val="none"/>
              </w:rPr>
              <w:t>6.1 标签</w:t>
            </w:r>
          </w:p>
          <w:p>
            <w:pPr>
              <w:ind w:firstLine="0" w:firstLineChars="0"/>
              <w:jc w:val="both"/>
              <w:rPr>
                <w:highlight w:val="none"/>
              </w:rPr>
            </w:pPr>
            <w:r>
              <w:rPr>
                <w:rFonts w:hint="eastAsia"/>
                <w:highlight w:val="none"/>
              </w:rPr>
              <w:t>6.2包装</w:t>
            </w:r>
          </w:p>
          <w:p>
            <w:pPr>
              <w:ind w:firstLine="0" w:firstLineChars="0"/>
              <w:jc w:val="both"/>
              <w:rPr>
                <w:highlight w:val="none"/>
              </w:rPr>
            </w:pPr>
            <w:r>
              <w:rPr>
                <w:rFonts w:hint="eastAsia"/>
                <w:highlight w:val="none"/>
              </w:rPr>
              <w:t>6.3贮存</w:t>
            </w:r>
          </w:p>
          <w:p>
            <w:pPr>
              <w:ind w:firstLine="0" w:firstLineChars="0"/>
              <w:jc w:val="both"/>
              <w:rPr>
                <w:highlight w:val="none"/>
              </w:rPr>
            </w:pPr>
            <w:r>
              <w:rPr>
                <w:rFonts w:hint="eastAsia"/>
                <w:highlight w:val="none"/>
              </w:rPr>
              <w:t>6.4运输</w:t>
            </w:r>
          </w:p>
        </w:tc>
        <w:tc>
          <w:tcPr>
            <w:tcW w:w="2410" w:type="dxa"/>
          </w:tcPr>
          <w:p>
            <w:pPr>
              <w:ind w:firstLine="0" w:firstLineChars="0"/>
              <w:jc w:val="both"/>
              <w:rPr>
                <w:highlight w:val="none"/>
              </w:rPr>
            </w:pPr>
            <w:r>
              <w:rPr>
                <w:rFonts w:hint="eastAsia"/>
                <w:highlight w:val="none"/>
              </w:rPr>
              <w:t>8 标签、包装、运输、贮存和保质期</w:t>
            </w:r>
          </w:p>
        </w:tc>
      </w:tr>
    </w:tbl>
    <w:p>
      <w:pPr>
        <w:ind w:firstLine="422"/>
        <w:rPr>
          <w:b/>
          <w:bCs/>
          <w:highlight w:val="none"/>
        </w:rPr>
      </w:pPr>
      <w:r>
        <w:rPr>
          <w:rFonts w:hint="eastAsia"/>
          <w:b/>
          <w:bCs/>
          <w:highlight w:val="none"/>
        </w:rPr>
        <w:t>引言</w:t>
      </w:r>
    </w:p>
    <w:p>
      <w:pPr>
        <w:ind w:firstLine="422"/>
        <w:rPr>
          <w:b/>
          <w:bCs/>
          <w:highlight w:val="none"/>
        </w:rPr>
      </w:pPr>
      <w:r>
        <w:rPr>
          <w:rFonts w:hint="eastAsia"/>
          <w:b/>
          <w:bCs/>
          <w:highlight w:val="none"/>
        </w:rPr>
        <w:t>依据：根据GB/T 1.1-2020，在引言中通常给出下列背景信息：</w:t>
      </w:r>
    </w:p>
    <w:p>
      <w:pPr>
        <w:ind w:firstLine="422"/>
        <w:rPr>
          <w:b/>
          <w:bCs/>
          <w:highlight w:val="none"/>
        </w:rPr>
      </w:pPr>
      <w:r>
        <w:rPr>
          <w:rFonts w:hint="eastAsia"/>
          <w:b/>
          <w:bCs/>
          <w:highlight w:val="none"/>
        </w:rPr>
        <w:t>——编制该文件的原因、编制目的、分为部分的原因以及各部分之间关系（见5.2）等事项的说明；</w:t>
      </w:r>
    </w:p>
    <w:p>
      <w:pPr>
        <w:ind w:firstLine="422"/>
        <w:rPr>
          <w:b/>
          <w:bCs/>
          <w:highlight w:val="none"/>
        </w:rPr>
      </w:pPr>
      <w:r>
        <w:rPr>
          <w:rFonts w:hint="eastAsia"/>
          <w:b/>
          <w:bCs/>
          <w:highlight w:val="none"/>
        </w:rPr>
        <w:t>——文件技术内容的特殊信息或说明。</w:t>
      </w:r>
    </w:p>
    <w:p>
      <w:pPr>
        <w:pStyle w:val="4"/>
        <w:ind w:firstLine="240"/>
        <w:rPr>
          <w:highlight w:val="none"/>
        </w:rPr>
      </w:pPr>
      <w:bookmarkStart w:id="12" w:name="_Toc234510484"/>
      <w:r>
        <w:rPr>
          <w:rFonts w:hint="eastAsia"/>
          <w:highlight w:val="none"/>
        </w:rPr>
        <w:t>3、术语和定义</w:t>
      </w:r>
      <w:bookmarkEnd w:id="12"/>
    </w:p>
    <w:p>
      <w:pPr>
        <w:ind w:firstLine="422"/>
        <w:rPr>
          <w:b/>
          <w:bCs/>
          <w:highlight w:val="none"/>
        </w:rPr>
      </w:pPr>
      <w:r>
        <w:rPr>
          <w:rFonts w:hint="eastAsia"/>
          <w:b/>
          <w:bCs/>
          <w:highlight w:val="none"/>
        </w:rPr>
        <w:t>1、膳食营养补充剂</w:t>
      </w:r>
    </w:p>
    <w:p>
      <w:pPr>
        <w:ind w:firstLine="420"/>
        <w:jc w:val="both"/>
        <w:rPr>
          <w:highlight w:val="none"/>
        </w:rPr>
      </w:pPr>
      <w:r>
        <w:rPr>
          <w:rFonts w:hint="eastAsia"/>
          <w:highlight w:val="none"/>
        </w:rPr>
        <w:t>膳食营养补充剂定义是该标准重要部分，起草组调研了国外膳食营养补充剂类似情况（见下表），结合行业产品情况，专家讨论会建议，及参考日本消费者厅、厚生劳动省针对「膳食补充剂（サプリメント）」新设法定分类的最新制度改革征求意见草案（令和 6-7 年，红曲健康事故后专项监管立法草案）。日本此前无法律层面的膳食补充剂法定定义，本次首次在立法层面新增‘营养补充食品（保健品 / 膳食补充剂）’独立界定，用于统一强监管片剂、胶囊、浓缩类保健食品，以辅助日常膳食的营养摄入或调节生理功能为目的的食品，满足下列任一条件即纳入本类别监管：</w:t>
      </w:r>
    </w:p>
    <w:p>
      <w:pPr>
        <w:ind w:firstLine="420"/>
        <w:jc w:val="both"/>
        <w:rPr>
          <w:highlight w:val="none"/>
        </w:rPr>
      </w:pPr>
      <w:r>
        <w:rPr>
          <w:rFonts w:hint="eastAsia"/>
          <w:highlight w:val="none"/>
        </w:rPr>
        <w:t>（1）制造过程中对部分或全部成分进行浓缩处理；</w:t>
      </w:r>
    </w:p>
    <w:p>
      <w:pPr>
        <w:ind w:firstLine="420"/>
        <w:jc w:val="both"/>
        <w:rPr>
          <w:highlight w:val="none"/>
        </w:rPr>
      </w:pPr>
      <w:r>
        <w:rPr>
          <w:rFonts w:hint="eastAsia"/>
          <w:highlight w:val="none"/>
        </w:rPr>
        <w:t>（2）采用片剂、胶囊、液剂、粉末等便于单次摄入的浓缩剂型；</w:t>
      </w:r>
    </w:p>
    <w:p>
      <w:pPr>
        <w:ind w:firstLine="420"/>
        <w:jc w:val="both"/>
        <w:rPr>
          <w:highlight w:val="none"/>
        </w:rPr>
      </w:pPr>
      <w:r>
        <w:rPr>
          <w:rFonts w:hint="eastAsia"/>
          <w:highlight w:val="none"/>
        </w:rPr>
        <w:t>（3）产品存在营养素 / 功效成分过量摄入的安全风险。</w:t>
      </w:r>
      <w:r>
        <w:rPr>
          <w:highlight w:val="none"/>
        </w:rPr>
        <w:t xml:space="preserve"> </w:t>
      </w:r>
    </w:p>
    <w:tbl>
      <w:tblPr>
        <w:tblStyle w:val="21"/>
        <w:tblW w:w="8784" w:type="dxa"/>
        <w:tblInd w:w="0" w:type="dxa"/>
        <w:tblLayout w:type="autofit"/>
        <w:tblCellMar>
          <w:top w:w="0" w:type="dxa"/>
          <w:left w:w="0" w:type="dxa"/>
          <w:bottom w:w="0" w:type="dxa"/>
          <w:right w:w="0" w:type="dxa"/>
        </w:tblCellMar>
      </w:tblPr>
      <w:tblGrid>
        <w:gridCol w:w="682"/>
        <w:gridCol w:w="1142"/>
        <w:gridCol w:w="4408"/>
        <w:gridCol w:w="567"/>
        <w:gridCol w:w="1985"/>
      </w:tblGrid>
      <w:tr>
        <w:tblPrEx>
          <w:tblCellMar>
            <w:top w:w="0" w:type="dxa"/>
            <w:left w:w="0" w:type="dxa"/>
            <w:bottom w:w="0" w:type="dxa"/>
            <w:right w:w="0" w:type="dxa"/>
          </w:tblCellMar>
        </w:tblPrEx>
        <w:trPr>
          <w:trHeight w:val="75" w:hRule="atLeast"/>
        </w:trPr>
        <w:tc>
          <w:tcPr>
            <w:tcW w:w="68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国家</w:t>
            </w:r>
          </w:p>
        </w:tc>
        <w:tc>
          <w:tcPr>
            <w:tcW w:w="114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名称</w:t>
            </w:r>
          </w:p>
        </w:tc>
        <w:tc>
          <w:tcPr>
            <w:tcW w:w="4408"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定义描述</w:t>
            </w:r>
          </w:p>
        </w:tc>
        <w:tc>
          <w:tcPr>
            <w:tcW w:w="567"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产品属性</w:t>
            </w:r>
          </w:p>
        </w:tc>
        <w:tc>
          <w:tcPr>
            <w:tcW w:w="1985"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产品细类</w:t>
            </w:r>
          </w:p>
        </w:tc>
      </w:tr>
      <w:tr>
        <w:tblPrEx>
          <w:tblCellMar>
            <w:top w:w="0" w:type="dxa"/>
            <w:left w:w="0" w:type="dxa"/>
            <w:bottom w:w="0" w:type="dxa"/>
            <w:right w:w="0" w:type="dxa"/>
          </w:tblCellMar>
        </w:tblPrEx>
        <w:trPr>
          <w:trHeight w:val="1413" w:hRule="atLeast"/>
        </w:trPr>
        <w:tc>
          <w:tcPr>
            <w:tcW w:w="68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美国</w:t>
            </w:r>
          </w:p>
        </w:tc>
        <w:tc>
          <w:tcPr>
            <w:tcW w:w="114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膳食补充剂</w:t>
            </w:r>
          </w:p>
        </w:tc>
        <w:tc>
          <w:tcPr>
            <w:tcW w:w="4408"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膳食补充剂是一种旨在补充膳食的产品（非烟草），可能含有一种或是多种维生素、矿物质、草药或其他植物性药材、氨基酸，或是以上原料的浓缩物、代谢物、提取物或组合物，用以增加每日摄入总量的膳食成分。</w:t>
            </w:r>
            <w:r>
              <w:rPr>
                <w:rFonts w:hint="eastAsia"/>
                <w:highlight w:val="none"/>
              </w:rPr>
              <w:br w:type="textWrapping"/>
            </w:r>
            <w:r>
              <w:rPr>
                <w:rFonts w:hint="eastAsia"/>
                <w:highlight w:val="none"/>
              </w:rPr>
              <w:t>膳食补充剂是口服制剂。其形态可以是丸剂、硬胶囊、软胶囊、片剂、散剂、口服液和茶等形式，</w:t>
            </w:r>
            <w:bookmarkStart w:id="13" w:name="OLE_LINK5"/>
            <w:r>
              <w:rPr>
                <w:rFonts w:hint="eastAsia"/>
                <w:highlight w:val="none"/>
              </w:rPr>
              <w:t>不作为传统的食品或饮食正餐，仅以餐中一部分的形式提供，以弥补饮食习惯对其摄取量不足。</w:t>
            </w:r>
            <w:bookmarkEnd w:id="13"/>
          </w:p>
        </w:tc>
        <w:tc>
          <w:tcPr>
            <w:tcW w:w="567"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食品</w:t>
            </w:r>
          </w:p>
        </w:tc>
        <w:tc>
          <w:tcPr>
            <w:tcW w:w="1985"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膳食补充剂</w:t>
            </w:r>
          </w:p>
        </w:tc>
      </w:tr>
      <w:tr>
        <w:tblPrEx>
          <w:tblCellMar>
            <w:top w:w="0" w:type="dxa"/>
            <w:left w:w="0" w:type="dxa"/>
            <w:bottom w:w="0" w:type="dxa"/>
            <w:right w:w="0" w:type="dxa"/>
          </w:tblCellMar>
        </w:tblPrEx>
        <w:trPr>
          <w:trHeight w:val="1413" w:hRule="atLeast"/>
        </w:trPr>
        <w:tc>
          <w:tcPr>
            <w:tcW w:w="68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欧盟</w:t>
            </w:r>
          </w:p>
        </w:tc>
        <w:tc>
          <w:tcPr>
            <w:tcW w:w="114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食品补充剂</w:t>
            </w:r>
          </w:p>
        </w:tc>
        <w:tc>
          <w:tcPr>
            <w:tcW w:w="4408"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食品补充剂”是指用于补充日常饮食的食品，是含有浓缩型营养素或其它以单独或组合形式构成的具有营养或生理功效的物质，包括但不限于维生素、矿物质、氨基酸、必需脂肪酸、纤维及各种植物和草本的萃取物。</w:t>
            </w:r>
          </w:p>
        </w:tc>
        <w:tc>
          <w:tcPr>
            <w:tcW w:w="567"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食品</w:t>
            </w:r>
          </w:p>
        </w:tc>
        <w:tc>
          <w:tcPr>
            <w:tcW w:w="1985"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食品补充剂</w:t>
            </w:r>
          </w:p>
        </w:tc>
      </w:tr>
      <w:tr>
        <w:tblPrEx>
          <w:tblCellMar>
            <w:top w:w="0" w:type="dxa"/>
            <w:left w:w="0" w:type="dxa"/>
            <w:bottom w:w="0" w:type="dxa"/>
            <w:right w:w="0" w:type="dxa"/>
          </w:tblCellMar>
        </w:tblPrEx>
        <w:trPr>
          <w:trHeight w:val="797" w:hRule="atLeast"/>
        </w:trPr>
        <w:tc>
          <w:tcPr>
            <w:tcW w:w="68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澳大利亚</w:t>
            </w:r>
          </w:p>
        </w:tc>
        <w:tc>
          <w:tcPr>
            <w:tcW w:w="114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登记补充药品</w:t>
            </w:r>
          </w:p>
        </w:tc>
        <w:tc>
          <w:tcPr>
            <w:tcW w:w="4408"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 xml:space="preserve">登记补充药品指含有某些草药、维生素和矿物质、营养补充剂、同种疗法药品和芳香疗法产品等成分的产品。 </w:t>
            </w:r>
          </w:p>
        </w:tc>
        <w:tc>
          <w:tcPr>
            <w:tcW w:w="567"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药品</w:t>
            </w:r>
          </w:p>
        </w:tc>
        <w:tc>
          <w:tcPr>
            <w:tcW w:w="1985"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登记类产品</w:t>
            </w:r>
            <w:r>
              <w:rPr>
                <w:rFonts w:hint="eastAsia"/>
                <w:highlight w:val="none"/>
              </w:rPr>
              <w:br w:type="textWrapping"/>
            </w:r>
            <w:r>
              <w:rPr>
                <w:rFonts w:hint="eastAsia"/>
                <w:highlight w:val="none"/>
              </w:rPr>
              <w:t>评估登记产品</w:t>
            </w:r>
            <w:r>
              <w:rPr>
                <w:rFonts w:hint="eastAsia"/>
                <w:highlight w:val="none"/>
              </w:rPr>
              <w:br w:type="textWrapping"/>
            </w:r>
            <w:r>
              <w:rPr>
                <w:rFonts w:hint="eastAsia"/>
                <w:highlight w:val="none"/>
              </w:rPr>
              <w:t>注册制补充药品</w:t>
            </w:r>
          </w:p>
        </w:tc>
      </w:tr>
      <w:tr>
        <w:tblPrEx>
          <w:tblCellMar>
            <w:top w:w="0" w:type="dxa"/>
            <w:left w:w="0" w:type="dxa"/>
            <w:bottom w:w="0" w:type="dxa"/>
            <w:right w:w="0" w:type="dxa"/>
          </w:tblCellMar>
        </w:tblPrEx>
        <w:trPr>
          <w:trHeight w:val="854" w:hRule="atLeast"/>
        </w:trPr>
        <w:tc>
          <w:tcPr>
            <w:tcW w:w="68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加拿大</w:t>
            </w:r>
          </w:p>
        </w:tc>
        <w:tc>
          <w:tcPr>
            <w:tcW w:w="114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主要为天然健康产品，一部分为营养品</w:t>
            </w:r>
          </w:p>
        </w:tc>
        <w:tc>
          <w:tcPr>
            <w:tcW w:w="4408"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 xml:space="preserve">天然健康产品定义：是用来恢复或保持健康的天然物质，通常由植物制成，但也可以由动物、微生物和海洋生物制成，包括: 维生素和矿物质、草药、顺势疗法药物、传统药物，如传统中药和阿育吠陀（印度）药物、益生菌、其他产品如氨基酸和必需脂肪酸。此外，许多日常消费品，如某些牙膏、止汗剂、洗发水、面部产品和漱口水，在加拿大也被归类为天然健康产品。 </w:t>
            </w:r>
            <w:r>
              <w:rPr>
                <w:rFonts w:hint="eastAsia"/>
                <w:highlight w:val="none"/>
              </w:rPr>
              <w:br w:type="textWrapping"/>
            </w:r>
            <w:r>
              <w:rPr>
                <w:rFonts w:hint="eastAsia"/>
                <w:highlight w:val="none"/>
              </w:rPr>
              <w:t xml:space="preserve">营养品定义：加拿大营养品属于食品，其监督通常与食品一致，但营养品可以申请在标签中标注健康声称（health claims）。 </w:t>
            </w:r>
          </w:p>
        </w:tc>
        <w:tc>
          <w:tcPr>
            <w:tcW w:w="567"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药品</w:t>
            </w:r>
          </w:p>
        </w:tc>
        <w:tc>
          <w:tcPr>
            <w:tcW w:w="1985"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天然健康产品，营养品（食品）</w:t>
            </w:r>
          </w:p>
        </w:tc>
      </w:tr>
      <w:tr>
        <w:tblPrEx>
          <w:tblCellMar>
            <w:top w:w="0" w:type="dxa"/>
            <w:left w:w="0" w:type="dxa"/>
            <w:bottom w:w="0" w:type="dxa"/>
            <w:right w:w="0" w:type="dxa"/>
          </w:tblCellMar>
        </w:tblPrEx>
        <w:trPr>
          <w:trHeight w:val="1413" w:hRule="atLeast"/>
        </w:trPr>
        <w:tc>
          <w:tcPr>
            <w:tcW w:w="68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日本</w:t>
            </w:r>
          </w:p>
        </w:tc>
        <w:tc>
          <w:tcPr>
            <w:tcW w:w="114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健康食品</w:t>
            </w:r>
          </w:p>
        </w:tc>
        <w:tc>
          <w:tcPr>
            <w:tcW w:w="4408"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特定保健用食品是指特定人群在饮食生活中通过摄入此类产品以期望达到该产品所标示的特定保健目的的食品；</w:t>
            </w:r>
            <w:r>
              <w:rPr>
                <w:rFonts w:hint="eastAsia"/>
                <w:highlight w:val="none"/>
              </w:rPr>
              <w:br w:type="textWrapping"/>
            </w:r>
            <w:r>
              <w:rPr>
                <w:rFonts w:hint="eastAsia"/>
                <w:highlight w:val="none"/>
              </w:rPr>
              <w:t xml:space="preserve">功能性标示食品指针对未罹患疾病的消费者，根据添加的功能性成分有可能达到维持和增进健康的特定保健目的科学依据，可以在容器上标示相关功能性的食品; </w:t>
            </w:r>
            <w:r>
              <w:rPr>
                <w:rFonts w:hint="eastAsia"/>
                <w:highlight w:val="none"/>
              </w:rPr>
              <w:br w:type="textWrapping"/>
            </w:r>
            <w:r>
              <w:rPr>
                <w:rFonts w:hint="eastAsia"/>
                <w:highlight w:val="none"/>
              </w:rPr>
              <w:t xml:space="preserve">营养机能食品是指以补充维生素、矿物质等特定营养成分为目的，含有并标示相关营养成分功能性的食品。 </w:t>
            </w:r>
          </w:p>
          <w:p>
            <w:pPr>
              <w:ind w:firstLine="0" w:firstLineChars="0"/>
              <w:rPr>
                <w:highlight w:val="none"/>
              </w:rPr>
            </w:pPr>
            <w:r>
              <w:rPr>
                <w:rFonts w:hint="eastAsia"/>
                <w:highlight w:val="none"/>
              </w:rPr>
              <w:t>日本消费者厅、厚生劳动省针对「膳食补充剂（サプリメント）」新设法定分类的最新制度改革征求意见草案（令和 6-7 年，红曲健康事故后专项监管立法草案）。日本此前无法律层面的膳食补充剂法定定义，本次首次在立法层面新增‘营养补充食品（保健品 / 膳食补充剂）’独立界定，用于统一强监管片剂、胶囊、浓缩类保健食品，补齐既往普通食品监管漏洞。</w:t>
            </w:r>
          </w:p>
          <w:p>
            <w:pPr>
              <w:ind w:firstLine="0" w:firstLineChars="0"/>
              <w:rPr>
                <w:highlight w:val="none"/>
              </w:rPr>
            </w:pPr>
            <w:r>
              <w:rPr>
                <w:rFonts w:hint="eastAsia"/>
                <w:highlight w:val="none"/>
              </w:rPr>
              <w:t>以辅助日常膳食的营养摄入或调节生理功能为目的的食品，满足下列任一条件即纳入本类别监管：</w:t>
            </w:r>
          </w:p>
          <w:p>
            <w:pPr>
              <w:ind w:firstLine="0" w:firstLineChars="0"/>
              <w:rPr>
                <w:highlight w:val="none"/>
              </w:rPr>
            </w:pPr>
            <w:r>
              <w:rPr>
                <w:rFonts w:hint="eastAsia"/>
                <w:highlight w:val="none"/>
              </w:rPr>
              <w:t>制造过程中对部分或全部成分进行浓缩处理；</w:t>
            </w:r>
          </w:p>
          <w:p>
            <w:pPr>
              <w:ind w:firstLine="0" w:firstLineChars="0"/>
              <w:rPr>
                <w:highlight w:val="none"/>
              </w:rPr>
            </w:pPr>
            <w:r>
              <w:rPr>
                <w:rFonts w:hint="eastAsia"/>
                <w:highlight w:val="none"/>
              </w:rPr>
              <w:t>采用片剂、胶囊、液剂、粉末等便于单次摄入的浓缩剂型；</w:t>
            </w:r>
          </w:p>
          <w:p>
            <w:pPr>
              <w:ind w:firstLine="0" w:firstLineChars="0"/>
              <w:rPr>
                <w:highlight w:val="none"/>
              </w:rPr>
            </w:pPr>
            <w:r>
              <w:rPr>
                <w:rFonts w:hint="eastAsia"/>
                <w:highlight w:val="none"/>
              </w:rPr>
              <w:t>产品存在营养素 / 功效成分过量摄入的安全风险。</w:t>
            </w:r>
          </w:p>
        </w:tc>
        <w:tc>
          <w:tcPr>
            <w:tcW w:w="567"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食品</w:t>
            </w:r>
          </w:p>
        </w:tc>
        <w:tc>
          <w:tcPr>
            <w:tcW w:w="1985"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特定保健用食品、功能性标示食品、营养机能食品</w:t>
            </w:r>
          </w:p>
        </w:tc>
      </w:tr>
      <w:tr>
        <w:tblPrEx>
          <w:tblCellMar>
            <w:top w:w="0" w:type="dxa"/>
            <w:left w:w="0" w:type="dxa"/>
            <w:bottom w:w="0" w:type="dxa"/>
            <w:right w:w="0" w:type="dxa"/>
          </w:tblCellMar>
        </w:tblPrEx>
        <w:trPr>
          <w:trHeight w:val="171" w:hRule="atLeast"/>
        </w:trPr>
        <w:tc>
          <w:tcPr>
            <w:tcW w:w="68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b/>
                <w:bCs/>
                <w:highlight w:val="none"/>
              </w:rPr>
            </w:pPr>
            <w:r>
              <w:rPr>
                <w:rFonts w:hint="eastAsia"/>
                <w:b/>
                <w:bCs/>
                <w:highlight w:val="none"/>
              </w:rPr>
              <w:t>中国</w:t>
            </w:r>
          </w:p>
        </w:tc>
        <w:tc>
          <w:tcPr>
            <w:tcW w:w="1142"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　暂无</w:t>
            </w:r>
          </w:p>
        </w:tc>
        <w:tc>
          <w:tcPr>
            <w:tcW w:w="4408"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　</w:t>
            </w:r>
          </w:p>
          <w:p>
            <w:pPr>
              <w:ind w:firstLine="0" w:firstLineChars="0"/>
              <w:rPr>
                <w:highlight w:val="none"/>
              </w:rPr>
            </w:pPr>
          </w:p>
        </w:tc>
        <w:tc>
          <w:tcPr>
            <w:tcW w:w="567"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食品</w:t>
            </w:r>
          </w:p>
        </w:tc>
        <w:tc>
          <w:tcPr>
            <w:tcW w:w="1985" w:type="dxa"/>
            <w:tcBorders>
              <w:top w:val="single" w:color="000000" w:sz="4" w:space="0"/>
              <w:left w:val="single" w:color="000000" w:sz="4" w:space="0"/>
              <w:bottom w:val="single" w:color="000000" w:sz="4" w:space="0"/>
              <w:right w:val="single" w:color="000000" w:sz="4" w:space="0"/>
            </w:tcBorders>
            <w:tcMar>
              <w:top w:w="2" w:type="dxa"/>
              <w:left w:w="2" w:type="dxa"/>
              <w:bottom w:w="0" w:type="dxa"/>
              <w:right w:w="2" w:type="dxa"/>
            </w:tcMar>
            <w:vAlign w:val="center"/>
          </w:tcPr>
          <w:p>
            <w:pPr>
              <w:ind w:firstLine="0" w:firstLineChars="0"/>
              <w:rPr>
                <w:highlight w:val="none"/>
              </w:rPr>
            </w:pPr>
            <w:r>
              <w:rPr>
                <w:rFonts w:hint="eastAsia"/>
                <w:highlight w:val="none"/>
              </w:rPr>
              <w:t>保健食品、药食同源食品、运动营养食品等</w:t>
            </w:r>
          </w:p>
        </w:tc>
      </w:tr>
    </w:tbl>
    <w:p>
      <w:pPr>
        <w:ind w:firstLine="422"/>
        <w:rPr>
          <w:b/>
          <w:bCs/>
          <w:highlight w:val="none"/>
        </w:rPr>
      </w:pPr>
      <w:bookmarkStart w:id="14" w:name="OLE_LINK7"/>
      <w:bookmarkStart w:id="15" w:name="OLE_LINK1"/>
    </w:p>
    <w:p>
      <w:pPr>
        <w:ind w:firstLine="420"/>
        <w:rPr>
          <w:highlight w:val="none"/>
        </w:rPr>
      </w:pPr>
      <w:r>
        <w:rPr>
          <w:rFonts w:hint="eastAsia"/>
          <w:highlight w:val="none"/>
        </w:rPr>
        <w:t>将膳食营养补充剂定义为“膳食营养补充剂（</w:t>
      </w:r>
      <w:r>
        <w:rPr>
          <w:highlight w:val="none"/>
        </w:rPr>
        <w:t xml:space="preserve">Nutritional Dietary Supplement, </w:t>
      </w:r>
      <w:r>
        <w:rPr>
          <w:rFonts w:hint="eastAsia"/>
          <w:highlight w:val="none"/>
        </w:rPr>
        <w:t>ND</w:t>
      </w:r>
      <w:r>
        <w:rPr>
          <w:highlight w:val="none"/>
        </w:rPr>
        <w:t>S</w:t>
      </w:r>
      <w:r>
        <w:rPr>
          <w:rFonts w:hint="eastAsia"/>
          <w:highlight w:val="none"/>
        </w:rPr>
        <w:t>）是指在推荐食用量下可达到补充膳食营养或调节机体生理功能目的的浓缩形态产品，该类产品不可替代正常膳食，且不以治疗疾病为目的，对人体不产生急性、亚急性或慢性危害。”</w:t>
      </w:r>
    </w:p>
    <w:p>
      <w:pPr>
        <w:ind w:firstLine="422"/>
        <w:rPr>
          <w:b/>
          <w:bCs/>
          <w:highlight w:val="none"/>
        </w:rPr>
      </w:pPr>
      <w:r>
        <w:rPr>
          <w:rFonts w:hint="eastAsia"/>
          <w:b/>
          <w:bCs/>
          <w:highlight w:val="none"/>
        </w:rPr>
        <w:t>（一）定义含义解读：</w:t>
      </w:r>
    </w:p>
    <w:p>
      <w:pPr>
        <w:ind w:firstLine="420"/>
        <w:rPr>
          <w:rFonts w:hint="eastAsia" w:ascii="宋体" w:hAnsi="宋体"/>
          <w:szCs w:val="21"/>
          <w:highlight w:val="none"/>
        </w:rPr>
      </w:pPr>
      <w:r>
        <w:rPr>
          <w:rFonts w:hint="eastAsia" w:ascii="宋体" w:hAnsi="宋体"/>
          <w:szCs w:val="21"/>
          <w:highlight w:val="none"/>
        </w:rPr>
        <w:t>1、英文：行业历史习惯为VDS，兼顾科学性，修正为膳食营养补充剂 Nutritional Dietary Supplement, NDS</w:t>
      </w:r>
    </w:p>
    <w:p>
      <w:pPr>
        <w:ind w:firstLine="420"/>
        <w:rPr>
          <w:rFonts w:hint="eastAsia" w:ascii="宋体" w:hAnsi="宋体"/>
          <w:szCs w:val="21"/>
          <w:highlight w:val="none"/>
        </w:rPr>
      </w:pPr>
      <w:r>
        <w:rPr>
          <w:rFonts w:hint="eastAsia" w:ascii="宋体" w:hAnsi="宋体"/>
          <w:szCs w:val="21"/>
          <w:highlight w:val="none"/>
        </w:rPr>
        <w:t>2、有效：</w:t>
      </w:r>
      <w:bookmarkStart w:id="16" w:name="OLE_LINK8"/>
      <w:r>
        <w:rPr>
          <w:rFonts w:hint="eastAsia" w:ascii="宋体" w:hAnsi="宋体"/>
          <w:szCs w:val="21"/>
          <w:highlight w:val="none"/>
        </w:rPr>
        <w:t>产品在推荐食用量下可达到下列相应作用。</w:t>
      </w:r>
      <w:r>
        <w:rPr>
          <w:rFonts w:ascii="宋体" w:hAnsi="宋体"/>
          <w:szCs w:val="21"/>
          <w:highlight w:val="none"/>
        </w:rPr>
        <w:t xml:space="preserve"> </w:t>
      </w:r>
      <w:bookmarkEnd w:id="16"/>
    </w:p>
    <w:p>
      <w:pPr>
        <w:ind w:firstLine="409" w:firstLineChars="195"/>
        <w:rPr>
          <w:rFonts w:hint="eastAsia" w:ascii="宋体" w:hAnsi="宋体"/>
          <w:szCs w:val="21"/>
          <w:highlight w:val="none"/>
        </w:rPr>
      </w:pPr>
      <w:r>
        <w:rPr>
          <w:rFonts w:hint="eastAsia" w:ascii="宋体" w:hAnsi="宋体"/>
          <w:szCs w:val="21"/>
          <w:highlight w:val="none"/>
        </w:rPr>
        <w:t>3、作用：具有补充膳食营养或调节机体生理功能的作用。</w:t>
      </w:r>
    </w:p>
    <w:p>
      <w:pPr>
        <w:ind w:firstLine="420"/>
        <w:rPr>
          <w:rFonts w:hint="eastAsia" w:ascii="宋体" w:hAnsi="宋体"/>
          <w:szCs w:val="21"/>
          <w:highlight w:val="none"/>
        </w:rPr>
      </w:pPr>
      <w:r>
        <w:rPr>
          <w:rFonts w:hint="eastAsia" w:ascii="宋体" w:hAnsi="宋体"/>
          <w:szCs w:val="21"/>
          <w:highlight w:val="none"/>
        </w:rPr>
        <w:t>4、定位：不可替代正常膳食、不能代替药物治疗疾病。</w:t>
      </w:r>
    </w:p>
    <w:p>
      <w:pPr>
        <w:ind w:firstLine="420"/>
        <w:rPr>
          <w:rFonts w:hint="eastAsia" w:ascii="宋体" w:hAnsi="宋体"/>
          <w:szCs w:val="21"/>
          <w:highlight w:val="none"/>
        </w:rPr>
      </w:pPr>
      <w:r>
        <w:rPr>
          <w:rFonts w:hint="eastAsia" w:ascii="宋体" w:hAnsi="宋体"/>
          <w:szCs w:val="21"/>
          <w:highlight w:val="none"/>
        </w:rPr>
        <w:t>5、原料：如蛋白质、脂类、碳水化合物、矿物质、维生素、膳食纤维、酚类成分、萜类成分、含硫化合物和醌类成分、氨基酸衍生物、糖聚合物及衍生物、微生态制剂、植物化学物、其他膳食营养成分等等。</w:t>
      </w:r>
    </w:p>
    <w:p>
      <w:pPr>
        <w:ind w:firstLine="420"/>
        <w:rPr>
          <w:rFonts w:hint="eastAsia" w:ascii="宋体" w:hAnsi="宋体"/>
          <w:szCs w:val="21"/>
          <w:highlight w:val="none"/>
        </w:rPr>
      </w:pPr>
      <w:r>
        <w:rPr>
          <w:rFonts w:hint="eastAsia" w:ascii="宋体" w:hAnsi="宋体"/>
          <w:szCs w:val="21"/>
          <w:highlight w:val="none"/>
        </w:rPr>
        <w:t>6、产品形态：具有一定成分密度的浓缩形态均可，比如片剂、软胶囊剂、硬胶囊剂、口服液、粉剂、饮料、糖果、液态乳等等。</w:t>
      </w:r>
      <w:r>
        <w:rPr>
          <w:rFonts w:ascii="宋体" w:hAnsi="宋体"/>
          <w:szCs w:val="21"/>
          <w:highlight w:val="none"/>
        </w:rPr>
        <w:br w:type="textWrapping"/>
      </w:r>
      <w:r>
        <w:rPr>
          <w:rFonts w:hint="eastAsia" w:ascii="宋体" w:hAnsi="宋体"/>
          <w:b/>
          <w:bCs/>
          <w:szCs w:val="21"/>
          <w:highlight w:val="none"/>
        </w:rPr>
        <w:t xml:space="preserve">   （二）范围</w:t>
      </w:r>
    </w:p>
    <w:p>
      <w:pPr>
        <w:ind w:firstLine="420"/>
        <w:rPr>
          <w:rFonts w:hint="eastAsia" w:ascii="宋体" w:hAnsi="宋体"/>
          <w:szCs w:val="21"/>
          <w:highlight w:val="none"/>
        </w:rPr>
      </w:pPr>
      <w:r>
        <w:rPr>
          <w:rFonts w:hint="eastAsia" w:ascii="宋体" w:hAnsi="宋体"/>
          <w:szCs w:val="21"/>
          <w:highlight w:val="none"/>
        </w:rPr>
        <w:t>膳食营养补充剂在中国目前不是一个法定名称，我们认为可以包括：</w:t>
      </w:r>
    </w:p>
    <w:p>
      <w:pPr>
        <w:ind w:firstLine="420"/>
        <w:rPr>
          <w:rFonts w:hint="eastAsia" w:ascii="宋体" w:hAnsi="宋体"/>
          <w:szCs w:val="21"/>
          <w:highlight w:val="none"/>
        </w:rPr>
      </w:pPr>
      <w:r>
        <w:rPr>
          <w:rFonts w:hint="eastAsia" w:ascii="宋体" w:hAnsi="宋体"/>
          <w:szCs w:val="21"/>
          <w:highlight w:val="none"/>
        </w:rPr>
        <w:t>国内产品：</w:t>
      </w:r>
    </w:p>
    <w:p>
      <w:pPr>
        <w:ind w:firstLine="420"/>
        <w:rPr>
          <w:rFonts w:hint="eastAsia" w:ascii="宋体" w:hAnsi="宋体"/>
          <w:szCs w:val="21"/>
          <w:highlight w:val="none"/>
        </w:rPr>
      </w:pPr>
      <w:r>
        <w:rPr>
          <w:rFonts w:hint="eastAsia" w:ascii="宋体" w:hAnsi="宋体"/>
          <w:szCs w:val="21"/>
          <w:highlight w:val="none"/>
        </w:rPr>
        <w:t>1）保健食品（注册、备案）</w:t>
      </w:r>
    </w:p>
    <w:p>
      <w:pPr>
        <w:ind w:firstLine="420"/>
        <w:rPr>
          <w:rFonts w:hint="eastAsia" w:ascii="宋体" w:hAnsi="宋体"/>
          <w:szCs w:val="21"/>
          <w:highlight w:val="none"/>
        </w:rPr>
      </w:pPr>
      <w:r>
        <w:rPr>
          <w:rFonts w:hint="eastAsia" w:ascii="宋体" w:hAnsi="宋体"/>
          <w:szCs w:val="21"/>
          <w:highlight w:val="none"/>
        </w:rPr>
        <w:t>2）功能性食品</w:t>
      </w:r>
    </w:p>
    <w:p>
      <w:pPr>
        <w:ind w:firstLine="420"/>
        <w:rPr>
          <w:rFonts w:hint="eastAsia" w:ascii="宋体" w:hAnsi="宋体"/>
          <w:szCs w:val="21"/>
          <w:highlight w:val="none"/>
        </w:rPr>
      </w:pPr>
      <w:r>
        <w:rPr>
          <w:rFonts w:hint="eastAsia" w:ascii="宋体" w:hAnsi="宋体"/>
          <w:szCs w:val="21"/>
          <w:highlight w:val="none"/>
        </w:rPr>
        <w:t>3）运动营养食品</w:t>
      </w:r>
    </w:p>
    <w:p>
      <w:pPr>
        <w:ind w:firstLine="420"/>
        <w:rPr>
          <w:rFonts w:hint="eastAsia" w:ascii="宋体" w:hAnsi="宋体"/>
          <w:szCs w:val="21"/>
          <w:highlight w:val="none"/>
        </w:rPr>
      </w:pPr>
      <w:r>
        <w:rPr>
          <w:rFonts w:hint="eastAsia" w:ascii="宋体" w:hAnsi="宋体"/>
          <w:szCs w:val="21"/>
          <w:highlight w:val="none"/>
        </w:rPr>
        <w:t>4）营养补充食品（比如辅食营养补充品等）</w:t>
      </w:r>
    </w:p>
    <w:p>
      <w:pPr>
        <w:ind w:firstLine="420"/>
        <w:rPr>
          <w:rFonts w:hint="eastAsia" w:ascii="宋体" w:hAnsi="宋体"/>
          <w:szCs w:val="21"/>
          <w:highlight w:val="none"/>
        </w:rPr>
      </w:pPr>
      <w:r>
        <w:rPr>
          <w:rFonts w:hint="eastAsia" w:ascii="宋体" w:hAnsi="宋体"/>
          <w:szCs w:val="21"/>
          <w:highlight w:val="none"/>
        </w:rPr>
        <w:t>5）其他符合膳食营养补充剂定义和要求的产品</w:t>
      </w:r>
    </w:p>
    <w:p>
      <w:pPr>
        <w:ind w:firstLine="420"/>
        <w:rPr>
          <w:rFonts w:hint="eastAsia" w:ascii="宋体" w:hAnsi="宋体"/>
          <w:szCs w:val="21"/>
          <w:highlight w:val="none"/>
        </w:rPr>
      </w:pPr>
      <w:r>
        <w:rPr>
          <w:rFonts w:hint="eastAsia" w:ascii="宋体" w:hAnsi="宋体"/>
          <w:szCs w:val="21"/>
          <w:highlight w:val="none"/>
        </w:rPr>
        <w:t>国外产品：</w:t>
      </w:r>
    </w:p>
    <w:p>
      <w:pPr>
        <w:ind w:firstLine="420"/>
        <w:rPr>
          <w:highlight w:val="none"/>
        </w:rPr>
      </w:pPr>
      <w:r>
        <w:rPr>
          <w:rFonts w:hint="eastAsia" w:ascii="宋体" w:hAnsi="宋体"/>
          <w:szCs w:val="21"/>
          <w:highlight w:val="none"/>
        </w:rPr>
        <w:t>膳食补充剂（美）、食品补充剂（欧盟）、特定保健用食品（日本）、功能性标示食品（日）、登记补充药品（澳）及其他符合膳食营养补充剂定义和要求的产品</w:t>
      </w:r>
    </w:p>
    <w:bookmarkEnd w:id="14"/>
    <w:bookmarkEnd w:id="15"/>
    <w:p>
      <w:pPr>
        <w:pStyle w:val="4"/>
        <w:ind w:firstLine="240"/>
        <w:rPr>
          <w:highlight w:val="none"/>
        </w:rPr>
      </w:pPr>
      <w:bookmarkStart w:id="17" w:name="_Toc234510485"/>
      <w:r>
        <w:rPr>
          <w:rFonts w:hint="eastAsia"/>
          <w:highlight w:val="none"/>
        </w:rPr>
        <w:t>4、分类</w:t>
      </w:r>
      <w:bookmarkEnd w:id="17"/>
    </w:p>
    <w:p>
      <w:pPr>
        <w:ind w:firstLine="422"/>
        <w:rPr>
          <w:b/>
          <w:bCs/>
          <w:highlight w:val="none"/>
        </w:rPr>
      </w:pPr>
      <w:r>
        <w:rPr>
          <w:rFonts w:hint="eastAsia"/>
          <w:b/>
          <w:bCs/>
          <w:highlight w:val="none"/>
        </w:rPr>
        <w:t>4.1按主要膳食营养补充成分分类</w:t>
      </w:r>
    </w:p>
    <w:p>
      <w:pPr>
        <w:ind w:firstLine="422"/>
        <w:rPr>
          <w:b/>
          <w:bCs/>
          <w:highlight w:val="none"/>
        </w:rPr>
      </w:pPr>
      <w:r>
        <w:rPr>
          <w:rFonts w:hint="eastAsia"/>
          <w:b/>
          <w:bCs/>
          <w:highlight w:val="none"/>
        </w:rPr>
        <w:t>4.1.1单一类别型膳食营养补充剂：</w:t>
      </w:r>
    </w:p>
    <w:p>
      <w:pPr>
        <w:ind w:firstLine="420"/>
        <w:rPr>
          <w:highlight w:val="none"/>
        </w:rPr>
      </w:pPr>
      <w:r>
        <w:rPr>
          <w:rFonts w:hint="eastAsia"/>
          <w:highlight w:val="none"/>
        </w:rPr>
        <w:t>（1）蛋白质</w:t>
      </w:r>
    </w:p>
    <w:p>
      <w:pPr>
        <w:ind w:firstLine="420"/>
        <w:rPr>
          <w:highlight w:val="none"/>
        </w:rPr>
      </w:pPr>
      <w:r>
        <w:rPr>
          <w:rFonts w:hint="eastAsia"/>
          <w:highlight w:val="none"/>
        </w:rPr>
        <w:t>（2）脂类</w:t>
      </w:r>
    </w:p>
    <w:p>
      <w:pPr>
        <w:ind w:firstLine="420"/>
        <w:rPr>
          <w:highlight w:val="none"/>
        </w:rPr>
      </w:pPr>
      <w:r>
        <w:rPr>
          <w:rFonts w:hint="eastAsia"/>
          <w:highlight w:val="none"/>
        </w:rPr>
        <w:t>（3）碳水化合物</w:t>
      </w:r>
    </w:p>
    <w:p>
      <w:pPr>
        <w:ind w:firstLine="420"/>
        <w:rPr>
          <w:highlight w:val="none"/>
        </w:rPr>
      </w:pPr>
      <w:r>
        <w:rPr>
          <w:rFonts w:hint="eastAsia"/>
          <w:highlight w:val="none"/>
        </w:rPr>
        <w:t>（4）矿物质：常量元素（钙、磷、钾、钠、镁等）、微量元素（铁、碘、锌、硒等）</w:t>
      </w:r>
    </w:p>
    <w:p>
      <w:pPr>
        <w:ind w:firstLine="420"/>
        <w:rPr>
          <w:highlight w:val="none"/>
        </w:rPr>
      </w:pPr>
      <w:r>
        <w:rPr>
          <w:rFonts w:hint="eastAsia"/>
          <w:highlight w:val="none"/>
        </w:rPr>
        <w:t>（5）维生素：水溶性维生素（维生素C、维生素B、胆碱、叶酸等）、脂溶性维生素（维生素A、维生素D、维生素E、维生素K等）</w:t>
      </w:r>
    </w:p>
    <w:p>
      <w:pPr>
        <w:ind w:firstLine="420"/>
        <w:rPr>
          <w:highlight w:val="none"/>
        </w:rPr>
      </w:pPr>
      <w:r>
        <w:rPr>
          <w:rFonts w:hint="eastAsia"/>
          <w:highlight w:val="none"/>
        </w:rPr>
        <w:t>（6）膳食纤维</w:t>
      </w:r>
    </w:p>
    <w:p>
      <w:pPr>
        <w:ind w:firstLine="420"/>
        <w:rPr>
          <w:highlight w:val="none"/>
        </w:rPr>
      </w:pPr>
      <w:r>
        <w:rPr>
          <w:rFonts w:hint="eastAsia"/>
          <w:highlight w:val="none"/>
        </w:rPr>
        <w:t>（7）酚类：原花青素、花色苷、大豆异黄酮、姜黄素、白藜芦醇等</w:t>
      </w:r>
    </w:p>
    <w:p>
      <w:pPr>
        <w:ind w:firstLine="420"/>
        <w:rPr>
          <w:highlight w:val="none"/>
        </w:rPr>
      </w:pPr>
      <w:r>
        <w:rPr>
          <w:rFonts w:hint="eastAsia"/>
          <w:highlight w:val="none"/>
        </w:rPr>
        <w:t>（8）萜类：番茄红素、叶黄素、植物甾醇等</w:t>
      </w:r>
    </w:p>
    <w:p>
      <w:pPr>
        <w:ind w:firstLine="420"/>
        <w:rPr>
          <w:highlight w:val="none"/>
        </w:rPr>
      </w:pPr>
      <w:r>
        <w:rPr>
          <w:rFonts w:hint="eastAsia"/>
          <w:highlight w:val="none"/>
        </w:rPr>
        <w:t>（9）含硫化合物和醌类：辅酶Q10、大蒜素等</w:t>
      </w:r>
    </w:p>
    <w:p>
      <w:pPr>
        <w:ind w:firstLine="420"/>
        <w:rPr>
          <w:highlight w:val="none"/>
        </w:rPr>
      </w:pPr>
      <w:r>
        <w:rPr>
          <w:rFonts w:hint="eastAsia"/>
          <w:highlight w:val="none"/>
        </w:rPr>
        <w:t>（10）氨基酸衍生物：甜菜碱、牛磺酸、γ-氨基丁酸等</w:t>
      </w:r>
    </w:p>
    <w:p>
      <w:pPr>
        <w:ind w:firstLine="420"/>
        <w:rPr>
          <w:highlight w:val="none"/>
        </w:rPr>
      </w:pPr>
      <w:r>
        <w:rPr>
          <w:rFonts w:hint="eastAsia"/>
          <w:highlight w:val="none"/>
        </w:rPr>
        <w:t>（11）糖聚合物及衍生物：氨基葡萄糖、海藻多糖等</w:t>
      </w:r>
    </w:p>
    <w:p>
      <w:pPr>
        <w:pStyle w:val="49"/>
        <w:ind w:firstLine="420"/>
        <w:rPr>
          <w:highlight w:val="none"/>
        </w:rPr>
      </w:pPr>
      <w:r>
        <w:rPr>
          <w:rFonts w:hint="eastAsia"/>
          <w:highlight w:val="none"/>
        </w:rPr>
        <w:t>（12）微生态</w:t>
      </w:r>
    </w:p>
    <w:p>
      <w:pPr>
        <w:pStyle w:val="49"/>
        <w:ind w:firstLine="420"/>
        <w:rPr>
          <w:highlight w:val="none"/>
        </w:rPr>
      </w:pPr>
      <w:r>
        <w:rPr>
          <w:rFonts w:hint="eastAsia"/>
          <w:highlight w:val="none"/>
        </w:rPr>
        <w:t>（13）植物化学物</w:t>
      </w:r>
    </w:p>
    <w:p>
      <w:pPr>
        <w:ind w:firstLine="420"/>
        <w:rPr>
          <w:highlight w:val="none"/>
        </w:rPr>
      </w:pPr>
      <w:r>
        <w:rPr>
          <w:rFonts w:hint="eastAsia"/>
          <w:highlight w:val="none"/>
        </w:rPr>
        <w:t>（14）其他膳食营养补充成分类，不属于上述 11类的其他膳食营养补充成分，如：经主管部门许可使用的新食品原料类等</w:t>
      </w:r>
    </w:p>
    <w:p>
      <w:pPr>
        <w:ind w:firstLine="422"/>
        <w:rPr>
          <w:b/>
          <w:bCs/>
          <w:highlight w:val="none"/>
        </w:rPr>
      </w:pPr>
      <w:r>
        <w:rPr>
          <w:rFonts w:hint="eastAsia"/>
          <w:b/>
          <w:bCs/>
          <w:highlight w:val="none"/>
        </w:rPr>
        <w:t>4.1.2 复合类别型膳食营养补充剂：</w:t>
      </w:r>
    </w:p>
    <w:p>
      <w:pPr>
        <w:ind w:firstLine="420"/>
        <w:rPr>
          <w:highlight w:val="none"/>
        </w:rPr>
      </w:pPr>
      <w:r>
        <w:rPr>
          <w:rFonts w:hint="eastAsia"/>
          <w:highlight w:val="none"/>
        </w:rPr>
        <w:t>由 4.1.1 中两种及以上不同大类的膳食营养补充成分作为核心原料复合而成的产品。</w:t>
      </w:r>
    </w:p>
    <w:p>
      <w:pPr>
        <w:ind w:firstLine="422"/>
        <w:rPr>
          <w:b/>
          <w:bCs/>
          <w:highlight w:val="none"/>
        </w:rPr>
      </w:pPr>
      <w:bookmarkStart w:id="18" w:name="_Hlk233105397"/>
      <w:r>
        <w:rPr>
          <w:rFonts w:hint="eastAsia"/>
          <w:b/>
          <w:bCs/>
          <w:highlight w:val="none"/>
        </w:rPr>
        <w:t>依据</w:t>
      </w:r>
      <w:r>
        <w:rPr>
          <w:rFonts w:hint="eastAsia"/>
          <w:highlight w:val="none"/>
        </w:rPr>
        <w:t>：参照《中国居民膳食营养素参考摄入量》（</w:t>
      </w:r>
      <w:r>
        <w:rPr>
          <w:highlight w:val="none"/>
        </w:rPr>
        <w:t>DRIS</w:t>
      </w:r>
      <w:r>
        <w:rPr>
          <w:rFonts w:hint="eastAsia"/>
          <w:highlight w:val="none"/>
        </w:rPr>
        <w:t>）和参考《中华人民共和国国家标准 食品营养健康管理通用术语》（</w:t>
      </w:r>
      <w:r>
        <w:rPr>
          <w:highlight w:val="none"/>
        </w:rPr>
        <w:t>GB/T 21922</w:t>
      </w:r>
      <w:r>
        <w:rPr>
          <w:rFonts w:hint="eastAsia"/>
          <w:highlight w:val="none"/>
        </w:rPr>
        <w:t>）增补植物化学物分类分录，并增设14 其他膳食营养补充成分类兜底条款，</w:t>
      </w:r>
    </w:p>
    <w:bookmarkEnd w:id="18"/>
    <w:p>
      <w:pPr>
        <w:pStyle w:val="4"/>
        <w:ind w:firstLine="240"/>
        <w:rPr>
          <w:highlight w:val="none"/>
        </w:rPr>
      </w:pPr>
      <w:bookmarkStart w:id="19" w:name="_Toc234510486"/>
      <w:r>
        <w:rPr>
          <w:rFonts w:hint="eastAsia"/>
          <w:highlight w:val="none"/>
        </w:rPr>
        <w:t>5、技术要求</w:t>
      </w:r>
      <w:bookmarkEnd w:id="19"/>
    </w:p>
    <w:p>
      <w:pPr>
        <w:ind w:firstLine="422"/>
        <w:rPr>
          <w:b/>
          <w:bCs/>
          <w:highlight w:val="none"/>
        </w:rPr>
      </w:pPr>
      <w:r>
        <w:rPr>
          <w:rFonts w:hint="eastAsia"/>
          <w:b/>
          <w:bCs/>
          <w:highlight w:val="none"/>
        </w:rPr>
        <w:t>5.1</w:t>
      </w:r>
      <w:r>
        <w:rPr>
          <w:rFonts w:hint="eastAsia"/>
          <w:highlight w:val="none"/>
        </w:rPr>
        <w:t>在中国境内生产并上市销售的膳食营养补充剂产品，应符合《中华人民共和国食品安全法》及配套法律法规相关要求</w:t>
      </w:r>
      <w:r>
        <w:rPr>
          <w:rFonts w:hint="eastAsia"/>
          <w:b/>
          <w:bCs/>
          <w:highlight w:val="none"/>
        </w:rPr>
        <w:t>。</w:t>
      </w:r>
    </w:p>
    <w:p>
      <w:pPr>
        <w:ind w:firstLine="422"/>
        <w:rPr>
          <w:b/>
          <w:bCs/>
          <w:highlight w:val="none"/>
        </w:rPr>
      </w:pPr>
      <w:r>
        <w:rPr>
          <w:rFonts w:hint="eastAsia"/>
          <w:b/>
          <w:bCs/>
          <w:highlight w:val="none"/>
        </w:rPr>
        <w:t>依据：</w:t>
      </w:r>
      <w:bookmarkStart w:id="20" w:name="_Hlk228178207"/>
      <w:r>
        <w:rPr>
          <w:rFonts w:hint="eastAsia"/>
          <w:b/>
          <w:bCs/>
          <w:highlight w:val="none"/>
        </w:rPr>
        <w:t>《中国人民共和国食品安全法》</w:t>
      </w:r>
      <w:bookmarkEnd w:id="20"/>
    </w:p>
    <w:p>
      <w:pPr>
        <w:ind w:firstLine="422"/>
        <w:rPr>
          <w:highlight w:val="none"/>
        </w:rPr>
      </w:pPr>
      <w:r>
        <w:rPr>
          <w:rFonts w:hint="eastAsia"/>
          <w:b/>
          <w:bCs/>
          <w:highlight w:val="none"/>
        </w:rPr>
        <w:t>5.2</w:t>
      </w:r>
      <w:r>
        <w:rPr>
          <w:rFonts w:hint="eastAsia"/>
          <w:highlight w:val="none"/>
        </w:rPr>
        <w:t>进口食品应当符合中国法律法规和食品安全国家标准，中国缔结或者参加的国际条约、协定有特殊要求的，还应当符合国际条约、协定的要求。进口尚无食品安全国家标准的食品，应当符合国务院卫生行政部门公布的暂予适用的相关标准要求。</w:t>
      </w:r>
    </w:p>
    <w:p>
      <w:pPr>
        <w:ind w:firstLine="422"/>
        <w:rPr>
          <w:b/>
          <w:bCs/>
          <w:highlight w:val="none"/>
        </w:rPr>
      </w:pPr>
      <w:r>
        <w:rPr>
          <w:rFonts w:hint="eastAsia"/>
          <w:b/>
          <w:bCs/>
          <w:highlight w:val="none"/>
        </w:rPr>
        <w:t>依据：</w:t>
      </w:r>
      <w:bookmarkStart w:id="21" w:name="_Hlk228178217"/>
      <w:r>
        <w:rPr>
          <w:rFonts w:hint="eastAsia"/>
          <w:b/>
          <w:bCs/>
          <w:highlight w:val="none"/>
        </w:rPr>
        <w:t>《中华人民共和国进出口食品安全管理办法（海关总署令第249号）》</w:t>
      </w:r>
      <w:bookmarkEnd w:id="21"/>
      <w:r>
        <w:rPr>
          <w:rFonts w:hint="eastAsia"/>
          <w:b/>
          <w:bCs/>
          <w:highlight w:val="none"/>
        </w:rPr>
        <w:t>。</w:t>
      </w:r>
    </w:p>
    <w:p>
      <w:pPr>
        <w:ind w:firstLine="422"/>
        <w:rPr>
          <w:highlight w:val="none"/>
        </w:rPr>
      </w:pPr>
      <w:r>
        <w:rPr>
          <w:rFonts w:hint="eastAsia"/>
          <w:b/>
          <w:bCs/>
          <w:highlight w:val="none"/>
        </w:rPr>
        <w:t>5.3　</w:t>
      </w:r>
      <w:r>
        <w:rPr>
          <w:b/>
          <w:bCs/>
          <w:highlight w:val="none"/>
        </w:rPr>
        <w:t xml:space="preserve"> </w:t>
      </w:r>
      <w:r>
        <w:rPr>
          <w:rFonts w:hint="eastAsia"/>
          <w:highlight w:val="none"/>
        </w:rPr>
        <w:t>通过跨境电商零售进口的膳食营养补充剂，应当符合原产地的质量、安全、卫生、环保、标识等要求，并由经营者提供原产地证明、符合当地卫生要求证明或检测报告、自由销售证明等相关材料。且需根据上市国相关要求，对相关材料动态更新。</w:t>
      </w:r>
    </w:p>
    <w:p>
      <w:pPr>
        <w:ind w:firstLine="422"/>
        <w:rPr>
          <w:color w:val="212121"/>
          <w:highlight w:val="none"/>
        </w:rPr>
      </w:pPr>
      <w:r>
        <w:rPr>
          <w:rFonts w:hint="eastAsia"/>
          <w:b/>
          <w:bCs/>
          <w:highlight w:val="none"/>
        </w:rPr>
        <w:t>依据：</w:t>
      </w:r>
      <w:bookmarkStart w:id="22" w:name="_Hlk228178230"/>
      <w:r>
        <w:rPr>
          <w:rFonts w:hint="eastAsia"/>
          <w:b/>
          <w:bCs/>
          <w:highlight w:val="none"/>
        </w:rPr>
        <w:t>《商务部 发展改革委 财政部 海关总署 税务总局 市场监管总局关于完善跨境电子商务零售进口监管有关工作的通知》（商财发〔2018〕486号）及现行的跨境电商相关政策</w:t>
      </w:r>
      <w:bookmarkEnd w:id="22"/>
      <w:r>
        <w:rPr>
          <w:rFonts w:hint="eastAsia"/>
          <w:b/>
          <w:bCs/>
          <w:highlight w:val="none"/>
        </w:rPr>
        <w:t>：原产地证明：</w:t>
      </w:r>
      <w:r>
        <w:rPr>
          <w:rFonts w:hint="eastAsia"/>
          <w:highlight w:val="none"/>
        </w:rPr>
        <w:t>原产国地区政府及相关部门出具的原产地证明，或生产商注册登记书并具备该类产品的生产资质。 跨境电商进口食品经营者(包括电商企业代理人、电商平台企业),对所经营进口食品应持有第三方实验室出具的质量安全项目检测报告,相关实验室应具备CMA资质或获得CNAS认可。其中,保健食品及有声称功效成分的食品,检测报告应覆盖相应的主要功效成分;对启运地与原产地不一致的食品,除检测报告外,还应持有原产地证书或自由销售证明等材料。</w:t>
      </w:r>
      <w:r>
        <w:rPr>
          <w:rFonts w:hint="eastAsia"/>
          <w:b/>
          <w:bCs/>
          <w:color w:val="212121"/>
          <w:highlight w:val="none"/>
        </w:rPr>
        <w:t>自由销售证明：</w:t>
      </w:r>
      <w:r>
        <w:rPr>
          <w:rFonts w:hint="eastAsia"/>
          <w:color w:val="212121"/>
          <w:highlight w:val="none"/>
        </w:rPr>
        <w:t>品牌方或供应商在线上或线下销售的凭证，并可提供线上等网址链接（销售记录、评价、价格）、线下实体店照片+联系方式（地址电话）、展示图片（视频）+售价</w:t>
      </w:r>
      <w:r>
        <w:rPr>
          <w:rFonts w:hint="eastAsia"/>
          <w:b/>
          <w:bCs/>
          <w:color w:val="212121"/>
          <w:highlight w:val="none"/>
        </w:rPr>
        <w:t>，符合当地卫生要求证明或检测报告：</w:t>
      </w:r>
      <w:r>
        <w:rPr>
          <w:rFonts w:hint="eastAsia"/>
          <w:color w:val="212121"/>
          <w:highlight w:val="none"/>
        </w:rPr>
        <w:t>原产国政府或第三方权威机构出具的营养成分分析、理化指标、微生物、污染物及毒素、添加剂等检测报告。</w:t>
      </w:r>
    </w:p>
    <w:p>
      <w:pPr>
        <w:ind w:firstLine="422"/>
        <w:rPr>
          <w:b/>
          <w:bCs/>
          <w:highlight w:val="none"/>
        </w:rPr>
      </w:pPr>
      <w:r>
        <w:rPr>
          <w:rFonts w:hint="eastAsia"/>
          <w:b/>
          <w:bCs/>
          <w:highlight w:val="none"/>
        </w:rPr>
        <w:t>以上要求源于现行的跨境电商零售进口产品相关要求和规定。故作补充说明，根据上市国要求对相关材料动态更新。</w:t>
      </w:r>
    </w:p>
    <w:p>
      <w:pPr>
        <w:ind w:firstLine="422"/>
        <w:rPr>
          <w:b/>
          <w:bCs/>
          <w:highlight w:val="none"/>
        </w:rPr>
      </w:pPr>
      <w:r>
        <w:rPr>
          <w:rFonts w:hint="eastAsia"/>
          <w:b/>
          <w:bCs/>
          <w:highlight w:val="none"/>
        </w:rPr>
        <w:t>5.4　</w:t>
      </w:r>
      <w:r>
        <w:rPr>
          <w:rFonts w:hint="eastAsia"/>
          <w:highlight w:val="none"/>
        </w:rPr>
        <w:t>出口食品应当保证其符合进口国家（地区）的标准或者合同要求，中国缔结或者参加的国际条约、协定有特殊要求的，还应当符合国际条约、协定的要求。</w:t>
      </w:r>
    </w:p>
    <w:p>
      <w:pPr>
        <w:ind w:firstLine="422"/>
        <w:rPr>
          <w:b/>
          <w:bCs/>
          <w:highlight w:val="none"/>
        </w:rPr>
      </w:pPr>
      <w:r>
        <w:rPr>
          <w:rFonts w:hint="eastAsia"/>
          <w:b/>
          <w:bCs/>
          <w:highlight w:val="none"/>
        </w:rPr>
        <w:t>依据：《中华人民共和国进出口食品安全管理办法（海关总署令第249号）》。</w:t>
      </w:r>
    </w:p>
    <w:p>
      <w:pPr>
        <w:pStyle w:val="4"/>
        <w:ind w:firstLine="240"/>
        <w:rPr>
          <w:highlight w:val="none"/>
        </w:rPr>
      </w:pPr>
      <w:bookmarkStart w:id="23" w:name="_Toc234510487"/>
      <w:r>
        <w:rPr>
          <w:rFonts w:hint="eastAsia"/>
          <w:highlight w:val="none"/>
        </w:rPr>
        <w:t>6、原辅料要求</w:t>
      </w:r>
      <w:bookmarkEnd w:id="23"/>
    </w:p>
    <w:p>
      <w:pPr>
        <w:ind w:firstLine="420"/>
        <w:rPr>
          <w:highlight w:val="none"/>
        </w:rPr>
      </w:pPr>
      <w:r>
        <w:rPr>
          <w:rFonts w:hint="eastAsia"/>
          <w:highlight w:val="none"/>
        </w:rPr>
        <w:t>本章旨在</w:t>
      </w:r>
      <w:bookmarkStart w:id="24" w:name="_Hlk228178276"/>
      <w:r>
        <w:rPr>
          <w:rFonts w:hint="eastAsia"/>
          <w:highlight w:val="none"/>
        </w:rPr>
        <w:t>规范膳食营养补充剂原辅料的选用、质量与安全控制，从源头保障产品安全、有效、质量可控。</w:t>
      </w:r>
      <w:bookmarkEnd w:id="24"/>
      <w:r>
        <w:rPr>
          <w:rFonts w:hint="eastAsia"/>
          <w:highlight w:val="none"/>
        </w:rPr>
        <w:t>编制以《中华人民共和国食品安全法》 及配套法规、国内外膳食补充剂/食品补充剂相关监管规则、国际通行食品原料管理原则为基础，结合我国产业现状与国际贸易需求，兼顾科学性、适用性与可操作性。</w:t>
      </w:r>
    </w:p>
    <w:p>
      <w:pPr>
        <w:ind w:firstLine="422"/>
        <w:rPr>
          <w:b/>
          <w:bCs/>
          <w:highlight w:val="none"/>
        </w:rPr>
      </w:pPr>
      <w:r>
        <w:rPr>
          <w:rFonts w:hint="eastAsia"/>
          <w:b/>
          <w:bCs/>
          <w:highlight w:val="none"/>
        </w:rPr>
        <w:t>（一）安全要求（6.1）</w:t>
      </w:r>
    </w:p>
    <w:p>
      <w:pPr>
        <w:ind w:firstLine="420"/>
        <w:rPr>
          <w:highlight w:val="none"/>
        </w:rPr>
      </w:pPr>
      <w:r>
        <w:rPr>
          <w:rFonts w:hint="eastAsia"/>
          <w:highlight w:val="none"/>
        </w:rPr>
        <w:t>聚焦安全、可控、稳定、可追溯四大底线：原辅料须安全、质量可控、特征成分稳定；来源合法可追溯，推荐剂量与储运周期内无健康风险；严禁添加上市国 / 原产地违禁成分，守住安全红线。</w:t>
      </w:r>
    </w:p>
    <w:p>
      <w:pPr>
        <w:ind w:firstLine="422"/>
        <w:rPr>
          <w:b/>
          <w:bCs/>
          <w:highlight w:val="none"/>
        </w:rPr>
      </w:pPr>
      <w:r>
        <w:rPr>
          <w:rFonts w:hint="eastAsia"/>
          <w:b/>
          <w:bCs/>
          <w:highlight w:val="none"/>
        </w:rPr>
        <w:t>（二）</w:t>
      </w:r>
      <w:bookmarkStart w:id="25" w:name="_Hlk228178389"/>
      <w:r>
        <w:rPr>
          <w:rFonts w:hint="eastAsia"/>
          <w:b/>
          <w:bCs/>
          <w:highlight w:val="none"/>
        </w:rPr>
        <w:t>质量标准适用要求（6.2）</w:t>
      </w:r>
    </w:p>
    <w:p>
      <w:pPr>
        <w:ind w:firstLine="420"/>
        <w:rPr>
          <w:highlight w:val="none"/>
        </w:rPr>
      </w:pPr>
      <w:r>
        <w:rPr>
          <w:rFonts w:hint="eastAsia"/>
          <w:highlight w:val="none"/>
        </w:rPr>
        <w:t>建立优先级清晰的标准适用路径：规定原辅料优先适用原产地、上市国对应品类质量标准；无对应品类标准时，宜采用当地食品标准或药典标准；参考其他标准时，遵循安全、可控、科学原则，避免无标生产。</w:t>
      </w:r>
    </w:p>
    <w:bookmarkEnd w:id="25"/>
    <w:p>
      <w:pPr>
        <w:ind w:firstLine="422"/>
        <w:rPr>
          <w:b/>
          <w:bCs/>
          <w:highlight w:val="none"/>
        </w:rPr>
      </w:pPr>
      <w:r>
        <w:rPr>
          <w:rFonts w:hint="eastAsia"/>
          <w:b/>
          <w:bCs/>
          <w:highlight w:val="none"/>
        </w:rPr>
        <w:t>（三）</w:t>
      </w:r>
      <w:bookmarkStart w:id="26" w:name="_Hlk228178472"/>
      <w:r>
        <w:rPr>
          <w:rFonts w:hint="eastAsia"/>
          <w:b/>
          <w:bCs/>
          <w:highlight w:val="none"/>
        </w:rPr>
        <w:t>使用合规要求（6.1）</w:t>
      </w:r>
    </w:p>
    <w:p>
      <w:pPr>
        <w:ind w:firstLine="420"/>
        <w:rPr>
          <w:highlight w:val="none"/>
        </w:rPr>
      </w:pPr>
      <w:r>
        <w:rPr>
          <w:rFonts w:hint="eastAsia"/>
          <w:highlight w:val="none"/>
        </w:rPr>
        <w:t>明确原辅料使用以上市国/原产地法规为首要依据，分别对新食品原料、传统可食用原料提出合规边界：新食品原料需符合行政许可与公告要求；传统可食用原料需符合传统食用习惯与当地规定，避免超范围、超限量使用。</w:t>
      </w:r>
    </w:p>
    <w:bookmarkEnd w:id="26"/>
    <w:p>
      <w:pPr>
        <w:ind w:firstLine="422"/>
        <w:rPr>
          <w:b/>
          <w:bCs/>
          <w:highlight w:val="none"/>
        </w:rPr>
      </w:pPr>
      <w:r>
        <w:rPr>
          <w:rFonts w:hint="eastAsia"/>
          <w:b/>
          <w:bCs/>
          <w:highlight w:val="none"/>
        </w:rPr>
        <w:t>（四）重点原料分类要求（6.4—6.7）</w:t>
      </w:r>
    </w:p>
    <w:p>
      <w:pPr>
        <w:ind w:firstLine="422"/>
        <w:rPr>
          <w:b/>
          <w:bCs/>
          <w:highlight w:val="none"/>
        </w:rPr>
      </w:pPr>
      <w:r>
        <w:rPr>
          <w:rFonts w:hint="eastAsia"/>
          <w:b/>
          <w:bCs/>
          <w:highlight w:val="none"/>
        </w:rPr>
        <w:t>针对产业常用重点原料单独，实现精准管控：</w:t>
      </w:r>
    </w:p>
    <w:p>
      <w:pPr>
        <w:ind w:firstLine="422"/>
        <w:rPr>
          <w:highlight w:val="none"/>
        </w:rPr>
      </w:pPr>
      <w:bookmarkStart w:id="27" w:name="_Hlk228178509"/>
      <w:r>
        <w:rPr>
          <w:rFonts w:hint="eastAsia"/>
          <w:b/>
          <w:bCs/>
          <w:highlight w:val="none"/>
        </w:rPr>
        <w:t>动植物类原料</w:t>
      </w:r>
      <w:bookmarkEnd w:id="27"/>
      <w:r>
        <w:rPr>
          <w:rFonts w:hint="eastAsia"/>
          <w:b/>
          <w:bCs/>
          <w:highlight w:val="none"/>
        </w:rPr>
        <w:t>：</w:t>
      </w:r>
      <w:r>
        <w:rPr>
          <w:rFonts w:hint="eastAsia"/>
          <w:highlight w:val="none"/>
        </w:rPr>
        <w:t>符合检疫、动植物保护相关管理规定，防范生物安全与合规风险。</w:t>
      </w:r>
    </w:p>
    <w:p>
      <w:pPr>
        <w:ind w:firstLine="422"/>
        <w:rPr>
          <w:b/>
          <w:bCs/>
          <w:highlight w:val="none"/>
        </w:rPr>
      </w:pPr>
      <w:r>
        <w:rPr>
          <w:rFonts w:hint="eastAsia"/>
          <w:b/>
          <w:bCs/>
          <w:highlight w:val="none"/>
        </w:rPr>
        <w:t>藻类原料：</w:t>
      </w:r>
      <w:r>
        <w:rPr>
          <w:rFonts w:hint="eastAsia"/>
          <w:highlight w:val="none"/>
        </w:rPr>
        <w:t>品种与遗传稳定性满足产地生产要求；自产原料需建立质量稳定可控的生产管理体系，保障原料均一性。</w:t>
      </w:r>
    </w:p>
    <w:p>
      <w:pPr>
        <w:ind w:firstLine="422"/>
        <w:rPr>
          <w:b/>
          <w:bCs/>
          <w:highlight w:val="none"/>
        </w:rPr>
      </w:pPr>
      <w:r>
        <w:rPr>
          <w:rFonts w:hint="eastAsia"/>
          <w:b/>
          <w:bCs/>
          <w:highlight w:val="none"/>
        </w:rPr>
        <w:t>微生物/发酵原料：</w:t>
      </w:r>
      <w:r>
        <w:rPr>
          <w:rFonts w:hint="eastAsia"/>
          <w:highlight w:val="none"/>
        </w:rPr>
        <w:t>非纯化的发酵产物菌株/菌种、遗传稳定性、安全性符合原产地或上市国家（地区）要求；自产需建立体系、使用合格底物，严控微生物安全风险。</w:t>
      </w:r>
    </w:p>
    <w:p>
      <w:pPr>
        <w:ind w:firstLine="422"/>
        <w:rPr>
          <w:highlight w:val="none"/>
        </w:rPr>
      </w:pPr>
      <w:r>
        <w:rPr>
          <w:rFonts w:hint="eastAsia"/>
          <w:b/>
          <w:bCs/>
          <w:highlight w:val="none"/>
        </w:rPr>
        <w:t>提取物类原料：</w:t>
      </w:r>
      <w:r>
        <w:rPr>
          <w:rFonts w:hint="eastAsia"/>
          <w:highlight w:val="none"/>
        </w:rPr>
        <w:t>原料来源与生产工艺满足原产地或上市国家（地区）要求，规范提取过程，明确提取物全成分。</w:t>
      </w:r>
    </w:p>
    <w:p>
      <w:pPr>
        <w:ind w:firstLine="422"/>
        <w:rPr>
          <w:highlight w:val="none"/>
        </w:rPr>
      </w:pPr>
      <w:r>
        <w:rPr>
          <w:rFonts w:hint="eastAsia"/>
          <w:b/>
          <w:bCs/>
          <w:highlight w:val="none"/>
        </w:rPr>
        <w:t>生物合成类原料：</w:t>
      </w:r>
      <w:r>
        <w:rPr>
          <w:rFonts w:hint="eastAsia"/>
          <w:highlight w:val="none"/>
        </w:rPr>
        <w:t>限定使用非致病、非产毒生产菌株；基因修饰菌株需完成安全性与环境风险评估；生产符合 GMP，底物与培养基为食品级；终产品满足纯度、有害物质、微生物指标，建立全链条溯源。</w:t>
      </w:r>
    </w:p>
    <w:p>
      <w:pPr>
        <w:pStyle w:val="4"/>
        <w:ind w:firstLine="240"/>
        <w:rPr>
          <w:highlight w:val="none"/>
        </w:rPr>
      </w:pPr>
      <w:bookmarkStart w:id="28" w:name="_Toc234510488"/>
      <w:r>
        <w:rPr>
          <w:rFonts w:hint="eastAsia"/>
          <w:highlight w:val="none"/>
        </w:rPr>
        <w:t>7、产品研发</w:t>
      </w:r>
      <w:bookmarkEnd w:id="28"/>
    </w:p>
    <w:p>
      <w:pPr>
        <w:ind w:firstLine="420"/>
        <w:rPr>
          <w:highlight w:val="none"/>
        </w:rPr>
      </w:pPr>
      <w:r>
        <w:rPr>
          <w:rFonts w:hint="eastAsia"/>
          <w:highlight w:val="none"/>
        </w:rPr>
        <w:t>本章围绕膳食营养补充剂科学研发，明确产品研发的基本原则、体系建设、协同创新与验证要求，为企业建立合规、科学、高效的研发管理机制提供统一指引，从研发环节保障产品配方合理、营养有效、安全可靠，支撑行业高质量创新发展。</w:t>
      </w:r>
    </w:p>
    <w:p>
      <w:pPr>
        <w:ind w:firstLine="420"/>
        <w:rPr>
          <w:highlight w:val="none"/>
        </w:rPr>
      </w:pPr>
      <w:r>
        <w:rPr>
          <w:rFonts w:hint="eastAsia"/>
          <w:highlight w:val="none"/>
        </w:rPr>
        <w:t>科学性：以营养需求与生理特点为基础，坚持配方科学、配伍合理、营养有效、产品安全四位一体的底线，杜绝盲目配方与非科学组方，从源头保障产品定位与膳食营养补充剂核心属性一致。</w:t>
      </w:r>
    </w:p>
    <w:p>
      <w:pPr>
        <w:ind w:firstLine="420"/>
        <w:rPr>
          <w:highlight w:val="none"/>
        </w:rPr>
      </w:pPr>
      <w:r>
        <w:rPr>
          <w:rFonts w:hint="eastAsia"/>
          <w:highlight w:val="none"/>
        </w:rPr>
        <w:t>系统性：覆盖研发全流程，形成闭环管理要求。规范研发过程管控，确保研发体系有效运行，解决行业部分企业研发流程不规范、无体系支撑的问题。</w:t>
      </w:r>
    </w:p>
    <w:p>
      <w:pPr>
        <w:ind w:firstLine="420"/>
        <w:rPr>
          <w:highlight w:val="none"/>
        </w:rPr>
      </w:pPr>
      <w:r>
        <w:rPr>
          <w:rFonts w:hint="eastAsia"/>
          <w:highlight w:val="none"/>
        </w:rPr>
        <w:t>引导性：鼓励体系建设与产学研协同，推动技术成果转化。推动行业技术升级与产品迭代，提升整体研发水平与核心竞争力。</w:t>
      </w:r>
    </w:p>
    <w:p>
      <w:pPr>
        <w:ind w:firstLine="420"/>
        <w:rPr>
          <w:highlight w:val="none"/>
        </w:rPr>
      </w:pPr>
      <w:r>
        <w:rPr>
          <w:rFonts w:hint="eastAsia"/>
          <w:highlight w:val="none"/>
        </w:rPr>
        <w:t>验证性：强调研发过程应开展系统性科学验证，覆盖配方合理性、营养成分有效性、产品安全性、工艺可行性四大核心维度，且验证方法需符合相关技术规范，以科学数据支撑产品定型，规范无验证、无依据的产品上市。</w:t>
      </w:r>
    </w:p>
    <w:p>
      <w:pPr>
        <w:pStyle w:val="4"/>
        <w:ind w:firstLine="240"/>
        <w:rPr>
          <w:highlight w:val="none"/>
        </w:rPr>
      </w:pPr>
      <w:bookmarkStart w:id="29" w:name="_Toc234510489"/>
      <w:r>
        <w:rPr>
          <w:rFonts w:hint="eastAsia"/>
          <w:highlight w:val="none"/>
        </w:rPr>
        <w:t>8、产品质量要求</w:t>
      </w:r>
      <w:bookmarkEnd w:id="29"/>
    </w:p>
    <w:p>
      <w:pPr>
        <w:ind w:firstLine="420"/>
        <w:rPr>
          <w:highlight w:val="none"/>
        </w:rPr>
      </w:pPr>
      <w:bookmarkStart w:id="30" w:name="_Hlk228178925"/>
      <w:r>
        <w:rPr>
          <w:rFonts w:hint="eastAsia"/>
          <w:highlight w:val="none"/>
        </w:rPr>
        <w:t>本章旨在统一膳食营养补充剂质量控制底线要求，不设定具体技术指标限值，从感官、理化、安全性三个核心维度，明确产品质量应遵循的通用管控要点，</w:t>
      </w:r>
      <w:bookmarkEnd w:id="30"/>
      <w:bookmarkStart w:id="31" w:name="_Hlk228178967"/>
      <w:r>
        <w:rPr>
          <w:rFonts w:hint="eastAsia"/>
          <w:highlight w:val="none"/>
        </w:rPr>
        <w:t>保障产品在货架期内质量稳定、安全可靠、营养成分达到起效量，满足上市国家（地区）法规与国际贸易需求。</w:t>
      </w:r>
      <w:bookmarkEnd w:id="31"/>
      <w:r>
        <w:rPr>
          <w:rFonts w:hint="eastAsia"/>
          <w:highlight w:val="none"/>
        </w:rPr>
        <w:t>依据《中华人民共和国食品安全法》、食品安全国家标准、国内外膳食营养补充剂/食品补充剂质量管控规范，结合产品形态、营养功能、储运特性与进出口贸易实际制定。</w:t>
      </w:r>
    </w:p>
    <w:p>
      <w:pPr>
        <w:pStyle w:val="4"/>
        <w:ind w:firstLine="240"/>
        <w:rPr>
          <w:highlight w:val="none"/>
        </w:rPr>
      </w:pPr>
      <w:bookmarkStart w:id="32" w:name="_Toc234510490"/>
      <w:r>
        <w:rPr>
          <w:rFonts w:hint="eastAsia"/>
          <w:highlight w:val="none"/>
        </w:rPr>
        <w:t>9、生产过程要求</w:t>
      </w:r>
      <w:bookmarkEnd w:id="32"/>
    </w:p>
    <w:p>
      <w:pPr>
        <w:ind w:firstLine="420"/>
        <w:rPr>
          <w:highlight w:val="none"/>
        </w:rPr>
      </w:pPr>
      <w:r>
        <w:rPr>
          <w:rFonts w:hint="eastAsia"/>
          <w:highlight w:val="none"/>
        </w:rPr>
        <w:t>本章依据《中华人民共和国食品安全法》、良好生产规范（GMP）、危害分析与关键控制点（HACCP）原理，结合国内外膳食营养补充剂生产管理实践与进出口贸易监管要求制定。以合规为底线、体系为核心、认证为提升，既满足不同市场监管要求，又引导企业向更高标准看齐。通过强化过程管控与鼓励国内外认证，推动行业生产能力整体升级，保障产品安全稳定，支撑行业高质量发展与国际化贸易便利化。</w:t>
      </w:r>
    </w:p>
    <w:p>
      <w:pPr>
        <w:pStyle w:val="4"/>
        <w:ind w:firstLine="240"/>
        <w:rPr>
          <w:highlight w:val="none"/>
        </w:rPr>
      </w:pPr>
      <w:bookmarkStart w:id="33" w:name="_Toc234510491"/>
      <w:r>
        <w:rPr>
          <w:rFonts w:hint="eastAsia"/>
          <w:highlight w:val="none"/>
        </w:rPr>
        <w:t>10、</w:t>
      </w:r>
      <w:bookmarkStart w:id="34" w:name="_Hlk228179064"/>
      <w:r>
        <w:rPr>
          <w:rFonts w:hint="eastAsia"/>
          <w:highlight w:val="none"/>
        </w:rPr>
        <w:t>标识、包装、运输、贮存</w:t>
      </w:r>
      <w:bookmarkEnd w:id="33"/>
      <w:bookmarkEnd w:id="34"/>
    </w:p>
    <w:p>
      <w:pPr>
        <w:ind w:firstLine="420"/>
        <w:rPr>
          <w:b/>
          <w:bCs/>
          <w:highlight w:val="none"/>
        </w:rPr>
      </w:pPr>
      <w:r>
        <w:rPr>
          <w:rFonts w:hint="eastAsia"/>
          <w:highlight w:val="none"/>
        </w:rPr>
        <w:t>本章围绕膳食营养补充剂标识规范、包装安全、储运可控、信息可追溯的核心目标，统一产品标识、包装、运输与贮存的全链条管理要求，保障产品质量稳定、信息真实可查、流向可追溯。同时突出数字化、电子化标签管理的创新导向，推动行业向智慧监管、便捷溯源、国际通行模式升级</w:t>
      </w:r>
      <w:r>
        <w:rPr>
          <w:rFonts w:hint="eastAsia"/>
          <w:b/>
          <w:bCs/>
          <w:highlight w:val="none"/>
        </w:rPr>
        <w:t>。</w:t>
      </w:r>
    </w:p>
    <w:p>
      <w:pPr>
        <w:ind w:firstLine="420"/>
        <w:rPr>
          <w:highlight w:val="none"/>
        </w:rPr>
      </w:pPr>
      <w:r>
        <w:rPr>
          <w:rFonts w:hint="eastAsia"/>
          <w:highlight w:val="none"/>
        </w:rPr>
        <w:t>在标识章节重点提出产品应标明推荐食用量及食用方法，强调产品定义中产品在推荐食用量下可达到相应作用。</w:t>
      </w:r>
    </w:p>
    <w:p>
      <w:pPr>
        <w:pStyle w:val="4"/>
        <w:ind w:firstLine="240"/>
        <w:rPr>
          <w:highlight w:val="none"/>
        </w:rPr>
      </w:pPr>
      <w:bookmarkStart w:id="35" w:name="_Toc234510492"/>
      <w:r>
        <w:rPr>
          <w:rFonts w:hint="eastAsia"/>
          <w:highlight w:val="none"/>
        </w:rPr>
        <w:t>11、追溯</w:t>
      </w:r>
      <w:bookmarkEnd w:id="35"/>
    </w:p>
    <w:p>
      <w:pPr>
        <w:ind w:firstLine="420"/>
        <w:rPr>
          <w:highlight w:val="none"/>
        </w:rPr>
      </w:pPr>
      <w:r>
        <w:rPr>
          <w:rFonts w:hint="eastAsia"/>
          <w:highlight w:val="none"/>
        </w:rPr>
        <w:t>依据《中华人民共和国食品安全法》《食品安全追溯体系建设指南》及国际食品贸易追溯通行规则，结合膳食营养补充剂原料多元、跨境流通广、监管链条长的特点制定。本章将追溯管理从企业自愿行为提升为标准引导的规范化要求，补齐膳食营养补充剂全链条管控关键一环，以追溯保安全、以追溯促信任、以追溯助贸易，对行业高质量发展与国际化合规运营具有长期且关键的支撑作用。</w:t>
      </w:r>
    </w:p>
    <w:p>
      <w:pPr>
        <w:pStyle w:val="4"/>
        <w:ind w:firstLine="240"/>
        <w:rPr>
          <w:highlight w:val="none"/>
        </w:rPr>
      </w:pPr>
      <w:bookmarkStart w:id="36" w:name="_Toc234510493"/>
      <w:r>
        <w:rPr>
          <w:rFonts w:hint="eastAsia"/>
          <w:highlight w:val="none"/>
        </w:rPr>
        <w:t>12、产品信息展示与宣传</w:t>
      </w:r>
      <w:bookmarkEnd w:id="36"/>
    </w:p>
    <w:p>
      <w:pPr>
        <w:ind w:firstLine="420"/>
        <w:rPr>
          <w:highlight w:val="none"/>
        </w:rPr>
      </w:pPr>
      <w:bookmarkStart w:id="37" w:name="_Hlk228179490"/>
      <w:r>
        <w:rPr>
          <w:rFonts w:hint="eastAsia"/>
          <w:highlight w:val="none"/>
        </w:rPr>
        <w:t>依据《中华人民共和国食品安全法》《广告法》《反不正当竞争法》及国内外膳食营养补充剂标签标识、宣传管理相关规定，结合跨境电商、线上线下多渠道宣传。旨在规范膳食营养补充剂信息展示与宣传行为，明确宣传内容的真实性、严谨性与合规性底线，</w:t>
      </w:r>
      <w:bookmarkEnd w:id="37"/>
      <w:r>
        <w:rPr>
          <w:rFonts w:hint="eastAsia"/>
          <w:highlight w:val="none"/>
        </w:rPr>
        <w:t>杜绝虚假、夸大、误导性宣传，突出以科学证据为宣传依据，维护消费者权益、市场秩序与行业公信力。</w:t>
      </w:r>
    </w:p>
    <w:p>
      <w:pPr>
        <w:pStyle w:val="4"/>
        <w:ind w:firstLine="240"/>
        <w:rPr>
          <w:highlight w:val="none"/>
        </w:rPr>
      </w:pPr>
      <w:bookmarkStart w:id="38" w:name="_Toc234510494"/>
      <w:r>
        <w:rPr>
          <w:rFonts w:hint="eastAsia"/>
          <w:highlight w:val="none"/>
        </w:rPr>
        <w:t>13、其他</w:t>
      </w:r>
      <w:bookmarkEnd w:id="38"/>
    </w:p>
    <w:p>
      <w:pPr>
        <w:ind w:firstLine="420"/>
        <w:rPr>
          <w:highlight w:val="none"/>
        </w:rPr>
      </w:pPr>
      <w:r>
        <w:rPr>
          <w:rFonts w:hint="eastAsia"/>
          <w:highlight w:val="none"/>
        </w:rPr>
        <w:t>本章为标准兜底补充条款，用于明确未尽事宜的适用规则、责任归属与合规原则，重点确立产品生产经营者为产品安全第一责任人，压实主体责任，保障标准在复杂场景下可落地、可执行、可追溯。依据《中华人民共和国食品安全法》中关于食品生产经营主体责任的核心规定，结合国际贸易惯例、跨境电商监管规则及膳食营养补充剂全球流通特点制定。</w:t>
      </w:r>
    </w:p>
    <w:p>
      <w:pPr>
        <w:pStyle w:val="2"/>
        <w:ind w:firstLine="560"/>
        <w:rPr>
          <w:highlight w:val="none"/>
        </w:rPr>
      </w:pPr>
      <w:bookmarkStart w:id="39" w:name="_Toc234510495"/>
      <w:r>
        <w:rPr>
          <w:rFonts w:hint="eastAsia"/>
          <w:highlight w:val="none"/>
        </w:rPr>
        <w:t>三、采用国际标准和国外先进标准的程度，以及与国际同类标准的对比情况</w:t>
      </w:r>
      <w:bookmarkEnd w:id="39"/>
    </w:p>
    <w:p>
      <w:pPr>
        <w:ind w:firstLine="420"/>
        <w:rPr>
          <w:b/>
          <w:bCs/>
          <w:highlight w:val="none"/>
        </w:rPr>
      </w:pPr>
      <w:r>
        <w:rPr>
          <w:rFonts w:hint="eastAsia"/>
          <w:highlight w:val="none"/>
          <w:lang w:bidi="ar"/>
        </w:rPr>
        <w:t>目前国际和国外先进标准暂无针对膳食营养补充剂标准，本标准为首创标准。</w:t>
      </w:r>
    </w:p>
    <w:p>
      <w:pPr>
        <w:pStyle w:val="2"/>
        <w:ind w:firstLine="560"/>
        <w:rPr>
          <w:highlight w:val="none"/>
        </w:rPr>
      </w:pPr>
      <w:bookmarkStart w:id="40" w:name="_Toc234510496"/>
      <w:r>
        <w:rPr>
          <w:rFonts w:hint="eastAsia"/>
          <w:highlight w:val="none"/>
        </w:rPr>
        <w:t>四、与现行法律、法规和强制性标准的关系</w:t>
      </w:r>
      <w:bookmarkEnd w:id="40"/>
    </w:p>
    <w:p>
      <w:pPr>
        <w:ind w:firstLine="420"/>
        <w:rPr>
          <w:b/>
          <w:bCs/>
          <w:highlight w:val="none"/>
        </w:rPr>
      </w:pPr>
      <w:r>
        <w:rPr>
          <w:highlight w:val="none"/>
          <w:lang w:bidi="ar"/>
        </w:rPr>
        <w:t>本标准与现行法律、法规、规章和政策以及有关基础和强制性标准不矛盾。</w:t>
      </w:r>
    </w:p>
    <w:p>
      <w:pPr>
        <w:pStyle w:val="2"/>
        <w:ind w:firstLine="560"/>
        <w:rPr>
          <w:highlight w:val="none"/>
        </w:rPr>
      </w:pPr>
      <w:bookmarkStart w:id="41" w:name="_Toc234510497"/>
      <w:r>
        <w:rPr>
          <w:rFonts w:hint="eastAsia"/>
          <w:highlight w:val="none"/>
        </w:rPr>
        <w:t>五、重大分歧意见的处理经过和依据</w:t>
      </w:r>
      <w:bookmarkEnd w:id="41"/>
    </w:p>
    <w:p>
      <w:pPr>
        <w:ind w:firstLine="420"/>
        <w:rPr>
          <w:b/>
          <w:bCs/>
          <w:highlight w:val="none"/>
        </w:rPr>
      </w:pPr>
      <w:r>
        <w:rPr>
          <w:highlight w:val="none"/>
          <w:lang w:bidi="ar"/>
        </w:rPr>
        <w:t>本标准未产生重大分歧意见。</w:t>
      </w:r>
    </w:p>
    <w:p>
      <w:pPr>
        <w:pStyle w:val="2"/>
        <w:ind w:firstLine="560"/>
        <w:rPr>
          <w:highlight w:val="none"/>
        </w:rPr>
      </w:pPr>
      <w:bookmarkStart w:id="42" w:name="_Toc234510498"/>
      <w:r>
        <w:rPr>
          <w:rFonts w:hint="eastAsia"/>
          <w:highlight w:val="none"/>
        </w:rPr>
        <w:t>六、作为强制性标准或推荐性标准的建议</w:t>
      </w:r>
      <w:bookmarkEnd w:id="42"/>
    </w:p>
    <w:p>
      <w:pPr>
        <w:ind w:firstLine="420"/>
        <w:rPr>
          <w:b/>
          <w:bCs/>
          <w:highlight w:val="none"/>
        </w:rPr>
      </w:pPr>
      <w:r>
        <w:rPr>
          <w:highlight w:val="none"/>
          <w:lang w:bidi="ar"/>
        </w:rPr>
        <w:t>本标准可作为团体标准，</w:t>
      </w:r>
      <w:r>
        <w:rPr>
          <w:rFonts w:hint="eastAsia"/>
          <w:highlight w:val="none"/>
          <w:lang w:bidi="ar"/>
        </w:rPr>
        <w:t>根据中国医药保健品进出口商会相关文件，由</w:t>
      </w:r>
      <w:r>
        <w:rPr>
          <w:highlight w:val="none"/>
          <w:lang w:bidi="ar"/>
        </w:rPr>
        <w:t>团体内成员自愿采用。</w:t>
      </w:r>
    </w:p>
    <w:p>
      <w:pPr>
        <w:pStyle w:val="2"/>
        <w:ind w:firstLine="560"/>
        <w:rPr>
          <w:highlight w:val="none"/>
        </w:rPr>
      </w:pPr>
      <w:bookmarkStart w:id="43" w:name="_Toc234510499"/>
      <w:r>
        <w:rPr>
          <w:rFonts w:hint="eastAsia"/>
          <w:highlight w:val="none"/>
        </w:rPr>
        <w:t>七、贯彻标准的要求和措施建议（包括组织措施、技术措施、过渡办法、实施日期等）</w:t>
      </w:r>
      <w:bookmarkEnd w:id="43"/>
    </w:p>
    <w:p>
      <w:pPr>
        <w:ind w:firstLine="420"/>
        <w:rPr>
          <w:b/>
          <w:bCs/>
          <w:highlight w:val="none"/>
        </w:rPr>
      </w:pPr>
      <w:r>
        <w:rPr>
          <w:highlight w:val="none"/>
          <w:lang w:bidi="ar"/>
        </w:rPr>
        <w:t>本标准为首次发布。</w:t>
      </w:r>
    </w:p>
    <w:p>
      <w:pPr>
        <w:pStyle w:val="2"/>
        <w:ind w:firstLine="560"/>
        <w:rPr>
          <w:highlight w:val="none"/>
        </w:rPr>
      </w:pPr>
      <w:bookmarkStart w:id="44" w:name="_Toc234510500"/>
      <w:r>
        <w:rPr>
          <w:rFonts w:hint="eastAsia"/>
          <w:highlight w:val="none"/>
        </w:rPr>
        <w:t>八、其他需要说明的事项</w:t>
      </w:r>
      <w:bookmarkEnd w:id="44"/>
    </w:p>
    <w:p>
      <w:pPr>
        <w:ind w:firstLine="420"/>
        <w:rPr>
          <w:highlight w:val="none"/>
          <w:lang w:bidi="ar"/>
        </w:rPr>
      </w:pPr>
      <w:r>
        <w:rPr>
          <w:highlight w:val="none"/>
          <w:lang w:bidi="ar"/>
        </w:rPr>
        <w:t>无其他需要说明的事项。</w:t>
      </w:r>
    </w:p>
    <w:p>
      <w:pPr>
        <w:ind w:firstLine="422"/>
        <w:rPr>
          <w:b/>
          <w:bCs/>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E0B"/>
    <w:rsid w:val="0001510D"/>
    <w:rsid w:val="000159A1"/>
    <w:rsid w:val="00020AAD"/>
    <w:rsid w:val="000230A5"/>
    <w:rsid w:val="00032F98"/>
    <w:rsid w:val="00034378"/>
    <w:rsid w:val="000346EE"/>
    <w:rsid w:val="00035B5D"/>
    <w:rsid w:val="000463EA"/>
    <w:rsid w:val="00047158"/>
    <w:rsid w:val="00055116"/>
    <w:rsid w:val="00065463"/>
    <w:rsid w:val="00074153"/>
    <w:rsid w:val="00075065"/>
    <w:rsid w:val="00075BBF"/>
    <w:rsid w:val="00081DED"/>
    <w:rsid w:val="00086D6D"/>
    <w:rsid w:val="00092FB9"/>
    <w:rsid w:val="000A3D95"/>
    <w:rsid w:val="000B173D"/>
    <w:rsid w:val="000B3637"/>
    <w:rsid w:val="000B37DB"/>
    <w:rsid w:val="000B5144"/>
    <w:rsid w:val="000C0E7C"/>
    <w:rsid w:val="000C0FD1"/>
    <w:rsid w:val="000C6B27"/>
    <w:rsid w:val="000D4337"/>
    <w:rsid w:val="000E20AF"/>
    <w:rsid w:val="000E7857"/>
    <w:rsid w:val="000F3373"/>
    <w:rsid w:val="000F7503"/>
    <w:rsid w:val="00102D99"/>
    <w:rsid w:val="00107259"/>
    <w:rsid w:val="001073CC"/>
    <w:rsid w:val="00111187"/>
    <w:rsid w:val="00115024"/>
    <w:rsid w:val="00115432"/>
    <w:rsid w:val="001224ED"/>
    <w:rsid w:val="00133396"/>
    <w:rsid w:val="00133FA6"/>
    <w:rsid w:val="001376A5"/>
    <w:rsid w:val="00141851"/>
    <w:rsid w:val="00171144"/>
    <w:rsid w:val="00171261"/>
    <w:rsid w:val="00183455"/>
    <w:rsid w:val="00190F98"/>
    <w:rsid w:val="00192C6D"/>
    <w:rsid w:val="00197932"/>
    <w:rsid w:val="001A03DB"/>
    <w:rsid w:val="001A11AB"/>
    <w:rsid w:val="001A1609"/>
    <w:rsid w:val="001A5610"/>
    <w:rsid w:val="001B7E0B"/>
    <w:rsid w:val="001C4854"/>
    <w:rsid w:val="001C4DDF"/>
    <w:rsid w:val="001C5A35"/>
    <w:rsid w:val="001D3C37"/>
    <w:rsid w:val="001E462D"/>
    <w:rsid w:val="001E5816"/>
    <w:rsid w:val="001E6E69"/>
    <w:rsid w:val="001E7A5F"/>
    <w:rsid w:val="001E7C3D"/>
    <w:rsid w:val="001F3BA0"/>
    <w:rsid w:val="00200A60"/>
    <w:rsid w:val="0020525B"/>
    <w:rsid w:val="00213154"/>
    <w:rsid w:val="0021514D"/>
    <w:rsid w:val="00230E1D"/>
    <w:rsid w:val="0023362C"/>
    <w:rsid w:val="00236A11"/>
    <w:rsid w:val="0024364B"/>
    <w:rsid w:val="002476C7"/>
    <w:rsid w:val="002605B8"/>
    <w:rsid w:val="00262508"/>
    <w:rsid w:val="00264170"/>
    <w:rsid w:val="00273188"/>
    <w:rsid w:val="00274E53"/>
    <w:rsid w:val="0027536C"/>
    <w:rsid w:val="00281087"/>
    <w:rsid w:val="00281CBA"/>
    <w:rsid w:val="002830DA"/>
    <w:rsid w:val="002869FA"/>
    <w:rsid w:val="00292541"/>
    <w:rsid w:val="00295EEB"/>
    <w:rsid w:val="002978ED"/>
    <w:rsid w:val="002A0E65"/>
    <w:rsid w:val="002B6020"/>
    <w:rsid w:val="002C073A"/>
    <w:rsid w:val="002C1352"/>
    <w:rsid w:val="002C3F0D"/>
    <w:rsid w:val="002C4B70"/>
    <w:rsid w:val="002D0B40"/>
    <w:rsid w:val="002D7A23"/>
    <w:rsid w:val="002E0B49"/>
    <w:rsid w:val="002E0DB1"/>
    <w:rsid w:val="002E2453"/>
    <w:rsid w:val="002E3C94"/>
    <w:rsid w:val="002F1418"/>
    <w:rsid w:val="00300F96"/>
    <w:rsid w:val="00303CBB"/>
    <w:rsid w:val="00310C49"/>
    <w:rsid w:val="00310FFA"/>
    <w:rsid w:val="00323BC0"/>
    <w:rsid w:val="00326CE6"/>
    <w:rsid w:val="00331026"/>
    <w:rsid w:val="003332D3"/>
    <w:rsid w:val="00333900"/>
    <w:rsid w:val="00354A15"/>
    <w:rsid w:val="00354B5A"/>
    <w:rsid w:val="0036058E"/>
    <w:rsid w:val="00361ACC"/>
    <w:rsid w:val="00361B91"/>
    <w:rsid w:val="003623D2"/>
    <w:rsid w:val="00366878"/>
    <w:rsid w:val="00366A16"/>
    <w:rsid w:val="00371F77"/>
    <w:rsid w:val="003851E8"/>
    <w:rsid w:val="0038551B"/>
    <w:rsid w:val="00391F8D"/>
    <w:rsid w:val="00393624"/>
    <w:rsid w:val="0039467F"/>
    <w:rsid w:val="0039529C"/>
    <w:rsid w:val="00395F88"/>
    <w:rsid w:val="00397062"/>
    <w:rsid w:val="003A1DC6"/>
    <w:rsid w:val="003A2F62"/>
    <w:rsid w:val="003A5606"/>
    <w:rsid w:val="003A5C37"/>
    <w:rsid w:val="003A6242"/>
    <w:rsid w:val="003B29C3"/>
    <w:rsid w:val="003B74E4"/>
    <w:rsid w:val="003C1757"/>
    <w:rsid w:val="003C4B5F"/>
    <w:rsid w:val="003C77A7"/>
    <w:rsid w:val="003D4987"/>
    <w:rsid w:val="003E525E"/>
    <w:rsid w:val="003F3DF7"/>
    <w:rsid w:val="00401A16"/>
    <w:rsid w:val="0040646B"/>
    <w:rsid w:val="004127F4"/>
    <w:rsid w:val="00414543"/>
    <w:rsid w:val="0042198C"/>
    <w:rsid w:val="00425D7F"/>
    <w:rsid w:val="004276D2"/>
    <w:rsid w:val="004279EB"/>
    <w:rsid w:val="00431BE7"/>
    <w:rsid w:val="00432B8C"/>
    <w:rsid w:val="00433F6F"/>
    <w:rsid w:val="00434809"/>
    <w:rsid w:val="0043531D"/>
    <w:rsid w:val="0044315E"/>
    <w:rsid w:val="00446772"/>
    <w:rsid w:val="00446885"/>
    <w:rsid w:val="0044722E"/>
    <w:rsid w:val="00447343"/>
    <w:rsid w:val="00451CF8"/>
    <w:rsid w:val="004566AD"/>
    <w:rsid w:val="004602B8"/>
    <w:rsid w:val="00460585"/>
    <w:rsid w:val="00470DA3"/>
    <w:rsid w:val="0047442F"/>
    <w:rsid w:val="00474AB1"/>
    <w:rsid w:val="0048006C"/>
    <w:rsid w:val="004802EB"/>
    <w:rsid w:val="00483118"/>
    <w:rsid w:val="004914EC"/>
    <w:rsid w:val="00496209"/>
    <w:rsid w:val="004A2363"/>
    <w:rsid w:val="004A5C72"/>
    <w:rsid w:val="004B14CF"/>
    <w:rsid w:val="004B4E85"/>
    <w:rsid w:val="004B4FB7"/>
    <w:rsid w:val="004B5136"/>
    <w:rsid w:val="004B5DC8"/>
    <w:rsid w:val="004C57EB"/>
    <w:rsid w:val="004C615F"/>
    <w:rsid w:val="004D193B"/>
    <w:rsid w:val="004D41B8"/>
    <w:rsid w:val="004D50A4"/>
    <w:rsid w:val="004E2B24"/>
    <w:rsid w:val="004E32F8"/>
    <w:rsid w:val="004E6460"/>
    <w:rsid w:val="004E7630"/>
    <w:rsid w:val="004F536B"/>
    <w:rsid w:val="004F6587"/>
    <w:rsid w:val="00500B54"/>
    <w:rsid w:val="00501488"/>
    <w:rsid w:val="00502594"/>
    <w:rsid w:val="00507605"/>
    <w:rsid w:val="005108D2"/>
    <w:rsid w:val="00513A6D"/>
    <w:rsid w:val="0052037B"/>
    <w:rsid w:val="00521662"/>
    <w:rsid w:val="00521A33"/>
    <w:rsid w:val="0052588A"/>
    <w:rsid w:val="00527A4A"/>
    <w:rsid w:val="00532635"/>
    <w:rsid w:val="005379B1"/>
    <w:rsid w:val="00540165"/>
    <w:rsid w:val="00542559"/>
    <w:rsid w:val="00555B0C"/>
    <w:rsid w:val="00562C3D"/>
    <w:rsid w:val="00563120"/>
    <w:rsid w:val="005642C9"/>
    <w:rsid w:val="00564F82"/>
    <w:rsid w:val="0056779B"/>
    <w:rsid w:val="00571AA6"/>
    <w:rsid w:val="0058007C"/>
    <w:rsid w:val="00592CC4"/>
    <w:rsid w:val="005A1C1A"/>
    <w:rsid w:val="005A2A5F"/>
    <w:rsid w:val="005A39FA"/>
    <w:rsid w:val="005A76B1"/>
    <w:rsid w:val="005A7A9E"/>
    <w:rsid w:val="005B0B6E"/>
    <w:rsid w:val="005B283B"/>
    <w:rsid w:val="005B4BA3"/>
    <w:rsid w:val="005B5EB5"/>
    <w:rsid w:val="005C0034"/>
    <w:rsid w:val="005C1BCF"/>
    <w:rsid w:val="005D1AC9"/>
    <w:rsid w:val="005D5CF7"/>
    <w:rsid w:val="005E4385"/>
    <w:rsid w:val="005E57D8"/>
    <w:rsid w:val="005E6BF3"/>
    <w:rsid w:val="005F0E73"/>
    <w:rsid w:val="005F7251"/>
    <w:rsid w:val="006038FA"/>
    <w:rsid w:val="00605457"/>
    <w:rsid w:val="00607D3A"/>
    <w:rsid w:val="00613770"/>
    <w:rsid w:val="006160BE"/>
    <w:rsid w:val="00627BA6"/>
    <w:rsid w:val="006326C2"/>
    <w:rsid w:val="00632E2A"/>
    <w:rsid w:val="00633DBE"/>
    <w:rsid w:val="0063533F"/>
    <w:rsid w:val="00644102"/>
    <w:rsid w:val="00653088"/>
    <w:rsid w:val="00661D11"/>
    <w:rsid w:val="00663D06"/>
    <w:rsid w:val="00664418"/>
    <w:rsid w:val="00672450"/>
    <w:rsid w:val="006724B8"/>
    <w:rsid w:val="006734CA"/>
    <w:rsid w:val="00682BDE"/>
    <w:rsid w:val="00697666"/>
    <w:rsid w:val="00697BE1"/>
    <w:rsid w:val="006A0461"/>
    <w:rsid w:val="006A0622"/>
    <w:rsid w:val="006B0A51"/>
    <w:rsid w:val="006B2321"/>
    <w:rsid w:val="006B30A6"/>
    <w:rsid w:val="006B6387"/>
    <w:rsid w:val="006B6C02"/>
    <w:rsid w:val="006F1546"/>
    <w:rsid w:val="00700481"/>
    <w:rsid w:val="00701FF0"/>
    <w:rsid w:val="00706689"/>
    <w:rsid w:val="00715849"/>
    <w:rsid w:val="00716DC3"/>
    <w:rsid w:val="00722320"/>
    <w:rsid w:val="00725EEC"/>
    <w:rsid w:val="00731F1E"/>
    <w:rsid w:val="00732530"/>
    <w:rsid w:val="0073456E"/>
    <w:rsid w:val="00755055"/>
    <w:rsid w:val="007565D7"/>
    <w:rsid w:val="00757846"/>
    <w:rsid w:val="0076237F"/>
    <w:rsid w:val="00763426"/>
    <w:rsid w:val="00764D2C"/>
    <w:rsid w:val="00773665"/>
    <w:rsid w:val="0078121B"/>
    <w:rsid w:val="00795FD6"/>
    <w:rsid w:val="00796833"/>
    <w:rsid w:val="007A00CE"/>
    <w:rsid w:val="007B0561"/>
    <w:rsid w:val="007B3475"/>
    <w:rsid w:val="007B4379"/>
    <w:rsid w:val="007B7364"/>
    <w:rsid w:val="007C218B"/>
    <w:rsid w:val="007C3E74"/>
    <w:rsid w:val="007C794A"/>
    <w:rsid w:val="007D4FEA"/>
    <w:rsid w:val="007D7C5B"/>
    <w:rsid w:val="007E0B1F"/>
    <w:rsid w:val="007E69A7"/>
    <w:rsid w:val="007F3806"/>
    <w:rsid w:val="007F3C31"/>
    <w:rsid w:val="007F5B7D"/>
    <w:rsid w:val="007F622B"/>
    <w:rsid w:val="007F67ED"/>
    <w:rsid w:val="007F79C2"/>
    <w:rsid w:val="007F7D88"/>
    <w:rsid w:val="00801BEA"/>
    <w:rsid w:val="008028F6"/>
    <w:rsid w:val="00802BCC"/>
    <w:rsid w:val="008050EE"/>
    <w:rsid w:val="00805E7A"/>
    <w:rsid w:val="00810B19"/>
    <w:rsid w:val="00815E5E"/>
    <w:rsid w:val="0082604E"/>
    <w:rsid w:val="00830E8A"/>
    <w:rsid w:val="008314C8"/>
    <w:rsid w:val="0083518B"/>
    <w:rsid w:val="00842712"/>
    <w:rsid w:val="00843546"/>
    <w:rsid w:val="00844011"/>
    <w:rsid w:val="0085079C"/>
    <w:rsid w:val="00851932"/>
    <w:rsid w:val="00853645"/>
    <w:rsid w:val="0086029F"/>
    <w:rsid w:val="00861CCD"/>
    <w:rsid w:val="0086399E"/>
    <w:rsid w:val="00864278"/>
    <w:rsid w:val="00866586"/>
    <w:rsid w:val="00871080"/>
    <w:rsid w:val="008737CD"/>
    <w:rsid w:val="00883641"/>
    <w:rsid w:val="00885901"/>
    <w:rsid w:val="00886014"/>
    <w:rsid w:val="00887D72"/>
    <w:rsid w:val="008932FB"/>
    <w:rsid w:val="008A2E92"/>
    <w:rsid w:val="008B0C49"/>
    <w:rsid w:val="008B2ADA"/>
    <w:rsid w:val="008B3F76"/>
    <w:rsid w:val="008C03B0"/>
    <w:rsid w:val="008C08BB"/>
    <w:rsid w:val="008C68B5"/>
    <w:rsid w:val="008C7191"/>
    <w:rsid w:val="008D3191"/>
    <w:rsid w:val="008D44A5"/>
    <w:rsid w:val="008D55B3"/>
    <w:rsid w:val="009010F1"/>
    <w:rsid w:val="00901133"/>
    <w:rsid w:val="0090293B"/>
    <w:rsid w:val="00911651"/>
    <w:rsid w:val="00911C21"/>
    <w:rsid w:val="00913F1A"/>
    <w:rsid w:val="0092557B"/>
    <w:rsid w:val="00930322"/>
    <w:rsid w:val="00932069"/>
    <w:rsid w:val="009357C9"/>
    <w:rsid w:val="00941F95"/>
    <w:rsid w:val="009513F6"/>
    <w:rsid w:val="00954060"/>
    <w:rsid w:val="00956771"/>
    <w:rsid w:val="009567C4"/>
    <w:rsid w:val="009627B3"/>
    <w:rsid w:val="009630C8"/>
    <w:rsid w:val="00963B61"/>
    <w:rsid w:val="00994817"/>
    <w:rsid w:val="00994B7A"/>
    <w:rsid w:val="009A5FF5"/>
    <w:rsid w:val="009A7508"/>
    <w:rsid w:val="009B048D"/>
    <w:rsid w:val="009B3701"/>
    <w:rsid w:val="009D6178"/>
    <w:rsid w:val="009D63CC"/>
    <w:rsid w:val="009D74E0"/>
    <w:rsid w:val="009D7BCB"/>
    <w:rsid w:val="009D7C38"/>
    <w:rsid w:val="009E15E8"/>
    <w:rsid w:val="009E5ED5"/>
    <w:rsid w:val="009E62A9"/>
    <w:rsid w:val="009F240A"/>
    <w:rsid w:val="009F43DA"/>
    <w:rsid w:val="009F54B5"/>
    <w:rsid w:val="009F7BC1"/>
    <w:rsid w:val="00A070D0"/>
    <w:rsid w:val="00A12411"/>
    <w:rsid w:val="00A1361F"/>
    <w:rsid w:val="00A22567"/>
    <w:rsid w:val="00A3232A"/>
    <w:rsid w:val="00A350BD"/>
    <w:rsid w:val="00A408D8"/>
    <w:rsid w:val="00A46384"/>
    <w:rsid w:val="00A5066C"/>
    <w:rsid w:val="00A57530"/>
    <w:rsid w:val="00A73713"/>
    <w:rsid w:val="00A760BE"/>
    <w:rsid w:val="00A83BB8"/>
    <w:rsid w:val="00A84329"/>
    <w:rsid w:val="00AA2288"/>
    <w:rsid w:val="00AA3B2F"/>
    <w:rsid w:val="00AC7970"/>
    <w:rsid w:val="00AD0AA5"/>
    <w:rsid w:val="00AD11AF"/>
    <w:rsid w:val="00AD1AD4"/>
    <w:rsid w:val="00AD660B"/>
    <w:rsid w:val="00B03100"/>
    <w:rsid w:val="00B05394"/>
    <w:rsid w:val="00B0693E"/>
    <w:rsid w:val="00B1187C"/>
    <w:rsid w:val="00B1327E"/>
    <w:rsid w:val="00B13384"/>
    <w:rsid w:val="00B26619"/>
    <w:rsid w:val="00B44C65"/>
    <w:rsid w:val="00B54114"/>
    <w:rsid w:val="00B56D77"/>
    <w:rsid w:val="00B72E8D"/>
    <w:rsid w:val="00B75759"/>
    <w:rsid w:val="00B75F4D"/>
    <w:rsid w:val="00B82345"/>
    <w:rsid w:val="00B86259"/>
    <w:rsid w:val="00B91221"/>
    <w:rsid w:val="00B91EC8"/>
    <w:rsid w:val="00B94893"/>
    <w:rsid w:val="00BA3D30"/>
    <w:rsid w:val="00BA58AD"/>
    <w:rsid w:val="00BA6D9B"/>
    <w:rsid w:val="00BB3E15"/>
    <w:rsid w:val="00BB4123"/>
    <w:rsid w:val="00BB5319"/>
    <w:rsid w:val="00BB6C24"/>
    <w:rsid w:val="00BB7D43"/>
    <w:rsid w:val="00BC2807"/>
    <w:rsid w:val="00BD797B"/>
    <w:rsid w:val="00BE2077"/>
    <w:rsid w:val="00BE2642"/>
    <w:rsid w:val="00BE5ECD"/>
    <w:rsid w:val="00BE7192"/>
    <w:rsid w:val="00C00519"/>
    <w:rsid w:val="00C04B70"/>
    <w:rsid w:val="00C22438"/>
    <w:rsid w:val="00C252BE"/>
    <w:rsid w:val="00C26528"/>
    <w:rsid w:val="00C329D1"/>
    <w:rsid w:val="00C32C9F"/>
    <w:rsid w:val="00C33825"/>
    <w:rsid w:val="00C37FB0"/>
    <w:rsid w:val="00C42E0A"/>
    <w:rsid w:val="00C4643D"/>
    <w:rsid w:val="00C51727"/>
    <w:rsid w:val="00C527ED"/>
    <w:rsid w:val="00C632CD"/>
    <w:rsid w:val="00C668F7"/>
    <w:rsid w:val="00C778CB"/>
    <w:rsid w:val="00C918AD"/>
    <w:rsid w:val="00C94DE4"/>
    <w:rsid w:val="00C95E99"/>
    <w:rsid w:val="00CA2311"/>
    <w:rsid w:val="00CA575F"/>
    <w:rsid w:val="00CA7121"/>
    <w:rsid w:val="00CB3929"/>
    <w:rsid w:val="00CB453B"/>
    <w:rsid w:val="00CB5B01"/>
    <w:rsid w:val="00CC1D8F"/>
    <w:rsid w:val="00CC2488"/>
    <w:rsid w:val="00CC7C02"/>
    <w:rsid w:val="00CD3B74"/>
    <w:rsid w:val="00CD41A3"/>
    <w:rsid w:val="00CD5101"/>
    <w:rsid w:val="00D04DDB"/>
    <w:rsid w:val="00D06377"/>
    <w:rsid w:val="00D07888"/>
    <w:rsid w:val="00D116A9"/>
    <w:rsid w:val="00D14EE7"/>
    <w:rsid w:val="00D15072"/>
    <w:rsid w:val="00D2507F"/>
    <w:rsid w:val="00D269B5"/>
    <w:rsid w:val="00D33291"/>
    <w:rsid w:val="00D3329B"/>
    <w:rsid w:val="00D34166"/>
    <w:rsid w:val="00D50C9F"/>
    <w:rsid w:val="00D722FA"/>
    <w:rsid w:val="00D73B13"/>
    <w:rsid w:val="00D755D6"/>
    <w:rsid w:val="00D7765C"/>
    <w:rsid w:val="00D84D4F"/>
    <w:rsid w:val="00D92429"/>
    <w:rsid w:val="00D94B6E"/>
    <w:rsid w:val="00D9759C"/>
    <w:rsid w:val="00DB310D"/>
    <w:rsid w:val="00DC10B9"/>
    <w:rsid w:val="00DC1861"/>
    <w:rsid w:val="00DC2799"/>
    <w:rsid w:val="00DC6B7C"/>
    <w:rsid w:val="00DC6C0A"/>
    <w:rsid w:val="00DD7D56"/>
    <w:rsid w:val="00DE1724"/>
    <w:rsid w:val="00DE5ED8"/>
    <w:rsid w:val="00DE6C5B"/>
    <w:rsid w:val="00DF1044"/>
    <w:rsid w:val="00DF138F"/>
    <w:rsid w:val="00DF1CB6"/>
    <w:rsid w:val="00DF37CA"/>
    <w:rsid w:val="00DF7CAF"/>
    <w:rsid w:val="00E04C26"/>
    <w:rsid w:val="00E129A2"/>
    <w:rsid w:val="00E12C9A"/>
    <w:rsid w:val="00E13AD0"/>
    <w:rsid w:val="00E15C80"/>
    <w:rsid w:val="00E1707C"/>
    <w:rsid w:val="00E308F1"/>
    <w:rsid w:val="00E30BB3"/>
    <w:rsid w:val="00E33D7C"/>
    <w:rsid w:val="00E3550D"/>
    <w:rsid w:val="00E36ED2"/>
    <w:rsid w:val="00E413B1"/>
    <w:rsid w:val="00E4539D"/>
    <w:rsid w:val="00E46F53"/>
    <w:rsid w:val="00E512C9"/>
    <w:rsid w:val="00E60D50"/>
    <w:rsid w:val="00E625EE"/>
    <w:rsid w:val="00E635CF"/>
    <w:rsid w:val="00E650E6"/>
    <w:rsid w:val="00E72279"/>
    <w:rsid w:val="00E7587F"/>
    <w:rsid w:val="00E820C0"/>
    <w:rsid w:val="00E830BD"/>
    <w:rsid w:val="00E87AC7"/>
    <w:rsid w:val="00E909C1"/>
    <w:rsid w:val="00E9673D"/>
    <w:rsid w:val="00EA0732"/>
    <w:rsid w:val="00EA23B9"/>
    <w:rsid w:val="00EB1E68"/>
    <w:rsid w:val="00EB5E14"/>
    <w:rsid w:val="00EC082E"/>
    <w:rsid w:val="00EC28DA"/>
    <w:rsid w:val="00ED0948"/>
    <w:rsid w:val="00ED12AA"/>
    <w:rsid w:val="00ED2A41"/>
    <w:rsid w:val="00ED6F8F"/>
    <w:rsid w:val="00EE516A"/>
    <w:rsid w:val="00EF083E"/>
    <w:rsid w:val="00EF1342"/>
    <w:rsid w:val="00EF1397"/>
    <w:rsid w:val="00EF13CD"/>
    <w:rsid w:val="00EF421F"/>
    <w:rsid w:val="00EF49FD"/>
    <w:rsid w:val="00F0194B"/>
    <w:rsid w:val="00F05748"/>
    <w:rsid w:val="00F05893"/>
    <w:rsid w:val="00F10058"/>
    <w:rsid w:val="00F20266"/>
    <w:rsid w:val="00F23190"/>
    <w:rsid w:val="00F23354"/>
    <w:rsid w:val="00F24E52"/>
    <w:rsid w:val="00F31965"/>
    <w:rsid w:val="00F32355"/>
    <w:rsid w:val="00F34DCD"/>
    <w:rsid w:val="00F43943"/>
    <w:rsid w:val="00F450FA"/>
    <w:rsid w:val="00F51DD9"/>
    <w:rsid w:val="00F556AE"/>
    <w:rsid w:val="00F60E1E"/>
    <w:rsid w:val="00F741D3"/>
    <w:rsid w:val="00F84791"/>
    <w:rsid w:val="00F859A0"/>
    <w:rsid w:val="00F85F76"/>
    <w:rsid w:val="00F864A1"/>
    <w:rsid w:val="00F90014"/>
    <w:rsid w:val="00FA0EF2"/>
    <w:rsid w:val="00FA1EFC"/>
    <w:rsid w:val="00FA3C69"/>
    <w:rsid w:val="00FB002A"/>
    <w:rsid w:val="00FB0708"/>
    <w:rsid w:val="00FB0A21"/>
    <w:rsid w:val="00FB11F6"/>
    <w:rsid w:val="00FC10F9"/>
    <w:rsid w:val="00FC4F58"/>
    <w:rsid w:val="00FC54AB"/>
    <w:rsid w:val="00FC6832"/>
    <w:rsid w:val="00FD0D56"/>
    <w:rsid w:val="00FD2B9C"/>
    <w:rsid w:val="00FD79B1"/>
    <w:rsid w:val="00FE0931"/>
    <w:rsid w:val="00FE5F4B"/>
    <w:rsid w:val="00FF4853"/>
    <w:rsid w:val="0D391993"/>
    <w:rsid w:val="43542A06"/>
    <w:rsid w:val="51551DBA"/>
    <w:rsid w:val="731A1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ind w:firstLine="200" w:firstLineChars="200"/>
    </w:pPr>
    <w:rPr>
      <w:rFonts w:ascii="Times New Roman" w:hAnsi="Times New Roman" w:eastAsia="宋体" w:cstheme="minorBidi"/>
      <w:kern w:val="2"/>
      <w:sz w:val="21"/>
      <w:szCs w:val="24"/>
      <w:lang w:val="en-US" w:eastAsia="zh-CN" w:bidi="ar-SA"/>
      <w14:ligatures w14:val="standardContextual"/>
    </w:rPr>
  </w:style>
  <w:style w:type="paragraph" w:styleId="2">
    <w:name w:val="heading 1"/>
    <w:basedOn w:val="1"/>
    <w:next w:val="1"/>
    <w:link w:val="26"/>
    <w:qFormat/>
    <w:uiPriority w:val="9"/>
    <w:pPr>
      <w:keepNext/>
      <w:keepLines/>
      <w:spacing w:line="360" w:lineRule="auto"/>
      <w:outlineLvl w:val="0"/>
    </w:pPr>
    <w:rPr>
      <w:rFonts w:eastAsia="黑体" w:cstheme="majorBidi"/>
      <w:sz w:val="28"/>
      <w:szCs w:val="48"/>
    </w:rPr>
  </w:style>
  <w:style w:type="paragraph" w:styleId="3">
    <w:name w:val="heading 2"/>
    <w:basedOn w:val="1"/>
    <w:next w:val="1"/>
    <w:link w:val="27"/>
    <w:unhideWhenUsed/>
    <w:qFormat/>
    <w:uiPriority w:val="9"/>
    <w:pPr>
      <w:keepNext/>
      <w:keepLines/>
      <w:spacing w:line="360" w:lineRule="auto"/>
      <w:outlineLvl w:val="1"/>
    </w:pPr>
    <w:rPr>
      <w:rFonts w:eastAsia="黑体" w:cstheme="majorBidi"/>
      <w:sz w:val="24"/>
      <w:szCs w:val="40"/>
    </w:rPr>
  </w:style>
  <w:style w:type="paragraph" w:styleId="4">
    <w:name w:val="heading 3"/>
    <w:basedOn w:val="1"/>
    <w:next w:val="1"/>
    <w:link w:val="28"/>
    <w:unhideWhenUsed/>
    <w:qFormat/>
    <w:uiPriority w:val="9"/>
    <w:pPr>
      <w:keepNext/>
      <w:keepLines/>
      <w:ind w:firstLine="100" w:firstLineChars="100"/>
      <w:outlineLvl w:val="2"/>
    </w:pPr>
    <w:rPr>
      <w:rFonts w:eastAsia="黑体" w:cstheme="majorBidi"/>
      <w:sz w:val="24"/>
      <w:szCs w:val="32"/>
    </w:rPr>
  </w:style>
  <w:style w:type="paragraph" w:styleId="5">
    <w:name w:val="heading 4"/>
    <w:basedOn w:val="1"/>
    <w:next w:val="1"/>
    <w:link w:val="2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30"/>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31"/>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7"/>
    <w:unhideWhenUsed/>
    <w:uiPriority w:val="99"/>
    <w:pPr>
      <w:adjustRightInd w:val="0"/>
      <w:spacing w:line="400" w:lineRule="exact"/>
    </w:pPr>
    <w:rPr>
      <w:rFonts w:ascii="Calibri" w:hAnsi="Calibri" w:cs="Times New Roman"/>
      <w:szCs w:val="21"/>
      <w14:ligatures w14:val="none"/>
    </w:rPr>
  </w:style>
  <w:style w:type="paragraph" w:styleId="12">
    <w:name w:val="toc 3"/>
    <w:basedOn w:val="1"/>
    <w:next w:val="1"/>
    <w:unhideWhenUsed/>
    <w:uiPriority w:val="39"/>
  </w:style>
  <w:style w:type="paragraph" w:styleId="13">
    <w:name w:val="footer"/>
    <w:basedOn w:val="1"/>
    <w:link w:val="45"/>
    <w:unhideWhenUsed/>
    <w:uiPriority w:val="99"/>
    <w:pPr>
      <w:tabs>
        <w:tab w:val="center" w:pos="4153"/>
        <w:tab w:val="right" w:pos="8306"/>
      </w:tabs>
      <w:snapToGrid w:val="0"/>
    </w:pPr>
    <w:rPr>
      <w:sz w:val="18"/>
      <w:szCs w:val="18"/>
    </w:rPr>
  </w:style>
  <w:style w:type="paragraph" w:styleId="14">
    <w:name w:val="header"/>
    <w:basedOn w:val="1"/>
    <w:link w:val="44"/>
    <w:unhideWhenUsed/>
    <w:uiPriority w:val="99"/>
    <w:pPr>
      <w:tabs>
        <w:tab w:val="center" w:pos="4153"/>
        <w:tab w:val="right" w:pos="8306"/>
      </w:tabs>
      <w:snapToGrid w:val="0"/>
      <w:jc w:val="center"/>
    </w:pPr>
    <w:rPr>
      <w:sz w:val="18"/>
      <w:szCs w:val="18"/>
    </w:rPr>
  </w:style>
  <w:style w:type="paragraph" w:styleId="15">
    <w:name w:val="toc 1"/>
    <w:basedOn w:val="1"/>
    <w:next w:val="1"/>
    <w:unhideWhenUsed/>
    <w:uiPriority w:val="39"/>
    <w:pPr>
      <w:tabs>
        <w:tab w:val="right" w:leader="dot" w:pos="13948"/>
      </w:tabs>
      <w:ind w:firstLine="0" w:firstLineChars="0"/>
      <w:jc w:val="center"/>
    </w:pPr>
  </w:style>
  <w:style w:type="paragraph" w:styleId="16">
    <w:name w:val="Subtitle"/>
    <w:basedOn w:val="1"/>
    <w:next w:val="1"/>
    <w:link w:val="36"/>
    <w:qFormat/>
    <w:uiPriority w:val="11"/>
    <w:pPr>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oc 2"/>
    <w:basedOn w:val="1"/>
    <w:next w:val="1"/>
    <w:unhideWhenUsed/>
    <w:uiPriority w:val="39"/>
    <w:pPr>
      <w:ind w:firstLine="100" w:firstLineChars="100"/>
    </w:pPr>
  </w:style>
  <w:style w:type="paragraph" w:styleId="18">
    <w:name w:val="Normal (Web)"/>
    <w:basedOn w:val="1"/>
    <w:semiHidden/>
    <w:unhideWhenUsed/>
    <w:uiPriority w:val="99"/>
    <w:pPr>
      <w:widowControl/>
      <w:spacing w:before="100" w:beforeAutospacing="1" w:after="100" w:afterAutospacing="1"/>
    </w:pPr>
    <w:rPr>
      <w:rFonts w:ascii="宋体" w:hAnsi="宋体" w:cs="宋体"/>
      <w:kern w:val="0"/>
      <w:sz w:val="24"/>
      <w14:ligatures w14:val="none"/>
    </w:rPr>
  </w:style>
  <w:style w:type="paragraph" w:styleId="19">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1"/>
    <w:next w:val="11"/>
    <w:link w:val="51"/>
    <w:semiHidden/>
    <w:unhideWhenUsed/>
    <w:uiPriority w:val="99"/>
    <w:pPr>
      <w:adjustRightInd/>
      <w:spacing w:line="240" w:lineRule="auto"/>
    </w:pPr>
    <w:rPr>
      <w:rFonts w:ascii="Times New Roman" w:hAnsi="Times New Roman" w:cstheme="minorBidi"/>
      <w:b/>
      <w:bCs/>
      <w:szCs w:val="24"/>
      <w14:ligatures w14:val="standardContextual"/>
    </w:rPr>
  </w:style>
  <w:style w:type="table" w:styleId="22">
    <w:name w:val="Table Grid"/>
    <w:basedOn w:val="2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unhideWhenUsed/>
    <w:uiPriority w:val="99"/>
    <w:rPr>
      <w:color w:val="0563C1" w:themeColor="hyperlink"/>
      <w:u w:val="single"/>
      <w14:textFill>
        <w14:solidFill>
          <w14:schemeClr w14:val="hlink"/>
        </w14:solidFill>
      </w14:textFill>
    </w:rPr>
  </w:style>
  <w:style w:type="character" w:styleId="25">
    <w:name w:val="annotation reference"/>
    <w:basedOn w:val="23"/>
    <w:semiHidden/>
    <w:unhideWhenUsed/>
    <w:uiPriority w:val="99"/>
    <w:rPr>
      <w:sz w:val="21"/>
      <w:szCs w:val="21"/>
    </w:rPr>
  </w:style>
  <w:style w:type="character" w:customStyle="1" w:styleId="26">
    <w:name w:val="标题 1 字符"/>
    <w:basedOn w:val="23"/>
    <w:link w:val="2"/>
    <w:uiPriority w:val="9"/>
    <w:rPr>
      <w:rFonts w:ascii="Times New Roman" w:hAnsi="Times New Roman" w:eastAsia="黑体" w:cstheme="majorBidi"/>
      <w:sz w:val="28"/>
      <w:szCs w:val="48"/>
    </w:rPr>
  </w:style>
  <w:style w:type="character" w:customStyle="1" w:styleId="27">
    <w:name w:val="标题 2 字符"/>
    <w:basedOn w:val="23"/>
    <w:link w:val="3"/>
    <w:uiPriority w:val="9"/>
    <w:rPr>
      <w:rFonts w:ascii="Times New Roman" w:hAnsi="Times New Roman" w:eastAsia="黑体" w:cstheme="majorBidi"/>
      <w:sz w:val="24"/>
      <w:szCs w:val="40"/>
    </w:rPr>
  </w:style>
  <w:style w:type="character" w:customStyle="1" w:styleId="28">
    <w:name w:val="标题 3 字符"/>
    <w:basedOn w:val="23"/>
    <w:link w:val="4"/>
    <w:uiPriority w:val="9"/>
    <w:rPr>
      <w:rFonts w:ascii="Times New Roman" w:hAnsi="Times New Roman" w:eastAsia="黑体" w:cstheme="majorBidi"/>
      <w:sz w:val="24"/>
      <w:szCs w:val="32"/>
    </w:rPr>
  </w:style>
  <w:style w:type="character" w:customStyle="1" w:styleId="29">
    <w:name w:val="标题 4 字符"/>
    <w:basedOn w:val="23"/>
    <w:link w:val="5"/>
    <w:semiHidden/>
    <w:uiPriority w:val="9"/>
    <w:rPr>
      <w:rFonts w:cstheme="majorBidi"/>
      <w:color w:val="2F5597" w:themeColor="accent1" w:themeShade="BF"/>
      <w:sz w:val="28"/>
      <w:szCs w:val="28"/>
    </w:rPr>
  </w:style>
  <w:style w:type="character" w:customStyle="1" w:styleId="30">
    <w:name w:val="标题 5 字符"/>
    <w:basedOn w:val="23"/>
    <w:link w:val="6"/>
    <w:semiHidden/>
    <w:uiPriority w:val="9"/>
    <w:rPr>
      <w:rFonts w:cstheme="majorBidi"/>
      <w:color w:val="2F5597" w:themeColor="accent1" w:themeShade="BF"/>
      <w:sz w:val="24"/>
    </w:rPr>
  </w:style>
  <w:style w:type="character" w:customStyle="1" w:styleId="31">
    <w:name w:val="标题 6 字符"/>
    <w:basedOn w:val="23"/>
    <w:link w:val="7"/>
    <w:semiHidden/>
    <w:qFormat/>
    <w:uiPriority w:val="9"/>
    <w:rPr>
      <w:rFonts w:cstheme="majorBidi"/>
      <w:b/>
      <w:bCs/>
      <w:color w:val="2F5597" w:themeColor="accent1" w:themeShade="BF"/>
    </w:rPr>
  </w:style>
  <w:style w:type="character" w:customStyle="1" w:styleId="32">
    <w:name w:val="标题 7 字符"/>
    <w:basedOn w:val="23"/>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字符"/>
    <w:basedOn w:val="23"/>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字符"/>
    <w:basedOn w:val="23"/>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字符"/>
    <w:basedOn w:val="23"/>
    <w:link w:val="19"/>
    <w:uiPriority w:val="10"/>
    <w:rPr>
      <w:rFonts w:asciiTheme="majorHAnsi" w:hAnsiTheme="majorHAnsi" w:eastAsiaTheme="majorEastAsia" w:cstheme="majorBidi"/>
      <w:spacing w:val="-10"/>
      <w:kern w:val="28"/>
      <w:sz w:val="56"/>
      <w:szCs w:val="56"/>
    </w:rPr>
  </w:style>
  <w:style w:type="character" w:customStyle="1" w:styleId="36">
    <w:name w:val="副标题 字符"/>
    <w:basedOn w:val="23"/>
    <w:link w:val="16"/>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23"/>
    <w:link w:val="37"/>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34"/>
    <w:pPr>
      <w:ind w:left="720"/>
      <w:contextualSpacing/>
    </w:pPr>
  </w:style>
  <w:style w:type="character" w:customStyle="1" w:styleId="40">
    <w:name w:val="Intense Emphasis"/>
    <w:basedOn w:val="23"/>
    <w:qFormat/>
    <w:uiPriority w:val="21"/>
    <w:rPr>
      <w:i/>
      <w:iCs/>
      <w:color w:val="2F5597" w:themeColor="accent1" w:themeShade="BF"/>
    </w:rPr>
  </w:style>
  <w:style w:type="paragraph" w:styleId="41">
    <w:name w:val="Intense Quote"/>
    <w:basedOn w:val="1"/>
    <w:next w:val="1"/>
    <w:link w:val="4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2">
    <w:name w:val="明显引用 字符"/>
    <w:basedOn w:val="23"/>
    <w:link w:val="41"/>
    <w:uiPriority w:val="30"/>
    <w:rPr>
      <w:i/>
      <w:iCs/>
      <w:color w:val="2F5597" w:themeColor="accent1" w:themeShade="BF"/>
    </w:rPr>
  </w:style>
  <w:style w:type="character" w:customStyle="1" w:styleId="43">
    <w:name w:val="Intense Reference"/>
    <w:basedOn w:val="23"/>
    <w:qFormat/>
    <w:uiPriority w:val="32"/>
    <w:rPr>
      <w:b/>
      <w:bCs/>
      <w:smallCaps/>
      <w:color w:val="2F5597" w:themeColor="accent1" w:themeShade="BF"/>
      <w:spacing w:val="5"/>
    </w:rPr>
  </w:style>
  <w:style w:type="character" w:customStyle="1" w:styleId="44">
    <w:name w:val="页眉 字符"/>
    <w:basedOn w:val="23"/>
    <w:link w:val="14"/>
    <w:uiPriority w:val="99"/>
    <w:rPr>
      <w:sz w:val="18"/>
      <w:szCs w:val="18"/>
    </w:rPr>
  </w:style>
  <w:style w:type="character" w:customStyle="1" w:styleId="45">
    <w:name w:val="页脚 字符"/>
    <w:basedOn w:val="23"/>
    <w:link w:val="13"/>
    <w:uiPriority w:val="99"/>
    <w:rPr>
      <w:sz w:val="18"/>
      <w:szCs w:val="18"/>
    </w:rPr>
  </w:style>
  <w:style w:type="table" w:customStyle="1" w:styleId="46">
    <w:name w:val="网格型1"/>
    <w:basedOn w:val="21"/>
    <w:uiPriority w:val="39"/>
    <w:pPr>
      <w:spacing w:after="0" w:line="240" w:lineRule="auto"/>
    </w:pPr>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
    <w:name w:val="批注文字 字符"/>
    <w:basedOn w:val="23"/>
    <w:link w:val="11"/>
    <w:uiPriority w:val="99"/>
    <w:rPr>
      <w:rFonts w:ascii="Calibri" w:hAnsi="Calibri" w:eastAsia="宋体" w:cs="Times New Roman"/>
      <w:sz w:val="21"/>
      <w:szCs w:val="21"/>
      <w14:ligatures w14:val="none"/>
    </w:rPr>
  </w:style>
  <w:style w:type="character" w:customStyle="1" w:styleId="48">
    <w:name w:val="Unresolved Mention"/>
    <w:basedOn w:val="23"/>
    <w:semiHidden/>
    <w:unhideWhenUsed/>
    <w:uiPriority w:val="99"/>
    <w:rPr>
      <w:color w:val="605E5C"/>
      <w:shd w:val="clear" w:color="auto" w:fill="E1DFDD"/>
    </w:rPr>
  </w:style>
  <w:style w:type="paragraph" w:customStyle="1" w:styleId="49">
    <w:name w:val="标准文件_段"/>
    <w:link w:val="50"/>
    <w:qFormat/>
    <w:uiPriority w:val="0"/>
    <w:pPr>
      <w:autoSpaceDE w:val="0"/>
      <w:autoSpaceDN w:val="0"/>
      <w:spacing w:after="0" w:line="240" w:lineRule="auto"/>
      <w:ind w:firstLine="200" w:firstLineChars="200"/>
      <w:jc w:val="both"/>
    </w:pPr>
    <w:rPr>
      <w:rFonts w:ascii="宋体" w:hAnsi="Times New Roman" w:eastAsia="宋体" w:cs="Times New Roman"/>
      <w:kern w:val="0"/>
      <w:sz w:val="21"/>
      <w:szCs w:val="20"/>
      <w:lang w:val="en-US" w:eastAsia="zh-CN" w:bidi="ar-SA"/>
      <w14:ligatures w14:val="none"/>
    </w:rPr>
  </w:style>
  <w:style w:type="character" w:customStyle="1" w:styleId="50">
    <w:name w:val="标准文件_段 Char"/>
    <w:link w:val="49"/>
    <w:qFormat/>
    <w:uiPriority w:val="0"/>
    <w:rPr>
      <w:rFonts w:ascii="宋体" w:hAnsi="Times New Roman" w:eastAsia="宋体" w:cs="Times New Roman"/>
      <w:kern w:val="0"/>
      <w:sz w:val="21"/>
      <w:szCs w:val="20"/>
      <w14:ligatures w14:val="none"/>
    </w:rPr>
  </w:style>
  <w:style w:type="character" w:customStyle="1" w:styleId="51">
    <w:name w:val="批注主题 字符"/>
    <w:basedOn w:val="47"/>
    <w:link w:val="20"/>
    <w:semiHidden/>
    <w:uiPriority w:val="99"/>
    <w:rPr>
      <w:rFonts w:ascii="Times New Roman" w:hAnsi="Times New Roman" w:eastAsia="宋体" w:cs="Times New Roman"/>
      <w:b/>
      <w:bCs/>
      <w:sz w:val="21"/>
      <w:szCs w:val="21"/>
      <w14:ligatures w14:val="none"/>
    </w:rPr>
  </w:style>
  <w:style w:type="paragraph" w:customStyle="1" w:styleId="52">
    <w:name w:val="Revision"/>
    <w:hidden/>
    <w:semiHidden/>
    <w:qFormat/>
    <w:uiPriority w:val="99"/>
    <w:pPr>
      <w:spacing w:after="0" w:line="240" w:lineRule="auto"/>
    </w:pPr>
    <w:rPr>
      <w:rFonts w:ascii="Times New Roman" w:hAnsi="Times New Roman" w:eastAsia="宋体" w:cstheme="minorBidi"/>
      <w:kern w:val="2"/>
      <w:sz w:val="21"/>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BDB34-35CB-41A4-BA78-B122D3A3577C}">
  <ds:schemaRefs/>
</ds:datastoreItem>
</file>

<file path=docProps/app.xml><?xml version="1.0" encoding="utf-8"?>
<Properties xmlns="http://schemas.openxmlformats.org/officeDocument/2006/extended-properties" xmlns:vt="http://schemas.openxmlformats.org/officeDocument/2006/docPropsVTypes">
  <Template>Normal</Template>
  <Pages>14</Pages>
  <Words>7568</Words>
  <Characters>8402</Characters>
  <Lines>420</Lines>
  <Paragraphs>399</Paragraphs>
  <TotalTime>261</TotalTime>
  <ScaleCrop>false</ScaleCrop>
  <LinksUpToDate>false</LinksUpToDate>
  <CharactersWithSpaces>15571</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2026-04-27T02:04:00Z</dcterms:created>
  <dc:creator>芸 马</dc:creator>
  <cp:lastModifiedBy>lenovo</cp:lastModifiedBy>
  <dcterms:modified xsi:type="dcterms:W3CDTF">2026-07-14T04:59:05Z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56517838D2D74AFDB1DAB66569E5B2BB</vt:lpwstr>
  </property>
</Properties>
</file>