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13BBC6">
      <w:pPr>
        <w:spacing w:line="240" w:lineRule="auto"/>
        <w:jc w:val="center"/>
        <w:rPr>
          <w:rFonts w:hint="eastAsia" w:ascii="黑体" w:hAnsi="黑体" w:eastAsia="黑体"/>
          <w:b/>
          <w:color w:val="auto"/>
          <w:sz w:val="32"/>
          <w:szCs w:val="32"/>
        </w:rPr>
      </w:pPr>
      <w:r>
        <w:rPr>
          <w:rFonts w:hint="eastAsia" w:ascii="黑体" w:hAnsi="黑体" w:eastAsia="黑体"/>
          <w:b/>
          <w:color w:val="auto"/>
          <w:sz w:val="32"/>
          <w:szCs w:val="32"/>
        </w:rPr>
        <w:t>植物提取物 洋常春藤提取物</w:t>
      </w:r>
    </w:p>
    <w:p w14:paraId="19174E09">
      <w:pPr>
        <w:spacing w:line="240" w:lineRule="auto"/>
        <w:jc w:val="center"/>
        <w:rPr>
          <w:b/>
          <w:color w:val="auto"/>
          <w:sz w:val="32"/>
          <w:szCs w:val="32"/>
        </w:rPr>
      </w:pPr>
      <w:r>
        <w:rPr>
          <w:rFonts w:hint="eastAsia" w:ascii="黑体" w:hAnsi="黑体" w:eastAsia="黑体"/>
          <w:b/>
          <w:color w:val="auto"/>
          <w:sz w:val="32"/>
          <w:szCs w:val="32"/>
        </w:rPr>
        <w:t>团体标准编制说明</w:t>
      </w:r>
    </w:p>
    <w:p w14:paraId="2E195E1A">
      <w:pPr>
        <w:spacing w:line="240" w:lineRule="auto"/>
        <w:jc w:val="center"/>
        <w:rPr>
          <w:b/>
          <w:color w:val="auto"/>
          <w:sz w:val="32"/>
          <w:szCs w:val="32"/>
        </w:rPr>
      </w:pPr>
    </w:p>
    <w:p w14:paraId="1E3BD314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一、工作简况</w:t>
      </w:r>
    </w:p>
    <w:p w14:paraId="781D729D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本标准的制定工作，是由中国医药保健品进出口商会提出并归口，中国医药保健品进出口商会标准化技术委员会负责解释。本标准由</w:t>
      </w:r>
      <w:r>
        <w:rPr>
          <w:rFonts w:hint="eastAsia"/>
          <w:color w:val="auto"/>
        </w:rPr>
        <w:t>湖南朗林生物资源股份有限公司负责起草、陕西瑞禾生物工程有限责任公司、道地药用植物规范化栽培与综合利用湖南省工程实验室</w:t>
      </w:r>
      <w:r>
        <w:rPr>
          <w:rFonts w:hint="eastAsia"/>
          <w:color w:val="auto"/>
          <w:szCs w:val="21"/>
        </w:rPr>
        <w:t>参与起草。标准主要起草人为易</w:t>
      </w:r>
      <w:r>
        <w:rPr>
          <w:rFonts w:hint="eastAsia" w:ascii="宋体" w:hAnsi="宋体"/>
          <w:color w:val="auto"/>
          <w:szCs w:val="21"/>
        </w:rPr>
        <w:t>宇阳、童旭日、钟纯、史锋、彭国平。</w:t>
      </w:r>
    </w:p>
    <w:p w14:paraId="1CC2F4C3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二、标准制订的目的及意义</w:t>
      </w:r>
    </w:p>
    <w:p w14:paraId="7E349CE6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洋常春藤提取物</w:t>
      </w:r>
      <w:r>
        <w:rPr>
          <w:color w:val="auto"/>
          <w:szCs w:val="21"/>
        </w:rPr>
        <w:t>(</w:t>
      </w:r>
      <w:r>
        <w:rPr>
          <w:rFonts w:hint="eastAsia"/>
          <w:color w:val="auto"/>
          <w:szCs w:val="21"/>
        </w:rPr>
        <w:t xml:space="preserve">Ivy Leaf </w:t>
      </w:r>
      <w:r>
        <w:rPr>
          <w:color w:val="auto"/>
          <w:szCs w:val="21"/>
        </w:rPr>
        <w:t>Extract)</w:t>
      </w:r>
      <w:r>
        <w:rPr>
          <w:rFonts w:hint="eastAsia"/>
          <w:color w:val="auto"/>
          <w:szCs w:val="21"/>
        </w:rPr>
        <w:t>是以五加科常春藤属植物洋常春藤</w:t>
      </w:r>
      <w:r>
        <w:rPr>
          <w:i/>
          <w:iCs/>
          <w:color w:val="auto"/>
        </w:rPr>
        <w:t xml:space="preserve">Hedera helix </w:t>
      </w:r>
      <w:r>
        <w:rPr>
          <w:color w:val="auto"/>
        </w:rPr>
        <w:t>L</w:t>
      </w:r>
      <w:r>
        <w:rPr>
          <w:i/>
          <w:iCs/>
          <w:color w:val="auto"/>
        </w:rPr>
        <w:t>.</w:t>
      </w:r>
      <w:r>
        <w:rPr>
          <w:rFonts w:hint="eastAsia"/>
          <w:color w:val="auto"/>
        </w:rPr>
        <w:t>的叶</w:t>
      </w:r>
      <w:r>
        <w:rPr>
          <w:rFonts w:hint="eastAsia"/>
          <w:color w:val="auto"/>
          <w:szCs w:val="21"/>
        </w:rPr>
        <w:t>为原料经乙醇水或水提取、浓缩、干燥制成的提取物。主要用于医药、保健品行业。洋</w:t>
      </w:r>
      <w:r>
        <w:rPr>
          <w:rFonts w:hint="eastAsia"/>
          <w:color w:val="auto"/>
          <w:kern w:val="0"/>
          <w:szCs w:val="21"/>
        </w:rPr>
        <w:t>常春藤提取物中含有α</w:t>
      </w:r>
      <w:r>
        <w:rPr>
          <w:color w:val="auto"/>
          <w:kern w:val="0"/>
          <w:szCs w:val="21"/>
        </w:rPr>
        <w:t>-</w:t>
      </w:r>
      <w:r>
        <w:rPr>
          <w:rFonts w:hint="eastAsia"/>
          <w:color w:val="auto"/>
          <w:kern w:val="0"/>
          <w:szCs w:val="21"/>
        </w:rPr>
        <w:t>常春藤苷、常春藤苷</w:t>
      </w:r>
      <w:r>
        <w:rPr>
          <w:color w:val="auto"/>
          <w:kern w:val="0"/>
          <w:szCs w:val="21"/>
        </w:rPr>
        <w:t>C</w:t>
      </w:r>
      <w:r>
        <w:rPr>
          <w:rFonts w:hint="eastAsia"/>
          <w:color w:val="auto"/>
          <w:kern w:val="0"/>
          <w:szCs w:val="21"/>
        </w:rPr>
        <w:t>、常春藤苷</w:t>
      </w:r>
      <w:r>
        <w:rPr>
          <w:color w:val="auto"/>
          <w:kern w:val="0"/>
          <w:szCs w:val="21"/>
        </w:rPr>
        <w:t xml:space="preserve">B </w:t>
      </w:r>
      <w:r>
        <w:rPr>
          <w:rFonts w:hint="eastAsia"/>
          <w:color w:val="auto"/>
          <w:kern w:val="0"/>
          <w:szCs w:val="21"/>
        </w:rPr>
        <w:t>和常春藤苷</w:t>
      </w:r>
      <w:r>
        <w:rPr>
          <w:color w:val="auto"/>
          <w:kern w:val="0"/>
          <w:szCs w:val="21"/>
        </w:rPr>
        <w:t xml:space="preserve">D </w:t>
      </w:r>
      <w:r>
        <w:rPr>
          <w:rFonts w:hint="eastAsia"/>
          <w:color w:val="auto"/>
          <w:kern w:val="0"/>
          <w:szCs w:val="21"/>
        </w:rPr>
        <w:t>等三萜皂苷类化合物，主要用于治疗哮喘、支气管炎等呼吸道系统疾病</w:t>
      </w:r>
      <w:r>
        <w:rPr>
          <w:rFonts w:hint="eastAsia"/>
          <w:color w:val="auto"/>
          <w:szCs w:val="21"/>
        </w:rPr>
        <w:t>。</w:t>
      </w:r>
    </w:p>
    <w:p w14:paraId="43742F5F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目前洋常春藤提取物无法定标准，仅有洋常春藤原料EP标准。国内市面上洋常春藤提取物规格多种多样，随着我国洋常春藤提取物出口量不断增大，没有一个统一的行业标准使其规范化，导致这使得我国洋常春藤提取物的质量参差不齐，对我国的提取物出口贸易很不利，影响出口信誉。因此，为提升质量标准与国际接轨，规范提取物质量，提高市场准入标准，建立洋常春藤提取物团体标准，进一步规范国内洋常春藤提取物生产、销售具有重要的现实意义。</w:t>
      </w:r>
      <w:r>
        <w:rPr>
          <w:color w:val="auto"/>
          <w:szCs w:val="21"/>
        </w:rPr>
        <w:t xml:space="preserve"> </w:t>
      </w:r>
    </w:p>
    <w:p w14:paraId="5B4A2740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三、国内外有关法律法规和其他标准的关系</w:t>
      </w:r>
    </w:p>
    <w:p w14:paraId="46D0B6FD">
      <w:pPr>
        <w:ind w:firstLine="420" w:firstLineChars="200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 xml:space="preserve">洋常春藤提取物无法定标准，仅有洋常春藤原料标准被《欧洲药典》EP </w:t>
      </w:r>
      <w:r>
        <w:rPr>
          <w:rFonts w:hint="eastAsia"/>
          <w:color w:val="auto"/>
          <w:szCs w:val="21"/>
        </w:rPr>
        <w:t>11.0版</w:t>
      </w:r>
      <w:r>
        <w:rPr>
          <w:rFonts w:hint="eastAsia"/>
          <w:color w:val="auto"/>
          <w:kern w:val="0"/>
          <w:szCs w:val="21"/>
        </w:rPr>
        <w:t>收载，但是没有被《中国药典》</w:t>
      </w:r>
      <w:r>
        <w:rPr>
          <w:color w:val="auto"/>
          <w:kern w:val="0"/>
          <w:szCs w:val="21"/>
        </w:rPr>
        <w:t>20</w:t>
      </w:r>
      <w:r>
        <w:rPr>
          <w:rFonts w:hint="eastAsia"/>
          <w:color w:val="auto"/>
          <w:kern w:val="0"/>
          <w:szCs w:val="21"/>
        </w:rPr>
        <w:t>25版、《美国药典》USP-NF 2025版收载。</w:t>
      </w:r>
    </w:p>
    <w:p w14:paraId="5008E199">
      <w:pPr>
        <w:rPr>
          <w:rFonts w:hint="eastAsia" w:ascii="宋体" w:hAnsi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</w:rPr>
        <w:t>四、标准的制订与起草原则</w:t>
      </w:r>
    </w:p>
    <w:p w14:paraId="7FC394AD">
      <w:pPr>
        <w:pStyle w:val="45"/>
        <w:adjustRightInd w:val="0"/>
        <w:spacing w:line="360" w:lineRule="auto"/>
        <w:ind w:firstLine="420" w:firstLineChars="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本标准遵循中国医药保健品进出口商会提供的相关规则编写。参照《美国药典》USP-NF 2025版、《中国药典》</w:t>
      </w:r>
      <w:r>
        <w:rPr>
          <w:rFonts w:ascii="Times New Roman"/>
          <w:color w:val="auto"/>
          <w:szCs w:val="21"/>
        </w:rPr>
        <w:t>2020</w:t>
      </w:r>
      <w:r>
        <w:rPr>
          <w:rFonts w:hint="eastAsia"/>
          <w:color w:val="auto"/>
          <w:szCs w:val="21"/>
        </w:rPr>
        <w:t xml:space="preserve">版、《欧洲药典》EP </w:t>
      </w:r>
      <w:r>
        <w:rPr>
          <w:rFonts w:hint="eastAsia" w:ascii="Times New Roman"/>
          <w:color w:val="auto"/>
          <w:szCs w:val="21"/>
        </w:rPr>
        <w:t>11.0</w:t>
      </w:r>
      <w:r>
        <w:rPr>
          <w:rFonts w:hint="eastAsia"/>
          <w:color w:val="auto"/>
          <w:szCs w:val="21"/>
        </w:rPr>
        <w:t>版和相关国家标准以及产品特性、市场要求制定本标准。</w:t>
      </w:r>
    </w:p>
    <w:p w14:paraId="0D2BB8D9">
      <w:pPr>
        <w:pStyle w:val="45"/>
        <w:ind w:firstLine="0" w:firstLineChars="0"/>
        <w:jc w:val="center"/>
        <w:rPr>
          <w:rFonts w:hint="eastAsia" w:hAnsi="宋体" w:cs="宋体"/>
          <w:b/>
          <w:bCs/>
          <w:color w:val="auto"/>
          <w:spacing w:val="12"/>
        </w:rPr>
      </w:pPr>
      <w:r>
        <w:rPr>
          <w:rFonts w:hint="eastAsia" w:hAnsi="宋体" w:cs="宋体"/>
          <w:b/>
          <w:bCs/>
          <w:color w:val="auto"/>
          <w:spacing w:val="12"/>
        </w:rPr>
        <w:t>表</w:t>
      </w:r>
      <w:r>
        <w:rPr>
          <w:rFonts w:ascii="Times New Roman"/>
          <w:b/>
          <w:bCs/>
          <w:color w:val="auto"/>
          <w:spacing w:val="12"/>
        </w:rPr>
        <w:t>1</w:t>
      </w:r>
      <w:r>
        <w:rPr>
          <w:rFonts w:hint="eastAsia" w:hAnsi="宋体" w:cs="宋体"/>
          <w:b/>
          <w:bCs/>
          <w:color w:val="auto"/>
          <w:spacing w:val="12"/>
        </w:rPr>
        <w:t xml:space="preserve"> 洋常春藤提取物技术指标依据及检验方法依据</w:t>
      </w:r>
    </w:p>
    <w:tbl>
      <w:tblPr>
        <w:tblStyle w:val="15"/>
        <w:tblW w:w="98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7"/>
        <w:gridCol w:w="2170"/>
        <w:gridCol w:w="1713"/>
        <w:gridCol w:w="3656"/>
      </w:tblGrid>
      <w:tr w14:paraId="38D66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615F040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项</w:t>
            </w:r>
            <w:r>
              <w:rPr>
                <w:color w:val="auto"/>
                <w:szCs w:val="21"/>
              </w:rPr>
              <w:t xml:space="preserve">     </w:t>
            </w:r>
            <w:r>
              <w:rPr>
                <w:rFonts w:hint="eastAsia"/>
                <w:color w:val="auto"/>
                <w:szCs w:val="21"/>
              </w:rPr>
              <w:t>目</w:t>
            </w:r>
          </w:p>
        </w:tc>
        <w:tc>
          <w:tcPr>
            <w:tcW w:w="2170" w:type="dxa"/>
            <w:vAlign w:val="center"/>
          </w:tcPr>
          <w:p w14:paraId="152A0D9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指</w:t>
            </w:r>
            <w:r>
              <w:rPr>
                <w:color w:val="auto"/>
                <w:szCs w:val="21"/>
              </w:rPr>
              <w:t xml:space="preserve">  </w:t>
            </w:r>
            <w:r>
              <w:rPr>
                <w:rFonts w:hint="eastAsia"/>
                <w:color w:val="auto"/>
                <w:szCs w:val="21"/>
              </w:rPr>
              <w:t>标</w:t>
            </w:r>
          </w:p>
        </w:tc>
        <w:tc>
          <w:tcPr>
            <w:tcW w:w="1713" w:type="dxa"/>
            <w:vAlign w:val="center"/>
          </w:tcPr>
          <w:p w14:paraId="0957D7D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指标制定依据</w:t>
            </w:r>
          </w:p>
        </w:tc>
        <w:tc>
          <w:tcPr>
            <w:tcW w:w="3656" w:type="dxa"/>
            <w:vAlign w:val="center"/>
          </w:tcPr>
          <w:p w14:paraId="09FFE3E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检验方法依据</w:t>
            </w:r>
          </w:p>
        </w:tc>
      </w:tr>
      <w:tr w14:paraId="380E3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587357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性状</w:t>
            </w:r>
          </w:p>
        </w:tc>
        <w:tc>
          <w:tcPr>
            <w:tcW w:w="2170" w:type="dxa"/>
            <w:vAlign w:val="center"/>
          </w:tcPr>
          <w:p w14:paraId="7F1BB6A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本品为棕色到棕绿色、色泽均匀；气特异，无可见异物</w:t>
            </w:r>
          </w:p>
        </w:tc>
        <w:tc>
          <w:tcPr>
            <w:tcW w:w="1713" w:type="dxa"/>
            <w:vAlign w:val="center"/>
          </w:tcPr>
          <w:p w14:paraId="653A1D7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产品特性</w:t>
            </w:r>
          </w:p>
        </w:tc>
        <w:tc>
          <w:tcPr>
            <w:tcW w:w="3656" w:type="dxa"/>
            <w:vAlign w:val="center"/>
          </w:tcPr>
          <w:p w14:paraId="018A774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取本品嗅其气味和尝其滋味；另取试样适量置于白色瓷盘中观察其色泽、外观，并检查有无异物。</w:t>
            </w:r>
          </w:p>
        </w:tc>
      </w:tr>
      <w:tr w14:paraId="670BB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41EF33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薄层色谱法鉴别</w:t>
            </w:r>
          </w:p>
        </w:tc>
        <w:tc>
          <w:tcPr>
            <w:tcW w:w="2170" w:type="dxa"/>
            <w:vAlign w:val="center"/>
          </w:tcPr>
          <w:p w14:paraId="02660F34">
            <w:pPr>
              <w:spacing w:line="240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供试品色谱中，在与常春藤苷C、α-常春藤苷对照品色谱相应的位置上，显相同的斑点</w:t>
            </w:r>
          </w:p>
        </w:tc>
        <w:tc>
          <w:tcPr>
            <w:tcW w:w="1713" w:type="dxa"/>
            <w:vAlign w:val="center"/>
          </w:tcPr>
          <w:p w14:paraId="2061FF8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产品特性</w:t>
            </w:r>
          </w:p>
        </w:tc>
        <w:tc>
          <w:tcPr>
            <w:tcW w:w="3656" w:type="dxa"/>
            <w:vAlign w:val="center"/>
          </w:tcPr>
          <w:p w14:paraId="6A94BC61">
            <w:pPr>
              <w:pStyle w:val="7"/>
              <w:adjustRightInd w:val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</w:rPr>
              <w:t>EP</w:t>
            </w:r>
            <w:r>
              <w:rPr>
                <w:rFonts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>11.</w:t>
            </w:r>
            <w:r>
              <w:rPr>
                <w:rFonts w:ascii="Times New Roman" w:hAnsi="Times New Roman"/>
                <w:color w:val="auto"/>
              </w:rPr>
              <w:t>0</w:t>
            </w:r>
            <w:r>
              <w:rPr>
                <w:rFonts w:hint="eastAsia"/>
                <w:color w:val="auto"/>
              </w:rPr>
              <w:t xml:space="preserve"> &lt;2.2.7&gt;</w:t>
            </w:r>
          </w:p>
        </w:tc>
      </w:tr>
      <w:tr w14:paraId="35A9E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47EC110E">
            <w:pPr>
              <w:spacing w:line="240" w:lineRule="auto"/>
              <w:ind w:right="-21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含量</w:t>
            </w:r>
            <w:r>
              <w:rPr>
                <w:color w:val="auto"/>
                <w:szCs w:val="21"/>
              </w:rPr>
              <w:t>/%</w:t>
            </w:r>
          </w:p>
        </w:tc>
        <w:tc>
          <w:tcPr>
            <w:tcW w:w="2170" w:type="dxa"/>
            <w:vAlign w:val="center"/>
          </w:tcPr>
          <w:p w14:paraId="46572B9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常春藤苷C（按干燥品计）/</w:t>
            </w:r>
            <w:r>
              <w:rPr>
                <w:color w:val="auto"/>
                <w:szCs w:val="21"/>
              </w:rPr>
              <w:t>%</w:t>
            </w:r>
            <w:r>
              <w:rPr>
                <w:rFonts w:hint="eastAsia"/>
                <w:color w:val="auto"/>
                <w:szCs w:val="21"/>
              </w:rPr>
              <w:t xml:space="preserve"> 10</w:t>
            </w:r>
            <w:r>
              <w:rPr>
                <w:color w:val="auto"/>
                <w:szCs w:val="21"/>
              </w:rPr>
              <w:t>.0</w:t>
            </w:r>
          </w:p>
        </w:tc>
        <w:tc>
          <w:tcPr>
            <w:tcW w:w="1713" w:type="dxa"/>
            <w:vAlign w:val="center"/>
          </w:tcPr>
          <w:p w14:paraId="1931049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088A1DE7">
            <w:pPr>
              <w:pStyle w:val="7"/>
              <w:adjustRightInd w:val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/>
                <w:color w:val="auto"/>
              </w:rPr>
              <w:t>USP-NF 2025  通则&lt;621&gt;</w:t>
            </w:r>
            <w:r>
              <w:rPr>
                <w:rFonts w:ascii="Times New Roman" w:hAnsi="Times New Roman"/>
                <w:color w:val="auto"/>
              </w:rPr>
              <w:t>--</w:t>
            </w:r>
            <w:r>
              <w:rPr>
                <w:rFonts w:hint="eastAsia" w:ascii="Times New Roman" w:hAnsi="Times New Roman"/>
                <w:color w:val="auto"/>
              </w:rPr>
              <w:t>高效液相色谱法</w:t>
            </w:r>
          </w:p>
        </w:tc>
      </w:tr>
      <w:tr w14:paraId="4152C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FC3A77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粒度</w:t>
            </w:r>
            <w:r>
              <w:rPr>
                <w:color w:val="auto"/>
                <w:szCs w:val="21"/>
              </w:rPr>
              <w:t>(80</w:t>
            </w:r>
            <w:r>
              <w:rPr>
                <w:rFonts w:hint="eastAsia"/>
                <w:color w:val="auto"/>
                <w:szCs w:val="21"/>
              </w:rPr>
              <w:t>目筛通过率</w:t>
            </w:r>
            <w:r>
              <w:rPr>
                <w:color w:val="auto"/>
                <w:szCs w:val="21"/>
              </w:rPr>
              <w:t>)/%</w:t>
            </w:r>
          </w:p>
        </w:tc>
        <w:tc>
          <w:tcPr>
            <w:tcW w:w="2170" w:type="dxa"/>
            <w:vAlign w:val="center"/>
          </w:tcPr>
          <w:p w14:paraId="2FFBE73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≥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9</w:t>
            </w:r>
            <w:r>
              <w:rPr>
                <w:rFonts w:hint="eastAsia"/>
                <w:color w:val="auto"/>
                <w:szCs w:val="21"/>
              </w:rPr>
              <w:t>0</w:t>
            </w:r>
          </w:p>
        </w:tc>
        <w:tc>
          <w:tcPr>
            <w:tcW w:w="1713" w:type="dxa"/>
            <w:vAlign w:val="center"/>
          </w:tcPr>
          <w:p w14:paraId="6DE19C7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033C74A0">
            <w:pPr>
              <w:pStyle w:val="7"/>
              <w:adjustRightInd w:val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color w:val="auto"/>
              </w:rPr>
              <w:t>按</w:t>
            </w:r>
            <w:r>
              <w:rPr>
                <w:rFonts w:hint="eastAsia"/>
                <w:color w:val="auto"/>
              </w:rPr>
              <w:t>《中华人民共和国药典（</w:t>
            </w:r>
            <w:r>
              <w:rPr>
                <w:rFonts w:ascii="Times New Roman" w:hAnsi="Times New Roman"/>
                <w:color w:val="auto"/>
              </w:rPr>
              <w:t>202</w:t>
            </w:r>
            <w:r>
              <w:rPr>
                <w:rFonts w:hint="eastAsia" w:ascii="Times New Roman" w:hAnsi="Times New Roman"/>
                <w:color w:val="auto"/>
              </w:rPr>
              <w:t>5</w:t>
            </w:r>
            <w:r>
              <w:rPr>
                <w:rFonts w:hint="eastAsia"/>
                <w:color w:val="auto"/>
              </w:rPr>
              <w:t>版）》第四部通则</w:t>
            </w:r>
            <w:r>
              <w:rPr>
                <w:rFonts w:ascii="Times New Roman" w:hAnsi="Times New Roman"/>
                <w:color w:val="auto"/>
              </w:rPr>
              <w:t xml:space="preserve"> 0982</w:t>
            </w:r>
            <w:r>
              <w:rPr>
                <w:rFonts w:hint="eastAsia"/>
                <w:color w:val="auto"/>
              </w:rPr>
              <w:t xml:space="preserve"> 粒度和粒度分布测定法第二法（筛分法）</w:t>
            </w:r>
            <w:r>
              <w:rPr>
                <w:color w:val="auto"/>
              </w:rPr>
              <w:t>进行测定。</w:t>
            </w:r>
          </w:p>
        </w:tc>
      </w:tr>
      <w:tr w14:paraId="1638A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FAD64B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水分</w:t>
            </w:r>
            <w:r>
              <w:rPr>
                <w:color w:val="auto"/>
                <w:szCs w:val="21"/>
              </w:rPr>
              <w:t>/%</w:t>
            </w:r>
          </w:p>
        </w:tc>
        <w:tc>
          <w:tcPr>
            <w:tcW w:w="2170" w:type="dxa"/>
            <w:vAlign w:val="center"/>
          </w:tcPr>
          <w:p w14:paraId="59FDFF1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5.0</w:t>
            </w:r>
          </w:p>
        </w:tc>
        <w:tc>
          <w:tcPr>
            <w:tcW w:w="1713" w:type="dxa"/>
            <w:vAlign w:val="center"/>
          </w:tcPr>
          <w:p w14:paraId="00303F8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56019833">
            <w:pPr>
              <w:pStyle w:val="7"/>
              <w:adjustRightInd w:val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color w:val="auto"/>
              </w:rPr>
              <w:t>按</w:t>
            </w:r>
            <w:r>
              <w:rPr>
                <w:rFonts w:ascii="Times New Roman" w:hAnsi="Times New Roman"/>
                <w:color w:val="auto"/>
              </w:rPr>
              <w:t>GB 5009.3</w:t>
            </w:r>
            <w:r>
              <w:rPr>
                <w:color w:val="auto"/>
              </w:rPr>
              <w:t>中的</w:t>
            </w:r>
            <w:r>
              <w:rPr>
                <w:rFonts w:hint="eastAsia"/>
                <w:color w:val="auto"/>
              </w:rPr>
              <w:t>第一法</w:t>
            </w:r>
            <w:r>
              <w:rPr>
                <w:color w:val="auto"/>
              </w:rPr>
              <w:t>进行测定。</w:t>
            </w:r>
          </w:p>
        </w:tc>
      </w:tr>
      <w:tr w14:paraId="556A5D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498A09E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灰分</w:t>
            </w:r>
            <w:r>
              <w:rPr>
                <w:color w:val="auto"/>
                <w:szCs w:val="21"/>
              </w:rPr>
              <w:t>/%</w:t>
            </w:r>
          </w:p>
        </w:tc>
        <w:tc>
          <w:tcPr>
            <w:tcW w:w="2170" w:type="dxa"/>
            <w:vAlign w:val="center"/>
          </w:tcPr>
          <w:p w14:paraId="4FAB235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8</w:t>
            </w:r>
            <w:r>
              <w:rPr>
                <w:color w:val="auto"/>
                <w:szCs w:val="21"/>
              </w:rPr>
              <w:t>.0</w:t>
            </w:r>
          </w:p>
        </w:tc>
        <w:tc>
          <w:tcPr>
            <w:tcW w:w="1713" w:type="dxa"/>
            <w:vAlign w:val="center"/>
          </w:tcPr>
          <w:p w14:paraId="7377761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产品特性</w:t>
            </w:r>
          </w:p>
        </w:tc>
        <w:tc>
          <w:tcPr>
            <w:tcW w:w="3656" w:type="dxa"/>
            <w:vAlign w:val="center"/>
          </w:tcPr>
          <w:p w14:paraId="48FAB7CF">
            <w:pPr>
              <w:pStyle w:val="59"/>
              <w:ind w:firstLine="0" w:firstLineChars="0"/>
              <w:rPr>
                <w:color w:val="auto"/>
              </w:rPr>
            </w:pPr>
            <w:r>
              <w:rPr>
                <w:rFonts w:hint="eastAsia"/>
                <w:color w:val="auto"/>
              </w:rPr>
              <w:t>GB 5009.4 食品安全国家标准 食品中灰分的测定</w:t>
            </w:r>
          </w:p>
        </w:tc>
      </w:tr>
      <w:tr w14:paraId="58B2B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0618D82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铅（</w:t>
            </w:r>
            <w:r>
              <w:rPr>
                <w:color w:val="auto"/>
                <w:kern w:val="0"/>
                <w:szCs w:val="21"/>
              </w:rPr>
              <w:t>Pb</w:t>
            </w:r>
            <w:r>
              <w:rPr>
                <w:rFonts w:hint="eastAsia"/>
                <w:color w:val="auto"/>
                <w:szCs w:val="21"/>
              </w:rPr>
              <w:t>）</w:t>
            </w:r>
            <w:r>
              <w:rPr>
                <w:color w:val="auto"/>
                <w:szCs w:val="21"/>
              </w:rPr>
              <w:t>/mg/kg</w:t>
            </w:r>
          </w:p>
        </w:tc>
        <w:tc>
          <w:tcPr>
            <w:tcW w:w="2170" w:type="dxa"/>
            <w:vAlign w:val="center"/>
          </w:tcPr>
          <w:p w14:paraId="022A2B64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3.0</w:t>
            </w:r>
          </w:p>
        </w:tc>
        <w:tc>
          <w:tcPr>
            <w:tcW w:w="1713" w:type="dxa"/>
            <w:vAlign w:val="center"/>
          </w:tcPr>
          <w:p w14:paraId="26CF442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Merge w:val="restart"/>
            <w:vAlign w:val="center"/>
          </w:tcPr>
          <w:p w14:paraId="7876D8DF">
            <w:pPr>
              <w:pStyle w:val="45"/>
              <w:tabs>
                <w:tab w:val="center" w:pos="4201"/>
                <w:tab w:val="right" w:leader="dot" w:pos="9298"/>
              </w:tabs>
              <w:adjustRightInd w:val="0"/>
              <w:ind w:firstLine="0" w:firstLineChars="0"/>
              <w:jc w:val="center"/>
              <w:rPr>
                <w:rFonts w:ascii="Times New Roman"/>
                <w:color w:val="auto"/>
                <w:szCs w:val="21"/>
              </w:rPr>
            </w:pPr>
            <w:r>
              <w:rPr>
                <w:rFonts w:ascii="Times New Roman"/>
                <w:color w:val="auto"/>
                <w:szCs w:val="21"/>
              </w:rPr>
              <w:t>按</w:t>
            </w:r>
            <w:r>
              <w:rPr>
                <w:rFonts w:hint="eastAsia"/>
                <w:color w:val="auto"/>
                <w:szCs w:val="21"/>
              </w:rPr>
              <w:t>《中华人民共和国药典（</w:t>
            </w:r>
            <w:r>
              <w:rPr>
                <w:rFonts w:ascii="Times New Roman"/>
                <w:color w:val="auto"/>
                <w:szCs w:val="21"/>
              </w:rPr>
              <w:t>202</w:t>
            </w:r>
            <w:r>
              <w:rPr>
                <w:rFonts w:hint="eastAsia" w:ascii="Times New Roman"/>
                <w:color w:val="auto"/>
                <w:szCs w:val="21"/>
              </w:rPr>
              <w:t>5</w:t>
            </w:r>
            <w:r>
              <w:rPr>
                <w:rFonts w:hint="eastAsia"/>
                <w:color w:val="auto"/>
                <w:szCs w:val="21"/>
              </w:rPr>
              <w:t>版</w:t>
            </w:r>
            <w:r>
              <w:rPr>
                <w:rFonts w:ascii="Times New Roman"/>
                <w:color w:val="auto"/>
                <w:szCs w:val="21"/>
              </w:rPr>
              <w:t>）</w:t>
            </w:r>
            <w:r>
              <w:rPr>
                <w:rFonts w:hint="eastAsia"/>
                <w:color w:val="auto"/>
                <w:szCs w:val="21"/>
              </w:rPr>
              <w:t xml:space="preserve">》第四部 通则 </w:t>
            </w:r>
            <w:r>
              <w:rPr>
                <w:color w:val="auto"/>
                <w:szCs w:val="21"/>
              </w:rPr>
              <w:t>2321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rFonts w:ascii="Times New Roman"/>
                <w:color w:val="auto"/>
                <w:szCs w:val="21"/>
              </w:rPr>
              <w:t>铅、镉、砷、汞、铜测定法进行测定。</w:t>
            </w:r>
          </w:p>
          <w:p w14:paraId="026ADD26">
            <w:pPr>
              <w:pStyle w:val="45"/>
              <w:adjustRightInd w:val="0"/>
              <w:ind w:firstLine="0" w:firstLineChars="0"/>
              <w:jc w:val="center"/>
              <w:rPr>
                <w:rFonts w:ascii="Times New Roman"/>
                <w:color w:val="auto"/>
                <w:kern w:val="2"/>
                <w:szCs w:val="21"/>
              </w:rPr>
            </w:pPr>
          </w:p>
        </w:tc>
      </w:tr>
      <w:tr w14:paraId="3432D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5A47CCA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镉（</w:t>
            </w:r>
            <w:r>
              <w:rPr>
                <w:color w:val="auto"/>
                <w:szCs w:val="21"/>
              </w:rPr>
              <w:t>Cd</w:t>
            </w:r>
            <w:r>
              <w:rPr>
                <w:rFonts w:hint="eastAsia"/>
                <w:color w:val="auto"/>
                <w:szCs w:val="21"/>
              </w:rPr>
              <w:t>）</w:t>
            </w:r>
            <w:r>
              <w:rPr>
                <w:color w:val="auto"/>
                <w:szCs w:val="21"/>
              </w:rPr>
              <w:t>/mg/kg</w:t>
            </w:r>
          </w:p>
        </w:tc>
        <w:tc>
          <w:tcPr>
            <w:tcW w:w="2170" w:type="dxa"/>
            <w:vAlign w:val="center"/>
          </w:tcPr>
          <w:p w14:paraId="0F832E0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1.0</w:t>
            </w:r>
          </w:p>
        </w:tc>
        <w:tc>
          <w:tcPr>
            <w:tcW w:w="1713" w:type="dxa"/>
            <w:vAlign w:val="center"/>
          </w:tcPr>
          <w:p w14:paraId="3689E36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Merge w:val="continue"/>
            <w:vAlign w:val="center"/>
          </w:tcPr>
          <w:p w14:paraId="62E632AC">
            <w:pPr>
              <w:spacing w:line="240" w:lineRule="auto"/>
              <w:jc w:val="center"/>
              <w:rPr>
                <w:color w:val="auto"/>
                <w:szCs w:val="21"/>
              </w:rPr>
            </w:pPr>
          </w:p>
        </w:tc>
      </w:tr>
      <w:tr w14:paraId="238E5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C68D9B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砷（以</w:t>
            </w:r>
            <w:r>
              <w:rPr>
                <w:color w:val="auto"/>
                <w:szCs w:val="21"/>
              </w:rPr>
              <w:t>As</w:t>
            </w:r>
            <w:r>
              <w:rPr>
                <w:rFonts w:hint="eastAsia"/>
                <w:color w:val="auto"/>
                <w:szCs w:val="21"/>
              </w:rPr>
              <w:t>计）</w:t>
            </w:r>
            <w:r>
              <w:rPr>
                <w:color w:val="auto"/>
                <w:szCs w:val="21"/>
              </w:rPr>
              <w:t>/mg/kg</w:t>
            </w:r>
          </w:p>
        </w:tc>
        <w:tc>
          <w:tcPr>
            <w:tcW w:w="2170" w:type="dxa"/>
            <w:vAlign w:val="center"/>
          </w:tcPr>
          <w:p w14:paraId="7D75F28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2.0</w:t>
            </w:r>
          </w:p>
        </w:tc>
        <w:tc>
          <w:tcPr>
            <w:tcW w:w="1713" w:type="dxa"/>
            <w:vAlign w:val="center"/>
          </w:tcPr>
          <w:p w14:paraId="30E5770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Merge w:val="continue"/>
            <w:vAlign w:val="center"/>
          </w:tcPr>
          <w:p w14:paraId="6E148063">
            <w:pPr>
              <w:spacing w:line="240" w:lineRule="auto"/>
              <w:jc w:val="center"/>
              <w:rPr>
                <w:color w:val="auto"/>
                <w:szCs w:val="21"/>
              </w:rPr>
            </w:pPr>
          </w:p>
        </w:tc>
      </w:tr>
      <w:tr w14:paraId="66DD5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272A9A5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汞（</w:t>
            </w:r>
            <w:r>
              <w:rPr>
                <w:color w:val="auto"/>
                <w:szCs w:val="21"/>
              </w:rPr>
              <w:t>Hg</w:t>
            </w:r>
            <w:r>
              <w:rPr>
                <w:rFonts w:hint="eastAsia"/>
                <w:color w:val="auto"/>
                <w:szCs w:val="21"/>
              </w:rPr>
              <w:t>）</w:t>
            </w:r>
            <w:r>
              <w:rPr>
                <w:color w:val="auto"/>
                <w:szCs w:val="21"/>
              </w:rPr>
              <w:t>/mg/kg</w:t>
            </w:r>
          </w:p>
        </w:tc>
        <w:tc>
          <w:tcPr>
            <w:tcW w:w="2170" w:type="dxa"/>
            <w:vAlign w:val="center"/>
          </w:tcPr>
          <w:p w14:paraId="286F735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0.1</w:t>
            </w:r>
          </w:p>
        </w:tc>
        <w:tc>
          <w:tcPr>
            <w:tcW w:w="1713" w:type="dxa"/>
            <w:vAlign w:val="center"/>
          </w:tcPr>
          <w:p w14:paraId="56A9915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Merge w:val="continue"/>
            <w:vAlign w:val="center"/>
          </w:tcPr>
          <w:p w14:paraId="423ADA81">
            <w:pPr>
              <w:spacing w:line="240" w:lineRule="auto"/>
              <w:jc w:val="center"/>
              <w:rPr>
                <w:color w:val="auto"/>
                <w:szCs w:val="21"/>
              </w:rPr>
            </w:pPr>
          </w:p>
        </w:tc>
      </w:tr>
      <w:tr w14:paraId="28172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555530C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菌落总数</w:t>
            </w:r>
            <w:r>
              <w:rPr>
                <w:color w:val="auto"/>
                <w:szCs w:val="21"/>
              </w:rPr>
              <w:t>/CFU/g</w:t>
            </w:r>
          </w:p>
        </w:tc>
        <w:tc>
          <w:tcPr>
            <w:tcW w:w="2170" w:type="dxa"/>
            <w:vAlign w:val="center"/>
          </w:tcPr>
          <w:p w14:paraId="403C2B0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1000</w:t>
            </w:r>
          </w:p>
        </w:tc>
        <w:tc>
          <w:tcPr>
            <w:tcW w:w="1713" w:type="dxa"/>
            <w:vAlign w:val="center"/>
          </w:tcPr>
          <w:p w14:paraId="5F4AF631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59D3A96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GB 4789.2 食品安全国家标准 食品微生物学检验 菌落总数测定</w:t>
            </w:r>
          </w:p>
        </w:tc>
      </w:tr>
      <w:tr w14:paraId="0A478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BF6B308">
            <w:pPr>
              <w:pStyle w:val="45"/>
              <w:adjustRightInd w:val="0"/>
              <w:ind w:firstLine="0" w:firstLineChars="0"/>
              <w:jc w:val="center"/>
              <w:rPr>
                <w:rFonts w:ascii="Times New Roman"/>
                <w:color w:val="auto"/>
                <w:kern w:val="2"/>
                <w:szCs w:val="21"/>
              </w:rPr>
            </w:pPr>
            <w:r>
              <w:rPr>
                <w:rFonts w:hint="eastAsia" w:ascii="Times New Roman"/>
                <w:color w:val="auto"/>
                <w:kern w:val="2"/>
                <w:szCs w:val="21"/>
              </w:rPr>
              <w:t>霉菌和酵母</w:t>
            </w:r>
            <w:r>
              <w:rPr>
                <w:rFonts w:ascii="Times New Roman"/>
                <w:color w:val="auto"/>
                <w:kern w:val="2"/>
                <w:szCs w:val="21"/>
              </w:rPr>
              <w:t>/CFU/g</w:t>
            </w:r>
          </w:p>
        </w:tc>
        <w:tc>
          <w:tcPr>
            <w:tcW w:w="2170" w:type="dxa"/>
            <w:vAlign w:val="center"/>
          </w:tcPr>
          <w:p w14:paraId="623EEF8E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10</w:t>
            </w:r>
            <w:r>
              <w:rPr>
                <w:rFonts w:hint="eastAsia"/>
                <w:color w:val="auto"/>
                <w:szCs w:val="21"/>
              </w:rPr>
              <w:t>0</w:t>
            </w:r>
          </w:p>
        </w:tc>
        <w:tc>
          <w:tcPr>
            <w:tcW w:w="1713" w:type="dxa"/>
            <w:vAlign w:val="center"/>
          </w:tcPr>
          <w:p w14:paraId="2378F68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729647A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GB 4789.15 食品安全国家标准 食品微生物学检验 霉菌和酵母计数</w:t>
            </w:r>
          </w:p>
        </w:tc>
      </w:tr>
      <w:tr w14:paraId="7E247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74AEEF7B">
            <w:pPr>
              <w:pStyle w:val="45"/>
              <w:adjustRightInd w:val="0"/>
              <w:ind w:firstLine="0" w:firstLineChars="0"/>
              <w:jc w:val="center"/>
              <w:rPr>
                <w:rFonts w:ascii="Times New Roman"/>
                <w:color w:val="auto"/>
                <w:kern w:val="2"/>
                <w:szCs w:val="21"/>
              </w:rPr>
            </w:pPr>
            <w:r>
              <w:rPr>
                <w:rFonts w:hint="eastAsia" w:ascii="Times New Roman"/>
                <w:color w:val="auto"/>
                <w:kern w:val="2"/>
                <w:szCs w:val="21"/>
              </w:rPr>
              <w:t>大肠菌群/</w:t>
            </w:r>
            <w:r>
              <w:rPr>
                <w:rFonts w:ascii="Times New Roman"/>
                <w:color w:val="auto"/>
                <w:kern w:val="2"/>
                <w:szCs w:val="21"/>
              </w:rPr>
              <w:t>M</w:t>
            </w:r>
            <w:r>
              <w:rPr>
                <w:rFonts w:hint="eastAsia" w:ascii="Times New Roman"/>
                <w:color w:val="auto"/>
                <w:kern w:val="2"/>
                <w:szCs w:val="21"/>
              </w:rPr>
              <w:t>PN</w:t>
            </w:r>
            <w:r>
              <w:rPr>
                <w:rFonts w:ascii="Times New Roman"/>
                <w:color w:val="auto"/>
                <w:kern w:val="2"/>
                <w:szCs w:val="21"/>
              </w:rPr>
              <w:t>/g</w:t>
            </w:r>
          </w:p>
        </w:tc>
        <w:tc>
          <w:tcPr>
            <w:tcW w:w="2170" w:type="dxa"/>
            <w:vAlign w:val="center"/>
          </w:tcPr>
          <w:p w14:paraId="762624E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</w:t>
            </w:r>
            <w:r>
              <w:rPr>
                <w:color w:val="auto"/>
                <w:szCs w:val="21"/>
              </w:rPr>
              <w:t>3</w:t>
            </w:r>
            <w:r>
              <w:rPr>
                <w:rFonts w:hint="eastAsia"/>
                <w:color w:val="auto"/>
                <w:szCs w:val="21"/>
              </w:rPr>
              <w:t>.0</w:t>
            </w:r>
          </w:p>
        </w:tc>
        <w:tc>
          <w:tcPr>
            <w:tcW w:w="1713" w:type="dxa"/>
            <w:vAlign w:val="center"/>
          </w:tcPr>
          <w:p w14:paraId="3062053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3B6DCB7E">
            <w:pPr>
              <w:spacing w:line="240" w:lineRule="auto"/>
              <w:jc w:val="center"/>
              <w:rPr>
                <w:rFonts w:ascii="Verdana" w:hAnsi="Verdana" w:cs="Verdana"/>
                <w:color w:val="auto"/>
                <w:szCs w:val="21"/>
                <w:shd w:val="clear" w:color="auto" w:fill="FFFFFF"/>
              </w:rPr>
            </w:pPr>
            <w:r>
              <w:rPr>
                <w:color w:val="auto"/>
                <w:szCs w:val="21"/>
              </w:rPr>
              <w:t xml:space="preserve">GB 4789.3 </w:t>
            </w:r>
            <w:r>
              <w:rPr>
                <w:color w:val="auto"/>
                <w:szCs w:val="21"/>
                <w:shd w:val="clear" w:color="auto" w:fill="FFFFFF"/>
              </w:rPr>
              <w:t>食品安全国家标准 食品微生物学检验 大肠菌群计数</w:t>
            </w:r>
            <w:r>
              <w:rPr>
                <w:rFonts w:hint="eastAsia"/>
                <w:color w:val="auto"/>
                <w:szCs w:val="21"/>
                <w:shd w:val="clear" w:color="auto" w:fill="FFFFFF"/>
              </w:rPr>
              <w:t xml:space="preserve"> 第一法</w:t>
            </w:r>
          </w:p>
        </w:tc>
      </w:tr>
      <w:tr w14:paraId="29CC3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7C56B0D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沙门氏菌</w:t>
            </w:r>
          </w:p>
        </w:tc>
        <w:tc>
          <w:tcPr>
            <w:tcW w:w="2170" w:type="dxa"/>
            <w:vAlign w:val="center"/>
          </w:tcPr>
          <w:p w14:paraId="24CA654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未检出</w:t>
            </w:r>
          </w:p>
        </w:tc>
        <w:tc>
          <w:tcPr>
            <w:tcW w:w="1713" w:type="dxa"/>
            <w:vAlign w:val="center"/>
          </w:tcPr>
          <w:p w14:paraId="039BE10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0E13D482">
            <w:pPr>
              <w:spacing w:line="240" w:lineRule="auto"/>
              <w:jc w:val="center"/>
              <w:rPr>
                <w:color w:val="auto"/>
              </w:rPr>
            </w:pPr>
            <w:r>
              <w:rPr>
                <w:color w:val="auto"/>
                <w:szCs w:val="21"/>
              </w:rPr>
              <w:t>GB 4789.4 食品安全国家标准 食品微生物学检验 沙门氏菌检验</w:t>
            </w:r>
          </w:p>
        </w:tc>
      </w:tr>
      <w:tr w14:paraId="57B9F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B5A22B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金黄色葡萄球菌</w:t>
            </w:r>
          </w:p>
        </w:tc>
        <w:tc>
          <w:tcPr>
            <w:tcW w:w="2170" w:type="dxa"/>
            <w:vAlign w:val="center"/>
          </w:tcPr>
          <w:p w14:paraId="6BF1FCA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未检出</w:t>
            </w:r>
          </w:p>
        </w:tc>
        <w:tc>
          <w:tcPr>
            <w:tcW w:w="1713" w:type="dxa"/>
            <w:vAlign w:val="center"/>
          </w:tcPr>
          <w:p w14:paraId="3D7755E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市场要求</w:t>
            </w:r>
          </w:p>
        </w:tc>
        <w:tc>
          <w:tcPr>
            <w:tcW w:w="3656" w:type="dxa"/>
            <w:vAlign w:val="center"/>
          </w:tcPr>
          <w:p w14:paraId="26279633">
            <w:pPr>
              <w:spacing w:line="240" w:lineRule="auto"/>
              <w:jc w:val="center"/>
              <w:rPr>
                <w:rFonts w:ascii="Verdana" w:hAnsi="Verdana" w:cs="Verdana"/>
                <w:color w:val="auto"/>
                <w:shd w:val="clear" w:color="auto" w:fill="FFFFFF"/>
              </w:rPr>
            </w:pPr>
            <w:r>
              <w:rPr>
                <w:color w:val="auto"/>
                <w:szCs w:val="21"/>
              </w:rPr>
              <w:t>GB 4789.10食品安全国家标准 食品微生物学检验 金黄色葡萄球菌检验</w:t>
            </w:r>
          </w:p>
        </w:tc>
      </w:tr>
      <w:tr w14:paraId="5109D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17" w:type="dxa"/>
            <w:vAlign w:val="center"/>
          </w:tcPr>
          <w:p w14:paraId="1389A58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乙醇</w:t>
            </w:r>
            <w:r>
              <w:rPr>
                <w:color w:val="auto"/>
                <w:szCs w:val="21"/>
              </w:rPr>
              <w:t>/mg/kg</w:t>
            </w:r>
          </w:p>
        </w:tc>
        <w:tc>
          <w:tcPr>
            <w:tcW w:w="2170" w:type="dxa"/>
            <w:vAlign w:val="center"/>
          </w:tcPr>
          <w:p w14:paraId="22A06DA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≤</w:t>
            </w:r>
            <w:r>
              <w:rPr>
                <w:rFonts w:hint="eastAsia"/>
                <w:color w:val="auto"/>
                <w:szCs w:val="21"/>
              </w:rPr>
              <w:t xml:space="preserve"> 5</w:t>
            </w:r>
            <w:r>
              <w:rPr>
                <w:color w:val="auto"/>
                <w:szCs w:val="21"/>
              </w:rPr>
              <w:t>000</w:t>
            </w:r>
          </w:p>
        </w:tc>
        <w:tc>
          <w:tcPr>
            <w:tcW w:w="1713" w:type="dxa"/>
            <w:vAlign w:val="center"/>
          </w:tcPr>
          <w:p w14:paraId="7F9BADA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产品特性</w:t>
            </w:r>
          </w:p>
        </w:tc>
        <w:tc>
          <w:tcPr>
            <w:tcW w:w="3656" w:type="dxa"/>
            <w:vAlign w:val="center"/>
          </w:tcPr>
          <w:p w14:paraId="1261E7E4">
            <w:pPr>
              <w:pStyle w:val="7"/>
              <w:adjustRightInd w:val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/>
                <w:color w:val="auto"/>
              </w:rPr>
              <w:t>《中华人民共和国药典（</w:t>
            </w:r>
            <w:r>
              <w:rPr>
                <w:rFonts w:ascii="Times New Roman" w:hAnsi="Times New Roman"/>
                <w:color w:val="auto"/>
              </w:rPr>
              <w:t>2020</w:t>
            </w:r>
            <w:r>
              <w:rPr>
                <w:rFonts w:hint="eastAsia"/>
                <w:color w:val="auto"/>
              </w:rPr>
              <w:t xml:space="preserve">版）》第四部 通则 </w:t>
            </w:r>
            <w:r>
              <w:rPr>
                <w:rFonts w:ascii="Times New Roman" w:hAnsi="Times New Roman"/>
                <w:color w:val="auto"/>
              </w:rPr>
              <w:t>0861</w:t>
            </w:r>
            <w:r>
              <w:rPr>
                <w:rFonts w:hint="eastAsia"/>
                <w:color w:val="auto"/>
              </w:rPr>
              <w:t xml:space="preserve"> 残留溶剂测定法</w:t>
            </w:r>
          </w:p>
        </w:tc>
      </w:tr>
    </w:tbl>
    <w:p w14:paraId="00C9F803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五、确定各项技术内容</w:t>
      </w:r>
    </w:p>
    <w:p w14:paraId="5F3C2C6E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样品来源：湖南朗林生物资源股份有限公司、</w:t>
      </w:r>
      <w:r>
        <w:rPr>
          <w:rFonts w:hint="eastAsia"/>
          <w:color w:val="auto"/>
        </w:rPr>
        <w:t>陕西瑞禾生物工程有限责任公司、</w:t>
      </w:r>
      <w:r>
        <w:rPr>
          <w:rFonts w:hint="eastAsia"/>
          <w:color w:val="auto"/>
          <w:kern w:val="0"/>
          <w:szCs w:val="21"/>
        </w:rPr>
        <w:t>陕西嘉禾生物科技股份有限公司、</w:t>
      </w:r>
      <w:r>
        <w:rPr>
          <w:rFonts w:hint="eastAsia"/>
          <w:color w:val="auto"/>
          <w:szCs w:val="21"/>
        </w:rPr>
        <w:t>湖南康玖堂生物科技有限公司、西安萃源生物科技有限公司、长沙上禾生物科技有限公司。对照品常春藤苷C从</w:t>
      </w:r>
      <w:r>
        <w:rPr>
          <w:color w:val="auto"/>
          <w:szCs w:val="21"/>
        </w:rPr>
        <w:t>上海源叶生物科技有限公司</w:t>
      </w:r>
      <w:r>
        <w:rPr>
          <w:rFonts w:hint="eastAsia"/>
          <w:color w:val="auto"/>
          <w:szCs w:val="21"/>
        </w:rPr>
        <w:t>购买，对照品α-常春藤苷从</w:t>
      </w:r>
      <w:r>
        <w:rPr>
          <w:color w:val="auto"/>
          <w:szCs w:val="21"/>
        </w:rPr>
        <w:t>成都曼思特生物科技有限公司</w:t>
      </w:r>
      <w:r>
        <w:rPr>
          <w:rFonts w:hint="eastAsia"/>
          <w:color w:val="auto"/>
          <w:szCs w:val="21"/>
        </w:rPr>
        <w:t>购买。</w:t>
      </w:r>
    </w:p>
    <w:p w14:paraId="228171A6">
      <w:pPr>
        <w:pStyle w:val="45"/>
        <w:ind w:firstLine="0" w:firstLineChars="0"/>
        <w:jc w:val="center"/>
        <w:rPr>
          <w:rFonts w:hint="eastAsia" w:hAnsi="宋体" w:cs="宋体"/>
          <w:b/>
          <w:bCs/>
          <w:color w:val="auto"/>
          <w:spacing w:val="12"/>
        </w:rPr>
      </w:pPr>
      <w:r>
        <w:rPr>
          <w:rFonts w:hint="eastAsia" w:hAnsi="宋体" w:cs="宋体"/>
          <w:b/>
          <w:bCs/>
          <w:color w:val="auto"/>
          <w:spacing w:val="12"/>
        </w:rPr>
        <w:t>表</w:t>
      </w:r>
      <w:r>
        <w:rPr>
          <w:rFonts w:ascii="Times New Roman"/>
          <w:b/>
          <w:bCs/>
          <w:color w:val="auto"/>
          <w:spacing w:val="12"/>
        </w:rPr>
        <w:t>2</w:t>
      </w:r>
      <w:r>
        <w:rPr>
          <w:rFonts w:hint="eastAsia" w:hAnsi="宋体" w:cs="宋体"/>
          <w:b/>
          <w:bCs/>
          <w:color w:val="auto"/>
          <w:spacing w:val="12"/>
        </w:rPr>
        <w:t xml:space="preserve"> 洋常春藤提取物样品来源表</w:t>
      </w:r>
    </w:p>
    <w:tbl>
      <w:tblPr>
        <w:tblStyle w:val="15"/>
        <w:tblW w:w="91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3"/>
        <w:gridCol w:w="1110"/>
        <w:gridCol w:w="6297"/>
      </w:tblGrid>
      <w:tr w14:paraId="25930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5AF1ABA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样品提供单位</w:t>
            </w:r>
          </w:p>
        </w:tc>
        <w:tc>
          <w:tcPr>
            <w:tcW w:w="1110" w:type="dxa"/>
            <w:vAlign w:val="center"/>
          </w:tcPr>
          <w:p w14:paraId="0452B794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原料来源</w:t>
            </w:r>
          </w:p>
        </w:tc>
        <w:tc>
          <w:tcPr>
            <w:tcW w:w="6297" w:type="dxa"/>
            <w:vAlign w:val="center"/>
          </w:tcPr>
          <w:p w14:paraId="74596C0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批</w:t>
            </w:r>
            <w:r>
              <w:rPr>
                <w:color w:val="auto"/>
                <w:szCs w:val="21"/>
              </w:rPr>
              <w:t xml:space="preserve">  </w:t>
            </w:r>
            <w:r>
              <w:rPr>
                <w:rFonts w:hint="eastAsia"/>
                <w:color w:val="auto"/>
                <w:szCs w:val="21"/>
              </w:rPr>
              <w:t>号</w:t>
            </w:r>
          </w:p>
        </w:tc>
      </w:tr>
      <w:tr w14:paraId="538D5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1563069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湖南朗林生物资源股份有限公司</w:t>
            </w:r>
          </w:p>
        </w:tc>
        <w:tc>
          <w:tcPr>
            <w:tcW w:w="1110" w:type="dxa"/>
            <w:vAlign w:val="center"/>
          </w:tcPr>
          <w:p w14:paraId="12FF737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洋常春藤</w:t>
            </w:r>
          </w:p>
        </w:tc>
        <w:tc>
          <w:tcPr>
            <w:tcW w:w="6297" w:type="dxa"/>
            <w:vAlign w:val="center"/>
          </w:tcPr>
          <w:p w14:paraId="6CFD7C10">
            <w:pPr>
              <w:spacing w:line="240" w:lineRule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  <w:r>
              <w:rPr>
                <w:rFonts w:hint="eastAsia"/>
                <w:color w:val="auto"/>
                <w:szCs w:val="21"/>
              </w:rPr>
              <w:t>、</w:t>
            </w:r>
            <w:r>
              <w:rPr>
                <w:color w:val="auto"/>
                <w:szCs w:val="21"/>
              </w:rPr>
              <w:t>N2025021003</w:t>
            </w:r>
            <w:r>
              <w:rPr>
                <w:rFonts w:hint="eastAsia"/>
                <w:color w:val="auto"/>
                <w:szCs w:val="21"/>
              </w:rPr>
              <w:t>、N2025042501、N2025052007、N2025072101、N2025072301、</w:t>
            </w:r>
            <w:r>
              <w:rPr>
                <w:color w:val="auto"/>
                <w:szCs w:val="21"/>
              </w:rPr>
              <w:t>N2025101506</w:t>
            </w:r>
          </w:p>
        </w:tc>
      </w:tr>
      <w:tr w14:paraId="5F86C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7070A26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陕西嘉禾生物科技股份有限公司</w:t>
            </w:r>
          </w:p>
        </w:tc>
        <w:tc>
          <w:tcPr>
            <w:tcW w:w="1110" w:type="dxa"/>
            <w:vAlign w:val="center"/>
          </w:tcPr>
          <w:p w14:paraId="2C1369E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洋常春藤</w:t>
            </w:r>
          </w:p>
        </w:tc>
        <w:tc>
          <w:tcPr>
            <w:tcW w:w="6297" w:type="dxa"/>
            <w:vAlign w:val="center"/>
          </w:tcPr>
          <w:p w14:paraId="7FD312D7">
            <w:pPr>
              <w:widowControl/>
              <w:jc w:val="left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CCCT-C-A534172</w:t>
            </w:r>
            <w:r>
              <w:rPr>
                <w:rFonts w:hint="eastAsia"/>
                <w:color w:val="auto"/>
                <w:szCs w:val="21"/>
              </w:rPr>
              <w:t>、</w:t>
            </w:r>
            <w:r>
              <w:rPr>
                <w:color w:val="auto"/>
                <w:szCs w:val="21"/>
              </w:rPr>
              <w:t>CCCT-C-A507084</w:t>
            </w:r>
          </w:p>
        </w:tc>
      </w:tr>
      <w:tr w14:paraId="68761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5026BF0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</w:rPr>
              <w:t>陕西瑞禾生物工程有限责任公司</w:t>
            </w:r>
          </w:p>
        </w:tc>
        <w:tc>
          <w:tcPr>
            <w:tcW w:w="1110" w:type="dxa"/>
            <w:vAlign w:val="center"/>
          </w:tcPr>
          <w:p w14:paraId="797B5AB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洋常春藤</w:t>
            </w:r>
          </w:p>
        </w:tc>
        <w:tc>
          <w:tcPr>
            <w:tcW w:w="6297" w:type="dxa"/>
            <w:vAlign w:val="center"/>
          </w:tcPr>
          <w:p w14:paraId="0C530867">
            <w:pPr>
              <w:spacing w:line="240" w:lineRule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RW-HH2025902</w:t>
            </w:r>
            <w:r>
              <w:rPr>
                <w:rFonts w:hint="eastAsia"/>
                <w:color w:val="auto"/>
                <w:szCs w:val="21"/>
              </w:rPr>
              <w:t>、</w:t>
            </w:r>
            <w:r>
              <w:rPr>
                <w:color w:val="auto"/>
                <w:szCs w:val="21"/>
              </w:rPr>
              <w:t>RW-HH20251017</w:t>
            </w:r>
            <w:r>
              <w:rPr>
                <w:rFonts w:hint="eastAsia"/>
                <w:color w:val="auto"/>
                <w:szCs w:val="21"/>
              </w:rPr>
              <w:t>、</w:t>
            </w:r>
            <w:r>
              <w:rPr>
                <w:color w:val="auto"/>
                <w:szCs w:val="21"/>
              </w:rPr>
              <w:t>RW-HH20251101</w:t>
            </w:r>
          </w:p>
        </w:tc>
      </w:tr>
      <w:tr w14:paraId="02C10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148F793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湖南康玖堂生物科技有限公司</w:t>
            </w:r>
          </w:p>
        </w:tc>
        <w:tc>
          <w:tcPr>
            <w:tcW w:w="1110" w:type="dxa"/>
            <w:vAlign w:val="center"/>
          </w:tcPr>
          <w:p w14:paraId="5F2A65D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洋常春藤</w:t>
            </w:r>
          </w:p>
        </w:tc>
        <w:tc>
          <w:tcPr>
            <w:tcW w:w="6297" w:type="dxa"/>
            <w:vAlign w:val="center"/>
          </w:tcPr>
          <w:p w14:paraId="78918C52">
            <w:pPr>
              <w:widowControl/>
              <w:jc w:val="left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ILE-20250928001、ILE-20251021001、ILE-20251118001</w:t>
            </w:r>
          </w:p>
        </w:tc>
      </w:tr>
      <w:tr w14:paraId="3C1DE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621B303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西安萃源生物科技有限公司</w:t>
            </w:r>
          </w:p>
        </w:tc>
        <w:tc>
          <w:tcPr>
            <w:tcW w:w="1110" w:type="dxa"/>
            <w:vAlign w:val="center"/>
          </w:tcPr>
          <w:p w14:paraId="4816196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洋常春藤</w:t>
            </w:r>
          </w:p>
        </w:tc>
        <w:tc>
          <w:tcPr>
            <w:tcW w:w="6297" w:type="dxa"/>
            <w:vAlign w:val="center"/>
          </w:tcPr>
          <w:p w14:paraId="12D979AF">
            <w:pPr>
              <w:widowControl/>
              <w:jc w:val="left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20251121、20251220、20251221</w:t>
            </w:r>
          </w:p>
        </w:tc>
      </w:tr>
      <w:tr w14:paraId="56F03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63" w:type="dxa"/>
            <w:vAlign w:val="center"/>
          </w:tcPr>
          <w:p w14:paraId="05038386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长沙上禾生物科技有限公司</w:t>
            </w:r>
          </w:p>
        </w:tc>
        <w:tc>
          <w:tcPr>
            <w:tcW w:w="1110" w:type="dxa"/>
            <w:vAlign w:val="center"/>
          </w:tcPr>
          <w:p w14:paraId="72D94DC5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洋常春藤</w:t>
            </w:r>
          </w:p>
        </w:tc>
        <w:tc>
          <w:tcPr>
            <w:tcW w:w="6297" w:type="dxa"/>
            <w:vAlign w:val="center"/>
          </w:tcPr>
          <w:p w14:paraId="15897F95">
            <w:pPr>
              <w:widowControl/>
              <w:jc w:val="left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20251209001、20251210002、20260121001</w:t>
            </w:r>
          </w:p>
        </w:tc>
      </w:tr>
    </w:tbl>
    <w:p w14:paraId="47285515">
      <w:pPr>
        <w:rPr>
          <w:rFonts w:hint="eastAsia" w:ascii="宋体" w:hAnsi="宋体" w:cs="宋体"/>
          <w:b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1</w:t>
      </w:r>
      <w:r>
        <w:rPr>
          <w:rFonts w:hint="eastAsia" w:ascii="宋体" w:hAnsi="宋体" w:cs="宋体"/>
          <w:b/>
          <w:color w:val="auto"/>
          <w:szCs w:val="21"/>
        </w:rPr>
        <w:t xml:space="preserve"> 工艺要求</w:t>
      </w:r>
    </w:p>
    <w:p w14:paraId="7154DD78">
      <w:pPr>
        <w:ind w:firstLine="420"/>
        <w:jc w:val="left"/>
        <w:rPr>
          <w:rFonts w:eastAsia="黑体"/>
          <w:color w:val="auto"/>
          <w:szCs w:val="21"/>
        </w:rPr>
      </w:pPr>
      <w:r>
        <w:rPr>
          <w:rFonts w:hint="eastAsia"/>
          <w:color w:val="auto"/>
          <w:szCs w:val="21"/>
        </w:rPr>
        <w:t>本品的原料为五加科常春藤属植物洋常春藤</w:t>
      </w:r>
      <w:r>
        <w:rPr>
          <w:i/>
          <w:iCs/>
          <w:color w:val="auto"/>
        </w:rPr>
        <w:t xml:space="preserve">Hedera helix </w:t>
      </w:r>
      <w:r>
        <w:rPr>
          <w:color w:val="auto"/>
        </w:rPr>
        <w:t>L</w:t>
      </w:r>
      <w:r>
        <w:rPr>
          <w:i/>
          <w:iCs/>
          <w:color w:val="auto"/>
        </w:rPr>
        <w:t>.</w:t>
      </w:r>
      <w:r>
        <w:rPr>
          <w:color w:val="auto"/>
          <w:szCs w:val="21"/>
        </w:rPr>
        <w:t>的</w:t>
      </w:r>
      <w:r>
        <w:rPr>
          <w:rFonts w:hint="eastAsia"/>
          <w:color w:val="auto"/>
          <w:szCs w:val="21"/>
        </w:rPr>
        <w:t>叶</w:t>
      </w:r>
      <w:r>
        <w:rPr>
          <w:color w:val="auto"/>
          <w:szCs w:val="21"/>
        </w:rPr>
        <w:t>。</w:t>
      </w:r>
      <w:r>
        <w:rPr>
          <w:rFonts w:hint="eastAsia"/>
          <w:color w:val="auto"/>
          <w:szCs w:val="21"/>
        </w:rPr>
        <w:t>其制法为：经乙醇水或水提取、浓缩、干燥制成的提取物。</w:t>
      </w:r>
    </w:p>
    <w:p w14:paraId="5FC13270">
      <w:pPr>
        <w:rPr>
          <w:rFonts w:hint="eastAsia" w:ascii="宋体" w:hAnsi="宋体" w:cs="宋体"/>
          <w:b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2</w:t>
      </w:r>
      <w:r>
        <w:rPr>
          <w:rFonts w:hint="eastAsia" w:ascii="宋体" w:hAnsi="宋体" w:cs="宋体"/>
          <w:b/>
          <w:color w:val="auto"/>
          <w:szCs w:val="21"/>
        </w:rPr>
        <w:t xml:space="preserve"> 性状</w:t>
      </w:r>
    </w:p>
    <w:p w14:paraId="11B8D79E">
      <w:pPr>
        <w:ind w:firstLine="42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取本品嗅其气味、尝其滋味；另取试样适量置于白色瓷盘中观察其色泽、外观，并检查有无异物。</w:t>
      </w:r>
    </w:p>
    <w:p w14:paraId="7B349592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firstLine="181"/>
        <w:jc w:val="center"/>
        <w:rPr>
          <w:rFonts w:cs="Times New Roman"/>
          <w:color w:val="auto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  <w:szCs w:val="20"/>
        </w:rPr>
        <w:t>表</w:t>
      </w:r>
      <w:r>
        <w:rPr>
          <w:rFonts w:eastAsia="宋体" w:cs="Times New Roman"/>
          <w:b/>
          <w:bCs/>
          <w:color w:val="auto"/>
          <w:spacing w:val="12"/>
          <w:kern w:val="0"/>
          <w:szCs w:val="20"/>
        </w:rPr>
        <w:t>3</w:t>
      </w: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  <w:szCs w:val="20"/>
        </w:rPr>
        <w:t xml:space="preserve"> 洋常春藤提取物性状检验结果</w:t>
      </w: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（规格</w:t>
      </w:r>
      <w:r>
        <w:rPr>
          <w:rFonts w:hint="eastAsia" w:ascii="宋体" w:hAnsi="宋体" w:eastAsia="宋体" w:cs="宋体"/>
          <w:b/>
          <w:bCs/>
          <w:color w:val="auto"/>
        </w:rPr>
        <w:t>10% 常春藤苷C</w:t>
      </w: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）</w:t>
      </w:r>
    </w:p>
    <w:tbl>
      <w:tblPr>
        <w:tblStyle w:val="15"/>
        <w:tblW w:w="8931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4"/>
        <w:gridCol w:w="2398"/>
        <w:gridCol w:w="5249"/>
      </w:tblGrid>
      <w:tr w14:paraId="0FCB8A0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2B5B05B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2398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5DF61052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批  号</w:t>
            </w:r>
          </w:p>
        </w:tc>
        <w:tc>
          <w:tcPr>
            <w:tcW w:w="5249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43DCFC6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性         状</w:t>
            </w:r>
          </w:p>
        </w:tc>
      </w:tr>
      <w:tr w14:paraId="02FE511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single" w:color="auto" w:sz="6" w:space="0"/>
              <w:bottom w:val="nil"/>
            </w:tcBorders>
            <w:vAlign w:val="center"/>
          </w:tcPr>
          <w:p w14:paraId="0E7B187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single" w:color="auto" w:sz="6" w:space="0"/>
              <w:bottom w:val="nil"/>
            </w:tcBorders>
            <w:vAlign w:val="center"/>
          </w:tcPr>
          <w:p w14:paraId="23676D78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5249" w:type="dxa"/>
            <w:tcBorders>
              <w:top w:val="single" w:color="auto" w:sz="6" w:space="0"/>
              <w:bottom w:val="nil"/>
            </w:tcBorders>
            <w:vAlign w:val="center"/>
          </w:tcPr>
          <w:p w14:paraId="51DF6A50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723ACE3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717A7509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01E8E09F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5DFDF207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2DBBA54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5505CC0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5A70FD49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3BB1C411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棕色粉末，具有特殊气味，味苦，均匀，无可见异物</w:t>
            </w:r>
          </w:p>
        </w:tc>
      </w:tr>
      <w:tr w14:paraId="7632D94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12BF89BB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5913799D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5B2D5C18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棕色粉末，具有特殊气味，味苦，均匀，无可见异物</w:t>
            </w:r>
          </w:p>
        </w:tc>
      </w:tr>
      <w:tr w14:paraId="48CCA69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17C7AEAD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6284E9CE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200A5E34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棕色粉末，具有特殊气味，味苦，均匀，无可见异物</w:t>
            </w:r>
          </w:p>
        </w:tc>
      </w:tr>
      <w:tr w14:paraId="37246E7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6E20B7F0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783D6965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67014798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棕色粉末，具有特殊气味，味苦，均匀，无可见异物</w:t>
            </w:r>
          </w:p>
        </w:tc>
      </w:tr>
      <w:tr w14:paraId="12057BC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0BAE48FC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3832B427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0C361663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棕色粉末，具有特殊气味，味苦，均匀，无可见异物</w:t>
            </w:r>
          </w:p>
        </w:tc>
      </w:tr>
      <w:tr w14:paraId="44F5FB4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77695FE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2090CAA8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6DBB4940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棕黄色粉末，具有特殊气味，味苦，均匀，无可见异物</w:t>
            </w:r>
          </w:p>
        </w:tc>
      </w:tr>
      <w:tr w14:paraId="22DF84F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2BB4F91B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58C54A63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23C3A00B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棕黄色粉末，具有特殊气味，味苦，均匀，无可见异物</w:t>
            </w:r>
          </w:p>
        </w:tc>
      </w:tr>
      <w:tr w14:paraId="3C6CA0AE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73FBB4D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1A558B27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5EC81223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深棕色粉末，具有特殊气味，味苦，均匀，无可见异物</w:t>
            </w:r>
          </w:p>
        </w:tc>
      </w:tr>
      <w:tr w14:paraId="6D771E6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2E5D167E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4434AD19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33E1834E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深棕色粉末，具有特殊气味，味苦，均匀，无可见异物</w:t>
            </w:r>
          </w:p>
        </w:tc>
      </w:tr>
      <w:tr w14:paraId="5A16C8A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0DD631C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6D418453">
            <w:pPr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057E51DA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深棕色粉末，具有特殊气味，味苦，均匀，无可见异物</w:t>
            </w:r>
          </w:p>
        </w:tc>
      </w:tr>
      <w:tr w14:paraId="3B41235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371D5C5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7C6BE74A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52950DD9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268213A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4CF65EFB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22A6A5DE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6E35F197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08A8204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6739F4B7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356E1002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5A68FC69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413896D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4E8CED8A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0F8194FD">
            <w:pPr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793D56D1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0197AB8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042AC1CD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77599097">
            <w:pPr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420CD6C2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1C0FDC6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3182CAC0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01A903B1">
            <w:pPr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4BFF4BE8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浅棕绿色粉末，具有特殊气味，味苦，均匀，无可见异物</w:t>
            </w:r>
          </w:p>
        </w:tc>
      </w:tr>
      <w:tr w14:paraId="0CD34CC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77302200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0C954CF2">
            <w:pPr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56B5859A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棕绿色粉末，具有特殊气味，味苦，均匀，无可见异物</w:t>
            </w:r>
          </w:p>
        </w:tc>
      </w:tr>
      <w:tr w14:paraId="59DD2D3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nil"/>
            </w:tcBorders>
            <w:vAlign w:val="center"/>
          </w:tcPr>
          <w:p w14:paraId="392FC9CC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398" w:type="dxa"/>
            <w:tcBorders>
              <w:top w:val="nil"/>
              <w:bottom w:val="nil"/>
            </w:tcBorders>
            <w:vAlign w:val="center"/>
          </w:tcPr>
          <w:p w14:paraId="795D761E">
            <w:pPr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5249" w:type="dxa"/>
            <w:tcBorders>
              <w:top w:val="nil"/>
              <w:bottom w:val="nil"/>
            </w:tcBorders>
            <w:vAlign w:val="center"/>
          </w:tcPr>
          <w:p w14:paraId="11894307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棕绿色粉末，具有特殊气味，味苦，均匀，无可见异物</w:t>
            </w:r>
          </w:p>
        </w:tc>
      </w:tr>
      <w:tr w14:paraId="600A5E1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84" w:type="dxa"/>
            <w:tcBorders>
              <w:top w:val="nil"/>
              <w:bottom w:val="single" w:color="auto" w:sz="4" w:space="0"/>
            </w:tcBorders>
            <w:vAlign w:val="center"/>
          </w:tcPr>
          <w:p w14:paraId="22840FA5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398" w:type="dxa"/>
            <w:tcBorders>
              <w:top w:val="nil"/>
              <w:bottom w:val="single" w:color="auto" w:sz="4" w:space="0"/>
            </w:tcBorders>
            <w:vAlign w:val="center"/>
          </w:tcPr>
          <w:p w14:paraId="3F58F21A">
            <w:pPr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5249" w:type="dxa"/>
            <w:tcBorders>
              <w:top w:val="nil"/>
              <w:bottom w:val="single" w:color="auto" w:sz="4" w:space="0"/>
            </w:tcBorders>
            <w:vAlign w:val="center"/>
          </w:tcPr>
          <w:p w14:paraId="524C9C05">
            <w:pPr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棕绿色粉末，具有特殊气味，味苦，均匀，无可见异物</w:t>
            </w:r>
          </w:p>
        </w:tc>
      </w:tr>
    </w:tbl>
    <w:p w14:paraId="34EA7532">
      <w:pPr>
        <w:ind w:firstLine="42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观察结果为：21批洋常春藤提取物为棕色至棕绿色，具有特殊气味，味苦，均匀，无可见异物。</w:t>
      </w:r>
      <w:r>
        <w:rPr>
          <w:rFonts w:hint="eastAsia"/>
          <w:color w:val="auto"/>
          <w:szCs w:val="21"/>
        </w:rPr>
        <w:tab/>
      </w:r>
      <w:r>
        <w:rPr>
          <w:rFonts w:hint="eastAsia"/>
          <w:color w:val="auto"/>
          <w:szCs w:val="21"/>
        </w:rPr>
        <w:t>根据观察结果，本标准规定洋常春藤提取物的性状要求描述为：本品为棕色至棕绿色粉末；气特异，味苦，无可见异物。</w:t>
      </w:r>
    </w:p>
    <w:p w14:paraId="219EC440">
      <w:pPr>
        <w:rPr>
          <w:rFonts w:hint="eastAsia" w:ascii="宋体" w:hAnsi="宋体" w:cs="宋体"/>
          <w:b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 xml:space="preserve">3 </w:t>
      </w:r>
      <w:r>
        <w:rPr>
          <w:rFonts w:hint="eastAsia" w:ascii="宋体" w:hAnsi="宋体" w:cs="宋体"/>
          <w:b/>
          <w:color w:val="auto"/>
          <w:szCs w:val="21"/>
        </w:rPr>
        <w:t>鉴别</w:t>
      </w:r>
    </w:p>
    <w:p w14:paraId="62DB90DB">
      <w:pPr>
        <w:pStyle w:val="7"/>
        <w:spacing w:line="360" w:lineRule="auto"/>
        <w:rPr>
          <w:rFonts w:ascii="Times New Roman" w:hAnsi="Times New Roman"/>
          <w:b/>
          <w:color w:val="auto"/>
        </w:rPr>
      </w:pPr>
      <w:r>
        <w:rPr>
          <w:rFonts w:ascii="Times New Roman" w:hAnsi="Times New Roman" w:eastAsia="黑体"/>
          <w:b/>
          <w:color w:val="auto"/>
        </w:rPr>
        <w:t>3.1</w:t>
      </w:r>
      <w:r>
        <w:rPr>
          <w:rFonts w:hint="eastAsia" w:ascii="Times New Roman" w:hAnsi="Times New Roman" w:eastAsia="黑体"/>
          <w:b/>
          <w:color w:val="auto"/>
        </w:rPr>
        <w:t xml:space="preserve"> </w:t>
      </w:r>
      <w:r>
        <w:rPr>
          <w:rFonts w:hint="eastAsia" w:ascii="Times New Roman" w:hAnsi="Times New Roman"/>
          <w:b/>
          <w:color w:val="auto"/>
        </w:rPr>
        <w:t>薄层色谱法 （</w:t>
      </w:r>
      <w:r>
        <w:rPr>
          <w:rFonts w:hint="eastAsia" w:ascii="Times New Roman" w:hAnsi="Times New Roman"/>
          <w:color w:val="auto"/>
        </w:rPr>
        <w:t>EP 11.0</w:t>
      </w:r>
      <w:r>
        <w:rPr>
          <w:rFonts w:hint="eastAsia"/>
          <w:color w:val="auto"/>
        </w:rPr>
        <w:t xml:space="preserve">  &lt;</w:t>
      </w:r>
      <w:r>
        <w:rPr>
          <w:rFonts w:hint="eastAsia" w:ascii="Times New Roman" w:hAnsi="Times New Roman"/>
          <w:color w:val="auto"/>
        </w:rPr>
        <w:t>2.2.7</w:t>
      </w:r>
      <w:r>
        <w:rPr>
          <w:rFonts w:hint="eastAsia"/>
          <w:color w:val="auto"/>
        </w:rPr>
        <w:t>&gt;</w:t>
      </w:r>
      <w:r>
        <w:rPr>
          <w:rFonts w:hint="eastAsia"/>
          <w:b/>
          <w:bCs/>
          <w:color w:val="auto"/>
        </w:rPr>
        <w:t>）</w:t>
      </w:r>
    </w:p>
    <w:p w14:paraId="1C5117F3">
      <w:pPr>
        <w:rPr>
          <w:b/>
          <w:color w:val="auto"/>
          <w:szCs w:val="21"/>
        </w:rPr>
      </w:pPr>
      <w:r>
        <w:rPr>
          <w:b/>
          <w:color w:val="auto"/>
          <w:szCs w:val="21"/>
        </w:rPr>
        <w:t>3.1.1</w:t>
      </w:r>
      <w:r>
        <w:rPr>
          <w:rFonts w:hint="eastAsia"/>
          <w:b/>
          <w:color w:val="auto"/>
          <w:szCs w:val="21"/>
        </w:rPr>
        <w:t>仪器试剂</w:t>
      </w:r>
    </w:p>
    <w:p w14:paraId="08E9D64E">
      <w:pPr>
        <w:numPr>
          <w:ilvl w:val="0"/>
          <w:numId w:val="3"/>
        </w:numPr>
        <w:tabs>
          <w:tab w:val="left" w:pos="364"/>
          <w:tab w:val="left" w:pos="900"/>
        </w:tabs>
        <w:jc w:val="left"/>
        <w:rPr>
          <w:b/>
          <w:color w:val="auto"/>
          <w:szCs w:val="21"/>
        </w:rPr>
      </w:pPr>
      <w:r>
        <w:rPr>
          <w:rFonts w:hint="eastAsia"/>
          <w:b/>
          <w:color w:val="auto"/>
          <w:szCs w:val="21"/>
        </w:rPr>
        <w:t>对照品溶液：</w:t>
      </w:r>
      <w:r>
        <w:rPr>
          <w:rFonts w:hint="eastAsia"/>
          <w:color w:val="auto"/>
        </w:rPr>
        <w:t>取常春藤苷C、α-常春藤苷对照品适量，加甲醇分别制成浓度1.0mg/mL、1.0mg/mL的溶液。</w:t>
      </w:r>
    </w:p>
    <w:p w14:paraId="60BDDE4C">
      <w:pPr>
        <w:numPr>
          <w:ilvl w:val="0"/>
          <w:numId w:val="3"/>
        </w:numPr>
        <w:tabs>
          <w:tab w:val="left" w:pos="364"/>
          <w:tab w:val="left" w:pos="900"/>
        </w:tabs>
        <w:ind w:left="211" w:hanging="211" w:hangingChars="100"/>
        <w:jc w:val="left"/>
        <w:rPr>
          <w:color w:val="auto"/>
          <w:szCs w:val="21"/>
        </w:rPr>
      </w:pPr>
      <w:r>
        <w:rPr>
          <w:rFonts w:hint="eastAsia"/>
          <w:b/>
          <w:color w:val="auto"/>
          <w:szCs w:val="21"/>
        </w:rPr>
        <w:t>供试品溶液：</w:t>
      </w:r>
      <w:r>
        <w:rPr>
          <w:rFonts w:hint="eastAsia" w:hAnsi="宋体"/>
          <w:color w:val="auto"/>
          <w:szCs w:val="21"/>
        </w:rPr>
        <w:t>取</w:t>
      </w:r>
      <w:r>
        <w:rPr>
          <w:rFonts w:hint="eastAsia"/>
          <w:color w:val="auto"/>
          <w:szCs w:val="21"/>
        </w:rPr>
        <w:t>本品约500mg，</w:t>
      </w:r>
      <w:r>
        <w:rPr>
          <w:rFonts w:hint="eastAsia" w:hAnsi="宋体"/>
          <w:color w:val="auto"/>
          <w:szCs w:val="21"/>
        </w:rPr>
        <w:t>置10mL量瓶中，</w:t>
      </w:r>
      <w:r>
        <w:rPr>
          <w:rFonts w:hint="eastAsia"/>
          <w:color w:val="auto"/>
        </w:rPr>
        <w:t>加甲醇5mL使溶解，超声（250W，40kHz）处理10min，放冷，加甲醇至刻度，摇匀，滤过，即得</w:t>
      </w:r>
      <w:r>
        <w:rPr>
          <w:rFonts w:hint="eastAsia" w:hAnsi="宋体"/>
          <w:color w:val="auto"/>
          <w:szCs w:val="21"/>
        </w:rPr>
        <w:t>。</w:t>
      </w:r>
    </w:p>
    <w:p w14:paraId="6F060191">
      <w:pPr>
        <w:numPr>
          <w:ilvl w:val="0"/>
          <w:numId w:val="3"/>
        </w:numPr>
        <w:rPr>
          <w:b/>
          <w:color w:val="auto"/>
          <w:szCs w:val="21"/>
        </w:rPr>
      </w:pPr>
      <w:r>
        <w:rPr>
          <w:rFonts w:hint="eastAsia"/>
          <w:b/>
          <w:color w:val="auto"/>
          <w:szCs w:val="21"/>
        </w:rPr>
        <w:t>色谱系统</w:t>
      </w:r>
    </w:p>
    <w:p w14:paraId="54771076">
      <w:pPr>
        <w:ind w:firstLine="420"/>
        <w:rPr>
          <w:b/>
          <w:color w:val="auto"/>
          <w:szCs w:val="21"/>
        </w:rPr>
      </w:pPr>
      <w:r>
        <w:rPr>
          <w:rFonts w:hint="eastAsia"/>
          <w:b/>
          <w:color w:val="auto"/>
          <w:szCs w:val="21"/>
        </w:rPr>
        <w:t>薄层板：</w:t>
      </w:r>
      <w:r>
        <w:rPr>
          <w:rFonts w:hint="eastAsia"/>
          <w:color w:val="auto"/>
          <w:szCs w:val="21"/>
        </w:rPr>
        <w:t>硅胶</w:t>
      </w:r>
      <w:r>
        <w:rPr>
          <w:color w:val="auto"/>
          <w:szCs w:val="21"/>
        </w:rPr>
        <w:t>G</w:t>
      </w:r>
      <w:r>
        <w:rPr>
          <w:rFonts w:hint="eastAsia"/>
          <w:color w:val="auto"/>
          <w:szCs w:val="21"/>
        </w:rPr>
        <w:t>薄层板。</w:t>
      </w:r>
    </w:p>
    <w:p w14:paraId="76BF5136">
      <w:pPr>
        <w:ind w:firstLine="420"/>
        <w:rPr>
          <w:color w:val="auto"/>
          <w:szCs w:val="21"/>
        </w:rPr>
      </w:pPr>
      <w:r>
        <w:rPr>
          <w:rFonts w:hint="eastAsia"/>
          <w:b/>
          <w:color w:val="auto"/>
          <w:szCs w:val="21"/>
        </w:rPr>
        <w:t>展开剂：</w:t>
      </w:r>
      <w:r>
        <w:rPr>
          <w:rFonts w:hint="eastAsia"/>
          <w:color w:val="auto"/>
        </w:rPr>
        <w:t>乙酸乙酯-乙醇-水（10:2:1，体积比）</w:t>
      </w:r>
      <w:r>
        <w:rPr>
          <w:rFonts w:hint="eastAsia"/>
          <w:color w:val="auto"/>
          <w:szCs w:val="21"/>
        </w:rPr>
        <w:t>。</w:t>
      </w:r>
    </w:p>
    <w:p w14:paraId="249B765C">
      <w:pPr>
        <w:ind w:firstLine="420"/>
        <w:rPr>
          <w:color w:val="auto"/>
          <w:szCs w:val="21"/>
        </w:rPr>
      </w:pPr>
      <w:r>
        <w:rPr>
          <w:rFonts w:hint="eastAsia"/>
          <w:b/>
          <w:color w:val="auto"/>
          <w:szCs w:val="21"/>
        </w:rPr>
        <w:t>显色剂：</w:t>
      </w:r>
      <w:r>
        <w:rPr>
          <w:rFonts w:hint="eastAsia"/>
          <w:color w:val="auto"/>
        </w:rPr>
        <w:t>10%硫酸乙醇溶液</w:t>
      </w:r>
      <w:r>
        <w:rPr>
          <w:rFonts w:hint="eastAsia"/>
          <w:color w:val="auto"/>
          <w:szCs w:val="21"/>
        </w:rPr>
        <w:t>。</w:t>
      </w:r>
    </w:p>
    <w:p w14:paraId="7B187711">
      <w:pPr>
        <w:rPr>
          <w:rFonts w:eastAsia="黑体"/>
          <w:b/>
          <w:color w:val="auto"/>
          <w:szCs w:val="21"/>
        </w:rPr>
      </w:pPr>
      <w:r>
        <w:rPr>
          <w:rFonts w:eastAsia="黑体"/>
          <w:b/>
          <w:color w:val="auto"/>
          <w:szCs w:val="21"/>
        </w:rPr>
        <w:t>3.1.2</w:t>
      </w:r>
      <w:r>
        <w:rPr>
          <w:rFonts w:hint="eastAsia" w:ascii="宋体" w:hAnsi="宋体" w:cs="宋体"/>
          <w:b/>
          <w:color w:val="auto"/>
          <w:szCs w:val="21"/>
        </w:rPr>
        <w:t>操作步骤</w:t>
      </w:r>
    </w:p>
    <w:p w14:paraId="749CCA99">
      <w:pPr>
        <w:tabs>
          <w:tab w:val="left" w:pos="364"/>
          <w:tab w:val="left" w:pos="900"/>
        </w:tabs>
        <w:ind w:firstLine="420" w:firstLineChars="200"/>
        <w:rPr>
          <w:color w:val="auto"/>
          <w:szCs w:val="21"/>
        </w:rPr>
      </w:pPr>
      <w:r>
        <w:rPr>
          <w:color w:val="auto"/>
          <w:szCs w:val="21"/>
        </w:rPr>
        <w:t>分</w:t>
      </w:r>
      <w:r>
        <w:rPr>
          <w:rFonts w:hint="eastAsia"/>
          <w:color w:val="auto"/>
        </w:rPr>
        <w:t>分别吸取对照品溶液5-10µL和供试品溶液5-10µL，分别点于同一硅胶G薄层板上，在展开剂中展开约12cm，取出，100-105℃烘干。喷显色剂，在110℃下加热10min使斑点或条带显色清晰，置日光下检视和365nm紫外光线检视。</w:t>
      </w:r>
    </w:p>
    <w:p w14:paraId="3E154080">
      <w:pPr>
        <w:tabs>
          <w:tab w:val="left" w:pos="364"/>
          <w:tab w:val="left" w:pos="900"/>
        </w:tabs>
        <w:rPr>
          <w:b/>
          <w:color w:val="auto"/>
          <w:szCs w:val="21"/>
        </w:rPr>
      </w:pPr>
      <w:r>
        <w:rPr>
          <w:b/>
          <w:color w:val="auto"/>
          <w:szCs w:val="21"/>
        </w:rPr>
        <w:t>3.1</w:t>
      </w:r>
      <w:r>
        <w:rPr>
          <w:rFonts w:hint="eastAsia"/>
          <w:b/>
          <w:color w:val="auto"/>
          <w:szCs w:val="21"/>
        </w:rPr>
        <w:t>.</w:t>
      </w:r>
      <w:r>
        <w:rPr>
          <w:b/>
          <w:color w:val="auto"/>
          <w:szCs w:val="21"/>
        </w:rPr>
        <w:t>3</w:t>
      </w:r>
      <w:r>
        <w:rPr>
          <w:rFonts w:hint="eastAsia"/>
          <w:b/>
          <w:color w:val="auto"/>
          <w:szCs w:val="21"/>
        </w:rPr>
        <w:t>测定</w:t>
      </w:r>
      <w:r>
        <w:rPr>
          <w:b/>
          <w:color w:val="auto"/>
          <w:szCs w:val="21"/>
        </w:rPr>
        <w:t xml:space="preserve">  </w:t>
      </w:r>
    </w:p>
    <w:p w14:paraId="50583E26">
      <w:pPr>
        <w:tabs>
          <w:tab w:val="left" w:pos="364"/>
          <w:tab w:val="left" w:pos="900"/>
        </w:tabs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</w:rPr>
        <w:t>供试品色谱中，在与常春藤苷C、α-常春藤苷对照品色谱相应的位置上，显相同的斑点</w:t>
      </w:r>
      <w:r>
        <w:rPr>
          <w:rFonts w:hint="eastAsia"/>
          <w:color w:val="auto"/>
          <w:szCs w:val="21"/>
        </w:rPr>
        <w:t>。见图</w:t>
      </w:r>
      <w:r>
        <w:rPr>
          <w:color w:val="auto"/>
          <w:szCs w:val="21"/>
        </w:rPr>
        <w:t>1</w:t>
      </w:r>
      <w:r>
        <w:rPr>
          <w:rFonts w:hint="eastAsia"/>
          <w:color w:val="auto"/>
          <w:szCs w:val="21"/>
        </w:rPr>
        <w:t>-3。</w:t>
      </w:r>
      <w:r>
        <w:rPr>
          <w:color w:val="auto"/>
          <w:szCs w:val="21"/>
        </w:rPr>
        <w:t xml:space="preserve">                                </w:t>
      </w:r>
    </w:p>
    <w:p w14:paraId="65976F5E">
      <w:pPr>
        <w:keepNext/>
        <w:tabs>
          <w:tab w:val="left" w:pos="0"/>
        </w:tabs>
        <w:jc w:val="center"/>
        <w:rPr>
          <w:color w:val="auto"/>
        </w:rPr>
      </w:pPr>
      <w:r>
        <w:rPr>
          <w:color w:val="auto"/>
        </w:rPr>
        <w:drawing>
          <wp:inline distT="0" distB="0" distL="0" distR="0">
            <wp:extent cx="2248535" cy="3340735"/>
            <wp:effectExtent l="0" t="0" r="0" b="0"/>
            <wp:docPr id="178424896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4248963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48842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color w:val="auto"/>
        </w:rPr>
        <w:t xml:space="preserve"> </w:t>
      </w:r>
      <w:r>
        <w:rPr>
          <w:color w:val="auto"/>
        </w:rPr>
        <w:drawing>
          <wp:inline distT="0" distB="0" distL="0" distR="0">
            <wp:extent cx="2372360" cy="3340735"/>
            <wp:effectExtent l="0" t="0" r="8890" b="0"/>
            <wp:docPr id="12263597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635973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72959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0E530E">
      <w:pPr>
        <w:tabs>
          <w:tab w:val="left" w:pos="0"/>
        </w:tabs>
        <w:jc w:val="center"/>
        <w:rPr>
          <w:b/>
          <w:bCs/>
          <w:color w:val="auto"/>
          <w:szCs w:val="21"/>
        </w:rPr>
      </w:pPr>
      <w:r>
        <w:rPr>
          <w:rFonts w:hint="eastAsia"/>
          <w:b/>
          <w:bCs/>
          <w:color w:val="auto"/>
          <w:szCs w:val="21"/>
        </w:rPr>
        <w:t>图1  TLC图谱</w:t>
      </w:r>
    </w:p>
    <w:p w14:paraId="6F04444C">
      <w:pPr>
        <w:rPr>
          <w:color w:val="auto"/>
          <w:szCs w:val="21"/>
        </w:rPr>
      </w:pPr>
      <w:r>
        <w:rPr>
          <w:rFonts w:hint="eastAsia"/>
          <w:color w:val="auto"/>
          <w:szCs w:val="21"/>
        </w:rPr>
        <w:t>1：α-常春藤皂苷标准品；2：常春藤苷C标准品；3：朗林生物样品（批号：N</w:t>
      </w:r>
      <w:r>
        <w:rPr>
          <w:color w:val="auto"/>
          <w:szCs w:val="21"/>
        </w:rPr>
        <w:t>2024121001</w:t>
      </w:r>
      <w:r>
        <w:rPr>
          <w:rFonts w:hint="eastAsia"/>
          <w:color w:val="auto"/>
          <w:szCs w:val="21"/>
        </w:rPr>
        <w:t>）；4：朗林生物样品（批号：</w:t>
      </w:r>
      <w:r>
        <w:rPr>
          <w:color w:val="auto"/>
          <w:szCs w:val="21"/>
        </w:rPr>
        <w:t>N2025021003</w:t>
      </w:r>
      <w:r>
        <w:rPr>
          <w:rFonts w:hint="eastAsia"/>
          <w:color w:val="auto"/>
          <w:szCs w:val="21"/>
        </w:rPr>
        <w:t>）；5：朗林生物样品（批号：N2025042501）；6：朗林生物样品（批号：N2025052007）</w:t>
      </w:r>
    </w:p>
    <w:p w14:paraId="750A45AD">
      <w:pPr>
        <w:jc w:val="center"/>
        <w:rPr>
          <w:b/>
          <w:bCs/>
          <w:color w:val="auto"/>
          <w:szCs w:val="21"/>
        </w:rPr>
      </w:pPr>
      <w:r>
        <w:rPr>
          <w:color w:val="auto"/>
        </w:rPr>
        <w:drawing>
          <wp:inline distT="0" distB="0" distL="0" distR="0">
            <wp:extent cx="2522855" cy="3340735"/>
            <wp:effectExtent l="0" t="0" r="0" b="0"/>
            <wp:docPr id="50219904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2199048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23439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color w:val="auto"/>
          <w:szCs w:val="21"/>
        </w:rPr>
        <w:t xml:space="preserve"> </w:t>
      </w:r>
      <w:r>
        <w:rPr>
          <w:color w:val="auto"/>
        </w:rPr>
        <w:drawing>
          <wp:inline distT="0" distB="0" distL="0" distR="0">
            <wp:extent cx="2421890" cy="3340735"/>
            <wp:effectExtent l="0" t="0" r="0" b="0"/>
            <wp:docPr id="121016934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169346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22388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0BAB1">
      <w:pPr>
        <w:jc w:val="center"/>
        <w:rPr>
          <w:b/>
          <w:bCs/>
          <w:color w:val="auto"/>
          <w:szCs w:val="21"/>
        </w:rPr>
      </w:pPr>
    </w:p>
    <w:p w14:paraId="60054645">
      <w:pPr>
        <w:jc w:val="center"/>
        <w:rPr>
          <w:color w:val="auto"/>
        </w:rPr>
      </w:pPr>
      <w:r>
        <w:rPr>
          <w:rFonts w:hint="eastAsia"/>
          <w:b/>
          <w:bCs/>
          <w:color w:val="auto"/>
          <w:szCs w:val="21"/>
        </w:rPr>
        <w:t>图2  TLC图谱</w:t>
      </w:r>
    </w:p>
    <w:p w14:paraId="10886DED">
      <w:pPr>
        <w:rPr>
          <w:color w:val="auto"/>
          <w:szCs w:val="21"/>
        </w:rPr>
      </w:pPr>
      <w:r>
        <w:rPr>
          <w:rFonts w:hint="eastAsia"/>
          <w:color w:val="auto"/>
          <w:szCs w:val="21"/>
        </w:rPr>
        <w:t>1：α-常春藤皂苷标准品；2：常春藤苷C标准品；3：朗林生物样品（批号：N2025072101）；4：朗林生物样品（批号：N2025072301）；5：朗林生物样品（批号：</w:t>
      </w:r>
      <w:r>
        <w:rPr>
          <w:color w:val="auto"/>
          <w:szCs w:val="21"/>
        </w:rPr>
        <w:t>N2025101506</w:t>
      </w:r>
      <w:r>
        <w:rPr>
          <w:rFonts w:hint="eastAsia"/>
          <w:color w:val="auto"/>
          <w:szCs w:val="21"/>
        </w:rPr>
        <w:t>）</w:t>
      </w:r>
    </w:p>
    <w:p w14:paraId="69AD1800">
      <w:pPr>
        <w:jc w:val="center"/>
        <w:rPr>
          <w:color w:val="auto"/>
        </w:rPr>
      </w:pPr>
      <w:r>
        <w:rPr>
          <w:color w:val="auto"/>
        </w:rPr>
        <w:drawing>
          <wp:inline distT="0" distB="0" distL="0" distR="0">
            <wp:extent cx="2197735" cy="3340735"/>
            <wp:effectExtent l="0" t="0" r="0" b="0"/>
            <wp:docPr id="96326016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260169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98199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color w:val="auto"/>
        </w:rPr>
        <w:t xml:space="preserve"> </w:t>
      </w:r>
      <w:r>
        <w:rPr>
          <w:color w:val="auto"/>
        </w:rPr>
        <w:drawing>
          <wp:inline distT="0" distB="0" distL="0" distR="0">
            <wp:extent cx="2289175" cy="3339465"/>
            <wp:effectExtent l="0" t="0" r="0" b="0"/>
            <wp:docPr id="18251527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15277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01359" cy="3356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E96A3">
      <w:pPr>
        <w:tabs>
          <w:tab w:val="left" w:pos="0"/>
        </w:tabs>
        <w:jc w:val="center"/>
        <w:rPr>
          <w:b/>
          <w:bCs/>
          <w:color w:val="auto"/>
        </w:rPr>
      </w:pPr>
      <w:r>
        <w:rPr>
          <w:rFonts w:hint="eastAsia"/>
          <w:b/>
          <w:bCs/>
          <w:color w:val="auto"/>
          <w:szCs w:val="21"/>
        </w:rPr>
        <w:t>图3  TLC图谱</w:t>
      </w:r>
    </w:p>
    <w:p w14:paraId="5065A277">
      <w:pPr>
        <w:rPr>
          <w:color w:val="auto"/>
          <w:szCs w:val="21"/>
        </w:rPr>
      </w:pPr>
      <w:r>
        <w:rPr>
          <w:rFonts w:hint="eastAsia"/>
          <w:color w:val="auto"/>
          <w:szCs w:val="21"/>
        </w:rPr>
        <w:t>1：α-常春藤皂苷标准品；2：常春藤苷C标准品；3：瑞禾生物样品（批号：</w:t>
      </w:r>
      <w:r>
        <w:rPr>
          <w:color w:val="auto"/>
          <w:szCs w:val="21"/>
        </w:rPr>
        <w:t>RW-HH20259</w:t>
      </w:r>
      <w:r>
        <w:rPr>
          <w:rFonts w:hint="eastAsia"/>
          <w:color w:val="auto"/>
          <w:szCs w:val="21"/>
        </w:rPr>
        <w:t>0</w:t>
      </w:r>
      <w:r>
        <w:rPr>
          <w:color w:val="auto"/>
          <w:szCs w:val="21"/>
        </w:rPr>
        <w:t>2</w:t>
      </w:r>
      <w:r>
        <w:rPr>
          <w:rFonts w:hint="eastAsia"/>
          <w:color w:val="auto"/>
          <w:szCs w:val="21"/>
        </w:rPr>
        <w:t>）；4：瑞禾生物样品（批号：</w:t>
      </w:r>
      <w:r>
        <w:rPr>
          <w:color w:val="auto"/>
          <w:szCs w:val="21"/>
        </w:rPr>
        <w:t>RW-HH20251017</w:t>
      </w:r>
      <w:r>
        <w:rPr>
          <w:rFonts w:hint="eastAsia"/>
          <w:color w:val="auto"/>
          <w:szCs w:val="21"/>
        </w:rPr>
        <w:t>）；5：瑞禾生物样品（批号：</w:t>
      </w:r>
      <w:r>
        <w:rPr>
          <w:color w:val="auto"/>
          <w:szCs w:val="21"/>
        </w:rPr>
        <w:t>RW-HH20251101</w:t>
      </w:r>
      <w:r>
        <w:rPr>
          <w:rFonts w:hint="eastAsia"/>
          <w:color w:val="auto"/>
          <w:szCs w:val="21"/>
        </w:rPr>
        <w:t>）；6：嘉禾生物样品（批号：</w:t>
      </w:r>
      <w:r>
        <w:rPr>
          <w:color w:val="auto"/>
          <w:szCs w:val="21"/>
        </w:rPr>
        <w:t>CCCT-C-A534172</w:t>
      </w:r>
      <w:r>
        <w:rPr>
          <w:rFonts w:hint="eastAsia"/>
          <w:color w:val="auto"/>
          <w:szCs w:val="21"/>
        </w:rPr>
        <w:t>）；7：嘉禾生物样品（批号：</w:t>
      </w:r>
      <w:r>
        <w:rPr>
          <w:color w:val="auto"/>
          <w:szCs w:val="21"/>
        </w:rPr>
        <w:t>CCCT-C-A507084</w:t>
      </w:r>
      <w:r>
        <w:rPr>
          <w:rFonts w:hint="eastAsia"/>
          <w:color w:val="auto"/>
          <w:szCs w:val="21"/>
        </w:rPr>
        <w:t>）</w:t>
      </w:r>
    </w:p>
    <w:p w14:paraId="17FA2919">
      <w:pPr>
        <w:jc w:val="center"/>
        <w:rPr>
          <w:color w:val="auto"/>
          <w:szCs w:val="21"/>
        </w:rPr>
      </w:pPr>
      <w:r>
        <w:rPr>
          <w:color w:val="auto"/>
        </w:rPr>
        <w:drawing>
          <wp:inline distT="0" distB="0" distL="0" distR="0">
            <wp:extent cx="2201545" cy="3340100"/>
            <wp:effectExtent l="0" t="0" r="8255" b="0"/>
            <wp:docPr id="142164358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1643588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11767" cy="3354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color w:val="auto"/>
          <w:szCs w:val="21"/>
        </w:rPr>
        <w:t xml:space="preserve"> </w:t>
      </w:r>
      <w:r>
        <w:rPr>
          <w:color w:val="auto"/>
        </w:rPr>
        <w:drawing>
          <wp:inline distT="0" distB="0" distL="0" distR="0">
            <wp:extent cx="2286635" cy="3340735"/>
            <wp:effectExtent l="0" t="0" r="0" b="0"/>
            <wp:docPr id="103207686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076867" name="图片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86690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2F813D">
      <w:pPr>
        <w:tabs>
          <w:tab w:val="left" w:pos="0"/>
        </w:tabs>
        <w:jc w:val="center"/>
        <w:rPr>
          <w:b/>
          <w:bCs/>
          <w:color w:val="auto"/>
        </w:rPr>
      </w:pPr>
      <w:r>
        <w:rPr>
          <w:rFonts w:hint="eastAsia"/>
          <w:b/>
          <w:bCs/>
          <w:color w:val="auto"/>
          <w:szCs w:val="21"/>
        </w:rPr>
        <w:t>图4  TLC图谱</w:t>
      </w:r>
    </w:p>
    <w:p w14:paraId="386CE4DA">
      <w:pPr>
        <w:rPr>
          <w:color w:val="auto"/>
          <w:szCs w:val="21"/>
        </w:rPr>
      </w:pPr>
      <w:r>
        <w:rPr>
          <w:rFonts w:hint="eastAsia"/>
          <w:color w:val="auto"/>
          <w:szCs w:val="21"/>
        </w:rPr>
        <w:t>1：α-常春藤皂苷标准品；2：常春藤苷C标准品；3：康玖堂生物样品（批号：ILE-20250928001）；4：康玖堂生物样品（批号：ILE-20251021001）；5：康玖堂生物样品（批号：ILE-20251118001）；6：萃源生物样品（批号：20251121）</w:t>
      </w:r>
    </w:p>
    <w:p w14:paraId="046C5BF4">
      <w:pPr>
        <w:jc w:val="center"/>
        <w:rPr>
          <w:color w:val="auto"/>
          <w:szCs w:val="21"/>
        </w:rPr>
      </w:pPr>
      <w:r>
        <w:rPr>
          <w:color w:val="auto"/>
        </w:rPr>
        <w:drawing>
          <wp:inline distT="0" distB="0" distL="0" distR="0">
            <wp:extent cx="2273300" cy="3340735"/>
            <wp:effectExtent l="0" t="0" r="0" b="0"/>
            <wp:docPr id="209844054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8440540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73697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color w:val="auto"/>
          <w:szCs w:val="21"/>
        </w:rPr>
        <w:t xml:space="preserve"> </w:t>
      </w:r>
      <w:r>
        <w:rPr>
          <w:color w:val="auto"/>
        </w:rPr>
        <w:drawing>
          <wp:inline distT="0" distB="0" distL="0" distR="0">
            <wp:extent cx="2360930" cy="3340735"/>
            <wp:effectExtent l="0" t="0" r="1270" b="0"/>
            <wp:docPr id="100484884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4848845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61480" cy="334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8753E6">
      <w:pPr>
        <w:tabs>
          <w:tab w:val="left" w:pos="0"/>
        </w:tabs>
        <w:jc w:val="center"/>
        <w:rPr>
          <w:b/>
          <w:bCs/>
          <w:color w:val="auto"/>
        </w:rPr>
      </w:pPr>
      <w:r>
        <w:rPr>
          <w:rFonts w:hint="eastAsia"/>
          <w:b/>
          <w:bCs/>
          <w:color w:val="auto"/>
          <w:szCs w:val="21"/>
        </w:rPr>
        <w:t>图5  TLC图谱</w:t>
      </w:r>
    </w:p>
    <w:p w14:paraId="31AA5088">
      <w:pPr>
        <w:rPr>
          <w:color w:val="auto"/>
          <w:szCs w:val="21"/>
        </w:rPr>
      </w:pPr>
      <w:r>
        <w:rPr>
          <w:rFonts w:hint="eastAsia"/>
          <w:color w:val="auto"/>
          <w:szCs w:val="21"/>
        </w:rPr>
        <w:t>1：常春藤苷C标准品；2：α-常春藤皂苷标准品；3：萃源生物样品（批号：20251220）；4：萃源生物样品（批号：20251221）；5：上禾生物样品（批号：20251209001）；6：上禾生物样品（批号：20251210002）；7：上禾生物样品（批号：20260121001）</w:t>
      </w:r>
    </w:p>
    <w:p w14:paraId="06559710">
      <w:pPr>
        <w:rPr>
          <w:rFonts w:eastAsia="黑体"/>
          <w:b/>
          <w:color w:val="auto"/>
          <w:szCs w:val="21"/>
        </w:rPr>
      </w:pPr>
      <w:r>
        <w:rPr>
          <w:rFonts w:hint="eastAsia" w:eastAsia="黑体"/>
          <w:b/>
          <w:bCs/>
          <w:color w:val="auto"/>
          <w:szCs w:val="21"/>
        </w:rPr>
        <w:t xml:space="preserve">4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含量指标</w:t>
      </w:r>
      <w:r>
        <w:rPr>
          <w:rFonts w:hint="eastAsia"/>
          <w:b/>
          <w:color w:val="auto"/>
        </w:rPr>
        <w:t>（</w:t>
      </w:r>
      <w:r>
        <w:rPr>
          <w:rFonts w:hint="eastAsia"/>
          <w:color w:val="auto"/>
        </w:rPr>
        <w:t>USP-NF 2025  通则&lt;621&gt;</w:t>
      </w:r>
      <w:r>
        <w:rPr>
          <w:color w:val="auto"/>
        </w:rPr>
        <w:t>--</w:t>
      </w:r>
      <w:r>
        <w:rPr>
          <w:rFonts w:hint="eastAsia"/>
          <w:color w:val="auto"/>
        </w:rPr>
        <w:t>高效液相色谱法</w:t>
      </w:r>
      <w:r>
        <w:rPr>
          <w:rFonts w:hint="eastAsia"/>
          <w:b/>
          <w:bCs/>
          <w:color w:val="auto"/>
        </w:rPr>
        <w:t>）</w:t>
      </w:r>
    </w:p>
    <w:p w14:paraId="1C910021">
      <w:pPr>
        <w:rPr>
          <w:rFonts w:eastAsia="黑体"/>
          <w:b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 xml:space="preserve">4.1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常春藤苷C含量</w:t>
      </w:r>
    </w:p>
    <w:p w14:paraId="01BEB820">
      <w:pPr>
        <w:ind w:left="843" w:hanging="843" w:hangingChars="400"/>
        <w:jc w:val="left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 xml:space="preserve">4.1.1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仪器和设备</w:t>
      </w:r>
    </w:p>
    <w:p w14:paraId="0CAA57B4">
      <w:pPr>
        <w:ind w:left="840" w:hanging="840" w:hangingChars="400"/>
        <w:jc w:val="left"/>
        <w:rPr>
          <w:color w:val="auto"/>
          <w:szCs w:val="21"/>
        </w:rPr>
      </w:pPr>
      <w:r>
        <w:rPr>
          <w:rFonts w:eastAsia="黑体"/>
          <w:color w:val="auto"/>
          <w:szCs w:val="21"/>
        </w:rPr>
        <w:t xml:space="preserve">    </w:t>
      </w:r>
      <w:r>
        <w:rPr>
          <w:rFonts w:hint="eastAsia"/>
          <w:color w:val="auto"/>
          <w:szCs w:val="21"/>
        </w:rPr>
        <w:t>高效液相色谱仪（附紫外检测器）</w:t>
      </w:r>
    </w:p>
    <w:p w14:paraId="7DF35115">
      <w:pPr>
        <w:ind w:left="840" w:leftChars="200" w:hanging="420" w:hangingChars="20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电子天平，感量为</w:t>
      </w:r>
      <w:r>
        <w:rPr>
          <w:color w:val="auto"/>
          <w:szCs w:val="21"/>
        </w:rPr>
        <w:t>0.01mg</w:t>
      </w:r>
    </w:p>
    <w:p w14:paraId="7A7A8867">
      <w:pPr>
        <w:ind w:left="843" w:hanging="843" w:hangingChars="400"/>
        <w:jc w:val="left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4.1.2</w:t>
      </w:r>
      <w:r>
        <w:rPr>
          <w:rFonts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试剂和材料</w:t>
      </w:r>
    </w:p>
    <w:p w14:paraId="49CFDD2A">
      <w:pPr>
        <w:ind w:left="840" w:leftChars="200" w:hanging="420" w:hangingChars="20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乙腈：色谱纯</w:t>
      </w:r>
    </w:p>
    <w:p w14:paraId="466476F0">
      <w:pPr>
        <w:pStyle w:val="56"/>
        <w:numPr>
          <w:ilvl w:val="0"/>
          <w:numId w:val="0"/>
        </w:numPr>
        <w:adjustRightInd w:val="0"/>
        <w:snapToGrid w:val="0"/>
        <w:spacing w:before="0" w:after="0" w:line="360" w:lineRule="auto"/>
        <w:ind w:firstLine="420" w:firstLineChars="200"/>
        <w:rPr>
          <w:rFonts w:hint="eastAsia" w:hAnsi="宋体" w:cs="宋体"/>
          <w:color w:val="auto"/>
          <w:sz w:val="21"/>
          <w:szCs w:val="21"/>
        </w:rPr>
      </w:pPr>
      <w:r>
        <w:rPr>
          <w:rFonts w:hint="eastAsia" w:hAnsi="宋体" w:cs="宋体"/>
          <w:color w:val="auto"/>
          <w:sz w:val="21"/>
          <w:szCs w:val="21"/>
        </w:rPr>
        <w:t>甲醇：分析纯</w:t>
      </w:r>
    </w:p>
    <w:p w14:paraId="3613429A">
      <w:pPr>
        <w:pStyle w:val="56"/>
        <w:numPr>
          <w:ilvl w:val="0"/>
          <w:numId w:val="0"/>
        </w:numPr>
        <w:adjustRightInd w:val="0"/>
        <w:snapToGrid w:val="0"/>
        <w:spacing w:before="0" w:after="0" w:line="360" w:lineRule="auto"/>
        <w:ind w:firstLine="420" w:firstLineChars="200"/>
        <w:rPr>
          <w:rFonts w:hint="eastAsia" w:hAnsi="宋体" w:cs="宋体"/>
          <w:color w:val="auto"/>
          <w:sz w:val="21"/>
          <w:szCs w:val="21"/>
        </w:rPr>
      </w:pPr>
      <w:r>
        <w:rPr>
          <w:rFonts w:hint="eastAsia"/>
          <w:color w:val="auto"/>
          <w:sz w:val="21"/>
          <w:szCs w:val="21"/>
        </w:rPr>
        <w:t>纯化水</w:t>
      </w:r>
    </w:p>
    <w:p w14:paraId="1BEEE204">
      <w:pPr>
        <w:ind w:left="3584" w:hanging="3584" w:hangingChars="1700"/>
        <w:jc w:val="left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4.1.3</w:t>
      </w:r>
      <w:r>
        <w:rPr>
          <w:rFonts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参考色谱条件与系统适用性</w:t>
      </w:r>
    </w:p>
    <w:p w14:paraId="366185A6">
      <w:pPr>
        <w:ind w:left="3570" w:hanging="3570" w:hangingChars="1700"/>
        <w:jc w:val="left"/>
        <w:rPr>
          <w:color w:val="auto"/>
          <w:szCs w:val="21"/>
        </w:rPr>
      </w:pPr>
      <w:r>
        <w:rPr>
          <w:rFonts w:eastAsia="黑体"/>
          <w:color w:val="auto"/>
          <w:szCs w:val="21"/>
        </w:rPr>
        <w:t xml:space="preserve">    </w:t>
      </w:r>
      <w:r>
        <w:rPr>
          <w:color w:val="auto"/>
          <w:szCs w:val="21"/>
        </w:rPr>
        <w:t>a</w:t>
      </w:r>
      <w:r>
        <w:rPr>
          <w:rFonts w:hint="eastAsia"/>
          <w:color w:val="auto"/>
          <w:szCs w:val="21"/>
        </w:rPr>
        <w:t>）色谱柱：十八烷基键合硅胶柱（</w:t>
      </w:r>
      <w:r>
        <w:rPr>
          <w:color w:val="auto"/>
          <w:szCs w:val="21"/>
        </w:rPr>
        <w:t>150mm</w:t>
      </w:r>
      <w:r>
        <w:rPr>
          <w:rFonts w:hint="eastAsia"/>
          <w:color w:val="auto"/>
          <w:szCs w:val="21"/>
        </w:rPr>
        <w:t>或</w:t>
      </w:r>
      <w:r>
        <w:rPr>
          <w:color w:val="auto"/>
          <w:szCs w:val="21"/>
        </w:rPr>
        <w:t>250mm×4.6mm</w:t>
      </w:r>
      <w:r>
        <w:rPr>
          <w:rFonts w:hint="eastAsia"/>
          <w:color w:val="auto"/>
          <w:szCs w:val="21"/>
        </w:rPr>
        <w:t>，</w:t>
      </w:r>
      <w:r>
        <w:rPr>
          <w:color w:val="auto"/>
          <w:szCs w:val="21"/>
        </w:rPr>
        <w:t>5μm</w:t>
      </w:r>
      <w:r>
        <w:rPr>
          <w:rFonts w:hint="eastAsia"/>
          <w:color w:val="auto"/>
          <w:szCs w:val="21"/>
        </w:rPr>
        <w:t>）。</w:t>
      </w:r>
      <w:r>
        <w:rPr>
          <w:color w:val="auto"/>
          <w:szCs w:val="21"/>
        </w:rPr>
        <w:t xml:space="preserve"> </w:t>
      </w:r>
    </w:p>
    <w:p w14:paraId="5651151C">
      <w:pPr>
        <w:ind w:firstLine="420" w:firstLineChars="200"/>
        <w:jc w:val="left"/>
        <w:rPr>
          <w:color w:val="auto"/>
          <w:szCs w:val="21"/>
        </w:rPr>
      </w:pPr>
      <w:r>
        <w:rPr>
          <w:color w:val="auto"/>
          <w:szCs w:val="21"/>
        </w:rPr>
        <w:t>b</w:t>
      </w:r>
      <w:r>
        <w:rPr>
          <w:rFonts w:hint="eastAsia"/>
          <w:color w:val="auto"/>
          <w:szCs w:val="21"/>
        </w:rPr>
        <w:t>）流动相：</w:t>
      </w:r>
      <w:r>
        <w:rPr>
          <w:rFonts w:hint="eastAsia"/>
          <w:color w:val="auto"/>
          <w:kern w:val="0"/>
          <w:szCs w:val="21"/>
        </w:rPr>
        <w:t>乙腈</w:t>
      </w:r>
      <w:r>
        <w:rPr>
          <w:rFonts w:hint="eastAsia" w:ascii="宋体" w:hAnsi="宋体"/>
          <w:color w:val="auto"/>
          <w:kern w:val="0"/>
          <w:szCs w:val="21"/>
        </w:rPr>
        <w:t>﹕</w:t>
      </w:r>
      <w:r>
        <w:rPr>
          <w:rFonts w:hint="eastAsia"/>
          <w:color w:val="auto"/>
          <w:kern w:val="0"/>
          <w:szCs w:val="21"/>
        </w:rPr>
        <w:t>水=28</w:t>
      </w:r>
      <w:r>
        <w:rPr>
          <w:rFonts w:hint="eastAsia" w:ascii="宋体" w:hAnsi="宋体"/>
          <w:color w:val="auto"/>
          <w:kern w:val="0"/>
          <w:szCs w:val="21"/>
        </w:rPr>
        <w:t>﹕</w:t>
      </w:r>
      <w:r>
        <w:rPr>
          <w:rFonts w:hint="eastAsia"/>
          <w:color w:val="auto"/>
          <w:kern w:val="0"/>
          <w:szCs w:val="21"/>
        </w:rPr>
        <w:t>72（V/V）</w:t>
      </w:r>
      <w:r>
        <w:rPr>
          <w:rFonts w:hint="eastAsia"/>
          <w:color w:val="auto"/>
          <w:szCs w:val="21"/>
        </w:rPr>
        <w:t>。</w:t>
      </w:r>
    </w:p>
    <w:p w14:paraId="223EA8EC">
      <w:pPr>
        <w:ind w:firstLine="420"/>
        <w:jc w:val="left"/>
        <w:rPr>
          <w:color w:val="auto"/>
          <w:szCs w:val="21"/>
        </w:rPr>
      </w:pPr>
      <w:r>
        <w:rPr>
          <w:color w:val="auto"/>
          <w:szCs w:val="21"/>
        </w:rPr>
        <w:t>c</w:t>
      </w:r>
      <w:r>
        <w:rPr>
          <w:rFonts w:hint="eastAsia"/>
          <w:color w:val="auto"/>
          <w:szCs w:val="21"/>
        </w:rPr>
        <w:t>）检测波长：195</w:t>
      </w:r>
      <w:r>
        <w:rPr>
          <w:color w:val="auto"/>
          <w:szCs w:val="21"/>
        </w:rPr>
        <w:t>nm</w:t>
      </w:r>
      <w:r>
        <w:rPr>
          <w:rFonts w:hint="eastAsia"/>
          <w:color w:val="auto"/>
          <w:szCs w:val="21"/>
        </w:rPr>
        <w:t>。</w:t>
      </w:r>
    </w:p>
    <w:p w14:paraId="58E33096">
      <w:pPr>
        <w:ind w:firstLine="420" w:firstLineChars="200"/>
        <w:jc w:val="left"/>
        <w:rPr>
          <w:color w:val="auto"/>
          <w:szCs w:val="21"/>
        </w:rPr>
      </w:pPr>
      <w:r>
        <w:rPr>
          <w:color w:val="auto"/>
          <w:szCs w:val="21"/>
        </w:rPr>
        <w:t>d</w:t>
      </w:r>
      <w:r>
        <w:rPr>
          <w:rFonts w:hint="eastAsia"/>
          <w:color w:val="auto"/>
          <w:szCs w:val="21"/>
        </w:rPr>
        <w:t>）柱温：室温。</w:t>
      </w:r>
    </w:p>
    <w:p w14:paraId="1ECBD5F1">
      <w:pPr>
        <w:ind w:firstLine="420" w:firstLineChars="200"/>
        <w:jc w:val="left"/>
        <w:rPr>
          <w:color w:val="auto"/>
          <w:szCs w:val="21"/>
        </w:rPr>
      </w:pPr>
      <w:r>
        <w:rPr>
          <w:color w:val="auto"/>
          <w:szCs w:val="21"/>
        </w:rPr>
        <w:t>e</w:t>
      </w:r>
      <w:r>
        <w:rPr>
          <w:rFonts w:hint="eastAsia"/>
          <w:color w:val="auto"/>
          <w:szCs w:val="21"/>
        </w:rPr>
        <w:t>）流速：</w:t>
      </w:r>
      <w:r>
        <w:rPr>
          <w:color w:val="auto"/>
          <w:szCs w:val="21"/>
        </w:rPr>
        <w:t>1.</w:t>
      </w:r>
      <w:r>
        <w:rPr>
          <w:rFonts w:hint="eastAsia"/>
          <w:color w:val="auto"/>
          <w:szCs w:val="21"/>
        </w:rPr>
        <w:t>0</w:t>
      </w:r>
      <w:r>
        <w:rPr>
          <w:color w:val="auto"/>
          <w:szCs w:val="21"/>
        </w:rPr>
        <w:t>mL/min</w:t>
      </w:r>
      <w:r>
        <w:rPr>
          <w:rFonts w:hint="eastAsia"/>
          <w:color w:val="auto"/>
          <w:szCs w:val="21"/>
        </w:rPr>
        <w:t>。</w:t>
      </w:r>
    </w:p>
    <w:p w14:paraId="0CDB442A">
      <w:pPr>
        <w:ind w:firstLine="420" w:firstLineChars="200"/>
        <w:jc w:val="left"/>
        <w:rPr>
          <w:color w:val="auto"/>
          <w:szCs w:val="21"/>
        </w:rPr>
      </w:pPr>
      <w:r>
        <w:rPr>
          <w:color w:val="auto"/>
          <w:szCs w:val="21"/>
        </w:rPr>
        <w:t>f</w:t>
      </w:r>
      <w:r>
        <w:rPr>
          <w:rFonts w:hint="eastAsia"/>
          <w:color w:val="auto"/>
          <w:szCs w:val="21"/>
        </w:rPr>
        <w:t>）</w:t>
      </w:r>
      <w:r>
        <w:rPr>
          <w:rFonts w:hint="eastAsia"/>
          <w:color w:val="auto"/>
          <w:kern w:val="0"/>
          <w:szCs w:val="21"/>
        </w:rPr>
        <w:t>理论板数按常春藤苷C峰计算应不低于6000</w:t>
      </w:r>
      <w:r>
        <w:rPr>
          <w:rFonts w:hint="eastAsia"/>
          <w:color w:val="auto"/>
          <w:szCs w:val="21"/>
        </w:rPr>
        <w:t>。</w:t>
      </w:r>
    </w:p>
    <w:p w14:paraId="52D2A8EB">
      <w:pPr>
        <w:ind w:left="3584" w:hanging="3584" w:hangingChars="1700"/>
        <w:jc w:val="left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4.1.4</w:t>
      </w:r>
      <w:r>
        <w:rPr>
          <w:rFonts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溶液制备</w:t>
      </w:r>
    </w:p>
    <w:p w14:paraId="76A718E8">
      <w:pPr>
        <w:ind w:left="2530" w:hanging="2530" w:hangingChars="1200"/>
        <w:jc w:val="left"/>
        <w:rPr>
          <w:rFonts w:eastAsia="黑体"/>
          <w:color w:val="auto"/>
          <w:szCs w:val="21"/>
        </w:rPr>
      </w:pPr>
      <w:r>
        <w:rPr>
          <w:b/>
          <w:bCs/>
          <w:color w:val="auto"/>
          <w:szCs w:val="21"/>
        </w:rPr>
        <w:t>a</w:t>
      </w:r>
      <w:r>
        <w:rPr>
          <w:rFonts w:hint="eastAsia"/>
          <w:b/>
          <w:bCs/>
          <w:color w:val="auto"/>
          <w:szCs w:val="21"/>
        </w:rPr>
        <w:t>）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对照品溶液制备</w:t>
      </w:r>
    </w:p>
    <w:p w14:paraId="03737ECF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精密取常春藤苷C对照品适量，加甲醇制成0.1mg/mL的溶液。</w:t>
      </w:r>
    </w:p>
    <w:p w14:paraId="00D48EDD">
      <w:pPr>
        <w:jc w:val="left"/>
        <w:rPr>
          <w:rFonts w:eastAsia="黑体"/>
          <w:color w:val="auto"/>
          <w:szCs w:val="21"/>
        </w:rPr>
      </w:pPr>
      <w:r>
        <w:rPr>
          <w:b/>
          <w:bCs/>
          <w:color w:val="auto"/>
          <w:szCs w:val="21"/>
        </w:rPr>
        <w:t>b</w:t>
      </w:r>
      <w:r>
        <w:rPr>
          <w:rFonts w:hint="eastAsia"/>
          <w:b/>
          <w:bCs/>
          <w:color w:val="auto"/>
          <w:szCs w:val="21"/>
        </w:rPr>
        <w:t>）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供试品溶液制备</w:t>
      </w:r>
    </w:p>
    <w:p w14:paraId="75796895">
      <w:pPr>
        <w:ind w:firstLine="420" w:firstLineChars="200"/>
        <w:jc w:val="left"/>
        <w:textAlignment w:val="auto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取本品适量（相当于含常春藤苷C 2-3mg），精密称定，置25mL量瓶中，加甲醇适量，超声</w:t>
      </w:r>
      <w:r>
        <w:rPr>
          <w:color w:val="auto"/>
          <w:szCs w:val="21"/>
        </w:rPr>
        <w:t>（250W，40KHz）</w:t>
      </w:r>
      <w:r>
        <w:rPr>
          <w:rFonts w:hint="eastAsia"/>
          <w:color w:val="auto"/>
          <w:szCs w:val="21"/>
        </w:rPr>
        <w:t>处理30分钟，取出，放冷，并用甲醇稀释至刻度，摇匀，滤过，取续滤液，即得。</w:t>
      </w:r>
    </w:p>
    <w:p w14:paraId="4DAE1417">
      <w:pPr>
        <w:jc w:val="left"/>
        <w:textAlignment w:val="auto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4.1.5</w:t>
      </w:r>
      <w:r>
        <w:rPr>
          <w:rFonts w:hint="eastAsia" w:eastAsia="黑体"/>
          <w:b/>
          <w:bCs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结果计算</w:t>
      </w:r>
    </w:p>
    <w:p w14:paraId="2A459464">
      <w:pPr>
        <w:rPr>
          <w:color w:val="auto"/>
          <w:szCs w:val="21"/>
        </w:rPr>
      </w:pPr>
      <w:r>
        <w:rPr>
          <w:color w:val="auto"/>
          <w:szCs w:val="21"/>
        </w:rPr>
        <w:t xml:space="preserve">    </w:t>
      </w:r>
      <w:r>
        <w:rPr>
          <w:rFonts w:hint="eastAsia"/>
          <w:color w:val="auto"/>
          <w:szCs w:val="21"/>
        </w:rPr>
        <w:t>根据所得对照品溶液和供试品溶液色谱图中常春藤苷C面积计算供试品中待测组分常春藤苷C含量以质量分数</w:t>
      </w:r>
      <w:r>
        <w:rPr>
          <w:color w:val="auto"/>
          <w:szCs w:val="21"/>
        </w:rPr>
        <w:t>w</w:t>
      </w:r>
      <w:r>
        <w:rPr>
          <w:rFonts w:hint="eastAsia"/>
          <w:color w:val="auto"/>
          <w:szCs w:val="21"/>
        </w:rPr>
        <w:t>计，数值以</w:t>
      </w:r>
      <w:r>
        <w:rPr>
          <w:color w:val="auto"/>
          <w:szCs w:val="21"/>
        </w:rPr>
        <w:t>%</w:t>
      </w:r>
      <w:r>
        <w:rPr>
          <w:rFonts w:hint="eastAsia"/>
          <w:color w:val="auto"/>
          <w:szCs w:val="21"/>
        </w:rPr>
        <w:t>表示，按公式（</w:t>
      </w:r>
      <w:r>
        <w:rPr>
          <w:color w:val="auto"/>
          <w:szCs w:val="21"/>
        </w:rPr>
        <w:t>E.1</w:t>
      </w:r>
      <w:r>
        <w:rPr>
          <w:rFonts w:hint="eastAsia"/>
          <w:color w:val="auto"/>
          <w:szCs w:val="21"/>
        </w:rPr>
        <w:t>）计算：</w:t>
      </w:r>
    </w:p>
    <w:p w14:paraId="4A5A9898">
      <w:pPr>
        <w:tabs>
          <w:tab w:val="left" w:pos="1189"/>
        </w:tabs>
        <w:ind w:firstLine="1995" w:firstLineChars="950"/>
        <w:rPr>
          <w:color w:val="auto"/>
          <w:szCs w:val="21"/>
        </w:rPr>
      </w:pPr>
      <w:r>
        <w:rPr>
          <w:color w:val="auto"/>
          <w:kern w:val="0"/>
          <w:position w:val="-30"/>
        </w:rPr>
        <w:object>
          <v:shape id="_x0000_i1025" o:spt="75" type="#_x0000_t75" style="height:33pt;width:150.6pt;" o:ole="t" filled="f" o:preferrelative="t" stroked="f" coordsize="21600,21600">
            <v:path/>
            <v:fill on="f" focussize="0,0"/>
            <v:stroke on="f" joinstyle="miter"/>
            <v:imagedata r:id="rId19" o:title=""/>
            <o:lock v:ext="edit" aspectratio="t"/>
            <w10:wrap type="none"/>
            <w10:anchorlock/>
          </v:shape>
          <o:OLEObject Type="Embed" ProgID="Equation.KSEE3" ShapeID="_x0000_i1025" DrawAspect="Content" ObjectID="_1468075725" r:id="rId18">
            <o:LockedField>false</o:LockedField>
          </o:OLEObject>
        </w:object>
      </w:r>
      <w:r>
        <w:rPr>
          <w:color w:val="auto"/>
          <w:kern w:val="0"/>
          <w:szCs w:val="21"/>
        </w:rPr>
        <w:t xml:space="preserve"> </w:t>
      </w:r>
      <w:r>
        <w:rPr>
          <w:color w:val="auto"/>
          <w:szCs w:val="21"/>
        </w:rPr>
        <w:t>……………………………</w:t>
      </w:r>
      <w:r>
        <w:rPr>
          <w:rFonts w:hint="eastAsia"/>
          <w:color w:val="auto"/>
          <w:szCs w:val="21"/>
        </w:rPr>
        <w:t>（</w:t>
      </w:r>
      <w:r>
        <w:rPr>
          <w:color w:val="auto"/>
          <w:szCs w:val="21"/>
        </w:rPr>
        <w:t>E.1</w:t>
      </w:r>
      <w:r>
        <w:rPr>
          <w:rFonts w:hint="eastAsia"/>
          <w:color w:val="auto"/>
          <w:szCs w:val="21"/>
        </w:rPr>
        <w:t>）</w:t>
      </w:r>
    </w:p>
    <w:p w14:paraId="109CD803">
      <w:pPr>
        <w:autoSpaceDE w:val="0"/>
        <w:autoSpaceDN w:val="0"/>
        <w:ind w:firstLine="420"/>
        <w:jc w:val="left"/>
        <w:rPr>
          <w:color w:val="auto"/>
          <w:kern w:val="0"/>
        </w:rPr>
      </w:pPr>
      <w:r>
        <w:rPr>
          <w:color w:val="auto"/>
          <w:kern w:val="0"/>
        </w:rPr>
        <w:t>式中：</w:t>
      </w:r>
    </w:p>
    <w:p w14:paraId="6C17A7EE">
      <w:pPr>
        <w:autoSpaceDE w:val="0"/>
        <w:autoSpaceDN w:val="0"/>
        <w:ind w:firstLine="420"/>
        <w:jc w:val="left"/>
        <w:rPr>
          <w:color w:val="auto"/>
          <w:kern w:val="0"/>
        </w:rPr>
      </w:pPr>
      <w:r>
        <w:rPr>
          <w:i/>
          <w:iCs/>
          <w:color w:val="auto"/>
          <w:kern w:val="0"/>
        </w:rPr>
        <w:t>w</w:t>
      </w:r>
      <w:r>
        <w:rPr>
          <w:color w:val="auto"/>
          <w:kern w:val="0"/>
        </w:rPr>
        <w:t>——供试品中</w:t>
      </w:r>
      <w:r>
        <w:rPr>
          <w:rFonts w:hint="eastAsia"/>
          <w:color w:val="auto"/>
          <w:kern w:val="0"/>
        </w:rPr>
        <w:t>常春藤苷C</w:t>
      </w:r>
      <w:r>
        <w:rPr>
          <w:color w:val="auto"/>
          <w:kern w:val="0"/>
        </w:rPr>
        <w:t>的质量分数，%；</w:t>
      </w:r>
    </w:p>
    <w:p w14:paraId="6292422E">
      <w:pPr>
        <w:autoSpaceDE w:val="0"/>
        <w:autoSpaceDN w:val="0"/>
        <w:ind w:firstLine="420" w:firstLineChars="200"/>
        <w:jc w:val="left"/>
        <w:rPr>
          <w:color w:val="auto"/>
          <w:kern w:val="0"/>
        </w:rPr>
      </w:pPr>
      <w:r>
        <w:rPr>
          <w:i/>
          <w:iCs/>
          <w:color w:val="auto"/>
          <w:kern w:val="0"/>
        </w:rPr>
        <w:t>C</w:t>
      </w:r>
      <w:r>
        <w:rPr>
          <w:color w:val="auto"/>
          <w:kern w:val="0"/>
        </w:rPr>
        <w:t>——对照品溶液中</w:t>
      </w:r>
      <w:r>
        <w:rPr>
          <w:rFonts w:hint="eastAsia"/>
          <w:color w:val="auto"/>
          <w:kern w:val="0"/>
        </w:rPr>
        <w:t>常春藤苷C的</w:t>
      </w:r>
      <w:r>
        <w:rPr>
          <w:color w:val="auto"/>
          <w:kern w:val="0"/>
        </w:rPr>
        <w:t>浓度，单位为毫克每毫升（mg/mL）；</w:t>
      </w:r>
    </w:p>
    <w:p w14:paraId="2001CE22">
      <w:pPr>
        <w:autoSpaceDE w:val="0"/>
        <w:autoSpaceDN w:val="0"/>
        <w:ind w:firstLine="420" w:firstLineChars="200"/>
        <w:jc w:val="left"/>
        <w:rPr>
          <w:color w:val="auto"/>
          <w:kern w:val="0"/>
        </w:rPr>
      </w:pPr>
      <w:r>
        <w:rPr>
          <w:i/>
          <w:iCs/>
          <w:color w:val="auto"/>
          <w:kern w:val="0"/>
        </w:rPr>
        <w:t>A</w:t>
      </w:r>
      <w:r>
        <w:rPr>
          <w:color w:val="auto"/>
          <w:kern w:val="0"/>
          <w:vertAlign w:val="subscript"/>
        </w:rPr>
        <w:t>1</w:t>
      </w:r>
      <w:r>
        <w:rPr>
          <w:color w:val="auto"/>
          <w:kern w:val="0"/>
        </w:rPr>
        <w:t>——供试品溶液中</w:t>
      </w:r>
      <w:r>
        <w:rPr>
          <w:rFonts w:hint="eastAsia"/>
          <w:color w:val="auto"/>
          <w:kern w:val="0"/>
        </w:rPr>
        <w:t>常春藤苷C</w:t>
      </w:r>
      <w:r>
        <w:rPr>
          <w:color w:val="auto"/>
          <w:kern w:val="0"/>
        </w:rPr>
        <w:t>的峰面积；</w:t>
      </w:r>
    </w:p>
    <w:p w14:paraId="004DA5A7">
      <w:pPr>
        <w:autoSpaceDE w:val="0"/>
        <w:autoSpaceDN w:val="0"/>
        <w:ind w:firstLine="420" w:firstLineChars="200"/>
        <w:jc w:val="left"/>
        <w:rPr>
          <w:color w:val="auto"/>
          <w:kern w:val="0"/>
        </w:rPr>
      </w:pPr>
      <w:r>
        <w:rPr>
          <w:i/>
          <w:iCs/>
          <w:color w:val="auto"/>
          <w:kern w:val="0"/>
        </w:rPr>
        <w:t>V</w:t>
      </w:r>
      <w:r>
        <w:rPr>
          <w:color w:val="auto"/>
          <w:kern w:val="0"/>
        </w:rPr>
        <w:t>——供试品溶液的稀释体积</w:t>
      </w:r>
      <w:r>
        <w:rPr>
          <w:rFonts w:hint="eastAsia"/>
          <w:color w:val="auto"/>
          <w:kern w:val="0"/>
        </w:rPr>
        <w:t>，</w:t>
      </w:r>
      <w:r>
        <w:rPr>
          <w:color w:val="auto"/>
          <w:kern w:val="0"/>
        </w:rPr>
        <w:t>单位为毫升（mL）；</w:t>
      </w:r>
    </w:p>
    <w:p w14:paraId="3DD8AD18">
      <w:pPr>
        <w:autoSpaceDE w:val="0"/>
        <w:autoSpaceDN w:val="0"/>
        <w:ind w:firstLine="420" w:firstLineChars="200"/>
        <w:jc w:val="left"/>
        <w:rPr>
          <w:color w:val="auto"/>
          <w:kern w:val="0"/>
        </w:rPr>
      </w:pPr>
      <w:r>
        <w:rPr>
          <w:i/>
          <w:iCs/>
          <w:color w:val="auto"/>
          <w:kern w:val="0"/>
        </w:rPr>
        <w:t>A</w:t>
      </w:r>
      <w:r>
        <w:rPr>
          <w:color w:val="auto"/>
          <w:kern w:val="0"/>
          <w:vertAlign w:val="subscript"/>
        </w:rPr>
        <w:t>0</w:t>
      </w:r>
      <w:r>
        <w:rPr>
          <w:color w:val="auto"/>
          <w:kern w:val="0"/>
        </w:rPr>
        <w:t>——对照品溶液中</w:t>
      </w:r>
      <w:r>
        <w:rPr>
          <w:rFonts w:hint="eastAsia"/>
          <w:color w:val="auto"/>
          <w:kern w:val="0"/>
        </w:rPr>
        <w:t>常春藤苷C</w:t>
      </w:r>
      <w:r>
        <w:rPr>
          <w:color w:val="auto"/>
          <w:kern w:val="0"/>
        </w:rPr>
        <w:t>的峰面积；</w:t>
      </w:r>
    </w:p>
    <w:p w14:paraId="3C7538C1">
      <w:pPr>
        <w:ind w:firstLine="420" w:firstLineChars="200"/>
        <w:rPr>
          <w:color w:val="auto"/>
          <w:kern w:val="0"/>
        </w:rPr>
      </w:pPr>
      <w:r>
        <w:rPr>
          <w:i/>
          <w:iCs/>
          <w:color w:val="auto"/>
          <w:kern w:val="0"/>
        </w:rPr>
        <w:t>m</w:t>
      </w:r>
      <w:r>
        <w:rPr>
          <w:color w:val="auto"/>
          <w:kern w:val="0"/>
        </w:rPr>
        <w:t>——供试品的称样量，单位为毫克（mg）；</w:t>
      </w:r>
    </w:p>
    <w:p w14:paraId="780F0D77">
      <w:pPr>
        <w:ind w:firstLine="420" w:firstLineChars="200"/>
        <w:rPr>
          <w:color w:val="auto"/>
          <w:kern w:val="0"/>
        </w:rPr>
      </w:pPr>
      <w:r>
        <w:rPr>
          <w:i/>
          <w:iCs/>
          <w:color w:val="auto"/>
          <w:kern w:val="0"/>
        </w:rPr>
        <w:t>d</w:t>
      </w:r>
      <w:r>
        <w:rPr>
          <w:color w:val="auto"/>
          <w:kern w:val="0"/>
        </w:rPr>
        <w:t>——供试品的水分，%</w:t>
      </w:r>
      <w:r>
        <w:rPr>
          <w:rFonts w:hint="eastAsia"/>
          <w:color w:val="auto"/>
          <w:kern w:val="0"/>
        </w:rPr>
        <w:t>；</w:t>
      </w:r>
    </w:p>
    <w:p w14:paraId="748487C3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kern w:val="0"/>
        </w:rPr>
        <w:t>P</w:t>
      </w:r>
      <w:r>
        <w:rPr>
          <w:color w:val="auto"/>
          <w:kern w:val="0"/>
        </w:rPr>
        <w:t>——</w:t>
      </w:r>
      <w:r>
        <w:rPr>
          <w:rFonts w:hint="eastAsia"/>
          <w:color w:val="auto"/>
          <w:kern w:val="0"/>
        </w:rPr>
        <w:t>对照品的纯度</w:t>
      </w:r>
      <w:r>
        <w:rPr>
          <w:color w:val="auto"/>
          <w:kern w:val="0"/>
        </w:rPr>
        <w:t>。</w:t>
      </w:r>
    </w:p>
    <w:p w14:paraId="486C4493">
      <w:pPr>
        <w:autoSpaceDE w:val="0"/>
        <w:autoSpaceDN w:val="0"/>
        <w:jc w:val="left"/>
        <w:textAlignment w:val="auto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4.1.6</w:t>
      </w:r>
      <w:r>
        <w:rPr>
          <w:rFonts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系统适应性试验</w:t>
      </w:r>
    </w:p>
    <w:p w14:paraId="7C8F8D5F">
      <w:pPr>
        <w:autoSpaceDE w:val="0"/>
        <w:autoSpaceDN w:val="0"/>
        <w:jc w:val="left"/>
        <w:textAlignment w:val="auto"/>
        <w:rPr>
          <w:rFonts w:eastAsia="黑体"/>
          <w:color w:val="auto"/>
          <w:szCs w:val="21"/>
        </w:rPr>
      </w:pPr>
      <w:r>
        <w:rPr>
          <w:b/>
          <w:bCs/>
          <w:color w:val="auto"/>
          <w:szCs w:val="21"/>
        </w:rPr>
        <w:t>a</w:t>
      </w:r>
      <w:r>
        <w:rPr>
          <w:rFonts w:hint="eastAsia"/>
          <w:b/>
          <w:bCs/>
          <w:color w:val="auto"/>
          <w:szCs w:val="21"/>
        </w:rPr>
        <w:t xml:space="preserve">）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精密度试验</w:t>
      </w:r>
    </w:p>
    <w:p w14:paraId="2A2F6AC7">
      <w:pPr>
        <w:ind w:firstLine="420" w:firstLineChars="20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取对照品溶液，重复进样6次，分别计算峰面积及保留时间的RSD值，保留时间和峰面积的RSD值应不高于2.0%。拖尾因子以常春藤苷C计应不高于1.2。理论塔板数以常春藤苷C计应不低于6000。见表4。</w:t>
      </w:r>
    </w:p>
    <w:p w14:paraId="16269E84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6" w:beforeLines="50" w:line="288" w:lineRule="auto"/>
        <w:jc w:val="center"/>
        <w:rPr>
          <w:rFonts w:hint="eastAsia" w:asciiTheme="minorEastAsia" w:hAnsiTheme="minorEastAsia" w:eastAsiaTheme="minorEastAsia" w:cstheme="minorEastAsia"/>
          <w:b/>
          <w:color w:val="auto"/>
        </w:rPr>
      </w:pPr>
      <w:r>
        <w:rPr>
          <w:rFonts w:hint="eastAsia" w:asciiTheme="minorEastAsia" w:hAnsiTheme="minorEastAsia" w:eastAsiaTheme="minorEastAsia" w:cstheme="minorEastAsia"/>
          <w:b/>
          <w:color w:val="auto"/>
        </w:rPr>
        <w:t>表</w:t>
      </w:r>
      <w:r>
        <w:rPr>
          <w:rFonts w:hint="eastAsia" w:cs="Times New Roman" w:eastAsiaTheme="minorEastAsia"/>
          <w:b/>
          <w:color w:val="auto"/>
        </w:rPr>
        <w:t>4</w:t>
      </w:r>
      <w:r>
        <w:rPr>
          <w:rFonts w:hint="eastAsia" w:asciiTheme="minorEastAsia" w:hAnsiTheme="minorEastAsia" w:eastAsiaTheme="minorEastAsia" w:cstheme="minorEastAsia"/>
          <w:b/>
          <w:color w:val="auto"/>
        </w:rPr>
        <w:t xml:space="preserve">  常春藤苷C精密度试验结果</w:t>
      </w:r>
    </w:p>
    <w:tbl>
      <w:tblPr>
        <w:tblStyle w:val="1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7"/>
        <w:gridCol w:w="1134"/>
        <w:gridCol w:w="1134"/>
        <w:gridCol w:w="1134"/>
        <w:gridCol w:w="1134"/>
        <w:gridCol w:w="1134"/>
        <w:gridCol w:w="1134"/>
        <w:gridCol w:w="1359"/>
      </w:tblGrid>
      <w:tr w14:paraId="256B0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77" w:type="dxa"/>
            <w:tcBorders>
              <w:left w:val="nil"/>
              <w:right w:val="nil"/>
            </w:tcBorders>
            <w:vAlign w:val="center"/>
          </w:tcPr>
          <w:p w14:paraId="629BE420">
            <w:pPr>
              <w:spacing w:line="240" w:lineRule="auto"/>
              <w:jc w:val="center"/>
              <w:textAlignment w:val="auto"/>
              <w:rPr>
                <w:color w:val="auto"/>
                <w:szCs w:val="21"/>
                <w:lang w:val="zh-TW"/>
              </w:rPr>
            </w:pPr>
            <w:r>
              <w:rPr>
                <w:rFonts w:hint="eastAsia"/>
                <w:color w:val="auto"/>
                <w:szCs w:val="21"/>
                <w:lang w:val="zh-TW"/>
              </w:rPr>
              <w:t>进样次序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18B85F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309FA64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2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77BBDA0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3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7CA8E4C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4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765DD88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5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0949517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6</w:t>
            </w:r>
          </w:p>
        </w:tc>
        <w:tc>
          <w:tcPr>
            <w:tcW w:w="1359" w:type="dxa"/>
            <w:tcBorders>
              <w:left w:val="nil"/>
              <w:right w:val="nil"/>
            </w:tcBorders>
            <w:vAlign w:val="center"/>
          </w:tcPr>
          <w:p w14:paraId="5CC8387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RSD</w:t>
            </w:r>
          </w:p>
          <w:p w14:paraId="082C454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（%，n=6）</w:t>
            </w:r>
          </w:p>
        </w:tc>
      </w:tr>
      <w:tr w14:paraId="0AEE0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377" w:type="dxa"/>
            <w:tcBorders>
              <w:left w:val="nil"/>
              <w:bottom w:val="nil"/>
              <w:right w:val="nil"/>
            </w:tcBorders>
            <w:vAlign w:val="center"/>
          </w:tcPr>
          <w:p w14:paraId="166A19A8">
            <w:pPr>
              <w:spacing w:line="240" w:lineRule="auto"/>
              <w:jc w:val="center"/>
              <w:textAlignment w:val="auto"/>
              <w:rPr>
                <w:color w:val="auto"/>
                <w:szCs w:val="21"/>
                <w:lang w:val="zh-TW"/>
              </w:rPr>
            </w:pPr>
            <w:r>
              <w:rPr>
                <w:rFonts w:hint="eastAsia"/>
                <w:color w:val="auto"/>
                <w:szCs w:val="21"/>
              </w:rPr>
              <w:t>保留时间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7F66FC19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21.466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2CE2428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21.543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7F1EB07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21.609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5764E8B9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21.684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5540E83C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21.732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361A164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21.740</w:t>
            </w:r>
          </w:p>
        </w:tc>
        <w:tc>
          <w:tcPr>
            <w:tcW w:w="1359" w:type="dxa"/>
            <w:tcBorders>
              <w:left w:val="nil"/>
              <w:bottom w:val="nil"/>
              <w:right w:val="nil"/>
            </w:tcBorders>
            <w:vAlign w:val="center"/>
          </w:tcPr>
          <w:p w14:paraId="21D5320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0.51</w:t>
            </w:r>
          </w:p>
        </w:tc>
      </w:tr>
      <w:tr w14:paraId="38C65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D0870">
            <w:pPr>
              <w:spacing w:line="240" w:lineRule="auto"/>
              <w:jc w:val="center"/>
              <w:textAlignment w:val="auto"/>
              <w:rPr>
                <w:color w:val="auto"/>
                <w:szCs w:val="21"/>
                <w:lang w:val="zh-TW"/>
              </w:rPr>
            </w:pPr>
            <w:r>
              <w:rPr>
                <w:rFonts w:hint="eastAsia"/>
                <w:color w:val="auto"/>
                <w:szCs w:val="21"/>
              </w:rPr>
              <w:t>峰面积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B98EA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522.6</w:t>
            </w:r>
            <w:r>
              <w:rPr>
                <w:color w:val="auto"/>
                <w:kern w:val="0"/>
                <w:szCs w:val="21"/>
                <w:lang w:bidi="ar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A2479A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519.97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A1BBDB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520.46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B0A364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520.88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8FD3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525.12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96B7D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524.83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1787E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0.43</w:t>
            </w:r>
          </w:p>
        </w:tc>
      </w:tr>
      <w:tr w14:paraId="21CE9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812A36">
            <w:pPr>
              <w:spacing w:line="240" w:lineRule="auto"/>
              <w:jc w:val="center"/>
              <w:textAlignment w:val="auto"/>
              <w:rPr>
                <w:color w:val="auto"/>
                <w:szCs w:val="21"/>
                <w:lang w:val="zh-TW"/>
              </w:rPr>
            </w:pPr>
            <w:r>
              <w:rPr>
                <w:rFonts w:hint="eastAsia"/>
                <w:color w:val="auto"/>
                <w:szCs w:val="21"/>
              </w:rPr>
              <w:t>拖尾因子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3D25B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DDD8D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D4A2D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772FA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1.09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6BD99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8700B9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1.09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379A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2.98</w:t>
            </w:r>
          </w:p>
        </w:tc>
      </w:tr>
      <w:tr w14:paraId="27EA9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377" w:type="dxa"/>
            <w:tcBorders>
              <w:top w:val="nil"/>
              <w:left w:val="nil"/>
              <w:right w:val="nil"/>
            </w:tcBorders>
            <w:vAlign w:val="center"/>
          </w:tcPr>
          <w:p w14:paraId="0C98BB5E">
            <w:pPr>
              <w:spacing w:line="240" w:lineRule="auto"/>
              <w:jc w:val="center"/>
              <w:textAlignment w:val="auto"/>
              <w:rPr>
                <w:color w:val="auto"/>
                <w:szCs w:val="21"/>
                <w:lang w:val="zh-TW"/>
              </w:rPr>
            </w:pPr>
            <w:r>
              <w:rPr>
                <w:rFonts w:hint="eastAsia"/>
                <w:color w:val="auto"/>
                <w:szCs w:val="21"/>
              </w:rPr>
              <w:t>理论塔板数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5A58BE64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7306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198CF9D7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7468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50597C14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7552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13F9F657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7708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776C30BC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7643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0C9680E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7668</w:t>
            </w:r>
          </w:p>
        </w:tc>
        <w:tc>
          <w:tcPr>
            <w:tcW w:w="1359" w:type="dxa"/>
            <w:tcBorders>
              <w:top w:val="nil"/>
              <w:left w:val="nil"/>
              <w:right w:val="nil"/>
            </w:tcBorders>
            <w:vAlign w:val="center"/>
          </w:tcPr>
          <w:p w14:paraId="04DCDBD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val="zh-TW" w:bidi="ar"/>
              </w:rPr>
              <w:t>1.99</w:t>
            </w:r>
          </w:p>
        </w:tc>
      </w:tr>
    </w:tbl>
    <w:p w14:paraId="6D75695F">
      <w:pPr>
        <w:autoSpaceDE w:val="0"/>
        <w:autoSpaceDN w:val="0"/>
        <w:jc w:val="left"/>
        <w:textAlignment w:val="auto"/>
        <w:rPr>
          <w:b/>
          <w:color w:val="auto"/>
          <w:szCs w:val="21"/>
        </w:rPr>
      </w:pPr>
      <w:r>
        <w:rPr>
          <w:rFonts w:hint="eastAsia"/>
          <w:b/>
          <w:bCs/>
          <w:color w:val="auto"/>
          <w:szCs w:val="21"/>
        </w:rPr>
        <w:t>b）</w:t>
      </w:r>
      <w:r>
        <w:rPr>
          <w:rFonts w:hint="eastAsia" w:eastAsia="黑体"/>
          <w:b/>
          <w:bCs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重复性试验</w:t>
      </w:r>
    </w:p>
    <w:p w14:paraId="4C584B9C">
      <w:pPr>
        <w:ind w:firstLine="420" w:firstLineChars="200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>取洋常春藤提取物（批号</w:t>
      </w:r>
      <w:r>
        <w:rPr>
          <w:rFonts w:hint="eastAsia"/>
          <w:color w:val="auto"/>
          <w:szCs w:val="21"/>
        </w:rPr>
        <w:t>N</w:t>
      </w:r>
      <w:r>
        <w:rPr>
          <w:color w:val="auto"/>
          <w:szCs w:val="21"/>
        </w:rPr>
        <w:t>2024121001</w:t>
      </w:r>
      <w:r>
        <w:rPr>
          <w:rFonts w:hint="eastAsia"/>
          <w:color w:val="auto"/>
          <w:kern w:val="0"/>
          <w:szCs w:val="21"/>
        </w:rPr>
        <w:t>）同一天内制备的</w:t>
      </w:r>
      <w:r>
        <w:rPr>
          <w:color w:val="auto"/>
          <w:kern w:val="0"/>
          <w:szCs w:val="21"/>
        </w:rPr>
        <w:t>6</w:t>
      </w:r>
      <w:r>
        <w:rPr>
          <w:rFonts w:hint="eastAsia"/>
          <w:color w:val="auto"/>
          <w:kern w:val="0"/>
          <w:szCs w:val="21"/>
        </w:rPr>
        <w:t>份供试品溶液，按4.1.3项下色谱条件测定，常春藤苷C平均含量为10.67</w:t>
      </w:r>
      <w:r>
        <w:rPr>
          <w:color w:val="auto"/>
          <w:kern w:val="0"/>
          <w:szCs w:val="21"/>
        </w:rPr>
        <w:t>%</w:t>
      </w:r>
      <w:r>
        <w:rPr>
          <w:rFonts w:hint="eastAsia"/>
          <w:color w:val="auto"/>
          <w:kern w:val="0"/>
          <w:szCs w:val="21"/>
        </w:rPr>
        <w:t>，</w:t>
      </w:r>
      <w:r>
        <w:rPr>
          <w:color w:val="auto"/>
          <w:kern w:val="0"/>
          <w:szCs w:val="21"/>
        </w:rPr>
        <w:t>RSD</w:t>
      </w:r>
      <w:r>
        <w:rPr>
          <w:rFonts w:hint="eastAsia"/>
          <w:color w:val="auto"/>
          <w:kern w:val="0"/>
          <w:szCs w:val="21"/>
        </w:rPr>
        <w:t>为0.61</w:t>
      </w:r>
      <w:r>
        <w:rPr>
          <w:color w:val="auto"/>
          <w:kern w:val="0"/>
          <w:szCs w:val="21"/>
        </w:rPr>
        <w:t>%</w:t>
      </w:r>
      <w:r>
        <w:rPr>
          <w:rFonts w:hint="eastAsia"/>
          <w:color w:val="auto"/>
          <w:kern w:val="0"/>
          <w:szCs w:val="21"/>
        </w:rPr>
        <w:t>。分离度应大于</w:t>
      </w:r>
      <w:r>
        <w:rPr>
          <w:color w:val="auto"/>
          <w:kern w:val="0"/>
          <w:szCs w:val="21"/>
        </w:rPr>
        <w:t>1.5</w:t>
      </w:r>
      <w:r>
        <w:rPr>
          <w:rFonts w:hint="eastAsia"/>
          <w:color w:val="auto"/>
          <w:kern w:val="0"/>
          <w:szCs w:val="21"/>
        </w:rPr>
        <w:t>。见表5。</w:t>
      </w:r>
    </w:p>
    <w:p w14:paraId="6DEBC99D">
      <w:pPr>
        <w:spacing w:before="156" w:beforeLines="50"/>
        <w:jc w:val="center"/>
        <w:rPr>
          <w:rFonts w:hint="eastAsia" w:asciiTheme="minorEastAsia" w:hAnsiTheme="minorEastAsia" w:eastAsiaTheme="minorEastAsia" w:cstheme="minorEastAsia"/>
          <w:b/>
          <w:color w:val="auto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表5 常春藤苷C重复性试验结果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276"/>
        <w:gridCol w:w="1559"/>
        <w:gridCol w:w="1418"/>
        <w:gridCol w:w="1134"/>
        <w:gridCol w:w="1134"/>
      </w:tblGrid>
      <w:tr w14:paraId="781D392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17" w:type="dxa"/>
            <w:tcBorders>
              <w:right w:val="nil"/>
            </w:tcBorders>
            <w:vAlign w:val="center"/>
          </w:tcPr>
          <w:p w14:paraId="09A2811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编号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A3E854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称样量</w:t>
            </w:r>
          </w:p>
          <w:p w14:paraId="0B8ACFC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mg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559" w:type="dxa"/>
            <w:tcBorders>
              <w:left w:val="nil"/>
              <w:right w:val="nil"/>
            </w:tcBorders>
            <w:vAlign w:val="center"/>
          </w:tcPr>
          <w:p w14:paraId="6752C65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kern w:val="0"/>
              </w:rPr>
              <w:t>常春藤苷C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含量</w:t>
            </w:r>
          </w:p>
          <w:p w14:paraId="6D909DE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14:paraId="6007532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平均含量</w:t>
            </w:r>
          </w:p>
          <w:p w14:paraId="140DF91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77193C0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RSD</w:t>
            </w:r>
          </w:p>
          <w:p w14:paraId="1E2172A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(%)</w:t>
            </w:r>
          </w:p>
        </w:tc>
        <w:tc>
          <w:tcPr>
            <w:tcW w:w="1134" w:type="dxa"/>
            <w:tcBorders>
              <w:left w:val="nil"/>
            </w:tcBorders>
            <w:vAlign w:val="center"/>
          </w:tcPr>
          <w:p w14:paraId="04381F8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分离度</w:t>
            </w:r>
          </w:p>
        </w:tc>
      </w:tr>
      <w:tr w14:paraId="00D3616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tcBorders>
              <w:bottom w:val="nil"/>
              <w:right w:val="nil"/>
            </w:tcBorders>
            <w:vAlign w:val="center"/>
          </w:tcPr>
          <w:p w14:paraId="142599B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1</w:t>
            </w: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  <w:vAlign w:val="center"/>
          </w:tcPr>
          <w:p w14:paraId="01866BD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22.73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  <w:vAlign w:val="center"/>
          </w:tcPr>
          <w:p w14:paraId="1CE36AE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10.69</w:t>
            </w:r>
          </w:p>
        </w:tc>
        <w:tc>
          <w:tcPr>
            <w:tcW w:w="1418" w:type="dxa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5B88CCF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10.67</w:t>
            </w:r>
          </w:p>
        </w:tc>
        <w:tc>
          <w:tcPr>
            <w:tcW w:w="1134" w:type="dxa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2A2B71FD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0.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61</w:t>
            </w:r>
          </w:p>
        </w:tc>
        <w:tc>
          <w:tcPr>
            <w:tcW w:w="1134" w:type="dxa"/>
            <w:tcBorders>
              <w:left w:val="nil"/>
              <w:bottom w:val="nil"/>
            </w:tcBorders>
            <w:vAlign w:val="center"/>
          </w:tcPr>
          <w:p w14:paraId="5FC0C1B0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15.74</w:t>
            </w:r>
          </w:p>
        </w:tc>
      </w:tr>
      <w:tr w14:paraId="7E60574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tcBorders>
              <w:top w:val="nil"/>
              <w:bottom w:val="nil"/>
              <w:right w:val="nil"/>
            </w:tcBorders>
            <w:vAlign w:val="center"/>
          </w:tcPr>
          <w:p w14:paraId="484D0F9A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C569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23.08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72EDB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10.73</w:t>
            </w:r>
          </w:p>
        </w:tc>
        <w:tc>
          <w:tcPr>
            <w:tcW w:w="1418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177AC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CDD53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</w:tcBorders>
            <w:vAlign w:val="center"/>
          </w:tcPr>
          <w:p w14:paraId="5E79B6A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15.63</w:t>
            </w:r>
          </w:p>
        </w:tc>
      </w:tr>
      <w:tr w14:paraId="5990058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tcBorders>
              <w:top w:val="nil"/>
              <w:bottom w:val="nil"/>
              <w:right w:val="nil"/>
            </w:tcBorders>
            <w:vAlign w:val="center"/>
          </w:tcPr>
          <w:p w14:paraId="5100B38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51F2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21.92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83F4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10.68</w:t>
            </w:r>
          </w:p>
        </w:tc>
        <w:tc>
          <w:tcPr>
            <w:tcW w:w="1418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61790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C549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</w:tcBorders>
            <w:vAlign w:val="center"/>
          </w:tcPr>
          <w:p w14:paraId="13F5D8E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15.22</w:t>
            </w:r>
          </w:p>
        </w:tc>
      </w:tr>
      <w:tr w14:paraId="2DA3B84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tcBorders>
              <w:top w:val="nil"/>
              <w:bottom w:val="nil"/>
              <w:right w:val="nil"/>
            </w:tcBorders>
            <w:vAlign w:val="center"/>
          </w:tcPr>
          <w:p w14:paraId="053077B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6E5EE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20.95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ADA0C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10.69</w:t>
            </w:r>
          </w:p>
        </w:tc>
        <w:tc>
          <w:tcPr>
            <w:tcW w:w="1418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CBBEF3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939C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</w:tcBorders>
            <w:vAlign w:val="center"/>
          </w:tcPr>
          <w:p w14:paraId="7ADA8EC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15.58</w:t>
            </w:r>
          </w:p>
        </w:tc>
      </w:tr>
      <w:tr w14:paraId="537DA49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tcBorders>
              <w:top w:val="nil"/>
              <w:bottom w:val="nil"/>
              <w:right w:val="nil"/>
            </w:tcBorders>
            <w:vAlign w:val="center"/>
          </w:tcPr>
          <w:p w14:paraId="7CE0D20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E75C9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23.44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D90B3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10.54</w:t>
            </w:r>
          </w:p>
        </w:tc>
        <w:tc>
          <w:tcPr>
            <w:tcW w:w="1418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90137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46EDC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</w:tcBorders>
            <w:vAlign w:val="center"/>
          </w:tcPr>
          <w:p w14:paraId="341CE4A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15.27</w:t>
            </w:r>
          </w:p>
        </w:tc>
      </w:tr>
      <w:tr w14:paraId="3215176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tcBorders>
              <w:top w:val="nil"/>
              <w:right w:val="nil"/>
            </w:tcBorders>
            <w:vAlign w:val="center"/>
          </w:tcPr>
          <w:p w14:paraId="161F928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center"/>
          </w:tcPr>
          <w:p w14:paraId="54458AA1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22.18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vAlign w:val="center"/>
          </w:tcPr>
          <w:p w14:paraId="0AE41BCE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10.67</w:t>
            </w:r>
          </w:p>
        </w:tc>
        <w:tc>
          <w:tcPr>
            <w:tcW w:w="1418" w:type="dxa"/>
            <w:vMerge w:val="continue"/>
            <w:tcBorders>
              <w:top w:val="nil"/>
              <w:left w:val="nil"/>
              <w:right w:val="nil"/>
            </w:tcBorders>
            <w:vAlign w:val="center"/>
          </w:tcPr>
          <w:p w14:paraId="6C0B751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nil"/>
              <w:right w:val="nil"/>
            </w:tcBorders>
            <w:vAlign w:val="center"/>
          </w:tcPr>
          <w:p w14:paraId="0E97E99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  <w:vAlign w:val="center"/>
          </w:tcPr>
          <w:p w14:paraId="74E937F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15.05</w:t>
            </w:r>
          </w:p>
        </w:tc>
      </w:tr>
    </w:tbl>
    <w:p w14:paraId="6E30DE5B">
      <w:pPr>
        <w:autoSpaceDE w:val="0"/>
        <w:autoSpaceDN w:val="0"/>
        <w:jc w:val="left"/>
        <w:textAlignment w:val="auto"/>
        <w:rPr>
          <w:rFonts w:eastAsia="黑体"/>
          <w:color w:val="auto"/>
          <w:szCs w:val="21"/>
        </w:rPr>
      </w:pPr>
      <w:r>
        <w:rPr>
          <w:rFonts w:hint="eastAsia"/>
          <w:b/>
          <w:bCs/>
          <w:color w:val="auto"/>
          <w:szCs w:val="21"/>
        </w:rPr>
        <w:t>c）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中间精密度试验</w:t>
      </w:r>
    </w:p>
    <w:p w14:paraId="63CF2B83">
      <w:pPr>
        <w:ind w:firstLine="420" w:firstLineChars="200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>取洋常春藤提取物（批号</w:t>
      </w:r>
      <w:r>
        <w:rPr>
          <w:rFonts w:hint="eastAsia"/>
          <w:color w:val="auto"/>
          <w:szCs w:val="21"/>
        </w:rPr>
        <w:t>N</w:t>
      </w:r>
      <w:r>
        <w:rPr>
          <w:color w:val="auto"/>
          <w:szCs w:val="21"/>
        </w:rPr>
        <w:t>2024121001</w:t>
      </w:r>
      <w:r>
        <w:rPr>
          <w:rFonts w:hint="eastAsia"/>
          <w:color w:val="auto"/>
          <w:kern w:val="0"/>
          <w:szCs w:val="21"/>
        </w:rPr>
        <w:t>），由不同人员制备供试品溶液，在不同日期用不同仪器（安捷伦1260高效液相色谱系统和岛津10A高效液相色谱系统）测定</w:t>
      </w:r>
      <w:r>
        <w:rPr>
          <w:color w:val="auto"/>
          <w:kern w:val="0"/>
          <w:szCs w:val="21"/>
        </w:rPr>
        <w:t>6</w:t>
      </w:r>
      <w:r>
        <w:rPr>
          <w:rFonts w:hint="eastAsia"/>
          <w:color w:val="auto"/>
          <w:kern w:val="0"/>
          <w:szCs w:val="21"/>
        </w:rPr>
        <w:t>次，常春藤苷C平均含量为10.64%，</w:t>
      </w:r>
      <w:r>
        <w:rPr>
          <w:color w:val="auto"/>
          <w:kern w:val="0"/>
          <w:szCs w:val="21"/>
        </w:rPr>
        <w:t>RSD</w:t>
      </w:r>
      <w:r>
        <w:rPr>
          <w:rFonts w:hint="eastAsia"/>
          <w:color w:val="auto"/>
          <w:kern w:val="0"/>
          <w:szCs w:val="21"/>
        </w:rPr>
        <w:t>为</w:t>
      </w:r>
      <w:r>
        <w:rPr>
          <w:color w:val="auto"/>
          <w:kern w:val="0"/>
          <w:szCs w:val="21"/>
        </w:rPr>
        <w:t>0.</w:t>
      </w:r>
      <w:r>
        <w:rPr>
          <w:rFonts w:hint="eastAsia"/>
          <w:color w:val="auto"/>
          <w:kern w:val="0"/>
          <w:szCs w:val="21"/>
        </w:rPr>
        <w:t>60</w:t>
      </w:r>
      <w:r>
        <w:rPr>
          <w:color w:val="auto"/>
          <w:kern w:val="0"/>
          <w:szCs w:val="21"/>
        </w:rPr>
        <w:t>%</w:t>
      </w:r>
      <w:r>
        <w:rPr>
          <w:rFonts w:hint="eastAsia"/>
          <w:color w:val="auto"/>
          <w:kern w:val="0"/>
          <w:szCs w:val="21"/>
        </w:rPr>
        <w:t>（</w:t>
      </w:r>
      <w:r>
        <w:rPr>
          <w:color w:val="auto"/>
          <w:kern w:val="0"/>
          <w:szCs w:val="21"/>
        </w:rPr>
        <w:t>n=</w:t>
      </w:r>
      <w:r>
        <w:rPr>
          <w:rFonts w:hint="eastAsia"/>
          <w:color w:val="auto"/>
          <w:kern w:val="0"/>
          <w:szCs w:val="21"/>
        </w:rPr>
        <w:t>6)）。见表6。</w:t>
      </w:r>
    </w:p>
    <w:p w14:paraId="639E62B5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6" w:beforeLines="50" w:line="360" w:lineRule="auto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表6 常春藤苷C中间精密度试验结果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417"/>
        <w:gridCol w:w="1560"/>
        <w:gridCol w:w="1984"/>
        <w:gridCol w:w="2126"/>
      </w:tblGrid>
      <w:tr w14:paraId="7AADE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9" w:type="dxa"/>
            <w:tcBorders>
              <w:left w:val="nil"/>
              <w:right w:val="nil"/>
            </w:tcBorders>
            <w:vAlign w:val="center"/>
          </w:tcPr>
          <w:p w14:paraId="4E3D9EC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编号</w:t>
            </w: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2D004C9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称样量</w:t>
            </w:r>
          </w:p>
          <w:p w14:paraId="7F8848E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（mg）</w:t>
            </w:r>
          </w:p>
        </w:tc>
        <w:tc>
          <w:tcPr>
            <w:tcW w:w="1560" w:type="dxa"/>
            <w:tcBorders>
              <w:left w:val="nil"/>
              <w:right w:val="nil"/>
            </w:tcBorders>
            <w:vAlign w:val="center"/>
          </w:tcPr>
          <w:p w14:paraId="2A628BC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常春藤苷C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含量</w:t>
            </w:r>
          </w:p>
          <w:p w14:paraId="21994FD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（%）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19909A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平均含量</w:t>
            </w:r>
          </w:p>
          <w:p w14:paraId="371432F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（%）</w:t>
            </w:r>
          </w:p>
        </w:tc>
        <w:tc>
          <w:tcPr>
            <w:tcW w:w="2126" w:type="dxa"/>
            <w:tcBorders>
              <w:left w:val="nil"/>
              <w:right w:val="nil"/>
            </w:tcBorders>
            <w:vAlign w:val="center"/>
          </w:tcPr>
          <w:p w14:paraId="1CF5269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RSD</w:t>
            </w:r>
          </w:p>
          <w:p w14:paraId="03D76E4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（%，n=6）</w:t>
            </w:r>
          </w:p>
        </w:tc>
      </w:tr>
      <w:tr w14:paraId="79C8C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59" w:type="dxa"/>
            <w:tcBorders>
              <w:left w:val="nil"/>
              <w:bottom w:val="nil"/>
              <w:right w:val="nil"/>
            </w:tcBorders>
            <w:vAlign w:val="center"/>
          </w:tcPr>
          <w:p w14:paraId="7D35AA3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1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vAlign w:val="center"/>
          </w:tcPr>
          <w:p w14:paraId="0ED1319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23.04</w:t>
            </w:r>
          </w:p>
        </w:tc>
        <w:tc>
          <w:tcPr>
            <w:tcW w:w="1560" w:type="dxa"/>
            <w:tcBorders>
              <w:left w:val="nil"/>
              <w:bottom w:val="nil"/>
              <w:right w:val="nil"/>
            </w:tcBorders>
            <w:vAlign w:val="center"/>
          </w:tcPr>
          <w:p w14:paraId="0A684DB1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10.56</w:t>
            </w:r>
          </w:p>
        </w:tc>
        <w:tc>
          <w:tcPr>
            <w:tcW w:w="1984" w:type="dxa"/>
            <w:vMerge w:val="restart"/>
            <w:tcBorders>
              <w:left w:val="nil"/>
              <w:right w:val="nil"/>
            </w:tcBorders>
            <w:vAlign w:val="center"/>
          </w:tcPr>
          <w:p w14:paraId="5E793EFD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10.64</w:t>
            </w:r>
          </w:p>
        </w:tc>
        <w:tc>
          <w:tcPr>
            <w:tcW w:w="2126" w:type="dxa"/>
            <w:vMerge w:val="restart"/>
            <w:tcBorders>
              <w:left w:val="nil"/>
              <w:right w:val="nil"/>
            </w:tcBorders>
            <w:vAlign w:val="center"/>
          </w:tcPr>
          <w:p w14:paraId="6C7258E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0.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60</w:t>
            </w:r>
          </w:p>
        </w:tc>
      </w:tr>
      <w:tr w14:paraId="6514A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  <w:jc w:val="center"/>
        </w:trPr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D2C28A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7DF56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22.15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B94DA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10.59</w:t>
            </w:r>
          </w:p>
        </w:tc>
        <w:tc>
          <w:tcPr>
            <w:tcW w:w="1984" w:type="dxa"/>
            <w:vMerge w:val="continue"/>
            <w:tcBorders>
              <w:left w:val="nil"/>
              <w:right w:val="nil"/>
            </w:tcBorders>
            <w:vAlign w:val="center"/>
          </w:tcPr>
          <w:p w14:paraId="20CA70C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2126" w:type="dxa"/>
            <w:vMerge w:val="continue"/>
            <w:tcBorders>
              <w:left w:val="nil"/>
              <w:right w:val="nil"/>
            </w:tcBorders>
            <w:vAlign w:val="center"/>
          </w:tcPr>
          <w:p w14:paraId="11542B7A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74D93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DF262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6BFD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20.68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B98A1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10.73</w:t>
            </w:r>
          </w:p>
        </w:tc>
        <w:tc>
          <w:tcPr>
            <w:tcW w:w="1984" w:type="dxa"/>
            <w:vMerge w:val="continue"/>
            <w:tcBorders>
              <w:left w:val="nil"/>
              <w:right w:val="nil"/>
            </w:tcBorders>
            <w:vAlign w:val="center"/>
          </w:tcPr>
          <w:p w14:paraId="71F48EE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2126" w:type="dxa"/>
            <w:vMerge w:val="continue"/>
            <w:tcBorders>
              <w:left w:val="nil"/>
              <w:right w:val="nil"/>
            </w:tcBorders>
            <w:vAlign w:val="center"/>
          </w:tcPr>
          <w:p w14:paraId="4E1ACA8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0FE57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454C03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81DE70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21.02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3F563D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10.68</w:t>
            </w:r>
          </w:p>
        </w:tc>
        <w:tc>
          <w:tcPr>
            <w:tcW w:w="1984" w:type="dxa"/>
            <w:vMerge w:val="continue"/>
            <w:tcBorders>
              <w:left w:val="nil"/>
              <w:right w:val="nil"/>
            </w:tcBorders>
            <w:vAlign w:val="center"/>
          </w:tcPr>
          <w:p w14:paraId="61DC3D0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2126" w:type="dxa"/>
            <w:vMerge w:val="continue"/>
            <w:tcBorders>
              <w:left w:val="nil"/>
              <w:right w:val="nil"/>
            </w:tcBorders>
            <w:vAlign w:val="center"/>
          </w:tcPr>
          <w:p w14:paraId="591EDBD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6ED6A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86CA7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111DC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 w:eastAsia="zh-TW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21.93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E729C4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10.67</w:t>
            </w:r>
            <w:r>
              <w:rPr>
                <w:color w:val="auto"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1984" w:type="dxa"/>
            <w:vMerge w:val="continue"/>
            <w:tcBorders>
              <w:left w:val="nil"/>
              <w:right w:val="nil"/>
            </w:tcBorders>
            <w:vAlign w:val="center"/>
          </w:tcPr>
          <w:p w14:paraId="123A465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2126" w:type="dxa"/>
            <w:vMerge w:val="continue"/>
            <w:tcBorders>
              <w:left w:val="nil"/>
              <w:right w:val="nil"/>
            </w:tcBorders>
            <w:vAlign w:val="center"/>
          </w:tcPr>
          <w:p w14:paraId="60A9D82A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39AF6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59" w:type="dxa"/>
            <w:tcBorders>
              <w:top w:val="nil"/>
              <w:left w:val="nil"/>
              <w:right w:val="nil"/>
            </w:tcBorders>
            <w:vAlign w:val="center"/>
          </w:tcPr>
          <w:p w14:paraId="3C8060C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vAlign w:val="center"/>
          </w:tcPr>
          <w:p w14:paraId="240E2F7A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lang w:val="zh-TW"/>
              </w:rPr>
            </w:pPr>
            <w:r>
              <w:rPr>
                <w:rFonts w:hint="eastAsia"/>
                <w:color w:val="auto"/>
                <w:kern w:val="0"/>
                <w:lang w:val="zh-TW"/>
              </w:rPr>
              <w:t>21.47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vAlign w:val="center"/>
          </w:tcPr>
          <w:p w14:paraId="4F402C1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10.61</w:t>
            </w:r>
          </w:p>
        </w:tc>
        <w:tc>
          <w:tcPr>
            <w:tcW w:w="1984" w:type="dxa"/>
            <w:vMerge w:val="continue"/>
            <w:tcBorders>
              <w:left w:val="nil"/>
              <w:right w:val="nil"/>
            </w:tcBorders>
            <w:vAlign w:val="center"/>
          </w:tcPr>
          <w:p w14:paraId="6BE8673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2126" w:type="dxa"/>
            <w:vMerge w:val="continue"/>
            <w:tcBorders>
              <w:left w:val="nil"/>
              <w:right w:val="nil"/>
            </w:tcBorders>
            <w:vAlign w:val="center"/>
          </w:tcPr>
          <w:p w14:paraId="4DCC824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</w:tbl>
    <w:p w14:paraId="355FA849">
      <w:pPr>
        <w:jc w:val="left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</w:t>
      </w:r>
      <w:r>
        <w:rPr>
          <w:rFonts w:hint="eastAsia" w:eastAsia="黑体"/>
          <w:b/>
          <w:bCs/>
          <w:color w:val="auto"/>
          <w:szCs w:val="21"/>
        </w:rPr>
        <w:t>.7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线性关系试验</w:t>
      </w:r>
    </w:p>
    <w:p w14:paraId="31C7B690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20" w:firstLineChars="200"/>
        <w:jc w:val="left"/>
        <w:rPr>
          <w:rFonts w:eastAsia="宋体" w:cs="Times New Roman"/>
          <w:color w:val="auto"/>
          <w:kern w:val="0"/>
        </w:rPr>
      </w:pPr>
      <w:r>
        <w:rPr>
          <w:rFonts w:hint="eastAsia" w:eastAsia="宋体" w:cs="Times New Roman"/>
          <w:color w:val="auto"/>
          <w:kern w:val="0"/>
        </w:rPr>
        <w:t>精密称取常春藤苷C标准品（纯度99.70%）10.28</w:t>
      </w:r>
      <w:r>
        <w:rPr>
          <w:rFonts w:eastAsia="宋体" w:cs="Times New Roman"/>
          <w:color w:val="auto"/>
          <w:kern w:val="0"/>
        </w:rPr>
        <w:t>mg</w:t>
      </w:r>
      <w:r>
        <w:rPr>
          <w:rFonts w:hint="eastAsia" w:eastAsia="宋体" w:cs="Times New Roman"/>
          <w:color w:val="auto"/>
          <w:kern w:val="0"/>
        </w:rPr>
        <w:t>置于25</w:t>
      </w:r>
      <w:r>
        <w:rPr>
          <w:rFonts w:eastAsia="宋体" w:cs="Times New Roman"/>
          <w:color w:val="auto"/>
          <w:kern w:val="0"/>
        </w:rPr>
        <w:t>mL</w:t>
      </w:r>
      <w:r>
        <w:rPr>
          <w:rFonts w:hint="eastAsia" w:eastAsia="宋体" w:cs="Times New Roman"/>
          <w:color w:val="auto"/>
          <w:kern w:val="0"/>
        </w:rPr>
        <w:t>容量瓶中，加甲醇溶解制成储备液，再精密吸取该储备液</w:t>
      </w:r>
      <w:r>
        <w:rPr>
          <w:rFonts w:eastAsia="宋体" w:cs="Times New Roman"/>
          <w:color w:val="auto"/>
          <w:kern w:val="0"/>
        </w:rPr>
        <w:t>1.0</w:t>
      </w:r>
      <w:r>
        <w:rPr>
          <w:rFonts w:hint="eastAsia" w:eastAsia="宋体" w:cs="Times New Roman"/>
          <w:color w:val="auto"/>
          <w:kern w:val="0"/>
        </w:rPr>
        <w:t>、</w:t>
      </w:r>
      <w:r>
        <w:rPr>
          <w:rFonts w:eastAsia="宋体" w:cs="Times New Roman"/>
          <w:color w:val="auto"/>
          <w:kern w:val="0"/>
        </w:rPr>
        <w:t>2.0</w:t>
      </w:r>
      <w:r>
        <w:rPr>
          <w:rFonts w:hint="eastAsia" w:eastAsia="宋体" w:cs="Times New Roman"/>
          <w:color w:val="auto"/>
          <w:kern w:val="0"/>
        </w:rPr>
        <w:t>、</w:t>
      </w:r>
      <w:r>
        <w:rPr>
          <w:rFonts w:eastAsia="宋体" w:cs="Times New Roman"/>
          <w:color w:val="auto"/>
          <w:kern w:val="0"/>
        </w:rPr>
        <w:t>4.0</w:t>
      </w:r>
      <w:r>
        <w:rPr>
          <w:rFonts w:hint="eastAsia" w:eastAsia="宋体" w:cs="Times New Roman"/>
          <w:color w:val="auto"/>
          <w:kern w:val="0"/>
        </w:rPr>
        <w:t>、</w:t>
      </w:r>
      <w:r>
        <w:rPr>
          <w:rFonts w:eastAsia="宋体" w:cs="Times New Roman"/>
          <w:color w:val="auto"/>
          <w:kern w:val="0"/>
        </w:rPr>
        <w:t>6.0</w:t>
      </w:r>
      <w:r>
        <w:rPr>
          <w:rFonts w:hint="eastAsia" w:eastAsia="宋体" w:cs="Times New Roman"/>
          <w:color w:val="auto"/>
          <w:kern w:val="0"/>
        </w:rPr>
        <w:t>、</w:t>
      </w:r>
      <w:r>
        <w:rPr>
          <w:rFonts w:eastAsia="宋体" w:cs="Times New Roman"/>
          <w:color w:val="auto"/>
          <w:kern w:val="0"/>
        </w:rPr>
        <w:t>8.0</w:t>
      </w:r>
      <w:r>
        <w:rPr>
          <w:rFonts w:hint="eastAsia" w:eastAsia="宋体" w:cs="Times New Roman"/>
          <w:color w:val="auto"/>
          <w:kern w:val="0"/>
        </w:rPr>
        <w:t>、</w:t>
      </w:r>
      <w:r>
        <w:rPr>
          <w:rFonts w:eastAsia="宋体" w:cs="Times New Roman"/>
          <w:color w:val="auto"/>
          <w:kern w:val="0"/>
        </w:rPr>
        <w:t>10.0mL</w:t>
      </w:r>
      <w:r>
        <w:rPr>
          <w:rFonts w:hint="eastAsia" w:eastAsia="宋体" w:cs="Times New Roman"/>
          <w:color w:val="auto"/>
          <w:kern w:val="0"/>
        </w:rPr>
        <w:t>分别至</w:t>
      </w:r>
      <w:r>
        <w:rPr>
          <w:rFonts w:eastAsia="宋体" w:cs="Times New Roman"/>
          <w:color w:val="auto"/>
          <w:kern w:val="0"/>
        </w:rPr>
        <w:t>10mL</w:t>
      </w:r>
      <w:r>
        <w:rPr>
          <w:rFonts w:hint="eastAsia" w:eastAsia="宋体" w:cs="Times New Roman"/>
          <w:color w:val="auto"/>
          <w:kern w:val="0"/>
        </w:rPr>
        <w:t>容量瓶中，按4.1.3项下色谱条件分析，测定峰面积。见表7，图4。</w:t>
      </w:r>
    </w:p>
    <w:p w14:paraId="55B37513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180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表7 常春藤苷C标准曲线试验结果</w:t>
      </w:r>
    </w:p>
    <w:tbl>
      <w:tblPr>
        <w:tblStyle w:val="15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0"/>
        <w:gridCol w:w="1297"/>
        <w:gridCol w:w="1297"/>
        <w:gridCol w:w="1306"/>
        <w:gridCol w:w="1311"/>
        <w:gridCol w:w="1311"/>
        <w:gridCol w:w="1311"/>
      </w:tblGrid>
      <w:tr w14:paraId="4F7BE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12" w:type="pct"/>
            <w:tcBorders>
              <w:left w:val="nil"/>
              <w:right w:val="nil"/>
            </w:tcBorders>
            <w:vAlign w:val="center"/>
          </w:tcPr>
          <w:p w14:paraId="609F2DA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bookmarkStart w:id="0" w:name="_Hlk222909021"/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对照品浓度</w:t>
            </w:r>
          </w:p>
          <w:p w14:paraId="55A7FC2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µg/mL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334" w:type="dxa"/>
            <w:tcBorders>
              <w:left w:val="nil"/>
              <w:right w:val="nil"/>
            </w:tcBorders>
            <w:vAlign w:val="center"/>
          </w:tcPr>
          <w:p w14:paraId="2881F1E9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4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  <w:r>
              <w:rPr>
                <w:color w:val="auto"/>
                <w:kern w:val="0"/>
                <w:szCs w:val="21"/>
                <w:lang w:bidi="ar"/>
              </w:rPr>
              <w:t>.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00</w:t>
            </w:r>
          </w:p>
        </w:tc>
        <w:tc>
          <w:tcPr>
            <w:tcW w:w="1334" w:type="dxa"/>
            <w:tcBorders>
              <w:left w:val="nil"/>
              <w:right w:val="nil"/>
            </w:tcBorders>
            <w:vAlign w:val="center"/>
          </w:tcPr>
          <w:p w14:paraId="1C2A4DE4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81.99</w:t>
            </w:r>
          </w:p>
        </w:tc>
        <w:tc>
          <w:tcPr>
            <w:tcW w:w="1334" w:type="dxa"/>
            <w:tcBorders>
              <w:left w:val="nil"/>
              <w:right w:val="nil"/>
            </w:tcBorders>
            <w:vAlign w:val="center"/>
          </w:tcPr>
          <w:p w14:paraId="1DFAD9EE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val="zh-TW" w:eastAsia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163.99</w:t>
            </w:r>
          </w:p>
        </w:tc>
        <w:tc>
          <w:tcPr>
            <w:tcW w:w="1339" w:type="dxa"/>
            <w:tcBorders>
              <w:left w:val="nil"/>
              <w:right w:val="nil"/>
            </w:tcBorders>
            <w:vAlign w:val="center"/>
          </w:tcPr>
          <w:p w14:paraId="3B87387B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245.98</w:t>
            </w:r>
          </w:p>
        </w:tc>
        <w:tc>
          <w:tcPr>
            <w:tcW w:w="1339" w:type="dxa"/>
            <w:tcBorders>
              <w:left w:val="nil"/>
              <w:right w:val="nil"/>
            </w:tcBorders>
            <w:vAlign w:val="center"/>
          </w:tcPr>
          <w:p w14:paraId="4D8EA94A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327.97</w:t>
            </w:r>
          </w:p>
        </w:tc>
        <w:tc>
          <w:tcPr>
            <w:tcW w:w="1339" w:type="dxa"/>
            <w:tcBorders>
              <w:left w:val="nil"/>
              <w:right w:val="nil"/>
            </w:tcBorders>
            <w:vAlign w:val="center"/>
          </w:tcPr>
          <w:p w14:paraId="75015738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409.97</w:t>
            </w:r>
          </w:p>
        </w:tc>
      </w:tr>
      <w:bookmarkEnd w:id="0"/>
      <w:tr w14:paraId="28A95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712" w:type="pct"/>
            <w:vMerge w:val="restart"/>
            <w:tcBorders>
              <w:left w:val="nil"/>
              <w:right w:val="nil"/>
            </w:tcBorders>
            <w:vAlign w:val="center"/>
          </w:tcPr>
          <w:p w14:paraId="5FB1B61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峰面积</w:t>
            </w:r>
          </w:p>
        </w:tc>
        <w:tc>
          <w:tcPr>
            <w:tcW w:w="1334" w:type="dxa"/>
            <w:tcBorders>
              <w:left w:val="nil"/>
              <w:bottom w:val="nil"/>
              <w:right w:val="nil"/>
            </w:tcBorders>
            <w:vAlign w:val="center"/>
          </w:tcPr>
          <w:p w14:paraId="3FA37403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257.752</w:t>
            </w:r>
          </w:p>
        </w:tc>
        <w:tc>
          <w:tcPr>
            <w:tcW w:w="1334" w:type="dxa"/>
            <w:tcBorders>
              <w:left w:val="nil"/>
              <w:bottom w:val="nil"/>
              <w:right w:val="nil"/>
            </w:tcBorders>
            <w:vAlign w:val="center"/>
          </w:tcPr>
          <w:p w14:paraId="7CA660E4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516.833</w:t>
            </w:r>
          </w:p>
        </w:tc>
        <w:tc>
          <w:tcPr>
            <w:tcW w:w="1334" w:type="dxa"/>
            <w:tcBorders>
              <w:left w:val="nil"/>
              <w:bottom w:val="nil"/>
              <w:right w:val="nil"/>
            </w:tcBorders>
            <w:vAlign w:val="center"/>
          </w:tcPr>
          <w:p w14:paraId="15E007D0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1030.860</w:t>
            </w:r>
          </w:p>
        </w:tc>
        <w:tc>
          <w:tcPr>
            <w:tcW w:w="1339" w:type="dxa"/>
            <w:tcBorders>
              <w:left w:val="nil"/>
              <w:bottom w:val="nil"/>
              <w:right w:val="nil"/>
            </w:tcBorders>
            <w:vAlign w:val="center"/>
          </w:tcPr>
          <w:p w14:paraId="4E986923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1553.469</w:t>
            </w:r>
          </w:p>
        </w:tc>
        <w:tc>
          <w:tcPr>
            <w:tcW w:w="1339" w:type="dxa"/>
            <w:tcBorders>
              <w:left w:val="nil"/>
              <w:bottom w:val="nil"/>
              <w:right w:val="nil"/>
            </w:tcBorders>
            <w:vAlign w:val="center"/>
          </w:tcPr>
          <w:p w14:paraId="480654DB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2067.055</w:t>
            </w:r>
          </w:p>
        </w:tc>
        <w:tc>
          <w:tcPr>
            <w:tcW w:w="1339" w:type="dxa"/>
            <w:tcBorders>
              <w:left w:val="nil"/>
              <w:bottom w:val="nil"/>
              <w:right w:val="nil"/>
            </w:tcBorders>
            <w:vAlign w:val="center"/>
          </w:tcPr>
          <w:p w14:paraId="35F23A0A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2587.630</w:t>
            </w:r>
          </w:p>
        </w:tc>
      </w:tr>
      <w:tr w14:paraId="6F97D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712" w:type="pct"/>
            <w:vMerge w:val="continue"/>
            <w:tcBorders>
              <w:left w:val="nil"/>
              <w:bottom w:val="nil"/>
              <w:right w:val="nil"/>
            </w:tcBorders>
            <w:vAlign w:val="center"/>
          </w:tcPr>
          <w:p w14:paraId="0422CE7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565563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257.964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16815E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516.409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6DDB25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1031.327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7D1F23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1552.787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2075EE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2066.496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58FABD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2588.953</w:t>
            </w:r>
          </w:p>
        </w:tc>
      </w:tr>
      <w:tr w14:paraId="2CBDE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712" w:type="pct"/>
            <w:tcBorders>
              <w:top w:val="nil"/>
              <w:left w:val="nil"/>
              <w:right w:val="nil"/>
            </w:tcBorders>
            <w:vAlign w:val="center"/>
          </w:tcPr>
          <w:p w14:paraId="304E3CC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平均峰面积</w:t>
            </w:r>
          </w:p>
        </w:tc>
        <w:tc>
          <w:tcPr>
            <w:tcW w:w="1334" w:type="dxa"/>
            <w:tcBorders>
              <w:top w:val="nil"/>
              <w:left w:val="nil"/>
              <w:right w:val="nil"/>
            </w:tcBorders>
            <w:vAlign w:val="center"/>
          </w:tcPr>
          <w:p w14:paraId="447D5184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257.858</w:t>
            </w:r>
          </w:p>
        </w:tc>
        <w:tc>
          <w:tcPr>
            <w:tcW w:w="1334" w:type="dxa"/>
            <w:tcBorders>
              <w:top w:val="nil"/>
              <w:left w:val="nil"/>
              <w:right w:val="nil"/>
            </w:tcBorders>
            <w:vAlign w:val="center"/>
          </w:tcPr>
          <w:p w14:paraId="16ACFE89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516.621</w:t>
            </w:r>
          </w:p>
        </w:tc>
        <w:tc>
          <w:tcPr>
            <w:tcW w:w="1334" w:type="dxa"/>
            <w:tcBorders>
              <w:top w:val="nil"/>
              <w:left w:val="nil"/>
              <w:right w:val="nil"/>
            </w:tcBorders>
            <w:vAlign w:val="center"/>
          </w:tcPr>
          <w:p w14:paraId="05AD8F7C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1031.094</w:t>
            </w:r>
          </w:p>
        </w:tc>
        <w:tc>
          <w:tcPr>
            <w:tcW w:w="1339" w:type="dxa"/>
            <w:tcBorders>
              <w:top w:val="nil"/>
              <w:left w:val="nil"/>
              <w:right w:val="nil"/>
            </w:tcBorders>
            <w:vAlign w:val="center"/>
          </w:tcPr>
          <w:p w14:paraId="6E6646FC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1553.128</w:t>
            </w:r>
          </w:p>
        </w:tc>
        <w:tc>
          <w:tcPr>
            <w:tcW w:w="1339" w:type="dxa"/>
            <w:tcBorders>
              <w:top w:val="nil"/>
              <w:left w:val="nil"/>
              <w:right w:val="nil"/>
            </w:tcBorders>
            <w:vAlign w:val="center"/>
          </w:tcPr>
          <w:p w14:paraId="64BE2190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2066.776</w:t>
            </w:r>
          </w:p>
        </w:tc>
        <w:tc>
          <w:tcPr>
            <w:tcW w:w="1339" w:type="dxa"/>
            <w:tcBorders>
              <w:top w:val="nil"/>
              <w:left w:val="nil"/>
              <w:right w:val="nil"/>
            </w:tcBorders>
            <w:vAlign w:val="center"/>
          </w:tcPr>
          <w:p w14:paraId="6D1A806E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2588.292</w:t>
            </w:r>
          </w:p>
        </w:tc>
      </w:tr>
    </w:tbl>
    <w:p w14:paraId="0BE4F299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180"/>
        <w:jc w:val="left"/>
        <w:rPr>
          <w:rFonts w:eastAsia="宋体" w:cs="Times New Roman"/>
          <w:color w:val="auto"/>
          <w:kern w:val="0"/>
        </w:rPr>
      </w:pPr>
      <w:r>
        <w:rPr>
          <w:rFonts w:eastAsia="宋体" w:cs="Times New Roman"/>
          <w:color w:val="auto"/>
          <w:kern w:val="0"/>
        </w:rPr>
        <w:t xml:space="preserve">   </w:t>
      </w:r>
      <w:r>
        <w:rPr>
          <w:rFonts w:hint="eastAsia" w:eastAsia="宋体" w:cs="Times New Roman"/>
          <w:color w:val="auto"/>
          <w:kern w:val="0"/>
        </w:rPr>
        <w:t>以常春藤苷C对照品的浓度（</w:t>
      </w:r>
      <w:r>
        <w:rPr>
          <w:rFonts w:eastAsia="宋体" w:cs="Times New Roman"/>
          <w:color w:val="auto"/>
          <w:kern w:val="0"/>
        </w:rPr>
        <w:t>µg/mL</w:t>
      </w:r>
      <w:r>
        <w:rPr>
          <w:rFonts w:hint="eastAsia" w:eastAsia="宋体" w:cs="Times New Roman"/>
          <w:color w:val="auto"/>
          <w:kern w:val="0"/>
        </w:rPr>
        <w:t>）为横坐标，峰面积为纵坐标，求得回归方程：</w:t>
      </w:r>
      <w:r>
        <w:rPr>
          <w:rFonts w:eastAsia="宋体" w:cs="Times New Roman"/>
          <w:color w:val="auto"/>
          <w:kern w:val="0"/>
        </w:rPr>
        <w:t>Y=</w:t>
      </w:r>
      <w:r>
        <w:rPr>
          <w:rFonts w:hint="eastAsia" w:eastAsia="宋体" w:cs="Times New Roman"/>
          <w:color w:val="auto"/>
          <w:kern w:val="0"/>
        </w:rPr>
        <w:t>6.314X-1.7835。结果表明常春藤苷C在41.00-409.97</w:t>
      </w:r>
      <w:r>
        <w:rPr>
          <w:rFonts w:eastAsia="宋体" w:cs="Times New Roman"/>
          <w:color w:val="auto"/>
          <w:kern w:val="0"/>
        </w:rPr>
        <w:t>µg/mL</w:t>
      </w:r>
      <w:r>
        <w:rPr>
          <w:rFonts w:hint="eastAsia" w:eastAsia="宋体" w:cs="Times New Roman"/>
          <w:color w:val="auto"/>
          <w:kern w:val="0"/>
        </w:rPr>
        <w:t>范围内与峰面积呈良好的线性关系。标准曲线如下图6。</w:t>
      </w:r>
    </w:p>
    <w:p w14:paraId="693B84B0">
      <w:pPr>
        <w:jc w:val="center"/>
        <w:rPr>
          <w:color w:val="auto"/>
          <w:szCs w:val="21"/>
        </w:rPr>
      </w:pPr>
      <w:r>
        <w:rPr>
          <w:color w:val="auto"/>
        </w:rPr>
        <w:drawing>
          <wp:inline distT="0" distB="0" distL="0" distR="0">
            <wp:extent cx="4572000" cy="2743200"/>
            <wp:effectExtent l="0" t="0" r="0" b="0"/>
            <wp:docPr id="912587846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2B5E3B1E">
      <w:pPr>
        <w:autoSpaceDE w:val="0"/>
        <w:autoSpaceDN w:val="0"/>
        <w:ind w:firstLine="422" w:firstLineChars="200"/>
        <w:jc w:val="center"/>
        <w:textAlignment w:val="auto"/>
        <w:rPr>
          <w:color w:val="auto"/>
          <w:kern w:val="0"/>
          <w:szCs w:val="21"/>
        </w:rPr>
      </w:pPr>
      <w:r>
        <w:rPr>
          <w:rFonts w:hint="eastAsia"/>
          <w:b/>
          <w:bCs/>
          <w:color w:val="auto"/>
          <w:kern w:val="0"/>
          <w:szCs w:val="21"/>
        </w:rPr>
        <w:t>图6  常春藤苷C标准曲线</w:t>
      </w:r>
    </w:p>
    <w:p w14:paraId="590EA5F2">
      <w:pPr>
        <w:jc w:val="center"/>
        <w:rPr>
          <w:color w:val="auto"/>
          <w:szCs w:val="21"/>
        </w:rPr>
      </w:pPr>
    </w:p>
    <w:p w14:paraId="322AFDD9">
      <w:pPr>
        <w:autoSpaceDE w:val="0"/>
        <w:autoSpaceDN w:val="0"/>
        <w:jc w:val="left"/>
        <w:textAlignment w:val="auto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4.1.8</w:t>
      </w:r>
      <w:r>
        <w:rPr>
          <w:rFonts w:hint="eastAsia" w:eastAsia="黑体"/>
          <w:b/>
          <w:bCs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稳定性试验</w:t>
      </w:r>
    </w:p>
    <w:p w14:paraId="36593670">
      <w:pPr>
        <w:autoSpaceDE w:val="0"/>
        <w:autoSpaceDN w:val="0"/>
        <w:ind w:firstLine="420" w:firstLineChars="200"/>
        <w:jc w:val="left"/>
        <w:textAlignment w:val="auto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>取洋常春藤提取物（批号</w:t>
      </w:r>
      <w:r>
        <w:rPr>
          <w:rFonts w:hint="eastAsia"/>
          <w:color w:val="auto"/>
          <w:szCs w:val="21"/>
        </w:rPr>
        <w:t>N</w:t>
      </w:r>
      <w:r>
        <w:rPr>
          <w:color w:val="auto"/>
          <w:szCs w:val="21"/>
        </w:rPr>
        <w:t>2024121001</w:t>
      </w:r>
      <w:r>
        <w:rPr>
          <w:rFonts w:hint="eastAsia"/>
          <w:color w:val="auto"/>
          <w:kern w:val="0"/>
          <w:szCs w:val="21"/>
        </w:rPr>
        <w:t>）制备的供试品溶液，按4.1.3项下色谱条件分别于</w:t>
      </w:r>
      <w:r>
        <w:rPr>
          <w:color w:val="auto"/>
          <w:kern w:val="0"/>
          <w:szCs w:val="21"/>
        </w:rPr>
        <w:t>0</w:t>
      </w:r>
      <w:r>
        <w:rPr>
          <w:rFonts w:hint="eastAsia"/>
          <w:color w:val="auto"/>
          <w:kern w:val="0"/>
          <w:szCs w:val="21"/>
        </w:rPr>
        <w:t>、</w:t>
      </w:r>
      <w:r>
        <w:rPr>
          <w:color w:val="auto"/>
          <w:kern w:val="0"/>
          <w:szCs w:val="21"/>
        </w:rPr>
        <w:t>2</w:t>
      </w:r>
      <w:r>
        <w:rPr>
          <w:rFonts w:hint="eastAsia"/>
          <w:color w:val="auto"/>
          <w:kern w:val="0"/>
          <w:szCs w:val="21"/>
        </w:rPr>
        <w:t>、</w:t>
      </w:r>
      <w:r>
        <w:rPr>
          <w:color w:val="auto"/>
          <w:kern w:val="0"/>
          <w:szCs w:val="21"/>
        </w:rPr>
        <w:t>4</w:t>
      </w:r>
      <w:r>
        <w:rPr>
          <w:rFonts w:hint="eastAsia"/>
          <w:color w:val="auto"/>
          <w:kern w:val="0"/>
          <w:szCs w:val="21"/>
        </w:rPr>
        <w:t>、</w:t>
      </w:r>
      <w:r>
        <w:rPr>
          <w:color w:val="auto"/>
          <w:kern w:val="0"/>
          <w:szCs w:val="21"/>
        </w:rPr>
        <w:t>6</w:t>
      </w:r>
      <w:r>
        <w:rPr>
          <w:rFonts w:hint="eastAsia"/>
          <w:color w:val="auto"/>
          <w:kern w:val="0"/>
          <w:szCs w:val="21"/>
        </w:rPr>
        <w:t>、</w:t>
      </w:r>
      <w:r>
        <w:rPr>
          <w:color w:val="auto"/>
          <w:kern w:val="0"/>
          <w:szCs w:val="21"/>
        </w:rPr>
        <w:t>12</w:t>
      </w:r>
      <w:r>
        <w:rPr>
          <w:rFonts w:hint="eastAsia"/>
          <w:color w:val="auto"/>
          <w:kern w:val="0"/>
          <w:szCs w:val="21"/>
        </w:rPr>
        <w:t>、</w:t>
      </w:r>
      <w:r>
        <w:rPr>
          <w:color w:val="auto"/>
          <w:kern w:val="0"/>
          <w:szCs w:val="21"/>
        </w:rPr>
        <w:t>24</w:t>
      </w:r>
      <w:r>
        <w:rPr>
          <w:rFonts w:hint="eastAsia"/>
          <w:color w:val="auto"/>
          <w:kern w:val="0"/>
          <w:szCs w:val="21"/>
        </w:rPr>
        <w:t>小时测定，记录色谱图，结果供试品中常春藤苷C峰面积的</w:t>
      </w:r>
      <w:r>
        <w:rPr>
          <w:color w:val="auto"/>
          <w:kern w:val="0"/>
          <w:szCs w:val="21"/>
        </w:rPr>
        <w:t>RSD</w:t>
      </w:r>
      <w:r>
        <w:rPr>
          <w:rFonts w:hint="eastAsia"/>
          <w:color w:val="auto"/>
          <w:kern w:val="0"/>
          <w:szCs w:val="21"/>
        </w:rPr>
        <w:t>为0.31</w:t>
      </w:r>
      <w:r>
        <w:rPr>
          <w:color w:val="auto"/>
          <w:kern w:val="0"/>
          <w:szCs w:val="21"/>
        </w:rPr>
        <w:t>%</w:t>
      </w:r>
      <w:r>
        <w:rPr>
          <w:rFonts w:hint="eastAsia"/>
          <w:color w:val="auto"/>
          <w:kern w:val="0"/>
          <w:szCs w:val="21"/>
        </w:rPr>
        <w:t>（</w:t>
      </w:r>
      <w:r>
        <w:rPr>
          <w:color w:val="auto"/>
          <w:kern w:val="0"/>
          <w:szCs w:val="21"/>
        </w:rPr>
        <w:t>n=6</w:t>
      </w:r>
      <w:r>
        <w:rPr>
          <w:rFonts w:hint="eastAsia"/>
          <w:color w:val="auto"/>
          <w:kern w:val="0"/>
          <w:szCs w:val="21"/>
        </w:rPr>
        <w:t>），表明本品溶液在</w:t>
      </w:r>
      <w:r>
        <w:rPr>
          <w:color w:val="auto"/>
          <w:kern w:val="0"/>
          <w:szCs w:val="21"/>
        </w:rPr>
        <w:t>24</w:t>
      </w:r>
      <w:r>
        <w:rPr>
          <w:rFonts w:hint="eastAsia"/>
          <w:color w:val="auto"/>
          <w:kern w:val="0"/>
          <w:szCs w:val="21"/>
        </w:rPr>
        <w:t>小时内稳定。见表8。</w:t>
      </w:r>
    </w:p>
    <w:p w14:paraId="178A40E7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180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表8 稳定性试验结果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213"/>
        <w:gridCol w:w="1213"/>
        <w:gridCol w:w="1049"/>
        <w:gridCol w:w="1049"/>
        <w:gridCol w:w="1049"/>
        <w:gridCol w:w="1049"/>
        <w:gridCol w:w="1115"/>
      </w:tblGrid>
      <w:tr w14:paraId="54C0A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6" w:type="dxa"/>
            <w:tcBorders>
              <w:left w:val="nil"/>
              <w:right w:val="nil"/>
            </w:tcBorders>
            <w:vAlign w:val="center"/>
          </w:tcPr>
          <w:p w14:paraId="2DE8AC1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时间（小时）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521DF353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0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20C874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2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15AD82C3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4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3C7E248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6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4E4BC633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12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4BFF821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24</w:t>
            </w:r>
          </w:p>
        </w:tc>
        <w:tc>
          <w:tcPr>
            <w:tcW w:w="1116" w:type="dxa"/>
            <w:tcBorders>
              <w:left w:val="nil"/>
              <w:right w:val="nil"/>
            </w:tcBorders>
            <w:vAlign w:val="center"/>
          </w:tcPr>
          <w:p w14:paraId="242EBE5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RSD</w:t>
            </w:r>
          </w:p>
          <w:p w14:paraId="3047FCF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（%，n=6）</w:t>
            </w:r>
          </w:p>
        </w:tc>
      </w:tr>
      <w:tr w14:paraId="77D8C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exact"/>
          <w:jc w:val="center"/>
        </w:trPr>
        <w:tc>
          <w:tcPr>
            <w:tcW w:w="1406" w:type="dxa"/>
            <w:tcBorders>
              <w:left w:val="nil"/>
              <w:right w:val="nil"/>
            </w:tcBorders>
            <w:vAlign w:val="center"/>
          </w:tcPr>
          <w:p w14:paraId="24CAB35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常春藤苷C峰面积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F4FDCD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555.62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5D7E6B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556.34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46BAE6A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552.78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0B305FC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554.11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59D7227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553.36</w:t>
            </w:r>
          </w:p>
        </w:tc>
        <w:tc>
          <w:tcPr>
            <w:tcW w:w="1050" w:type="dxa"/>
            <w:tcBorders>
              <w:left w:val="nil"/>
              <w:right w:val="nil"/>
            </w:tcBorders>
            <w:vAlign w:val="center"/>
          </w:tcPr>
          <w:p w14:paraId="2D5232E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551.89</w:t>
            </w:r>
          </w:p>
        </w:tc>
        <w:tc>
          <w:tcPr>
            <w:tcW w:w="1116" w:type="dxa"/>
            <w:tcBorders>
              <w:left w:val="nil"/>
              <w:right w:val="nil"/>
            </w:tcBorders>
            <w:vAlign w:val="center"/>
          </w:tcPr>
          <w:p w14:paraId="4576C10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0.31</w:t>
            </w:r>
          </w:p>
        </w:tc>
      </w:tr>
    </w:tbl>
    <w:p w14:paraId="520A4A18">
      <w:pPr>
        <w:autoSpaceDE w:val="0"/>
        <w:autoSpaceDN w:val="0"/>
        <w:jc w:val="left"/>
        <w:textAlignment w:val="auto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</w:t>
      </w:r>
      <w:r>
        <w:rPr>
          <w:rFonts w:hint="eastAsia" w:eastAsia="黑体"/>
          <w:b/>
          <w:bCs/>
          <w:color w:val="auto"/>
          <w:szCs w:val="21"/>
        </w:rPr>
        <w:t xml:space="preserve">1.9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准确度试验</w:t>
      </w:r>
    </w:p>
    <w:p w14:paraId="6FC96471">
      <w:pPr>
        <w:autoSpaceDE w:val="0"/>
        <w:autoSpaceDN w:val="0"/>
        <w:ind w:firstLine="420"/>
        <w:jc w:val="left"/>
        <w:textAlignment w:val="auto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>取洋常春藤提取物（批号</w:t>
      </w:r>
      <w:r>
        <w:rPr>
          <w:rFonts w:hint="eastAsia"/>
          <w:color w:val="auto"/>
          <w:szCs w:val="21"/>
        </w:rPr>
        <w:t>N</w:t>
      </w:r>
      <w:r>
        <w:rPr>
          <w:color w:val="auto"/>
          <w:szCs w:val="21"/>
        </w:rPr>
        <w:t>2024121001</w:t>
      </w:r>
      <w:r>
        <w:rPr>
          <w:rFonts w:hint="eastAsia"/>
          <w:color w:val="auto"/>
          <w:kern w:val="0"/>
          <w:szCs w:val="21"/>
        </w:rPr>
        <w:t>，常春藤苷C含量为10.69</w:t>
      </w:r>
      <w:r>
        <w:rPr>
          <w:color w:val="auto"/>
          <w:kern w:val="0"/>
          <w:szCs w:val="21"/>
        </w:rPr>
        <w:t>%</w:t>
      </w:r>
      <w:r>
        <w:rPr>
          <w:rFonts w:hint="eastAsia"/>
          <w:color w:val="auto"/>
          <w:kern w:val="0"/>
          <w:szCs w:val="21"/>
        </w:rPr>
        <w:t>）精密称定约5</w:t>
      </w:r>
      <w:r>
        <w:rPr>
          <w:color w:val="auto"/>
          <w:kern w:val="0"/>
          <w:szCs w:val="21"/>
        </w:rPr>
        <w:t>mg</w:t>
      </w:r>
      <w:r>
        <w:rPr>
          <w:rFonts w:hint="eastAsia"/>
          <w:color w:val="auto"/>
          <w:kern w:val="0"/>
          <w:szCs w:val="21"/>
        </w:rPr>
        <w:t>、10mg、15mg（实际取样分别为5.24mg，9.88mg，15.37mg）于3个</w:t>
      </w:r>
      <w:r>
        <w:rPr>
          <w:color w:val="auto"/>
          <w:kern w:val="0"/>
          <w:szCs w:val="21"/>
        </w:rPr>
        <w:t>10mL</w:t>
      </w:r>
      <w:r>
        <w:rPr>
          <w:rFonts w:hint="eastAsia"/>
          <w:color w:val="auto"/>
          <w:kern w:val="0"/>
          <w:szCs w:val="21"/>
        </w:rPr>
        <w:t>容量瓶中。另取常春藤苷C对照品（纯度 99.70</w:t>
      </w:r>
      <w:r>
        <w:rPr>
          <w:color w:val="auto"/>
          <w:kern w:val="0"/>
          <w:szCs w:val="21"/>
        </w:rPr>
        <w:t>%</w:t>
      </w:r>
      <w:r>
        <w:rPr>
          <w:rFonts w:hint="eastAsia"/>
          <w:color w:val="auto"/>
          <w:kern w:val="0"/>
          <w:szCs w:val="21"/>
        </w:rPr>
        <w:t>）9.83</w:t>
      </w:r>
      <w:r>
        <w:rPr>
          <w:color w:val="auto"/>
          <w:kern w:val="0"/>
          <w:szCs w:val="21"/>
        </w:rPr>
        <w:t>mg</w:t>
      </w:r>
      <w:r>
        <w:rPr>
          <w:rFonts w:hint="eastAsia"/>
          <w:color w:val="auto"/>
          <w:kern w:val="0"/>
          <w:szCs w:val="21"/>
        </w:rPr>
        <w:t>，置25</w:t>
      </w:r>
      <w:r>
        <w:rPr>
          <w:color w:val="auto"/>
          <w:kern w:val="0"/>
          <w:szCs w:val="21"/>
        </w:rPr>
        <w:t>mL</w:t>
      </w:r>
      <w:r>
        <w:rPr>
          <w:rFonts w:hint="eastAsia"/>
          <w:color w:val="auto"/>
          <w:kern w:val="0"/>
          <w:szCs w:val="21"/>
        </w:rPr>
        <w:t>容量瓶中，加甲醇溶解并定容（此对照品溶液含常春藤苷C0.3192</w:t>
      </w:r>
      <w:r>
        <w:rPr>
          <w:color w:val="auto"/>
          <w:kern w:val="0"/>
          <w:szCs w:val="21"/>
        </w:rPr>
        <w:t>mg/mL</w:t>
      </w:r>
      <w:r>
        <w:rPr>
          <w:rFonts w:hint="eastAsia"/>
          <w:color w:val="auto"/>
          <w:kern w:val="0"/>
          <w:szCs w:val="21"/>
        </w:rPr>
        <w:t>），分别吸取该对照品溶液1</w:t>
      </w:r>
      <w:r>
        <w:rPr>
          <w:color w:val="auto"/>
          <w:kern w:val="0"/>
          <w:szCs w:val="21"/>
        </w:rPr>
        <w:t>mL</w:t>
      </w:r>
      <w:r>
        <w:rPr>
          <w:rFonts w:hint="eastAsia"/>
          <w:color w:val="auto"/>
          <w:kern w:val="0"/>
          <w:szCs w:val="21"/>
        </w:rPr>
        <w:t>（以常春藤苷C计319.2</w:t>
      </w:r>
      <w:r>
        <w:rPr>
          <w:color w:val="auto"/>
          <w:kern w:val="0"/>
        </w:rPr>
        <w:t>µg</w:t>
      </w:r>
      <w:r>
        <w:rPr>
          <w:rFonts w:hint="eastAsia"/>
          <w:color w:val="auto"/>
          <w:kern w:val="0"/>
          <w:szCs w:val="21"/>
        </w:rPr>
        <w:t>）、2</w:t>
      </w:r>
      <w:r>
        <w:rPr>
          <w:color w:val="auto"/>
          <w:kern w:val="0"/>
          <w:szCs w:val="21"/>
        </w:rPr>
        <w:t>.0mL</w:t>
      </w:r>
      <w:r>
        <w:rPr>
          <w:rFonts w:hint="eastAsia"/>
          <w:color w:val="auto"/>
          <w:kern w:val="0"/>
          <w:szCs w:val="21"/>
        </w:rPr>
        <w:t>（以常春藤苷C计</w:t>
      </w:r>
      <w:r>
        <w:rPr>
          <w:rFonts w:hint="eastAsia"/>
          <w:color w:val="auto"/>
          <w:kern w:val="0"/>
          <w:sz w:val="22"/>
          <w:szCs w:val="22"/>
          <w:lang w:bidi="ar"/>
        </w:rPr>
        <w:t>784.04</w:t>
      </w:r>
      <w:r>
        <w:rPr>
          <w:color w:val="auto"/>
          <w:kern w:val="0"/>
        </w:rPr>
        <w:t>µg</w:t>
      </w:r>
      <w:r>
        <w:rPr>
          <w:rFonts w:hint="eastAsia"/>
          <w:color w:val="auto"/>
          <w:kern w:val="0"/>
          <w:szCs w:val="21"/>
        </w:rPr>
        <w:t>）、4</w:t>
      </w:r>
      <w:r>
        <w:rPr>
          <w:color w:val="auto"/>
          <w:kern w:val="0"/>
          <w:szCs w:val="21"/>
        </w:rPr>
        <w:t>mL</w:t>
      </w:r>
      <w:r>
        <w:rPr>
          <w:rFonts w:hint="eastAsia"/>
          <w:color w:val="auto"/>
          <w:kern w:val="0"/>
          <w:szCs w:val="21"/>
        </w:rPr>
        <w:t>（以常春藤苷C计</w:t>
      </w:r>
      <w:r>
        <w:rPr>
          <w:rFonts w:hint="eastAsia"/>
          <w:color w:val="auto"/>
          <w:kern w:val="0"/>
          <w:sz w:val="22"/>
          <w:szCs w:val="22"/>
          <w:lang w:bidi="ar"/>
        </w:rPr>
        <w:t>1568.08</w:t>
      </w:r>
      <w:r>
        <w:rPr>
          <w:color w:val="auto"/>
          <w:kern w:val="0"/>
        </w:rPr>
        <w:t>µg</w:t>
      </w:r>
      <w:r>
        <w:rPr>
          <w:rFonts w:hint="eastAsia"/>
          <w:color w:val="auto"/>
          <w:kern w:val="0"/>
          <w:szCs w:val="21"/>
        </w:rPr>
        <w:t>），分三组加入含样品的3个容量瓶中，静置</w:t>
      </w:r>
      <w:r>
        <w:rPr>
          <w:color w:val="auto"/>
          <w:kern w:val="0"/>
          <w:szCs w:val="21"/>
        </w:rPr>
        <w:t>10</w:t>
      </w:r>
      <w:r>
        <w:rPr>
          <w:rFonts w:hint="eastAsia"/>
          <w:color w:val="auto"/>
          <w:kern w:val="0"/>
          <w:szCs w:val="21"/>
        </w:rPr>
        <w:t>分钟后，加入甲醇约</w:t>
      </w:r>
      <w:r>
        <w:rPr>
          <w:color w:val="auto"/>
          <w:kern w:val="0"/>
          <w:szCs w:val="21"/>
        </w:rPr>
        <w:t>8mL</w:t>
      </w:r>
      <w:r>
        <w:rPr>
          <w:rFonts w:hint="eastAsia"/>
          <w:color w:val="auto"/>
          <w:kern w:val="0"/>
          <w:szCs w:val="21"/>
        </w:rPr>
        <w:t>，超声</w:t>
      </w:r>
      <w:r>
        <w:rPr>
          <w:rFonts w:hint="eastAsia"/>
          <w:color w:val="auto"/>
          <w:szCs w:val="21"/>
        </w:rPr>
        <w:t>（</w:t>
      </w:r>
      <w:r>
        <w:rPr>
          <w:color w:val="auto"/>
          <w:szCs w:val="21"/>
        </w:rPr>
        <w:t>250W</w:t>
      </w:r>
      <w:r>
        <w:rPr>
          <w:rFonts w:hint="eastAsia"/>
          <w:color w:val="auto"/>
          <w:szCs w:val="21"/>
        </w:rPr>
        <w:t>，</w:t>
      </w:r>
      <w:r>
        <w:rPr>
          <w:color w:val="auto"/>
          <w:szCs w:val="21"/>
        </w:rPr>
        <w:t>40KHz</w:t>
      </w:r>
      <w:r>
        <w:rPr>
          <w:rFonts w:hint="eastAsia"/>
          <w:color w:val="auto"/>
          <w:szCs w:val="21"/>
        </w:rPr>
        <w:t>）</w:t>
      </w:r>
      <w:r>
        <w:rPr>
          <w:rFonts w:hint="eastAsia"/>
          <w:color w:val="auto"/>
          <w:kern w:val="0"/>
          <w:szCs w:val="21"/>
        </w:rPr>
        <w:t>提取约</w:t>
      </w:r>
      <w:r>
        <w:rPr>
          <w:color w:val="auto"/>
          <w:kern w:val="0"/>
          <w:szCs w:val="21"/>
        </w:rPr>
        <w:t>30min</w:t>
      </w:r>
      <w:r>
        <w:rPr>
          <w:rFonts w:hint="eastAsia"/>
          <w:color w:val="auto"/>
          <w:kern w:val="0"/>
          <w:szCs w:val="21"/>
        </w:rPr>
        <w:t>后，放置至室温，用甲醇定容至刻度，制成供回收率测定用供试品溶液，按4.1.3项下色谱条件测定，计算回收率，常春藤苷C平均回收率为99.98%，RSD值为0.72%，符合要求。见表9。</w:t>
      </w:r>
    </w:p>
    <w:p w14:paraId="530710D2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6" w:beforeLines="50" w:line="288" w:lineRule="auto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表9 常春藤苷C回收率结果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1918"/>
        <w:gridCol w:w="1560"/>
        <w:gridCol w:w="1134"/>
        <w:gridCol w:w="992"/>
        <w:gridCol w:w="1341"/>
        <w:gridCol w:w="1243"/>
      </w:tblGrid>
      <w:tr w14:paraId="22509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75" w:type="dxa"/>
            <w:tcBorders>
              <w:left w:val="nil"/>
              <w:right w:val="nil"/>
            </w:tcBorders>
            <w:vAlign w:val="center"/>
          </w:tcPr>
          <w:p w14:paraId="511D23E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编号</w:t>
            </w:r>
          </w:p>
        </w:tc>
        <w:tc>
          <w:tcPr>
            <w:tcW w:w="1918" w:type="dxa"/>
            <w:tcBorders>
              <w:left w:val="nil"/>
              <w:right w:val="nil"/>
            </w:tcBorders>
            <w:vAlign w:val="center"/>
          </w:tcPr>
          <w:p w14:paraId="65F81A8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样品中</w:t>
            </w:r>
            <w:r>
              <w:rPr>
                <w:rFonts w:hint="eastAsia" w:ascii="宋体" w:hAnsi="宋体" w:eastAsia="宋体" w:cs="宋体"/>
                <w:color w:val="auto"/>
                <w:kern w:val="0"/>
              </w:rPr>
              <w:t>常春藤苷C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的量</w:t>
            </w:r>
          </w:p>
          <w:p w14:paraId="7A1FA32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</w:rPr>
              <w:t>µg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560" w:type="dxa"/>
            <w:tcBorders>
              <w:left w:val="nil"/>
              <w:right w:val="nil"/>
            </w:tcBorders>
            <w:vAlign w:val="center"/>
          </w:tcPr>
          <w:p w14:paraId="2AC3331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对照品加入量</w:t>
            </w:r>
          </w:p>
          <w:p w14:paraId="1D8CA37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</w:rPr>
              <w:t>µg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37690F5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测得量</w:t>
            </w:r>
          </w:p>
          <w:p w14:paraId="547D312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</w:rPr>
              <w:t>µg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61D45F4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回收率</w:t>
            </w:r>
          </w:p>
          <w:p w14:paraId="2B579E5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14:paraId="5B61C233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平均回收率</w:t>
            </w:r>
          </w:p>
          <w:p w14:paraId="5063F58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243" w:type="dxa"/>
            <w:tcBorders>
              <w:left w:val="nil"/>
              <w:right w:val="nil"/>
            </w:tcBorders>
            <w:vAlign w:val="center"/>
          </w:tcPr>
          <w:p w14:paraId="25CEC4B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RSD</w:t>
            </w:r>
          </w:p>
          <w:p w14:paraId="085E3CD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ascii="宋体" w:hAnsi="宋体" w:eastAsia="宋体" w:cs="宋体"/>
                <w:color w:val="auto"/>
                <w:kern w:val="0"/>
                <w:lang w:val="zh-TW" w:eastAsia="zh-TW"/>
              </w:rPr>
              <w:t>，n=9）</w:t>
            </w:r>
          </w:p>
        </w:tc>
      </w:tr>
      <w:tr w14:paraId="2CEDA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left w:val="nil"/>
              <w:bottom w:val="nil"/>
              <w:right w:val="nil"/>
            </w:tcBorders>
            <w:vAlign w:val="center"/>
          </w:tcPr>
          <w:p w14:paraId="09BFED6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1</w:t>
            </w:r>
          </w:p>
        </w:tc>
        <w:tc>
          <w:tcPr>
            <w:tcW w:w="1918" w:type="dxa"/>
            <w:tcBorders>
              <w:left w:val="nil"/>
              <w:bottom w:val="nil"/>
              <w:right w:val="nil"/>
            </w:tcBorders>
            <w:vAlign w:val="center"/>
          </w:tcPr>
          <w:p w14:paraId="2303FD96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560.16</w:t>
            </w:r>
          </w:p>
        </w:tc>
        <w:tc>
          <w:tcPr>
            <w:tcW w:w="1560" w:type="dxa"/>
            <w:tcBorders>
              <w:left w:val="nil"/>
              <w:bottom w:val="nil"/>
              <w:right w:val="nil"/>
            </w:tcBorders>
            <w:vAlign w:val="center"/>
          </w:tcPr>
          <w:p w14:paraId="6B24238E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color w:val="auto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92.02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6474E409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953.54 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  <w:vAlign w:val="center"/>
          </w:tcPr>
          <w:p w14:paraId="735D2B5F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100.35 </w:t>
            </w:r>
          </w:p>
        </w:tc>
        <w:tc>
          <w:tcPr>
            <w:tcW w:w="1341" w:type="dxa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5855D04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bidi="ar"/>
              </w:rPr>
              <w:t>99.98</w:t>
            </w:r>
          </w:p>
        </w:tc>
        <w:tc>
          <w:tcPr>
            <w:tcW w:w="1243" w:type="dxa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6F23011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bidi="ar"/>
              </w:rPr>
              <w:t>0.72</w:t>
            </w:r>
          </w:p>
        </w:tc>
      </w:tr>
      <w:tr w14:paraId="4D37D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47631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2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B0F8CA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560.16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454742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color w:val="auto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92.02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CB7BB5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953.28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55823A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100.28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71E31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225C3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47764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695DD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3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42D9A1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560.16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3B029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color w:val="auto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92.02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9D0FC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953.69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C34750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100.39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9393F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A044A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560A5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7E976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4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82F2A7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1056.17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3DF42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784.04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8EB13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1835.63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1F1ABB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99.42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51682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6641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20DD5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704E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5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D2E714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1056.17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F7E514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784.04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1BD895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1831.22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5074F6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98.85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A4015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4701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749AD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0C62F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6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3E8E88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1056.17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EEAC3A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784.04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522F72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1831.75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3045A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98.92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FAC5A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7DE3D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5A89D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D8DB1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7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5A18A4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1643.05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FF4DE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1568.08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119F58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3219.04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1AE3BD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100.50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9F8B4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AFC0F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040B0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E3BC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8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874DC2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1643.05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BEBBA7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1568.08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31EE02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3221.56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846B6B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100.67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198D3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4A2F7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1888C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75" w:type="dxa"/>
            <w:tcBorders>
              <w:top w:val="nil"/>
              <w:left w:val="nil"/>
              <w:right w:val="nil"/>
            </w:tcBorders>
            <w:vAlign w:val="center"/>
          </w:tcPr>
          <w:p w14:paraId="370E960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9</w:t>
            </w:r>
          </w:p>
        </w:tc>
        <w:tc>
          <w:tcPr>
            <w:tcW w:w="1918" w:type="dxa"/>
            <w:tcBorders>
              <w:top w:val="nil"/>
              <w:left w:val="nil"/>
              <w:right w:val="nil"/>
            </w:tcBorders>
            <w:vAlign w:val="center"/>
          </w:tcPr>
          <w:p w14:paraId="459DF09E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1643.05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vAlign w:val="center"/>
          </w:tcPr>
          <w:p w14:paraId="5724BD15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>1568.08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3776A6BF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3218.70 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vAlign w:val="center"/>
          </w:tcPr>
          <w:p w14:paraId="5DE7B83D">
            <w:pPr>
              <w:widowControl/>
              <w:jc w:val="center"/>
              <w:textAlignment w:val="center"/>
              <w:rPr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auto"/>
                <w:kern w:val="0"/>
                <w:sz w:val="22"/>
                <w:szCs w:val="22"/>
                <w:lang w:bidi="ar"/>
              </w:rPr>
              <w:t xml:space="preserve">100.48 </w:t>
            </w:r>
          </w:p>
        </w:tc>
        <w:tc>
          <w:tcPr>
            <w:tcW w:w="1341" w:type="dxa"/>
            <w:vMerge w:val="continue"/>
            <w:tcBorders>
              <w:top w:val="nil"/>
              <w:left w:val="nil"/>
              <w:right w:val="nil"/>
            </w:tcBorders>
            <w:vAlign w:val="center"/>
          </w:tcPr>
          <w:p w14:paraId="1D93E79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nil"/>
              <w:right w:val="nil"/>
            </w:tcBorders>
            <w:vAlign w:val="center"/>
          </w:tcPr>
          <w:p w14:paraId="4E29114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</w:tbl>
    <w:p w14:paraId="524E0940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20"/>
        <w:jc w:val="left"/>
        <w:rPr>
          <w:rFonts w:eastAsia="宋体" w:cs="Times New Roman"/>
          <w:color w:val="auto"/>
          <w:kern w:val="0"/>
        </w:rPr>
      </w:pPr>
      <w:r>
        <w:rPr>
          <w:rFonts w:hint="eastAsia" w:eastAsia="宋体" w:cs="Times New Roman"/>
          <w:color w:val="auto"/>
          <w:kern w:val="0"/>
        </w:rPr>
        <w:t>回收率的计算公式：</w:t>
      </w:r>
    </w:p>
    <w:p w14:paraId="16C5B86A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1680" w:firstLineChars="800"/>
        <w:jc w:val="left"/>
        <w:rPr>
          <w:rFonts w:eastAsia="宋体" w:cs="Times New Roman"/>
          <w:color w:val="auto"/>
          <w:kern w:val="0"/>
        </w:rPr>
      </w:pPr>
      <w:r>
        <w:rPr>
          <w:rFonts w:cs="Times New Roman"/>
          <w:color w:val="auto"/>
          <w:position w:val="-28"/>
        </w:rPr>
        <w:object>
          <v:shape id="_x0000_i1026" o:spt="75" type="#_x0000_t75" style="height:30pt;width:246pt;" o:ole="t" filled="f" o:preferrelative="t" stroked="f" coordsize="21600,21600">
            <v:path/>
            <v:fill on="f" focussize="0,0"/>
            <v:stroke on="f" joinstyle="miter"/>
            <v:imagedata r:id="rId22" o:title=""/>
            <o:lock v:ext="edit" aspectratio="t"/>
            <w10:wrap type="none"/>
            <w10:anchorlock/>
          </v:shape>
          <o:OLEObject Type="Embed" ProgID="Equation.3" ShapeID="_x0000_i1026" DrawAspect="Content" ObjectID="_1468075726" r:id="rId21">
            <o:LockedField>false</o:LockedField>
          </o:OLEObject>
        </w:object>
      </w:r>
    </w:p>
    <w:p w14:paraId="3A407E05">
      <w:pPr>
        <w:autoSpaceDE w:val="0"/>
        <w:autoSpaceDN w:val="0"/>
        <w:jc w:val="left"/>
        <w:textAlignment w:val="auto"/>
        <w:rPr>
          <w:rFonts w:eastAsia="黑体"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4.1.10</w:t>
      </w:r>
      <w:r>
        <w:rPr>
          <w:rFonts w:hint="eastAsia" w:eastAsia="黑体"/>
          <w:b/>
          <w:bCs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超声提取时间对含量测定的影响</w:t>
      </w:r>
    </w:p>
    <w:p w14:paraId="572F528B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20" w:firstLineChars="200"/>
        <w:jc w:val="left"/>
        <w:rPr>
          <w:rFonts w:eastAsia="宋体" w:cs="Times New Roman"/>
          <w:color w:val="auto"/>
          <w:kern w:val="0"/>
        </w:rPr>
      </w:pPr>
      <w:r>
        <w:rPr>
          <w:rFonts w:hint="eastAsia" w:eastAsia="宋体" w:cs="Times New Roman"/>
          <w:color w:val="auto"/>
          <w:kern w:val="0"/>
        </w:rPr>
        <w:t>取洋常春藤提取物（批号</w:t>
      </w:r>
      <w:r>
        <w:rPr>
          <w:rFonts w:hint="eastAsia"/>
          <w:color w:val="auto"/>
        </w:rPr>
        <w:t>N</w:t>
      </w:r>
      <w:r>
        <w:rPr>
          <w:color w:val="auto"/>
        </w:rPr>
        <w:t>2024121001</w:t>
      </w:r>
      <w:r>
        <w:rPr>
          <w:rFonts w:hint="eastAsia" w:eastAsia="宋体" w:cs="Times New Roman"/>
          <w:color w:val="auto"/>
          <w:kern w:val="0"/>
        </w:rPr>
        <w:t>）6份，各约25mg，置25mL容量瓶中，加入20mL 甲醇，每两个一组，分别超声（250W，40KHz）提取10分钟、20分钟、30分钟后定容，检测含量，见表10。</w:t>
      </w:r>
    </w:p>
    <w:p w14:paraId="4D7E7856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180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表10 超声提取时间的影响</w:t>
      </w:r>
    </w:p>
    <w:tbl>
      <w:tblPr>
        <w:tblStyle w:val="15"/>
        <w:tblW w:w="410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1163"/>
        <w:gridCol w:w="1290"/>
        <w:gridCol w:w="1419"/>
        <w:gridCol w:w="1420"/>
        <w:gridCol w:w="1423"/>
      </w:tblGrid>
      <w:tr w14:paraId="0CB9D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pct"/>
            <w:tcBorders>
              <w:left w:val="nil"/>
              <w:right w:val="nil"/>
            </w:tcBorders>
            <w:vAlign w:val="center"/>
          </w:tcPr>
          <w:p w14:paraId="07DB4CE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编号</w:t>
            </w:r>
          </w:p>
        </w:tc>
        <w:tc>
          <w:tcPr>
            <w:tcW w:w="775" w:type="pct"/>
            <w:tcBorders>
              <w:left w:val="nil"/>
              <w:right w:val="nil"/>
            </w:tcBorders>
            <w:vAlign w:val="center"/>
          </w:tcPr>
          <w:p w14:paraId="0322866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称样量</w:t>
            </w:r>
          </w:p>
          <w:p w14:paraId="5E8AC54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mg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859" w:type="pct"/>
            <w:tcBorders>
              <w:left w:val="nil"/>
              <w:right w:val="nil"/>
            </w:tcBorders>
            <w:vAlign w:val="center"/>
          </w:tcPr>
          <w:p w14:paraId="0CBF26EA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超声时间</w:t>
            </w:r>
          </w:p>
          <w:p w14:paraId="1C449BA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/>
              </w:rPr>
              <w:t>min</w:t>
            </w: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）</w:t>
            </w:r>
          </w:p>
        </w:tc>
        <w:tc>
          <w:tcPr>
            <w:tcW w:w="945" w:type="pct"/>
            <w:tcBorders>
              <w:left w:val="nil"/>
              <w:right w:val="nil"/>
            </w:tcBorders>
            <w:vAlign w:val="center"/>
          </w:tcPr>
          <w:p w14:paraId="0F1320F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eastAsia="宋体" w:cs="Times New Roman"/>
                <w:color w:val="auto"/>
                <w:kern w:val="0"/>
                <w:lang w:val="zh-TW"/>
              </w:rPr>
              <w:t xml:space="preserve"> </w:t>
            </w:r>
            <w:r>
              <w:rPr>
                <w:rFonts w:hint="eastAsia" w:eastAsia="宋体" w:cs="Times New Roman"/>
                <w:color w:val="auto"/>
                <w:kern w:val="0"/>
              </w:rPr>
              <w:t>常春藤苷C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含量</w:t>
            </w:r>
          </w:p>
          <w:p w14:paraId="6BE392E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946" w:type="pct"/>
            <w:tcBorders>
              <w:left w:val="nil"/>
              <w:right w:val="nil"/>
            </w:tcBorders>
            <w:vAlign w:val="center"/>
          </w:tcPr>
          <w:p w14:paraId="7174442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eastAsia="宋体" w:cs="Times New Roman"/>
                <w:color w:val="auto"/>
                <w:kern w:val="0"/>
                <w:lang w:val="zh-TW"/>
              </w:rPr>
              <w:t xml:space="preserve"> </w:t>
            </w:r>
            <w:r>
              <w:rPr>
                <w:rFonts w:eastAsia="PMingLiU" w:cs="Times New Roman"/>
                <w:color w:val="auto"/>
                <w:kern w:val="0"/>
                <w:lang w:val="zh-TW" w:eastAsia="zh-TW"/>
              </w:rPr>
              <w:t xml:space="preserve"> 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平均含量</w:t>
            </w:r>
          </w:p>
          <w:p w14:paraId="14667CFC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948" w:type="pct"/>
            <w:tcBorders>
              <w:left w:val="nil"/>
              <w:right w:val="nil"/>
            </w:tcBorders>
            <w:vAlign w:val="center"/>
          </w:tcPr>
          <w:p w14:paraId="3AD57EA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RSD</w:t>
            </w:r>
          </w:p>
          <w:p w14:paraId="2B69965B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，</w:t>
            </w:r>
            <w:r>
              <w:rPr>
                <w:rFonts w:eastAsia="宋体" w:cs="Times New Roman"/>
                <w:color w:val="auto"/>
                <w:kern w:val="0"/>
                <w:lang w:val="zh-TW" w:eastAsia="zh-TW"/>
              </w:rPr>
              <w:t>n=6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</w:tr>
      <w:tr w14:paraId="40687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26" w:type="pct"/>
            <w:tcBorders>
              <w:left w:val="nil"/>
              <w:bottom w:val="nil"/>
              <w:right w:val="nil"/>
            </w:tcBorders>
            <w:vAlign w:val="center"/>
          </w:tcPr>
          <w:p w14:paraId="515D4EF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  <w:t>1</w:t>
            </w:r>
          </w:p>
        </w:tc>
        <w:tc>
          <w:tcPr>
            <w:tcW w:w="775" w:type="pct"/>
            <w:tcBorders>
              <w:left w:val="nil"/>
              <w:bottom w:val="nil"/>
              <w:right w:val="nil"/>
            </w:tcBorders>
            <w:vAlign w:val="center"/>
          </w:tcPr>
          <w:p w14:paraId="03AAE53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24.66</w:t>
            </w:r>
          </w:p>
        </w:tc>
        <w:tc>
          <w:tcPr>
            <w:tcW w:w="859" w:type="pct"/>
            <w:tcBorders>
              <w:left w:val="nil"/>
              <w:bottom w:val="nil"/>
              <w:right w:val="nil"/>
            </w:tcBorders>
            <w:vAlign w:val="center"/>
          </w:tcPr>
          <w:p w14:paraId="4E2780FC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10</w:t>
            </w:r>
          </w:p>
        </w:tc>
        <w:tc>
          <w:tcPr>
            <w:tcW w:w="945" w:type="pct"/>
            <w:tcBorders>
              <w:left w:val="nil"/>
              <w:bottom w:val="nil"/>
              <w:right w:val="nil"/>
            </w:tcBorders>
            <w:vAlign w:val="center"/>
          </w:tcPr>
          <w:p w14:paraId="5C8C2ADF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</w:rPr>
              <w:t>10.68</w:t>
            </w:r>
          </w:p>
        </w:tc>
        <w:tc>
          <w:tcPr>
            <w:tcW w:w="946" w:type="pct"/>
            <w:vMerge w:val="restart"/>
            <w:tcBorders>
              <w:left w:val="nil"/>
              <w:right w:val="nil"/>
            </w:tcBorders>
            <w:vAlign w:val="center"/>
          </w:tcPr>
          <w:p w14:paraId="4A208B0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10.66</w:t>
            </w:r>
          </w:p>
        </w:tc>
        <w:tc>
          <w:tcPr>
            <w:tcW w:w="948" w:type="pct"/>
            <w:vMerge w:val="restart"/>
            <w:tcBorders>
              <w:left w:val="nil"/>
              <w:right w:val="nil"/>
            </w:tcBorders>
            <w:vAlign w:val="center"/>
          </w:tcPr>
          <w:p w14:paraId="74D8E8D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0.45</w:t>
            </w:r>
          </w:p>
        </w:tc>
      </w:tr>
      <w:tr w14:paraId="756A5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05B9C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  <w:t>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43B2B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24.92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4EA57C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10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2F4DC1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</w:rPr>
              <w:t>10.62</w:t>
            </w:r>
          </w:p>
        </w:tc>
        <w:tc>
          <w:tcPr>
            <w:tcW w:w="946" w:type="pct"/>
            <w:vMerge w:val="continue"/>
            <w:tcBorders>
              <w:top w:val="nil"/>
              <w:left w:val="nil"/>
              <w:right w:val="nil"/>
            </w:tcBorders>
          </w:tcPr>
          <w:p w14:paraId="749E539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948" w:type="pct"/>
            <w:vMerge w:val="continue"/>
            <w:tcBorders>
              <w:top w:val="nil"/>
              <w:left w:val="nil"/>
              <w:right w:val="nil"/>
            </w:tcBorders>
          </w:tcPr>
          <w:p w14:paraId="78F8A1F6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37AB1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46EE9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  <w:t>3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3CE3C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25.58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FA8ACE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20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ABC7F2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</w:rPr>
              <w:t>10.59</w:t>
            </w:r>
          </w:p>
        </w:tc>
        <w:tc>
          <w:tcPr>
            <w:tcW w:w="946" w:type="pct"/>
            <w:vMerge w:val="continue"/>
            <w:tcBorders>
              <w:top w:val="nil"/>
              <w:left w:val="nil"/>
              <w:right w:val="nil"/>
            </w:tcBorders>
          </w:tcPr>
          <w:p w14:paraId="37848F0A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948" w:type="pct"/>
            <w:vMerge w:val="continue"/>
            <w:tcBorders>
              <w:top w:val="nil"/>
              <w:left w:val="nil"/>
              <w:right w:val="nil"/>
            </w:tcBorders>
          </w:tcPr>
          <w:p w14:paraId="7370564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611E3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C51CA1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  <w:t>4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82C6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25.20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FC0BB7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20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5A29F8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</w:rPr>
              <w:t>10.70</w:t>
            </w:r>
          </w:p>
        </w:tc>
        <w:tc>
          <w:tcPr>
            <w:tcW w:w="946" w:type="pct"/>
            <w:vMerge w:val="continue"/>
            <w:tcBorders>
              <w:top w:val="nil"/>
              <w:left w:val="nil"/>
              <w:right w:val="nil"/>
            </w:tcBorders>
          </w:tcPr>
          <w:p w14:paraId="48AB8A3D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948" w:type="pct"/>
            <w:vMerge w:val="continue"/>
            <w:tcBorders>
              <w:top w:val="nil"/>
              <w:left w:val="nil"/>
              <w:right w:val="nil"/>
            </w:tcBorders>
          </w:tcPr>
          <w:p w14:paraId="77E32C0F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39998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455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  <w:t>5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9E2C1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24.48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F4AFE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30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BCF924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</w:rPr>
              <w:t>10.68</w:t>
            </w:r>
          </w:p>
        </w:tc>
        <w:tc>
          <w:tcPr>
            <w:tcW w:w="946" w:type="pct"/>
            <w:vMerge w:val="continue"/>
            <w:tcBorders>
              <w:top w:val="nil"/>
              <w:left w:val="nil"/>
              <w:right w:val="nil"/>
            </w:tcBorders>
          </w:tcPr>
          <w:p w14:paraId="43B3D102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948" w:type="pct"/>
            <w:vMerge w:val="continue"/>
            <w:tcBorders>
              <w:top w:val="nil"/>
              <w:left w:val="nil"/>
              <w:right w:val="nil"/>
            </w:tcBorders>
          </w:tcPr>
          <w:p w14:paraId="646609F9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  <w:tr w14:paraId="2EA8B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26" w:type="pct"/>
            <w:tcBorders>
              <w:top w:val="nil"/>
              <w:left w:val="nil"/>
              <w:right w:val="nil"/>
            </w:tcBorders>
            <w:vAlign w:val="center"/>
          </w:tcPr>
          <w:p w14:paraId="516604B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sz w:val="22"/>
                <w:szCs w:val="22"/>
                <w:lang w:val="zh-TW" w:eastAsia="zh-TW"/>
              </w:rPr>
              <w:t>6</w:t>
            </w:r>
          </w:p>
        </w:tc>
        <w:tc>
          <w:tcPr>
            <w:tcW w:w="775" w:type="pct"/>
            <w:tcBorders>
              <w:top w:val="nil"/>
              <w:left w:val="nil"/>
              <w:right w:val="nil"/>
            </w:tcBorders>
            <w:vAlign w:val="center"/>
          </w:tcPr>
          <w:p w14:paraId="51CFCB7A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24.67</w:t>
            </w:r>
          </w:p>
        </w:tc>
        <w:tc>
          <w:tcPr>
            <w:tcW w:w="859" w:type="pct"/>
            <w:tcBorders>
              <w:top w:val="nil"/>
              <w:left w:val="nil"/>
              <w:right w:val="nil"/>
            </w:tcBorders>
            <w:vAlign w:val="center"/>
          </w:tcPr>
          <w:p w14:paraId="2BBDEFD9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  <w:lang w:val="zh-TW"/>
              </w:rPr>
              <w:t>30</w:t>
            </w:r>
          </w:p>
        </w:tc>
        <w:tc>
          <w:tcPr>
            <w:tcW w:w="945" w:type="pct"/>
            <w:tcBorders>
              <w:top w:val="nil"/>
              <w:left w:val="nil"/>
              <w:right w:val="nil"/>
            </w:tcBorders>
            <w:vAlign w:val="center"/>
          </w:tcPr>
          <w:p w14:paraId="30A71A38">
            <w:pPr>
              <w:widowControl/>
              <w:jc w:val="center"/>
              <w:textAlignment w:val="center"/>
              <w:rPr>
                <w:color w:val="auto"/>
                <w:kern w:val="0"/>
                <w:szCs w:val="21"/>
                <w:u w:color="000000"/>
                <w:lang w:val="zh-TW"/>
              </w:rPr>
            </w:pPr>
            <w:r>
              <w:rPr>
                <w:rFonts w:hint="eastAsia"/>
                <w:color w:val="auto"/>
                <w:kern w:val="0"/>
                <w:szCs w:val="21"/>
                <w:u w:color="000000"/>
              </w:rPr>
              <w:t>10.71</w:t>
            </w:r>
          </w:p>
        </w:tc>
        <w:tc>
          <w:tcPr>
            <w:tcW w:w="946" w:type="pct"/>
            <w:vMerge w:val="continue"/>
            <w:tcBorders>
              <w:top w:val="nil"/>
              <w:left w:val="nil"/>
              <w:right w:val="nil"/>
            </w:tcBorders>
          </w:tcPr>
          <w:p w14:paraId="10031125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  <w:tc>
          <w:tcPr>
            <w:tcW w:w="948" w:type="pct"/>
            <w:vMerge w:val="continue"/>
            <w:tcBorders>
              <w:top w:val="nil"/>
              <w:left w:val="nil"/>
              <w:right w:val="nil"/>
            </w:tcBorders>
          </w:tcPr>
          <w:p w14:paraId="60B5847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288" w:lineRule="auto"/>
              <w:jc w:val="center"/>
              <w:rPr>
                <w:rFonts w:eastAsia="宋体" w:cs="Times New Roman"/>
                <w:color w:val="auto"/>
                <w:kern w:val="0"/>
                <w:lang w:val="zh-TW" w:eastAsia="zh-TW"/>
              </w:rPr>
            </w:pPr>
          </w:p>
        </w:tc>
      </w:tr>
    </w:tbl>
    <w:p w14:paraId="1A7F7387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105" w:firstLineChars="50"/>
        <w:jc w:val="left"/>
        <w:rPr>
          <w:rFonts w:eastAsia="宋体" w:cs="Times New Roman"/>
          <w:color w:val="auto"/>
          <w:kern w:val="0"/>
        </w:rPr>
      </w:pPr>
      <w:r>
        <w:rPr>
          <w:rFonts w:eastAsia="宋体" w:cs="Times New Roman"/>
          <w:color w:val="auto"/>
        </w:rPr>
        <w:t xml:space="preserve">  </w:t>
      </w:r>
      <w:r>
        <w:rPr>
          <w:rFonts w:hint="eastAsia" w:eastAsia="宋体" w:cs="Times New Roman"/>
          <w:color w:val="auto"/>
          <w:kern w:val="0"/>
        </w:rPr>
        <w:t>表</w:t>
      </w:r>
      <w:r>
        <w:rPr>
          <w:rFonts w:eastAsia="宋体" w:cs="Times New Roman"/>
          <w:color w:val="auto"/>
          <w:kern w:val="0"/>
        </w:rPr>
        <w:t>1</w:t>
      </w:r>
      <w:r>
        <w:rPr>
          <w:rFonts w:hint="eastAsia" w:eastAsia="宋体" w:cs="Times New Roman"/>
          <w:color w:val="auto"/>
          <w:kern w:val="0"/>
        </w:rPr>
        <w:t>0显示，超声时间在</w:t>
      </w:r>
      <w:r>
        <w:rPr>
          <w:rFonts w:eastAsia="宋体" w:cs="Times New Roman"/>
          <w:color w:val="auto"/>
          <w:kern w:val="0"/>
        </w:rPr>
        <w:t>10</w:t>
      </w:r>
      <w:r>
        <w:rPr>
          <w:rFonts w:hint="eastAsia" w:eastAsia="宋体" w:cs="Times New Roman"/>
          <w:color w:val="auto"/>
          <w:kern w:val="0"/>
        </w:rPr>
        <w:t>分钟到</w:t>
      </w:r>
      <w:r>
        <w:rPr>
          <w:rFonts w:eastAsia="宋体" w:cs="Times New Roman"/>
          <w:color w:val="auto"/>
          <w:kern w:val="0"/>
        </w:rPr>
        <w:t>30</w:t>
      </w:r>
      <w:r>
        <w:rPr>
          <w:rFonts w:hint="eastAsia" w:eastAsia="宋体" w:cs="Times New Roman"/>
          <w:color w:val="auto"/>
          <w:kern w:val="0"/>
        </w:rPr>
        <w:t>分钟，检测结果稳定。因此，本标准方法选用超声</w:t>
      </w:r>
      <w:r>
        <w:rPr>
          <w:rFonts w:eastAsia="宋体" w:cs="Times New Roman"/>
          <w:color w:val="auto"/>
          <w:kern w:val="0"/>
        </w:rPr>
        <w:t>30</w:t>
      </w:r>
      <w:r>
        <w:rPr>
          <w:rFonts w:hint="eastAsia" w:eastAsia="宋体" w:cs="Times New Roman"/>
          <w:color w:val="auto"/>
          <w:kern w:val="0"/>
        </w:rPr>
        <w:t>分钟。</w:t>
      </w:r>
      <w:r>
        <w:rPr>
          <w:rFonts w:eastAsia="宋体" w:cs="Times New Roman"/>
          <w:color w:val="auto"/>
        </w:rPr>
        <w:t xml:space="preserve">   </w:t>
      </w:r>
    </w:p>
    <w:p w14:paraId="267FB1B3">
      <w:pPr>
        <w:autoSpaceDE w:val="0"/>
        <w:autoSpaceDN w:val="0"/>
        <w:jc w:val="left"/>
        <w:textAlignment w:val="auto"/>
        <w:rPr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4.1.11</w:t>
      </w:r>
      <w:r>
        <w:rPr>
          <w:rFonts w:hint="eastAsia" w:eastAsia="黑体"/>
          <w:b/>
          <w:bCs/>
          <w:color w:val="auto"/>
          <w:szCs w:val="21"/>
        </w:rPr>
        <w:t xml:space="preserve"> </w:t>
      </w:r>
      <w:r>
        <w:rPr>
          <w:rFonts w:hint="eastAsia"/>
          <w:b/>
          <w:bCs/>
          <w:color w:val="auto"/>
          <w:szCs w:val="21"/>
        </w:rPr>
        <w:t>耐用性试验</w:t>
      </w:r>
    </w:p>
    <w:p w14:paraId="0BD0E796">
      <w:pPr>
        <w:autoSpaceDE w:val="0"/>
        <w:autoSpaceDN w:val="0"/>
        <w:jc w:val="left"/>
        <w:textAlignment w:val="auto"/>
        <w:rPr>
          <w:color w:val="auto"/>
          <w:szCs w:val="21"/>
        </w:rPr>
      </w:pPr>
      <w:r>
        <w:rPr>
          <w:rFonts w:hint="eastAsia"/>
          <w:b/>
          <w:bCs/>
          <w:color w:val="auto"/>
          <w:szCs w:val="21"/>
        </w:rPr>
        <w:t>a） 不同色谱柱的耐用性试验</w:t>
      </w:r>
    </w:p>
    <w:p w14:paraId="68512AE0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rPr>
          <w:rFonts w:eastAsia="宋体" w:cs="Times New Roman"/>
          <w:color w:val="auto"/>
          <w:kern w:val="0"/>
        </w:rPr>
      </w:pPr>
      <w:r>
        <w:rPr>
          <w:rFonts w:hint="eastAsia" w:eastAsia="宋体" w:cs="Times New Roman"/>
          <w:color w:val="auto"/>
          <w:kern w:val="0"/>
        </w:rPr>
        <w:t>取洋常春藤提取物制备</w:t>
      </w:r>
      <w:r>
        <w:rPr>
          <w:rFonts w:eastAsia="宋体" w:cs="Times New Roman"/>
          <w:color w:val="auto"/>
          <w:kern w:val="0"/>
        </w:rPr>
        <w:t>2</w:t>
      </w:r>
      <w:r>
        <w:rPr>
          <w:rFonts w:hint="eastAsia" w:eastAsia="宋体" w:cs="Times New Roman"/>
          <w:color w:val="auto"/>
          <w:kern w:val="0"/>
        </w:rPr>
        <w:t>份供试品溶液，分别采用不同色谱柱，按4.1.</w:t>
      </w:r>
      <w:r>
        <w:rPr>
          <w:rFonts w:eastAsia="宋体" w:cs="Times New Roman"/>
          <w:color w:val="auto"/>
          <w:kern w:val="0"/>
        </w:rPr>
        <w:t>3</w:t>
      </w:r>
      <w:r>
        <w:rPr>
          <w:rFonts w:hint="eastAsia" w:eastAsia="宋体" w:cs="Times New Roman"/>
          <w:color w:val="auto"/>
          <w:kern w:val="0"/>
        </w:rPr>
        <w:t>项下色谱条件分别测定样品的含量，检测结果见表11，不同色谱柱分离效果见图7-9。</w:t>
      </w:r>
    </w:p>
    <w:p w14:paraId="0CE6B4DC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rPr>
          <w:rFonts w:eastAsia="宋体" w:cs="Times New Roman"/>
          <w:color w:val="auto"/>
          <w:kern w:val="0"/>
        </w:rPr>
      </w:pPr>
      <w:r>
        <w:rPr>
          <w:rFonts w:hint="eastAsia" w:eastAsia="宋体" w:cs="Times New Roman"/>
          <w:color w:val="auto"/>
          <w:kern w:val="0"/>
        </w:rPr>
        <w:t>色谱柱信息：</w:t>
      </w:r>
    </w:p>
    <w:p w14:paraId="09B51B77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rPr>
          <w:rFonts w:eastAsia="宋体" w:cs="Times New Roman"/>
          <w:color w:val="auto"/>
          <w:kern w:val="0"/>
        </w:rPr>
      </w:pPr>
      <w:bookmarkStart w:id="1" w:name="OLE_LINK2"/>
      <w:r>
        <w:rPr>
          <w:rFonts w:hint="eastAsia" w:eastAsia="宋体" w:cs="Times New Roman"/>
          <w:color w:val="auto"/>
          <w:kern w:val="0"/>
        </w:rPr>
        <w:t>色谱柱</w:t>
      </w:r>
      <w:r>
        <w:rPr>
          <w:rFonts w:eastAsia="宋体" w:cs="Times New Roman"/>
          <w:color w:val="auto"/>
          <w:kern w:val="0"/>
        </w:rPr>
        <w:t>1</w:t>
      </w:r>
      <w:r>
        <w:rPr>
          <w:rFonts w:hint="eastAsia" w:eastAsia="宋体" w:cs="Times New Roman"/>
          <w:color w:val="auto"/>
          <w:kern w:val="0"/>
        </w:rPr>
        <w:t>：</w:t>
      </w:r>
      <w:r>
        <w:rPr>
          <w:rFonts w:eastAsia="宋体" w:cs="Times New Roman"/>
          <w:color w:val="auto"/>
          <w:kern w:val="0"/>
        </w:rPr>
        <w:t>Ultimate XB-C18</w:t>
      </w:r>
      <w:r>
        <w:rPr>
          <w:rFonts w:hint="eastAsia" w:eastAsia="宋体" w:cs="Times New Roman"/>
          <w:color w:val="auto"/>
          <w:kern w:val="0"/>
        </w:rPr>
        <w:t xml:space="preserve">     </w:t>
      </w:r>
      <w:r>
        <w:rPr>
          <w:rFonts w:eastAsia="宋体" w:cs="Times New Roman"/>
          <w:color w:val="auto"/>
          <w:kern w:val="0"/>
        </w:rPr>
        <w:t>250×4.6mm</w:t>
      </w:r>
      <w:r>
        <w:rPr>
          <w:rFonts w:hint="eastAsia" w:eastAsia="宋体" w:cs="Times New Roman"/>
          <w:color w:val="auto"/>
          <w:kern w:val="0"/>
        </w:rPr>
        <w:t>，</w:t>
      </w:r>
      <w:r>
        <w:rPr>
          <w:rFonts w:cs="Times New Roman"/>
          <w:color w:val="auto"/>
        </w:rPr>
        <w:t>5μm</w:t>
      </w:r>
    </w:p>
    <w:p w14:paraId="03EB58E9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rPr>
          <w:rFonts w:cs="Times New Roman"/>
          <w:color w:val="auto"/>
        </w:rPr>
      </w:pPr>
      <w:r>
        <w:rPr>
          <w:rFonts w:hint="eastAsia" w:eastAsia="宋体" w:cs="Times New Roman"/>
          <w:color w:val="auto"/>
          <w:kern w:val="0"/>
        </w:rPr>
        <w:t>色谱柱</w:t>
      </w:r>
      <w:r>
        <w:rPr>
          <w:rFonts w:eastAsia="宋体" w:cs="Times New Roman"/>
          <w:color w:val="auto"/>
          <w:kern w:val="0"/>
        </w:rPr>
        <w:t>2</w:t>
      </w:r>
      <w:r>
        <w:rPr>
          <w:rFonts w:hint="eastAsia" w:eastAsia="宋体" w:cs="Times New Roman"/>
          <w:color w:val="auto"/>
          <w:kern w:val="0"/>
        </w:rPr>
        <w:t>：</w:t>
      </w:r>
      <w:r>
        <w:rPr>
          <w:rFonts w:eastAsia="宋体" w:cs="Times New Roman"/>
          <w:color w:val="auto"/>
          <w:kern w:val="0"/>
        </w:rPr>
        <w:t>Shim-pack GIST</w:t>
      </w:r>
      <w:r>
        <w:rPr>
          <w:rFonts w:hint="eastAsia" w:eastAsia="宋体" w:cs="Times New Roman"/>
          <w:color w:val="auto"/>
          <w:kern w:val="0"/>
        </w:rPr>
        <w:t xml:space="preserve"> </w:t>
      </w:r>
      <w:r>
        <w:rPr>
          <w:rFonts w:eastAsia="宋体" w:cs="Times New Roman"/>
          <w:color w:val="auto"/>
          <w:kern w:val="0"/>
        </w:rPr>
        <w:t xml:space="preserve">C18  </w:t>
      </w:r>
      <w:bookmarkStart w:id="2" w:name="OLE_LINK3"/>
      <w:r>
        <w:rPr>
          <w:rFonts w:eastAsia="宋体" w:cs="Times New Roman"/>
          <w:color w:val="auto"/>
          <w:kern w:val="0"/>
        </w:rPr>
        <w:t>250×4.6mm</w:t>
      </w:r>
      <w:r>
        <w:rPr>
          <w:rFonts w:hint="eastAsia" w:eastAsia="宋体" w:cs="Times New Roman"/>
          <w:color w:val="auto"/>
          <w:kern w:val="0"/>
        </w:rPr>
        <w:t>，</w:t>
      </w:r>
      <w:r>
        <w:rPr>
          <w:rFonts w:cs="Times New Roman"/>
          <w:color w:val="auto"/>
        </w:rPr>
        <w:t>5μm</w:t>
      </w:r>
      <w:bookmarkEnd w:id="2"/>
    </w:p>
    <w:p w14:paraId="76BE8A5B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rPr>
          <w:rFonts w:eastAsia="黑体" w:cs="Times New Roman"/>
          <w:color w:val="auto"/>
          <w:spacing w:val="12"/>
          <w:kern w:val="0"/>
        </w:rPr>
      </w:pPr>
      <w:r>
        <w:rPr>
          <w:rFonts w:hint="eastAsia" w:eastAsia="宋体" w:cs="Times New Roman"/>
          <w:color w:val="auto"/>
          <w:kern w:val="0"/>
        </w:rPr>
        <w:t>色谱柱3：</w:t>
      </w:r>
      <w:r>
        <w:rPr>
          <w:rFonts w:eastAsia="宋体" w:cs="Times New Roman"/>
          <w:color w:val="auto"/>
          <w:kern w:val="0"/>
        </w:rPr>
        <w:t xml:space="preserve">ChromCore 120 C18  </w:t>
      </w:r>
      <w:r>
        <w:rPr>
          <w:rFonts w:hint="eastAsia" w:eastAsia="宋体" w:cs="Times New Roman"/>
          <w:color w:val="auto"/>
          <w:kern w:val="0"/>
        </w:rPr>
        <w:t xml:space="preserve"> </w:t>
      </w:r>
      <w:r>
        <w:rPr>
          <w:rFonts w:eastAsia="宋体" w:cs="Times New Roman"/>
          <w:color w:val="auto"/>
          <w:kern w:val="0"/>
        </w:rPr>
        <w:t>250×4.6mm</w:t>
      </w:r>
      <w:r>
        <w:rPr>
          <w:rFonts w:hint="eastAsia" w:eastAsia="宋体" w:cs="Times New Roman"/>
          <w:color w:val="auto"/>
          <w:kern w:val="0"/>
        </w:rPr>
        <w:t>，</w:t>
      </w:r>
      <w:r>
        <w:rPr>
          <w:rFonts w:cs="Times New Roman"/>
          <w:color w:val="auto"/>
        </w:rPr>
        <w:t>5μm</w:t>
      </w:r>
    </w:p>
    <w:bookmarkEnd w:id="1"/>
    <w:p w14:paraId="06CEA93E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3053" w:firstLineChars="1300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表11　不同色谱柱对含量测定的影响</w:t>
      </w:r>
    </w:p>
    <w:tbl>
      <w:tblPr>
        <w:tblStyle w:val="15"/>
        <w:tblW w:w="338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1"/>
        <w:gridCol w:w="1656"/>
        <w:gridCol w:w="1656"/>
        <w:gridCol w:w="1390"/>
      </w:tblGrid>
      <w:tr w14:paraId="29C12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pct"/>
            <w:tcBorders>
              <w:left w:val="nil"/>
              <w:right w:val="nil"/>
            </w:tcBorders>
            <w:vAlign w:val="center"/>
          </w:tcPr>
          <w:p w14:paraId="413F5D7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黑体" w:cs="Times New Roman"/>
                <w:color w:val="auto"/>
                <w:spacing w:val="12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/>
              </w:rPr>
              <w:t>色谱柱类型</w:t>
            </w:r>
          </w:p>
        </w:tc>
        <w:tc>
          <w:tcPr>
            <w:tcW w:w="1337" w:type="pct"/>
            <w:tcBorders>
              <w:left w:val="nil"/>
              <w:right w:val="nil"/>
            </w:tcBorders>
            <w:vAlign w:val="center"/>
          </w:tcPr>
          <w:p w14:paraId="36F1123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样品称样量</w:t>
            </w:r>
          </w:p>
          <w:p w14:paraId="5955ABF7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黑体" w:cs="Times New Roman"/>
                <w:color w:val="auto"/>
                <w:spacing w:val="12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</w:rPr>
              <w:t>mg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337" w:type="pct"/>
            <w:tcBorders>
              <w:left w:val="nil"/>
              <w:right w:val="nil"/>
            </w:tcBorders>
            <w:vAlign w:val="center"/>
          </w:tcPr>
          <w:p w14:paraId="46B2FB98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</w:rPr>
              <w:t>常春藤苷C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含量</w:t>
            </w:r>
          </w:p>
          <w:p w14:paraId="5B6AE064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黑体" w:cs="Times New Roman"/>
                <w:color w:val="auto"/>
                <w:spacing w:val="12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  <w:tc>
          <w:tcPr>
            <w:tcW w:w="1122" w:type="pct"/>
            <w:tcBorders>
              <w:left w:val="nil"/>
              <w:right w:val="nil"/>
            </w:tcBorders>
            <w:vAlign w:val="center"/>
          </w:tcPr>
          <w:p w14:paraId="2E2F44EE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PMingLiU" w:cs="Times New Roman"/>
                <w:color w:val="auto"/>
                <w:kern w:val="0"/>
                <w:lang w:val="zh-TW" w:eastAsia="zh-TW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平均含量</w:t>
            </w:r>
          </w:p>
          <w:p w14:paraId="667427D0">
            <w:pPr>
              <w:pStyle w:val="49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djustRightInd w:val="0"/>
              <w:jc w:val="center"/>
              <w:rPr>
                <w:rFonts w:eastAsia="黑体" w:cs="Times New Roman"/>
                <w:color w:val="auto"/>
                <w:spacing w:val="12"/>
                <w:kern w:val="0"/>
              </w:rPr>
            </w:pP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（</w:t>
            </w:r>
            <w:r>
              <w:rPr>
                <w:rFonts w:eastAsia="宋体" w:cs="Times New Roman"/>
                <w:color w:val="auto"/>
                <w:kern w:val="0"/>
              </w:rPr>
              <w:t>%</w:t>
            </w:r>
            <w:r>
              <w:rPr>
                <w:rFonts w:hint="eastAsia" w:eastAsia="宋体" w:cs="Times New Roman"/>
                <w:color w:val="auto"/>
                <w:kern w:val="0"/>
                <w:lang w:val="zh-TW" w:eastAsia="zh-TW"/>
              </w:rPr>
              <w:t>）</w:t>
            </w:r>
          </w:p>
        </w:tc>
      </w:tr>
      <w:tr w14:paraId="16942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204" w:type="pct"/>
            <w:vMerge w:val="restart"/>
            <w:tcBorders>
              <w:left w:val="nil"/>
              <w:right w:val="nil"/>
            </w:tcBorders>
            <w:vAlign w:val="center"/>
          </w:tcPr>
          <w:p w14:paraId="7116F5C8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色谱柱</w:t>
            </w:r>
            <w:r>
              <w:rPr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337" w:type="pct"/>
            <w:tcBorders>
              <w:left w:val="nil"/>
              <w:bottom w:val="nil"/>
              <w:right w:val="nil"/>
            </w:tcBorders>
          </w:tcPr>
          <w:p w14:paraId="18DFF3A4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23.52</w:t>
            </w:r>
          </w:p>
        </w:tc>
        <w:tc>
          <w:tcPr>
            <w:tcW w:w="1337" w:type="pct"/>
            <w:tcBorders>
              <w:left w:val="nil"/>
              <w:bottom w:val="nil"/>
              <w:right w:val="nil"/>
            </w:tcBorders>
            <w:vAlign w:val="center"/>
          </w:tcPr>
          <w:p w14:paraId="6292A95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10.63</w:t>
            </w:r>
          </w:p>
        </w:tc>
        <w:tc>
          <w:tcPr>
            <w:tcW w:w="1122" w:type="pct"/>
            <w:vMerge w:val="restart"/>
            <w:tcBorders>
              <w:left w:val="nil"/>
              <w:right w:val="nil"/>
            </w:tcBorders>
            <w:vAlign w:val="center"/>
          </w:tcPr>
          <w:p w14:paraId="2F76D1A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10.67</w:t>
            </w:r>
          </w:p>
        </w:tc>
      </w:tr>
      <w:tr w14:paraId="5B1A2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04" w:type="pct"/>
            <w:vMerge w:val="continue"/>
            <w:tcBorders>
              <w:left w:val="nil"/>
              <w:right w:val="nil"/>
            </w:tcBorders>
            <w:vAlign w:val="center"/>
          </w:tcPr>
          <w:p w14:paraId="4C46E1E9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</w:p>
        </w:tc>
        <w:tc>
          <w:tcPr>
            <w:tcW w:w="1337" w:type="pct"/>
            <w:tcBorders>
              <w:top w:val="nil"/>
              <w:left w:val="nil"/>
              <w:right w:val="nil"/>
            </w:tcBorders>
          </w:tcPr>
          <w:p w14:paraId="56557FD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25.67</w:t>
            </w:r>
          </w:p>
        </w:tc>
        <w:tc>
          <w:tcPr>
            <w:tcW w:w="1337" w:type="pct"/>
            <w:tcBorders>
              <w:top w:val="nil"/>
              <w:left w:val="nil"/>
              <w:right w:val="nil"/>
            </w:tcBorders>
            <w:vAlign w:val="center"/>
          </w:tcPr>
          <w:p w14:paraId="29160691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10.71</w:t>
            </w:r>
          </w:p>
        </w:tc>
        <w:tc>
          <w:tcPr>
            <w:tcW w:w="1122" w:type="pct"/>
            <w:vMerge w:val="continue"/>
            <w:tcBorders>
              <w:left w:val="nil"/>
              <w:right w:val="nil"/>
            </w:tcBorders>
            <w:vAlign w:val="center"/>
          </w:tcPr>
          <w:p w14:paraId="4D06A9A3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</w:p>
        </w:tc>
      </w:tr>
      <w:tr w14:paraId="66214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04" w:type="pct"/>
            <w:vMerge w:val="restart"/>
            <w:tcBorders>
              <w:left w:val="nil"/>
              <w:right w:val="nil"/>
            </w:tcBorders>
            <w:vAlign w:val="center"/>
          </w:tcPr>
          <w:p w14:paraId="1504E9F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色谱柱</w:t>
            </w:r>
            <w:r>
              <w:rPr>
                <w:color w:val="auto"/>
                <w:kern w:val="0"/>
                <w:szCs w:val="21"/>
                <w:lang w:bidi="ar"/>
              </w:rPr>
              <w:t>2</w:t>
            </w:r>
          </w:p>
        </w:tc>
        <w:tc>
          <w:tcPr>
            <w:tcW w:w="1337" w:type="pct"/>
            <w:tcBorders>
              <w:left w:val="nil"/>
              <w:bottom w:val="nil"/>
              <w:right w:val="nil"/>
            </w:tcBorders>
          </w:tcPr>
          <w:p w14:paraId="78903444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24.82</w:t>
            </w:r>
          </w:p>
        </w:tc>
        <w:tc>
          <w:tcPr>
            <w:tcW w:w="1337" w:type="pct"/>
            <w:tcBorders>
              <w:left w:val="nil"/>
              <w:bottom w:val="nil"/>
              <w:right w:val="nil"/>
            </w:tcBorders>
            <w:vAlign w:val="center"/>
          </w:tcPr>
          <w:p w14:paraId="4F3213DB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10.58</w:t>
            </w:r>
          </w:p>
        </w:tc>
        <w:tc>
          <w:tcPr>
            <w:tcW w:w="1122" w:type="pct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4F309BD7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10.61</w:t>
            </w:r>
          </w:p>
        </w:tc>
      </w:tr>
      <w:tr w14:paraId="145BF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04" w:type="pct"/>
            <w:vMerge w:val="continue"/>
            <w:tcBorders>
              <w:left w:val="nil"/>
              <w:bottom w:val="single" w:color="auto" w:sz="4" w:space="0"/>
              <w:right w:val="nil"/>
            </w:tcBorders>
            <w:vAlign w:val="center"/>
          </w:tcPr>
          <w:p w14:paraId="24CCDE77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627F53A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24.61</w:t>
            </w:r>
          </w:p>
        </w:tc>
        <w:tc>
          <w:tcPr>
            <w:tcW w:w="1337" w:type="pct"/>
            <w:tcBorders>
              <w:top w:val="nil"/>
              <w:left w:val="nil"/>
              <w:right w:val="nil"/>
            </w:tcBorders>
            <w:vAlign w:val="center"/>
          </w:tcPr>
          <w:p w14:paraId="49B8C7AB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10.64</w:t>
            </w:r>
          </w:p>
        </w:tc>
        <w:tc>
          <w:tcPr>
            <w:tcW w:w="1122" w:type="pct"/>
            <w:vMerge w:val="continue"/>
            <w:tcBorders>
              <w:top w:val="nil"/>
              <w:left w:val="nil"/>
              <w:right w:val="nil"/>
            </w:tcBorders>
            <w:vAlign w:val="center"/>
          </w:tcPr>
          <w:p w14:paraId="50D0C615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</w:p>
        </w:tc>
      </w:tr>
      <w:tr w14:paraId="454BC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04" w:type="pct"/>
            <w:vMerge w:val="restart"/>
            <w:tcBorders>
              <w:left w:val="nil"/>
              <w:right w:val="nil"/>
            </w:tcBorders>
            <w:vAlign w:val="center"/>
          </w:tcPr>
          <w:p w14:paraId="2730B41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色谱柱</w:t>
            </w:r>
            <w:r>
              <w:rPr>
                <w:color w:val="auto"/>
                <w:kern w:val="0"/>
                <w:szCs w:val="21"/>
                <w:lang w:bidi="ar"/>
              </w:rPr>
              <w:t>3</w:t>
            </w:r>
          </w:p>
        </w:tc>
        <w:tc>
          <w:tcPr>
            <w:tcW w:w="1337" w:type="pct"/>
            <w:tcBorders>
              <w:left w:val="nil"/>
              <w:bottom w:val="nil"/>
              <w:right w:val="nil"/>
            </w:tcBorders>
          </w:tcPr>
          <w:p w14:paraId="1278E059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25.56</w:t>
            </w:r>
          </w:p>
        </w:tc>
        <w:tc>
          <w:tcPr>
            <w:tcW w:w="1337" w:type="pct"/>
            <w:tcBorders>
              <w:left w:val="nil"/>
              <w:bottom w:val="nil"/>
              <w:right w:val="nil"/>
            </w:tcBorders>
            <w:vAlign w:val="center"/>
          </w:tcPr>
          <w:p w14:paraId="42436696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10.75</w:t>
            </w:r>
          </w:p>
        </w:tc>
        <w:tc>
          <w:tcPr>
            <w:tcW w:w="1122" w:type="pct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2EC3616F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10.72</w:t>
            </w:r>
          </w:p>
        </w:tc>
      </w:tr>
      <w:tr w14:paraId="502D2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04" w:type="pct"/>
            <w:vMerge w:val="continue"/>
            <w:tcBorders>
              <w:left w:val="nil"/>
              <w:right w:val="nil"/>
            </w:tcBorders>
            <w:vAlign w:val="center"/>
          </w:tcPr>
          <w:p w14:paraId="07FDB0AB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2A6F46D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25.77</w:t>
            </w:r>
          </w:p>
        </w:tc>
        <w:tc>
          <w:tcPr>
            <w:tcW w:w="1337" w:type="pct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09FCB0B2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10.70</w:t>
            </w:r>
          </w:p>
        </w:tc>
        <w:tc>
          <w:tcPr>
            <w:tcW w:w="1122" w:type="pct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3E135E4D">
            <w:pPr>
              <w:widowControl/>
              <w:ind w:firstLine="210" w:firstLineChars="100"/>
              <w:jc w:val="center"/>
              <w:textAlignment w:val="center"/>
              <w:rPr>
                <w:color w:val="auto"/>
                <w:kern w:val="0"/>
                <w:szCs w:val="21"/>
                <w:lang w:val="zh-TW" w:bidi="ar"/>
              </w:rPr>
            </w:pPr>
          </w:p>
        </w:tc>
      </w:tr>
    </w:tbl>
    <w:p w14:paraId="6E9638D3">
      <w:pPr>
        <w:widowControl/>
        <w:ind w:firstLine="210" w:firstLineChars="100"/>
        <w:jc w:val="center"/>
        <w:textAlignment w:val="center"/>
        <w:rPr>
          <w:color w:val="auto"/>
          <w:kern w:val="0"/>
          <w:szCs w:val="21"/>
          <w:lang w:bidi="ar"/>
        </w:rPr>
      </w:pPr>
    </w:p>
    <w:p w14:paraId="140EFBA7">
      <w:pPr>
        <w:widowControl/>
        <w:snapToGrid w:val="0"/>
        <w:spacing w:after="200" w:line="220" w:lineRule="atLeast"/>
        <w:jc w:val="center"/>
        <w:textAlignment w:val="auto"/>
        <w:rPr>
          <w:rFonts w:eastAsia="微软雅黑"/>
          <w:color w:val="auto"/>
          <w:kern w:val="0"/>
          <w:szCs w:val="21"/>
        </w:rPr>
      </w:pPr>
      <w:r>
        <w:rPr>
          <w:color w:val="auto"/>
        </w:rPr>
        <w:drawing>
          <wp:inline distT="0" distB="0" distL="0" distR="0">
            <wp:extent cx="5810250" cy="1972945"/>
            <wp:effectExtent l="0" t="0" r="0" b="8255"/>
            <wp:docPr id="87123607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1236075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666B3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jc w:val="center"/>
        <w:rPr>
          <w:rFonts w:eastAsia="微软雅黑"/>
          <w:b/>
          <w:bCs/>
          <w:color w:val="auto"/>
          <w:kern w:val="0"/>
        </w:rPr>
      </w:pPr>
      <w:r>
        <w:rPr>
          <w:rFonts w:hint="eastAsia"/>
          <w:b/>
          <w:bCs/>
          <w:color w:val="auto"/>
          <w:kern w:val="0"/>
        </w:rPr>
        <w:t>图7</w:t>
      </w:r>
      <w:r>
        <w:rPr>
          <w:b/>
          <w:bCs/>
          <w:color w:val="auto"/>
          <w:kern w:val="0"/>
        </w:rPr>
        <w:t xml:space="preserve"> </w:t>
      </w:r>
      <w:r>
        <w:rPr>
          <w:rFonts w:hint="eastAsia"/>
          <w:b/>
          <w:bCs/>
          <w:color w:val="auto"/>
          <w:kern w:val="0"/>
        </w:rPr>
        <w:t>色谱柱</w:t>
      </w:r>
      <w:r>
        <w:rPr>
          <w:b/>
          <w:bCs/>
          <w:color w:val="auto"/>
          <w:kern w:val="0"/>
        </w:rPr>
        <w:t>1</w:t>
      </w:r>
      <w:r>
        <w:rPr>
          <w:rFonts w:hint="eastAsia"/>
          <w:b/>
          <w:bCs/>
          <w:color w:val="auto"/>
          <w:kern w:val="0"/>
        </w:rPr>
        <w:t>（</w:t>
      </w:r>
      <w:r>
        <w:rPr>
          <w:rFonts w:eastAsia="宋体" w:cs="Times New Roman"/>
          <w:b/>
          <w:bCs/>
          <w:color w:val="auto"/>
          <w:kern w:val="0"/>
        </w:rPr>
        <w:t>Ultimate XB-C18  250×4.6mm</w:t>
      </w:r>
      <w:r>
        <w:rPr>
          <w:rFonts w:hint="eastAsia" w:eastAsia="宋体" w:cs="Times New Roman"/>
          <w:b/>
          <w:bCs/>
          <w:color w:val="auto"/>
          <w:kern w:val="0"/>
        </w:rPr>
        <w:t>，</w:t>
      </w:r>
      <w:r>
        <w:rPr>
          <w:rFonts w:cs="Times New Roman"/>
          <w:b/>
          <w:bCs/>
          <w:color w:val="auto"/>
        </w:rPr>
        <w:t>5μm</w:t>
      </w:r>
      <w:r>
        <w:rPr>
          <w:rFonts w:hint="eastAsia"/>
          <w:b/>
          <w:bCs/>
          <w:color w:val="auto"/>
          <w:kern w:val="0"/>
        </w:rPr>
        <w:t>）色谱图</w:t>
      </w:r>
    </w:p>
    <w:p w14:paraId="672E9CBE">
      <w:pPr>
        <w:widowControl/>
        <w:snapToGrid w:val="0"/>
        <w:spacing w:after="200" w:line="220" w:lineRule="atLeast"/>
        <w:jc w:val="center"/>
        <w:textAlignment w:val="auto"/>
        <w:rPr>
          <w:rFonts w:eastAsia="微软雅黑"/>
          <w:color w:val="auto"/>
          <w:kern w:val="0"/>
          <w:szCs w:val="21"/>
        </w:rPr>
      </w:pPr>
      <w:r>
        <w:rPr>
          <w:color w:val="auto"/>
        </w:rPr>
        <w:drawing>
          <wp:inline distT="0" distB="0" distL="0" distR="0">
            <wp:extent cx="5810250" cy="1982470"/>
            <wp:effectExtent l="0" t="0" r="0" b="0"/>
            <wp:docPr id="11059970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997031" name="图片 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1982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AE321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djustRightInd w:val="0"/>
        <w:spacing w:line="360" w:lineRule="auto"/>
        <w:ind w:firstLine="450"/>
        <w:jc w:val="center"/>
        <w:rPr>
          <w:b/>
          <w:bCs/>
          <w:color w:val="auto"/>
          <w:kern w:val="0"/>
        </w:rPr>
      </w:pPr>
      <w:r>
        <w:rPr>
          <w:rFonts w:hint="eastAsia"/>
          <w:b/>
          <w:bCs/>
          <w:color w:val="auto"/>
          <w:kern w:val="0"/>
        </w:rPr>
        <w:t>图8</w:t>
      </w:r>
      <w:r>
        <w:rPr>
          <w:b/>
          <w:bCs/>
          <w:color w:val="auto"/>
          <w:kern w:val="0"/>
        </w:rPr>
        <w:t xml:space="preserve"> </w:t>
      </w:r>
      <w:r>
        <w:rPr>
          <w:rFonts w:hint="eastAsia"/>
          <w:b/>
          <w:bCs/>
          <w:color w:val="auto"/>
          <w:kern w:val="0"/>
        </w:rPr>
        <w:t>色谱柱</w:t>
      </w:r>
      <w:r>
        <w:rPr>
          <w:b/>
          <w:bCs/>
          <w:color w:val="auto"/>
          <w:kern w:val="0"/>
        </w:rPr>
        <w:t>2</w:t>
      </w:r>
      <w:r>
        <w:rPr>
          <w:rFonts w:hint="eastAsia"/>
          <w:b/>
          <w:bCs/>
          <w:color w:val="auto"/>
          <w:kern w:val="0"/>
        </w:rPr>
        <w:t>（</w:t>
      </w:r>
      <w:r>
        <w:rPr>
          <w:rFonts w:eastAsia="宋体" w:cs="Times New Roman"/>
          <w:b/>
          <w:bCs/>
          <w:color w:val="auto"/>
          <w:kern w:val="0"/>
        </w:rPr>
        <w:t>Shim-pack GIST</w:t>
      </w:r>
      <w:r>
        <w:rPr>
          <w:rFonts w:hint="eastAsia" w:eastAsia="宋体" w:cs="Times New Roman"/>
          <w:b/>
          <w:bCs/>
          <w:color w:val="auto"/>
          <w:kern w:val="0"/>
        </w:rPr>
        <w:t xml:space="preserve"> </w:t>
      </w:r>
      <w:r>
        <w:rPr>
          <w:rFonts w:eastAsia="宋体" w:cs="Times New Roman"/>
          <w:b/>
          <w:bCs/>
          <w:color w:val="auto"/>
          <w:kern w:val="0"/>
        </w:rPr>
        <w:t>C18</w:t>
      </w:r>
      <w:r>
        <w:rPr>
          <w:rFonts w:hint="eastAsia"/>
          <w:b/>
          <w:bCs/>
          <w:color w:val="auto"/>
          <w:kern w:val="0"/>
        </w:rPr>
        <w:t xml:space="preserve">  250×4.6mm，5μm）色谱图</w:t>
      </w:r>
    </w:p>
    <w:p w14:paraId="1B38606E">
      <w:pPr>
        <w:widowControl/>
        <w:snapToGrid w:val="0"/>
        <w:spacing w:after="200" w:line="220" w:lineRule="atLeast"/>
        <w:jc w:val="center"/>
        <w:textAlignment w:val="auto"/>
        <w:rPr>
          <w:rFonts w:eastAsia="微软雅黑"/>
          <w:color w:val="auto"/>
          <w:kern w:val="0"/>
          <w:szCs w:val="21"/>
        </w:rPr>
      </w:pPr>
      <w:r>
        <w:rPr>
          <w:color w:val="auto"/>
        </w:rPr>
        <w:drawing>
          <wp:inline distT="0" distB="0" distL="0" distR="0">
            <wp:extent cx="5810250" cy="1990725"/>
            <wp:effectExtent l="0" t="0" r="0" b="9525"/>
            <wp:docPr id="18362251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6225114" name="图片 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E444E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450"/>
        <w:jc w:val="center"/>
        <w:rPr>
          <w:rFonts w:eastAsia="宋体" w:cs="Times New Roman"/>
          <w:b/>
          <w:bCs/>
          <w:color w:val="auto"/>
          <w:kern w:val="0"/>
        </w:rPr>
      </w:pPr>
      <w:r>
        <w:rPr>
          <w:rFonts w:hint="eastAsia" w:ascii="微软雅黑" w:hAnsi="微软雅黑" w:eastAsia="微软雅黑" w:cs="微软雅黑"/>
          <w:b/>
          <w:bCs/>
          <w:color w:val="auto"/>
          <w:kern w:val="0"/>
        </w:rPr>
        <w:t>图</w:t>
      </w:r>
      <w:r>
        <w:rPr>
          <w:rFonts w:hint="eastAsia"/>
          <w:b/>
          <w:bCs/>
          <w:color w:val="auto"/>
          <w:kern w:val="0"/>
        </w:rPr>
        <w:t>9</w:t>
      </w:r>
      <w:r>
        <w:rPr>
          <w:b/>
          <w:bCs/>
          <w:color w:val="auto"/>
          <w:kern w:val="0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color w:val="auto"/>
          <w:kern w:val="0"/>
        </w:rPr>
        <w:t>色谱柱</w:t>
      </w:r>
      <w:r>
        <w:rPr>
          <w:rFonts w:hint="eastAsia"/>
          <w:b/>
          <w:bCs/>
          <w:color w:val="auto"/>
          <w:kern w:val="0"/>
        </w:rPr>
        <w:t>3</w:t>
      </w:r>
      <w:r>
        <w:rPr>
          <w:rFonts w:hint="eastAsia" w:eastAsia="宋体" w:cs="Times New Roman"/>
          <w:b/>
          <w:bCs/>
          <w:color w:val="auto"/>
          <w:kern w:val="0"/>
        </w:rPr>
        <w:t>（</w:t>
      </w:r>
      <w:r>
        <w:rPr>
          <w:rFonts w:eastAsia="宋体" w:cs="Times New Roman"/>
          <w:b/>
          <w:bCs/>
          <w:color w:val="auto"/>
          <w:kern w:val="0"/>
        </w:rPr>
        <w:t>ChromCore 120 C18</w:t>
      </w:r>
      <w:r>
        <w:rPr>
          <w:rFonts w:hint="eastAsia" w:eastAsia="宋体" w:cs="Times New Roman"/>
          <w:b/>
          <w:bCs/>
          <w:color w:val="auto"/>
          <w:kern w:val="0"/>
        </w:rPr>
        <w:t xml:space="preserve">  250×4.6mm</w:t>
      </w:r>
      <w:r>
        <w:rPr>
          <w:rFonts w:hint="eastAsia"/>
          <w:b/>
          <w:bCs/>
          <w:color w:val="auto"/>
          <w:kern w:val="0"/>
        </w:rPr>
        <w:t>，5μm</w:t>
      </w:r>
      <w:r>
        <w:rPr>
          <w:rFonts w:hint="eastAsia" w:eastAsia="宋体" w:cs="Times New Roman"/>
          <w:b/>
          <w:bCs/>
          <w:color w:val="auto"/>
          <w:kern w:val="0"/>
        </w:rPr>
        <w:t>）</w:t>
      </w:r>
      <w:r>
        <w:rPr>
          <w:rFonts w:hint="eastAsia"/>
          <w:b/>
          <w:bCs/>
          <w:color w:val="auto"/>
          <w:kern w:val="0"/>
        </w:rPr>
        <w:t>色谱图</w:t>
      </w:r>
    </w:p>
    <w:p w14:paraId="1AAF5029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ind w:firstLine="210" w:firstLineChars="100"/>
        <w:rPr>
          <w:rFonts w:eastAsia="宋体" w:cs="Times New Roman"/>
          <w:color w:val="auto"/>
          <w:kern w:val="0"/>
        </w:rPr>
      </w:pPr>
      <w:r>
        <w:rPr>
          <w:rFonts w:hint="eastAsia" w:eastAsia="宋体" w:cs="Times New Roman"/>
          <w:color w:val="auto"/>
          <w:kern w:val="0"/>
        </w:rPr>
        <w:t>表11及图7-9 显示，三种不同色谱柱测定结果一致，三种不同色谱柱均可有效分离常春藤苷C成分。因此，本标准方法中色谱柱选用十八烷基键合硅胶柱（</w:t>
      </w:r>
      <w:r>
        <w:rPr>
          <w:rFonts w:eastAsia="宋体" w:cs="Times New Roman"/>
          <w:color w:val="auto"/>
          <w:kern w:val="0"/>
        </w:rPr>
        <w:t>250mm×4.6mm</w:t>
      </w:r>
      <w:r>
        <w:rPr>
          <w:rFonts w:hint="eastAsia" w:eastAsia="宋体" w:cs="Times New Roman"/>
          <w:color w:val="auto"/>
          <w:kern w:val="0"/>
        </w:rPr>
        <w:t>，</w:t>
      </w:r>
      <w:r>
        <w:rPr>
          <w:rFonts w:eastAsia="宋体" w:cs="Times New Roman"/>
          <w:color w:val="auto"/>
          <w:kern w:val="0"/>
        </w:rPr>
        <w:t>5μm</w:t>
      </w:r>
      <w:r>
        <w:rPr>
          <w:rFonts w:hint="eastAsia" w:eastAsia="宋体" w:cs="Times New Roman"/>
          <w:color w:val="auto"/>
          <w:kern w:val="0"/>
        </w:rPr>
        <w:t>）。</w:t>
      </w:r>
    </w:p>
    <w:p w14:paraId="52A2F6FB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rPr>
          <w:rFonts w:cs="Times New Roman"/>
          <w:color w:val="auto"/>
        </w:rPr>
      </w:pPr>
      <w:r>
        <w:rPr>
          <w:rFonts w:hint="eastAsia" w:eastAsia="黑体" w:cs="Times New Roman"/>
          <w:b/>
          <w:color w:val="auto"/>
        </w:rPr>
        <w:t>4.1.12</w:t>
      </w:r>
      <w:r>
        <w:rPr>
          <w:rFonts w:hint="eastAsia" w:eastAsia="黑体" w:cs="Times New Roman"/>
          <w:b/>
          <w:bCs/>
          <w:color w:val="auto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</w:rPr>
        <w:t xml:space="preserve">样品测定 </w:t>
      </w:r>
    </w:p>
    <w:p w14:paraId="50E9DCF7">
      <w:pPr>
        <w:autoSpaceDE w:val="0"/>
        <w:autoSpaceDN w:val="0"/>
        <w:ind w:firstLine="420" w:firstLineChars="200"/>
        <w:jc w:val="left"/>
        <w:textAlignment w:val="auto"/>
        <w:rPr>
          <w:color w:val="auto"/>
          <w:szCs w:val="21"/>
        </w:rPr>
      </w:pPr>
      <w:r>
        <w:rPr>
          <w:rFonts w:hint="eastAsia"/>
          <w:color w:val="auto"/>
          <w:kern w:val="0"/>
          <w:szCs w:val="21"/>
        </w:rPr>
        <w:t>取本品制备供试品溶液，按照4.1.3项下色谱条件测定，精密量取</w:t>
      </w:r>
      <w:r>
        <w:rPr>
          <w:color w:val="auto"/>
          <w:kern w:val="0"/>
          <w:szCs w:val="21"/>
        </w:rPr>
        <w:t>10μL</w:t>
      </w:r>
      <w:r>
        <w:rPr>
          <w:rFonts w:hint="eastAsia"/>
          <w:color w:val="auto"/>
          <w:kern w:val="0"/>
          <w:szCs w:val="21"/>
        </w:rPr>
        <w:t>，注入液相色谱仪，记录色谱图。另取常春藤苷C对照品制备的对照品溶液，同法测定，按4.1.5项下公式计算，即得。</w:t>
      </w:r>
    </w:p>
    <w:p w14:paraId="36CECB25">
      <w:pPr>
        <w:ind w:firstLine="480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>洋常春藤提取物常春藤苷C含量测定结果见下表12。</w:t>
      </w:r>
    </w:p>
    <w:p w14:paraId="365414FF">
      <w:pPr>
        <w:jc w:val="center"/>
        <w:rPr>
          <w:rFonts w:hint="eastAsia" w:ascii="宋体" w:hAnsi="宋体" w:cs="宋体"/>
          <w:b/>
          <w:bCs/>
          <w:color w:val="auto"/>
          <w:kern w:val="0"/>
          <w:szCs w:val="21"/>
        </w:rPr>
      </w:pPr>
      <w:r>
        <w:rPr>
          <w:rFonts w:hint="eastAsia" w:ascii="宋体" w:hAnsi="宋体" w:cs="宋体"/>
          <w:b/>
          <w:bCs/>
          <w:color w:val="auto"/>
          <w:spacing w:val="12"/>
          <w:kern w:val="0"/>
          <w:szCs w:val="21"/>
        </w:rPr>
        <w:t>表12 洋常春藤提取物常春藤苷C含量测定结果</w:t>
      </w:r>
    </w:p>
    <w:tbl>
      <w:tblPr>
        <w:tblStyle w:val="15"/>
        <w:tblW w:w="3798" w:type="pct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97"/>
        <w:gridCol w:w="2461"/>
        <w:gridCol w:w="2192"/>
      </w:tblGrid>
      <w:tr w14:paraId="33591AC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97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52B64A3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2461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3649CFB6">
            <w:pPr>
              <w:tabs>
                <w:tab w:val="left" w:pos="648"/>
              </w:tabs>
              <w:autoSpaceDE w:val="0"/>
              <w:autoSpaceDN w:val="0"/>
              <w:spacing w:line="240" w:lineRule="auto"/>
              <w:ind w:left="286" w:hanging="285" w:hangingChars="136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</w:p>
        </w:tc>
        <w:tc>
          <w:tcPr>
            <w:tcW w:w="2192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48B247A4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常春藤苷C含量（</w:t>
            </w:r>
            <w:r>
              <w:rPr>
                <w:color w:val="auto"/>
                <w:kern w:val="0"/>
                <w:szCs w:val="21"/>
              </w:rPr>
              <w:t>%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</w:tr>
      <w:tr w14:paraId="333A19A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single" w:color="auto" w:sz="6" w:space="0"/>
              <w:bottom w:val="nil"/>
            </w:tcBorders>
            <w:vAlign w:val="center"/>
          </w:tcPr>
          <w:p w14:paraId="7C63F3E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single" w:color="auto" w:sz="6" w:space="0"/>
              <w:bottom w:val="nil"/>
            </w:tcBorders>
            <w:vAlign w:val="center"/>
          </w:tcPr>
          <w:p w14:paraId="219152BE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2192" w:type="dxa"/>
            <w:tcBorders>
              <w:top w:val="single" w:color="auto" w:sz="6" w:space="0"/>
              <w:bottom w:val="nil"/>
            </w:tcBorders>
            <w:vAlign w:val="center"/>
          </w:tcPr>
          <w:p w14:paraId="5F200AE1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10.69</w:t>
            </w:r>
          </w:p>
        </w:tc>
      </w:tr>
      <w:tr w14:paraId="0BE9785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56F64354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4081C17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4CE6A9F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11.35</w:t>
            </w:r>
          </w:p>
        </w:tc>
      </w:tr>
      <w:tr w14:paraId="4ED602A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16BB36D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2733B2A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055923E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11.12</w:t>
            </w:r>
          </w:p>
        </w:tc>
      </w:tr>
      <w:tr w14:paraId="1BA564A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032F9A8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5448F8A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0E78DC7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11.05</w:t>
            </w:r>
          </w:p>
        </w:tc>
      </w:tr>
      <w:tr w14:paraId="2CA1CD7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3312AB64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6E45DD9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0951CD0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10.75</w:t>
            </w:r>
          </w:p>
        </w:tc>
      </w:tr>
      <w:tr w14:paraId="409F3A7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56532C7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4FDD7E7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7F4A502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10.77</w:t>
            </w:r>
          </w:p>
        </w:tc>
      </w:tr>
      <w:tr w14:paraId="48EEF6D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3792659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064FDF1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412F618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10.41</w:t>
            </w:r>
          </w:p>
        </w:tc>
      </w:tr>
      <w:tr w14:paraId="075BE9D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1280CDE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7268066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1BCACEC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10.54</w:t>
            </w:r>
          </w:p>
        </w:tc>
      </w:tr>
      <w:tr w14:paraId="41F30A4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6C27769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40FE28C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716EEF3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11.31</w:t>
            </w:r>
          </w:p>
        </w:tc>
      </w:tr>
      <w:tr w14:paraId="4C9D06D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23DF557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49DE64C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73CC5EF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10.89</w:t>
            </w:r>
          </w:p>
        </w:tc>
      </w:tr>
      <w:tr w14:paraId="2C0029C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3F1BC7F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27D3FEA4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0ADCA93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10.67</w:t>
            </w:r>
          </w:p>
        </w:tc>
      </w:tr>
      <w:tr w14:paraId="519ACC6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1D4EB91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70206BDE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26D717C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10.70</w:t>
            </w:r>
          </w:p>
        </w:tc>
      </w:tr>
      <w:tr w14:paraId="05F423F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3A9FA1F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191677A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0DF9D8A1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11.80</w:t>
            </w:r>
          </w:p>
        </w:tc>
      </w:tr>
      <w:tr w14:paraId="03DECF2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021514E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7DD0792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41C58C3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11.31</w:t>
            </w:r>
          </w:p>
        </w:tc>
      </w:tr>
      <w:tr w14:paraId="42E1F9E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15BDD13B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2E10718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47E0A24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11.25</w:t>
            </w:r>
          </w:p>
        </w:tc>
      </w:tr>
      <w:tr w14:paraId="048379F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6F2D8AF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4139097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442CC4B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10.13</w:t>
            </w:r>
          </w:p>
        </w:tc>
      </w:tr>
      <w:tr w14:paraId="6A10D64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2C49B548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22BC6380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3041DEE5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10.84</w:t>
            </w:r>
          </w:p>
        </w:tc>
      </w:tr>
      <w:tr w14:paraId="691BA5B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7281DDB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7B2397DC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1F85BFCC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10.98</w:t>
            </w:r>
          </w:p>
        </w:tc>
      </w:tr>
      <w:tr w14:paraId="101C13A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3124120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4FD5A4DC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52227CD7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11.27</w:t>
            </w:r>
          </w:p>
        </w:tc>
      </w:tr>
      <w:tr w14:paraId="2700593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nil"/>
            </w:tcBorders>
            <w:vAlign w:val="center"/>
          </w:tcPr>
          <w:p w14:paraId="6964FE7B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461" w:type="dxa"/>
            <w:tcBorders>
              <w:top w:val="nil"/>
              <w:bottom w:val="nil"/>
            </w:tcBorders>
            <w:vAlign w:val="center"/>
          </w:tcPr>
          <w:p w14:paraId="628398F0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2192" w:type="dxa"/>
            <w:tcBorders>
              <w:top w:val="nil"/>
              <w:bottom w:val="nil"/>
            </w:tcBorders>
            <w:vAlign w:val="center"/>
          </w:tcPr>
          <w:p w14:paraId="6D8F2160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11.34</w:t>
            </w:r>
          </w:p>
        </w:tc>
      </w:tr>
      <w:tr w14:paraId="4280181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97" w:type="dxa"/>
            <w:tcBorders>
              <w:top w:val="nil"/>
              <w:bottom w:val="single" w:color="auto" w:sz="4" w:space="0"/>
            </w:tcBorders>
            <w:vAlign w:val="center"/>
          </w:tcPr>
          <w:p w14:paraId="2688433C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461" w:type="dxa"/>
            <w:tcBorders>
              <w:top w:val="nil"/>
              <w:bottom w:val="single" w:color="auto" w:sz="4" w:space="0"/>
            </w:tcBorders>
            <w:vAlign w:val="center"/>
          </w:tcPr>
          <w:p w14:paraId="54880D97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2192" w:type="dxa"/>
            <w:tcBorders>
              <w:top w:val="nil"/>
              <w:bottom w:val="single" w:color="auto" w:sz="4" w:space="0"/>
            </w:tcBorders>
            <w:vAlign w:val="center"/>
          </w:tcPr>
          <w:p w14:paraId="027E4DEC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11.26</w:t>
            </w:r>
          </w:p>
        </w:tc>
      </w:tr>
    </w:tbl>
    <w:p w14:paraId="10D5B575">
      <w:pPr>
        <w:jc w:val="center"/>
      </w:pPr>
    </w:p>
    <w:p w14:paraId="7C45E365">
      <w:pPr>
        <w:jc w:val="both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检测色谱图如下：</w:t>
      </w:r>
    </w:p>
    <w:p w14:paraId="35502232">
      <w:pPr>
        <w:jc w:val="center"/>
      </w:pPr>
    </w:p>
    <w:p w14:paraId="151F9ECE">
      <w:pPr>
        <w:jc w:val="center"/>
        <w:rPr>
          <w:rFonts w:hint="eastAsia"/>
        </w:rPr>
      </w:pPr>
      <w:r>
        <w:drawing>
          <wp:inline distT="0" distB="0" distL="0" distR="0">
            <wp:extent cx="5274310" cy="1782445"/>
            <wp:effectExtent l="0" t="0" r="2540" b="8255"/>
            <wp:docPr id="87990023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900239" name="图片 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2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E5BA8A">
      <w:pPr>
        <w:jc w:val="center"/>
        <w:rPr>
          <w:rFonts w:hint="eastAsia"/>
        </w:rPr>
      </w:pPr>
      <w:r>
        <w:rPr>
          <w:rFonts w:hint="eastAsia"/>
        </w:rPr>
        <w:t>常春藤苷C标准品</w:t>
      </w:r>
    </w:p>
    <w:p w14:paraId="5A37440B">
      <w:pPr>
        <w:jc w:val="center"/>
        <w:rPr>
          <w:rFonts w:hint="eastAsia"/>
        </w:rPr>
      </w:pPr>
      <w:r>
        <w:drawing>
          <wp:inline distT="0" distB="0" distL="0" distR="0">
            <wp:extent cx="5274310" cy="1781175"/>
            <wp:effectExtent l="0" t="0" r="2540" b="9525"/>
            <wp:docPr id="24615967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159670" name="图片 1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480865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rFonts w:hint="eastAsia"/>
          <w:szCs w:val="21"/>
        </w:rPr>
        <w:t>N</w:t>
      </w:r>
      <w:r>
        <w:rPr>
          <w:szCs w:val="21"/>
        </w:rPr>
        <w:t>2024121001</w:t>
      </w:r>
      <w:bookmarkStart w:id="4" w:name="_GoBack"/>
      <w:bookmarkEnd w:id="4"/>
    </w:p>
    <w:p w14:paraId="3A05134A">
      <w:pPr>
        <w:jc w:val="center"/>
        <w:rPr>
          <w:rFonts w:hint="eastAsia"/>
        </w:rPr>
      </w:pPr>
      <w:r>
        <w:drawing>
          <wp:inline distT="0" distB="0" distL="0" distR="0">
            <wp:extent cx="5274310" cy="1814195"/>
            <wp:effectExtent l="0" t="0" r="2540" b="14605"/>
            <wp:docPr id="109329833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3298339" name="图片 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4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C3668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szCs w:val="21"/>
        </w:rPr>
        <w:t>N2025021003</w:t>
      </w:r>
    </w:p>
    <w:p w14:paraId="4020EADE">
      <w:pPr>
        <w:jc w:val="center"/>
        <w:rPr>
          <w:rFonts w:hint="eastAsia"/>
        </w:rPr>
      </w:pPr>
      <w:r>
        <w:drawing>
          <wp:inline distT="0" distB="0" distL="0" distR="0">
            <wp:extent cx="5274310" cy="1788160"/>
            <wp:effectExtent l="0" t="0" r="2540" b="2540"/>
            <wp:docPr id="105562575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625758" name="图片 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685D3A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rFonts w:hint="eastAsia"/>
          <w:szCs w:val="21"/>
        </w:rPr>
        <w:t>N2025042501</w:t>
      </w:r>
    </w:p>
    <w:p w14:paraId="691166CA">
      <w:pPr>
        <w:jc w:val="center"/>
        <w:rPr>
          <w:rFonts w:hint="eastAsia"/>
        </w:rPr>
      </w:pPr>
      <w:r>
        <w:drawing>
          <wp:inline distT="0" distB="0" distL="0" distR="0">
            <wp:extent cx="5274310" cy="1801495"/>
            <wp:effectExtent l="0" t="0" r="2540" b="8255"/>
            <wp:docPr id="19518537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185375" name="图片 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2688F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rFonts w:hint="eastAsia"/>
          <w:szCs w:val="21"/>
        </w:rPr>
        <w:t>N2025052007</w:t>
      </w:r>
    </w:p>
    <w:p w14:paraId="12A714EE">
      <w:pPr>
        <w:jc w:val="center"/>
        <w:rPr>
          <w:rFonts w:hint="eastAsia"/>
        </w:rPr>
      </w:pPr>
      <w:r>
        <w:drawing>
          <wp:inline distT="0" distB="0" distL="0" distR="0">
            <wp:extent cx="5274310" cy="1808480"/>
            <wp:effectExtent l="0" t="0" r="2540" b="1270"/>
            <wp:docPr id="11105566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55665" name="图片 1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B273A4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rFonts w:hint="eastAsia"/>
          <w:szCs w:val="21"/>
        </w:rPr>
        <w:t>N2025072101</w:t>
      </w:r>
    </w:p>
    <w:p w14:paraId="2A01D4D8">
      <w:pPr>
        <w:jc w:val="center"/>
        <w:rPr>
          <w:rFonts w:hint="eastAsia"/>
        </w:rPr>
      </w:pPr>
      <w:r>
        <w:drawing>
          <wp:inline distT="0" distB="0" distL="0" distR="0">
            <wp:extent cx="5274310" cy="1774190"/>
            <wp:effectExtent l="0" t="0" r="2540" b="16510"/>
            <wp:docPr id="128890313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903130" name="图片 1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7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8CE8CE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rFonts w:hint="eastAsia"/>
          <w:szCs w:val="21"/>
        </w:rPr>
        <w:t>N2025072301</w:t>
      </w:r>
    </w:p>
    <w:p w14:paraId="5498B71C">
      <w:pPr>
        <w:jc w:val="center"/>
        <w:rPr>
          <w:rFonts w:hint="eastAsia"/>
        </w:rPr>
      </w:pPr>
      <w:r>
        <w:drawing>
          <wp:inline distT="0" distB="0" distL="0" distR="0">
            <wp:extent cx="5274310" cy="1779905"/>
            <wp:effectExtent l="0" t="0" r="2540" b="10795"/>
            <wp:docPr id="166195424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954242" name="图片 1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7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C39CA">
      <w:pPr>
        <w:jc w:val="center"/>
        <w:rPr>
          <w:rFonts w:hint="eastAsia"/>
        </w:rPr>
      </w:pPr>
      <w:r>
        <w:rPr>
          <w:rFonts w:hint="eastAsia"/>
        </w:rPr>
        <w:t xml:space="preserve">湖南朗林 </w:t>
      </w:r>
      <w:r>
        <w:rPr>
          <w:szCs w:val="21"/>
        </w:rPr>
        <w:t>N2025101506</w:t>
      </w:r>
    </w:p>
    <w:p w14:paraId="3CA24EDF">
      <w:pPr>
        <w:jc w:val="center"/>
        <w:rPr>
          <w:rFonts w:hint="eastAsia"/>
        </w:rPr>
      </w:pPr>
      <w:r>
        <w:drawing>
          <wp:inline distT="0" distB="0" distL="0" distR="0">
            <wp:extent cx="5274310" cy="1805305"/>
            <wp:effectExtent l="0" t="0" r="2540" b="4445"/>
            <wp:docPr id="32220505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205054" name="图片 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5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DCE4B9">
      <w:pPr>
        <w:jc w:val="center"/>
        <w:rPr>
          <w:rFonts w:hint="eastAsia"/>
        </w:rPr>
      </w:pPr>
      <w:r>
        <w:rPr>
          <w:rFonts w:hint="eastAsia"/>
        </w:rPr>
        <w:t xml:space="preserve">嘉禾生物 </w:t>
      </w:r>
      <w:r>
        <w:rPr>
          <w:szCs w:val="21"/>
        </w:rPr>
        <w:t>CCCT-C-A534172</w:t>
      </w:r>
    </w:p>
    <w:p w14:paraId="0622E21B">
      <w:pPr>
        <w:jc w:val="center"/>
        <w:rPr>
          <w:rFonts w:hint="eastAsia"/>
        </w:rPr>
      </w:pPr>
      <w:r>
        <w:drawing>
          <wp:inline distT="0" distB="0" distL="0" distR="0">
            <wp:extent cx="5274310" cy="1788160"/>
            <wp:effectExtent l="0" t="0" r="2540" b="2540"/>
            <wp:docPr id="70412053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4120539" name="图片 1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DAAC8">
      <w:pPr>
        <w:jc w:val="center"/>
        <w:rPr>
          <w:rFonts w:hint="eastAsia"/>
        </w:rPr>
      </w:pPr>
      <w:r>
        <w:rPr>
          <w:rFonts w:hint="eastAsia"/>
        </w:rPr>
        <w:t xml:space="preserve">嘉禾生物 </w:t>
      </w:r>
      <w:r>
        <w:rPr>
          <w:szCs w:val="21"/>
        </w:rPr>
        <w:t>CCCT-C-A507084</w:t>
      </w:r>
    </w:p>
    <w:p w14:paraId="650363C1">
      <w:pPr>
        <w:jc w:val="center"/>
        <w:rPr>
          <w:rFonts w:hint="eastAsia"/>
        </w:rPr>
      </w:pPr>
      <w:r>
        <w:drawing>
          <wp:inline distT="0" distB="0" distL="0" distR="0">
            <wp:extent cx="5274310" cy="1811655"/>
            <wp:effectExtent l="0" t="0" r="2540" b="17145"/>
            <wp:docPr id="3810273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027314" name="图片 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1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996BE5">
      <w:pPr>
        <w:jc w:val="center"/>
        <w:rPr>
          <w:rFonts w:hint="eastAsia"/>
        </w:rPr>
      </w:pPr>
      <w:r>
        <w:rPr>
          <w:rFonts w:hint="eastAsia"/>
        </w:rPr>
        <w:t xml:space="preserve">瑞禾生物 </w:t>
      </w:r>
      <w:r>
        <w:rPr>
          <w:szCs w:val="21"/>
        </w:rPr>
        <w:t>RW-HH20259</w:t>
      </w:r>
      <w:r>
        <w:rPr>
          <w:rFonts w:hint="eastAsia"/>
          <w:szCs w:val="21"/>
        </w:rPr>
        <w:t>0</w:t>
      </w:r>
      <w:r>
        <w:rPr>
          <w:szCs w:val="21"/>
        </w:rPr>
        <w:t>2</w:t>
      </w:r>
    </w:p>
    <w:p w14:paraId="02ED768D">
      <w:pPr>
        <w:jc w:val="center"/>
        <w:rPr>
          <w:rFonts w:hint="eastAsia"/>
        </w:rPr>
      </w:pPr>
      <w:r>
        <w:drawing>
          <wp:inline distT="0" distB="0" distL="0" distR="0">
            <wp:extent cx="5274310" cy="1775460"/>
            <wp:effectExtent l="0" t="0" r="2540" b="15240"/>
            <wp:docPr id="20042394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423943" name="图片 1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75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F0D7B">
      <w:pPr>
        <w:jc w:val="center"/>
        <w:rPr>
          <w:rFonts w:hint="eastAsia"/>
        </w:rPr>
      </w:pPr>
      <w:r>
        <w:rPr>
          <w:rFonts w:hint="eastAsia"/>
        </w:rPr>
        <w:t xml:space="preserve">瑞禾生物 </w:t>
      </w:r>
      <w:r>
        <w:rPr>
          <w:szCs w:val="21"/>
        </w:rPr>
        <w:t>RW-HH20251017</w:t>
      </w:r>
    </w:p>
    <w:p w14:paraId="21869B09">
      <w:pPr>
        <w:jc w:val="center"/>
        <w:rPr>
          <w:rFonts w:hint="eastAsia"/>
        </w:rPr>
      </w:pPr>
      <w:r>
        <w:drawing>
          <wp:inline distT="0" distB="0" distL="0" distR="0">
            <wp:extent cx="5274310" cy="1799590"/>
            <wp:effectExtent l="0" t="0" r="2540" b="10160"/>
            <wp:docPr id="13400710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071041" name="图片 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9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14534">
      <w:pPr>
        <w:jc w:val="center"/>
        <w:rPr>
          <w:rFonts w:hint="eastAsia"/>
        </w:rPr>
      </w:pPr>
      <w:r>
        <w:rPr>
          <w:rFonts w:hint="eastAsia"/>
        </w:rPr>
        <w:t xml:space="preserve">瑞禾生物 </w:t>
      </w:r>
      <w:r>
        <w:rPr>
          <w:szCs w:val="21"/>
        </w:rPr>
        <w:t>RW-HH20251101</w:t>
      </w:r>
    </w:p>
    <w:p w14:paraId="5144F4FB">
      <w:pPr>
        <w:jc w:val="center"/>
        <w:rPr>
          <w:rFonts w:hint="eastAsia"/>
        </w:rPr>
      </w:pPr>
      <w:r>
        <w:drawing>
          <wp:inline distT="0" distB="0" distL="0" distR="0">
            <wp:extent cx="5274310" cy="1794510"/>
            <wp:effectExtent l="0" t="0" r="2540" b="15240"/>
            <wp:docPr id="138357587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3575873" name="图片 1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9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4FE1D2">
      <w:pPr>
        <w:jc w:val="center"/>
        <w:rPr>
          <w:rFonts w:hint="eastAsia"/>
        </w:rPr>
      </w:pPr>
      <w:r>
        <w:rPr>
          <w:rFonts w:hint="eastAsia"/>
        </w:rPr>
        <w:t xml:space="preserve">康玖堂生物 </w:t>
      </w:r>
      <w:r>
        <w:rPr>
          <w:rFonts w:hint="eastAsia"/>
          <w:szCs w:val="21"/>
        </w:rPr>
        <w:t>ILE-20250928001</w:t>
      </w:r>
    </w:p>
    <w:p w14:paraId="56979762">
      <w:pPr>
        <w:jc w:val="center"/>
        <w:rPr>
          <w:rFonts w:hint="eastAsia"/>
        </w:rPr>
      </w:pPr>
      <w:r>
        <w:drawing>
          <wp:inline distT="0" distB="0" distL="0" distR="0">
            <wp:extent cx="5274310" cy="1801495"/>
            <wp:effectExtent l="0" t="0" r="2540" b="8255"/>
            <wp:docPr id="198184780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1847807" name="图片 1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9AA169">
      <w:pPr>
        <w:jc w:val="center"/>
        <w:rPr>
          <w:rFonts w:hint="eastAsia"/>
        </w:rPr>
      </w:pPr>
      <w:r>
        <w:rPr>
          <w:rFonts w:hint="eastAsia"/>
        </w:rPr>
        <w:t xml:space="preserve">康玖堂生物 </w:t>
      </w:r>
      <w:r>
        <w:rPr>
          <w:rFonts w:hint="eastAsia"/>
          <w:szCs w:val="21"/>
        </w:rPr>
        <w:t>ILE-20251021001</w:t>
      </w:r>
    </w:p>
    <w:p w14:paraId="65C5CBEA">
      <w:pPr>
        <w:jc w:val="center"/>
        <w:rPr>
          <w:rFonts w:hint="eastAsia"/>
        </w:rPr>
      </w:pPr>
      <w:r>
        <w:drawing>
          <wp:inline distT="0" distB="0" distL="0" distR="0">
            <wp:extent cx="5274310" cy="1802765"/>
            <wp:effectExtent l="0" t="0" r="2540" b="6985"/>
            <wp:docPr id="214461586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615868" name="图片 1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1EEBCB">
      <w:pPr>
        <w:jc w:val="center"/>
        <w:rPr>
          <w:rFonts w:hint="eastAsia"/>
          <w:szCs w:val="21"/>
        </w:rPr>
      </w:pPr>
      <w:r>
        <w:rPr>
          <w:rFonts w:hint="eastAsia"/>
        </w:rPr>
        <w:t xml:space="preserve">康玖堂生物 </w:t>
      </w:r>
      <w:r>
        <w:rPr>
          <w:rFonts w:hint="eastAsia"/>
          <w:szCs w:val="21"/>
        </w:rPr>
        <w:t>ILE-20251118001</w:t>
      </w:r>
    </w:p>
    <w:p w14:paraId="778CE3F6">
      <w:pPr>
        <w:jc w:val="center"/>
        <w:rPr>
          <w:rFonts w:hint="eastAsia"/>
          <w:szCs w:val="21"/>
        </w:rPr>
      </w:pPr>
      <w:r>
        <w:drawing>
          <wp:inline distT="0" distB="0" distL="0" distR="0">
            <wp:extent cx="5274310" cy="1764030"/>
            <wp:effectExtent l="0" t="0" r="2540" b="7620"/>
            <wp:docPr id="110565167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651675" name="图片 1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64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C8A45">
      <w:pPr>
        <w:jc w:val="center"/>
        <w:rPr>
          <w:rFonts w:hint="eastAsia"/>
          <w:szCs w:val="21"/>
        </w:rPr>
      </w:pPr>
      <w:r>
        <w:rPr>
          <w:rFonts w:hint="eastAsia"/>
          <w:szCs w:val="21"/>
        </w:rPr>
        <w:t>常春藤苷C标准品</w:t>
      </w:r>
    </w:p>
    <w:p w14:paraId="7771A2CA">
      <w:pPr>
        <w:jc w:val="center"/>
        <w:rPr>
          <w:rFonts w:hint="eastAsia"/>
        </w:rPr>
      </w:pPr>
      <w:r>
        <w:drawing>
          <wp:inline distT="0" distB="0" distL="0" distR="0">
            <wp:extent cx="5274310" cy="1786890"/>
            <wp:effectExtent l="0" t="0" r="2540" b="3810"/>
            <wp:docPr id="33271278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2712788" name="图片 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776F4">
      <w:pPr>
        <w:jc w:val="center"/>
        <w:rPr>
          <w:rFonts w:hint="eastAsia"/>
        </w:rPr>
      </w:pPr>
      <w:r>
        <w:rPr>
          <w:rFonts w:hint="eastAsia"/>
        </w:rPr>
        <w:t>萃源生物 20251121</w:t>
      </w:r>
    </w:p>
    <w:p w14:paraId="22AA9E8E">
      <w:pPr>
        <w:jc w:val="center"/>
        <w:rPr>
          <w:rFonts w:hint="eastAsia"/>
        </w:rPr>
      </w:pPr>
      <w:r>
        <w:drawing>
          <wp:inline distT="0" distB="0" distL="0" distR="0">
            <wp:extent cx="5274310" cy="1774190"/>
            <wp:effectExtent l="0" t="0" r="2540" b="16510"/>
            <wp:docPr id="71371108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711081" name="图片 1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7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48C7A">
      <w:pPr>
        <w:jc w:val="center"/>
        <w:rPr>
          <w:rFonts w:hint="eastAsia"/>
          <w:szCs w:val="21"/>
        </w:rPr>
      </w:pPr>
      <w:r>
        <w:rPr>
          <w:rFonts w:hint="eastAsia"/>
        </w:rPr>
        <w:t>常春藤</w:t>
      </w:r>
      <w:r>
        <w:rPr>
          <w:rFonts w:hint="eastAsia"/>
          <w:szCs w:val="21"/>
        </w:rPr>
        <w:t>苷C标准品</w:t>
      </w:r>
    </w:p>
    <w:p w14:paraId="270F8863">
      <w:pPr>
        <w:jc w:val="center"/>
        <w:rPr>
          <w:rFonts w:hint="eastAsia"/>
        </w:rPr>
      </w:pPr>
      <w:r>
        <w:drawing>
          <wp:inline distT="0" distB="0" distL="0" distR="0">
            <wp:extent cx="5274310" cy="1788795"/>
            <wp:effectExtent l="0" t="0" r="2540" b="1905"/>
            <wp:docPr id="182388202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3882025" name="图片 1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5023C0">
      <w:pPr>
        <w:jc w:val="center"/>
        <w:rPr>
          <w:rFonts w:hint="eastAsia"/>
        </w:rPr>
      </w:pPr>
      <w:r>
        <w:rPr>
          <w:rFonts w:hint="eastAsia"/>
        </w:rPr>
        <w:t xml:space="preserve">萃源生物 </w:t>
      </w:r>
      <w:r>
        <w:rPr>
          <w:rFonts w:hint="eastAsia"/>
          <w:szCs w:val="21"/>
        </w:rPr>
        <w:t>20251220</w:t>
      </w:r>
    </w:p>
    <w:p w14:paraId="1411558D">
      <w:pPr>
        <w:jc w:val="center"/>
        <w:rPr>
          <w:rFonts w:hint="eastAsia"/>
        </w:rPr>
      </w:pPr>
      <w:r>
        <w:drawing>
          <wp:inline distT="0" distB="0" distL="0" distR="0">
            <wp:extent cx="5274310" cy="1805305"/>
            <wp:effectExtent l="0" t="0" r="2540" b="4445"/>
            <wp:docPr id="61201020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010208" name="图片 1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5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A759B">
      <w:pPr>
        <w:jc w:val="center"/>
        <w:rPr>
          <w:rFonts w:hint="eastAsia"/>
        </w:rPr>
      </w:pPr>
      <w:r>
        <w:rPr>
          <w:rFonts w:hint="eastAsia"/>
        </w:rPr>
        <w:t xml:space="preserve">萃源生物 </w:t>
      </w:r>
      <w:r>
        <w:rPr>
          <w:rFonts w:hint="eastAsia"/>
          <w:szCs w:val="21"/>
        </w:rPr>
        <w:t>20251221</w:t>
      </w:r>
    </w:p>
    <w:p w14:paraId="70173490">
      <w:pPr>
        <w:jc w:val="center"/>
        <w:rPr>
          <w:rFonts w:hint="eastAsia"/>
        </w:rPr>
      </w:pPr>
      <w:r>
        <w:drawing>
          <wp:inline distT="0" distB="0" distL="0" distR="0">
            <wp:extent cx="5274310" cy="1792605"/>
            <wp:effectExtent l="0" t="0" r="2540" b="17145"/>
            <wp:docPr id="12242083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20835" name="图片 1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9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48C96E">
      <w:pPr>
        <w:jc w:val="center"/>
        <w:rPr>
          <w:rFonts w:hint="eastAsia"/>
        </w:rPr>
      </w:pPr>
      <w:r>
        <w:rPr>
          <w:rFonts w:hint="eastAsia"/>
        </w:rPr>
        <w:t xml:space="preserve">上禾生物 </w:t>
      </w:r>
      <w:r>
        <w:rPr>
          <w:rFonts w:hint="eastAsia"/>
          <w:szCs w:val="21"/>
        </w:rPr>
        <w:t>20251209001</w:t>
      </w:r>
    </w:p>
    <w:p w14:paraId="487F66C4">
      <w:pPr>
        <w:jc w:val="center"/>
        <w:rPr>
          <w:rFonts w:hint="eastAsia"/>
        </w:rPr>
      </w:pPr>
      <w:r>
        <w:drawing>
          <wp:inline distT="0" distB="0" distL="0" distR="0">
            <wp:extent cx="5274310" cy="1781175"/>
            <wp:effectExtent l="0" t="0" r="2540" b="9525"/>
            <wp:docPr id="84276804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768046" name="图片 1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3CF3AA">
      <w:pPr>
        <w:jc w:val="center"/>
        <w:rPr>
          <w:rFonts w:hint="eastAsia"/>
        </w:rPr>
      </w:pPr>
      <w:r>
        <w:rPr>
          <w:rFonts w:hint="eastAsia"/>
        </w:rPr>
        <w:t xml:space="preserve">上禾生物 </w:t>
      </w:r>
      <w:r>
        <w:rPr>
          <w:rFonts w:hint="eastAsia"/>
          <w:szCs w:val="21"/>
        </w:rPr>
        <w:t>20251210002</w:t>
      </w:r>
    </w:p>
    <w:p w14:paraId="733E5482">
      <w:pPr>
        <w:jc w:val="center"/>
        <w:rPr>
          <w:rFonts w:hint="eastAsia"/>
        </w:rPr>
      </w:pPr>
      <w:r>
        <w:drawing>
          <wp:inline distT="0" distB="0" distL="0" distR="0">
            <wp:extent cx="5274310" cy="1801495"/>
            <wp:effectExtent l="0" t="0" r="2540" b="8255"/>
            <wp:docPr id="20398352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835213" name="图片 1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57A612">
      <w:pPr>
        <w:jc w:val="center"/>
        <w:rPr>
          <w:rFonts w:hint="eastAsia"/>
        </w:rPr>
      </w:pPr>
      <w:r>
        <w:rPr>
          <w:rFonts w:hint="eastAsia"/>
        </w:rPr>
        <w:t xml:space="preserve">上禾生物 </w:t>
      </w:r>
      <w:r>
        <w:rPr>
          <w:rFonts w:hint="eastAsia"/>
          <w:szCs w:val="21"/>
        </w:rPr>
        <w:t>20260121001</w:t>
      </w:r>
    </w:p>
    <w:p w14:paraId="3713C972">
      <w:pPr>
        <w:ind w:firstLine="420" w:firstLineChars="200"/>
        <w:rPr>
          <w:rFonts w:hint="eastAsia"/>
          <w:color w:val="auto"/>
          <w:kern w:val="0"/>
          <w:szCs w:val="21"/>
        </w:rPr>
      </w:pPr>
    </w:p>
    <w:p w14:paraId="723D708E">
      <w:pPr>
        <w:ind w:firstLine="420" w:firstLineChars="200"/>
        <w:rPr>
          <w:color w:val="auto"/>
          <w:kern w:val="0"/>
          <w:szCs w:val="21"/>
        </w:rPr>
      </w:pPr>
      <w:r>
        <w:rPr>
          <w:rFonts w:hint="eastAsia"/>
          <w:color w:val="auto"/>
          <w:kern w:val="0"/>
          <w:szCs w:val="21"/>
        </w:rPr>
        <w:t>上述方法学验证表明，洋常春藤提取物中常春藤苷C含量的高效液相色谱法其系统适应性、精密度、线性关系、准确度、耐用性等均符合要求，该方法稳定、可靠、可行，可以作为洋常春藤提取物中常春藤苷C的含量测定方法，订入本标准。</w:t>
      </w:r>
    </w:p>
    <w:p w14:paraId="3A13DCAA">
      <w:pPr>
        <w:ind w:left="-2" w:leftChars="-1" w:firstLine="420" w:firstLineChars="200"/>
        <w:rPr>
          <w:color w:val="auto"/>
          <w:szCs w:val="21"/>
        </w:rPr>
      </w:pPr>
      <w:r>
        <w:rPr>
          <w:rFonts w:hint="eastAsia"/>
          <w:color w:val="auto"/>
          <w:kern w:val="0"/>
          <w:szCs w:val="21"/>
        </w:rPr>
        <w:t>上表可见，21 批洋常春藤提取物中常春藤苷C含量</w:t>
      </w:r>
      <w:r>
        <w:rPr>
          <w:rFonts w:hint="eastAsia"/>
          <w:color w:val="auto"/>
          <w:szCs w:val="21"/>
        </w:rPr>
        <w:t>按干燥品计算分别均不低于10</w:t>
      </w:r>
      <w:r>
        <w:rPr>
          <w:color w:val="auto"/>
          <w:szCs w:val="21"/>
        </w:rPr>
        <w:t>%</w:t>
      </w:r>
      <w:r>
        <w:rPr>
          <w:rFonts w:hint="eastAsia"/>
          <w:color w:val="auto"/>
          <w:szCs w:val="21"/>
        </w:rPr>
        <w:t>。因此，将本品含常春藤苷C按干燥品计算不少于10</w:t>
      </w:r>
      <w:r>
        <w:rPr>
          <w:color w:val="auto"/>
          <w:szCs w:val="21"/>
        </w:rPr>
        <w:t>%</w:t>
      </w:r>
      <w:r>
        <w:rPr>
          <w:rFonts w:hint="eastAsia"/>
          <w:color w:val="auto"/>
          <w:szCs w:val="21"/>
        </w:rPr>
        <w:t>。</w:t>
      </w:r>
    </w:p>
    <w:p w14:paraId="270540F3">
      <w:pPr>
        <w:rPr>
          <w:rFonts w:eastAsia="黑体"/>
          <w:b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5</w:t>
      </w:r>
      <w:r>
        <w:rPr>
          <w:rFonts w:eastAsia="黑体"/>
          <w:b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粒度的测定</w:t>
      </w:r>
    </w:p>
    <w:p w14:paraId="0F995FEE">
      <w:pPr>
        <w:pStyle w:val="45"/>
        <w:ind w:firstLine="420"/>
        <w:rPr>
          <w:rFonts w:ascii="Times New Roman"/>
          <w:color w:val="auto"/>
          <w:szCs w:val="21"/>
        </w:rPr>
      </w:pPr>
      <w:r>
        <w:rPr>
          <w:rFonts w:hint="eastAsia" w:ascii="Times New Roman"/>
          <w:color w:val="auto"/>
          <w:szCs w:val="21"/>
        </w:rPr>
        <w:t>按粒度和粒度分布测定法（第二法）进行。检测结果见表13。</w:t>
      </w:r>
    </w:p>
    <w:p w14:paraId="0A01E30A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表13 洋常春藤提取物粒度测定结果（</w:t>
      </w:r>
      <w:r>
        <w:rPr>
          <w:rFonts w:eastAsia="宋体" w:cs="Times New Roman"/>
          <w:b/>
          <w:bCs/>
          <w:color w:val="auto"/>
          <w:spacing w:val="12"/>
          <w:kern w:val="0"/>
        </w:rPr>
        <w:t>80</w:t>
      </w: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目筛通过率）</w:t>
      </w:r>
    </w:p>
    <w:tbl>
      <w:tblPr>
        <w:tblStyle w:val="15"/>
        <w:tblW w:w="8080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2835"/>
        <w:gridCol w:w="2551"/>
      </w:tblGrid>
      <w:tr w14:paraId="5CF510F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056FA53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2835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2722EE40">
            <w:pPr>
              <w:tabs>
                <w:tab w:val="left" w:pos="648"/>
              </w:tabs>
              <w:autoSpaceDE w:val="0"/>
              <w:autoSpaceDN w:val="0"/>
              <w:spacing w:line="240" w:lineRule="auto"/>
              <w:ind w:left="286" w:hanging="285" w:hangingChars="136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  <w:r>
              <w:rPr>
                <w:color w:val="auto"/>
                <w:kern w:val="0"/>
                <w:szCs w:val="21"/>
              </w:rPr>
              <w:t xml:space="preserve"> </w:t>
            </w:r>
          </w:p>
        </w:tc>
        <w:tc>
          <w:tcPr>
            <w:tcW w:w="2551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021AE5F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通过率（</w:t>
            </w:r>
            <w:r>
              <w:rPr>
                <w:color w:val="auto"/>
                <w:kern w:val="0"/>
                <w:szCs w:val="21"/>
              </w:rPr>
              <w:t>%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</w:tr>
      <w:tr w14:paraId="7B0DDA2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single" w:color="auto" w:sz="6" w:space="0"/>
              <w:bottom w:val="nil"/>
            </w:tcBorders>
            <w:vAlign w:val="center"/>
          </w:tcPr>
          <w:p w14:paraId="4098C49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single" w:color="auto" w:sz="6" w:space="0"/>
              <w:bottom w:val="nil"/>
            </w:tcBorders>
            <w:vAlign w:val="center"/>
          </w:tcPr>
          <w:p w14:paraId="3FBA1B03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2551" w:type="dxa"/>
            <w:tcBorders>
              <w:top w:val="single" w:color="auto" w:sz="6" w:space="0"/>
              <w:bottom w:val="nil"/>
            </w:tcBorders>
            <w:vAlign w:val="center"/>
          </w:tcPr>
          <w:p w14:paraId="61AB133C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99.6</w:t>
            </w:r>
          </w:p>
        </w:tc>
      </w:tr>
      <w:tr w14:paraId="7AFBB11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D76356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AEC5FCE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9242711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98.8</w:t>
            </w:r>
          </w:p>
        </w:tc>
      </w:tr>
      <w:tr w14:paraId="48091AF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4C560D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321462A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E8D9139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99.0</w:t>
            </w:r>
          </w:p>
        </w:tc>
      </w:tr>
      <w:tr w14:paraId="73C146B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05D295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106ADE4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849D6C6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99.2</w:t>
            </w:r>
          </w:p>
        </w:tc>
      </w:tr>
      <w:tr w14:paraId="27481ED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8C1C93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D50555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DE78E3A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98.4</w:t>
            </w:r>
          </w:p>
        </w:tc>
      </w:tr>
      <w:tr w14:paraId="677D5D9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4D2DFF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8E5D3E0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3FE227A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98.4</w:t>
            </w:r>
          </w:p>
        </w:tc>
      </w:tr>
      <w:tr w14:paraId="7C03EC9E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F7C375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B638AAC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4CBDDAC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98.8</w:t>
            </w:r>
          </w:p>
        </w:tc>
      </w:tr>
      <w:tr w14:paraId="0E78087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D99612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030396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5162AE3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99.0</w:t>
            </w:r>
          </w:p>
        </w:tc>
      </w:tr>
      <w:tr w14:paraId="0A5A890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DEA0B2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6B9F6E4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7412CA5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98.6</w:t>
            </w:r>
          </w:p>
        </w:tc>
      </w:tr>
      <w:tr w14:paraId="4C9171C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E4808F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C8CDEB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034A1843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97.8</w:t>
            </w:r>
          </w:p>
        </w:tc>
      </w:tr>
      <w:tr w14:paraId="3CA03AD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02C66B9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11A1BE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1AC5E09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95.6</w:t>
            </w:r>
          </w:p>
        </w:tc>
      </w:tr>
      <w:tr w14:paraId="7EC3717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9FE0D1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5249140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5892473A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96.4</w:t>
            </w:r>
          </w:p>
        </w:tc>
      </w:tr>
      <w:tr w14:paraId="22C09C7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AE56DB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EAF3DB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3DFFB82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92.6</w:t>
            </w:r>
          </w:p>
        </w:tc>
      </w:tr>
      <w:tr w14:paraId="081539E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24067B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BD6A39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444E3A09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95.8</w:t>
            </w:r>
          </w:p>
        </w:tc>
      </w:tr>
      <w:tr w14:paraId="37C1CD3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159E83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12F704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3F276BB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94.8</w:t>
            </w:r>
          </w:p>
        </w:tc>
      </w:tr>
      <w:tr w14:paraId="2898C3E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0E731F7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189DB4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50AD6F6F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96.5</w:t>
            </w:r>
          </w:p>
        </w:tc>
      </w:tr>
      <w:tr w14:paraId="5B3F93B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F30AF4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9C0EBC5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921A83A">
            <w:pPr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97.8</w:t>
            </w:r>
          </w:p>
        </w:tc>
      </w:tr>
      <w:tr w14:paraId="6A5DD32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52313C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DBA74A2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51965A8">
            <w:pPr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96.1</w:t>
            </w:r>
          </w:p>
        </w:tc>
      </w:tr>
      <w:tr w14:paraId="15CC7BBE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46F6D1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1B884D6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ECCE725">
            <w:pPr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98.9</w:t>
            </w:r>
          </w:p>
        </w:tc>
      </w:tr>
      <w:tr w14:paraId="0BCC516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676AE2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20379B7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4A6124C4">
            <w:pPr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99.0</w:t>
            </w:r>
          </w:p>
        </w:tc>
      </w:tr>
      <w:tr w14:paraId="7F1C01A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single" w:color="auto" w:sz="4" w:space="0"/>
            </w:tcBorders>
            <w:vAlign w:val="center"/>
          </w:tcPr>
          <w:p w14:paraId="6532E93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single" w:color="auto" w:sz="4" w:space="0"/>
            </w:tcBorders>
            <w:vAlign w:val="center"/>
          </w:tcPr>
          <w:p w14:paraId="6D29E1FB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2551" w:type="dxa"/>
            <w:tcBorders>
              <w:top w:val="nil"/>
              <w:bottom w:val="single" w:color="auto" w:sz="4" w:space="0"/>
            </w:tcBorders>
            <w:vAlign w:val="center"/>
          </w:tcPr>
          <w:p w14:paraId="7ACF55D0">
            <w:pPr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98.5</w:t>
            </w:r>
          </w:p>
        </w:tc>
      </w:tr>
    </w:tbl>
    <w:p w14:paraId="20EA4C0A">
      <w:pPr>
        <w:autoSpaceDE w:val="0"/>
        <w:autoSpaceDN w:val="0"/>
        <w:ind w:firstLine="420"/>
        <w:jc w:val="left"/>
        <w:textAlignment w:val="auto"/>
        <w:rPr>
          <w:rFonts w:eastAsia="黑体"/>
          <w:b/>
          <w:color w:val="auto"/>
          <w:szCs w:val="21"/>
        </w:rPr>
      </w:pPr>
      <w:r>
        <w:rPr>
          <w:rFonts w:hint="eastAsia"/>
          <w:color w:val="auto"/>
          <w:szCs w:val="21"/>
        </w:rPr>
        <w:t>上表可见，21批洋常春藤提取物8</w:t>
      </w:r>
      <w:r>
        <w:rPr>
          <w:color w:val="auto"/>
          <w:szCs w:val="21"/>
        </w:rPr>
        <w:t>0</w:t>
      </w:r>
      <w:r>
        <w:rPr>
          <w:rFonts w:hint="eastAsia"/>
          <w:color w:val="auto"/>
          <w:szCs w:val="21"/>
        </w:rPr>
        <w:t>目筛通过率都超过</w:t>
      </w:r>
      <w:r>
        <w:rPr>
          <w:color w:val="auto"/>
          <w:szCs w:val="21"/>
        </w:rPr>
        <w:t>9</w:t>
      </w:r>
      <w:r>
        <w:rPr>
          <w:rFonts w:hint="eastAsia"/>
          <w:color w:val="auto"/>
          <w:szCs w:val="21"/>
        </w:rPr>
        <w:t>0</w:t>
      </w:r>
      <w:r>
        <w:rPr>
          <w:color w:val="auto"/>
          <w:szCs w:val="21"/>
        </w:rPr>
        <w:t>%</w:t>
      </w:r>
      <w:r>
        <w:rPr>
          <w:rFonts w:hint="eastAsia"/>
          <w:color w:val="auto"/>
          <w:szCs w:val="21"/>
        </w:rPr>
        <w:t>。该指标订入本标准。</w:t>
      </w:r>
    </w:p>
    <w:p w14:paraId="5773D0AE">
      <w:pPr>
        <w:rPr>
          <w:rFonts w:eastAsia="黑体"/>
          <w:b/>
          <w:color w:val="auto"/>
          <w:szCs w:val="21"/>
        </w:rPr>
      </w:pPr>
      <w:r>
        <w:rPr>
          <w:rFonts w:hint="eastAsia" w:eastAsia="黑体"/>
          <w:b/>
          <w:color w:val="auto"/>
          <w:szCs w:val="21"/>
        </w:rPr>
        <w:t>6</w:t>
      </w:r>
      <w:r>
        <w:rPr>
          <w:rFonts w:eastAsia="黑体"/>
          <w:b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color w:val="auto"/>
          <w:szCs w:val="21"/>
        </w:rPr>
        <w:t>水分的测定</w:t>
      </w:r>
    </w:p>
    <w:p w14:paraId="11199422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按照水分测定第一法的直接干燥法测定，结果见下表</w:t>
      </w:r>
      <w:r>
        <w:rPr>
          <w:rFonts w:ascii="Times New Roman" w:hAnsi="Times New Roman"/>
          <w:color w:val="auto"/>
        </w:rPr>
        <w:t>1</w:t>
      </w:r>
      <w:r>
        <w:rPr>
          <w:rFonts w:hint="eastAsia" w:ascii="Times New Roman" w:hAnsi="Times New Roman"/>
          <w:color w:val="auto"/>
        </w:rPr>
        <w:t>4。</w:t>
      </w:r>
    </w:p>
    <w:p w14:paraId="1D548591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表14 洋常春藤提取物水分测定结果</w:t>
      </w:r>
    </w:p>
    <w:tbl>
      <w:tblPr>
        <w:tblStyle w:val="15"/>
        <w:tblW w:w="8080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2835"/>
        <w:gridCol w:w="2551"/>
      </w:tblGrid>
      <w:tr w14:paraId="50A8C53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4E94BB6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2835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3AE6534F">
            <w:pPr>
              <w:tabs>
                <w:tab w:val="left" w:pos="648"/>
              </w:tabs>
              <w:autoSpaceDE w:val="0"/>
              <w:autoSpaceDN w:val="0"/>
              <w:spacing w:line="240" w:lineRule="auto"/>
              <w:ind w:left="286" w:hanging="285" w:hangingChars="136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</w:p>
        </w:tc>
        <w:tc>
          <w:tcPr>
            <w:tcW w:w="2551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3116BEF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水分含量（</w:t>
            </w:r>
            <w:r>
              <w:rPr>
                <w:color w:val="auto"/>
                <w:kern w:val="0"/>
                <w:szCs w:val="21"/>
              </w:rPr>
              <w:t>%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</w:tr>
      <w:tr w14:paraId="5C911E7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single" w:color="auto" w:sz="6" w:space="0"/>
              <w:bottom w:val="nil"/>
            </w:tcBorders>
            <w:vAlign w:val="center"/>
          </w:tcPr>
          <w:p w14:paraId="75A2FE1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single" w:color="auto" w:sz="6" w:space="0"/>
              <w:bottom w:val="nil"/>
            </w:tcBorders>
            <w:vAlign w:val="center"/>
          </w:tcPr>
          <w:p w14:paraId="08FA7ECB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2551" w:type="dxa"/>
            <w:tcBorders>
              <w:top w:val="single" w:color="auto" w:sz="6" w:space="0"/>
              <w:bottom w:val="nil"/>
            </w:tcBorders>
            <w:vAlign w:val="center"/>
          </w:tcPr>
          <w:p w14:paraId="0CDEDB5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2.93</w:t>
            </w:r>
          </w:p>
        </w:tc>
      </w:tr>
      <w:tr w14:paraId="690F871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64A020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203DE2F3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0138548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2.63</w:t>
            </w:r>
          </w:p>
        </w:tc>
      </w:tr>
      <w:tr w14:paraId="2F00F40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3BFA66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A6073B2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143542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2.42</w:t>
            </w:r>
          </w:p>
        </w:tc>
      </w:tr>
      <w:tr w14:paraId="2FD0B41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29E746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23E5692B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3005BD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2.32</w:t>
            </w:r>
          </w:p>
        </w:tc>
      </w:tr>
      <w:tr w14:paraId="07B7BAD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49A379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5B53762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BE83EA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2.42</w:t>
            </w:r>
          </w:p>
        </w:tc>
      </w:tr>
      <w:tr w14:paraId="0EF6EA7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E87E32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2E235F70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E110B9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2.43</w:t>
            </w:r>
          </w:p>
        </w:tc>
      </w:tr>
      <w:tr w14:paraId="3956695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18D90B4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EF50915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96A2D3E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2.41</w:t>
            </w:r>
          </w:p>
        </w:tc>
      </w:tr>
      <w:tr w14:paraId="64C0731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314ACF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B3D331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45DDB04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3.57</w:t>
            </w:r>
          </w:p>
        </w:tc>
      </w:tr>
      <w:tr w14:paraId="66A767E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60C881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9CD6D1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08DECE9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3.61</w:t>
            </w:r>
          </w:p>
        </w:tc>
      </w:tr>
      <w:tr w14:paraId="555FEE8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F49802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1C6285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A06791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4.56</w:t>
            </w:r>
          </w:p>
        </w:tc>
      </w:tr>
      <w:tr w14:paraId="62E8E4C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C4F727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EE7E20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50D6FE5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4.05</w:t>
            </w:r>
          </w:p>
        </w:tc>
      </w:tr>
      <w:tr w14:paraId="1A82394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B9D08C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266580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5B4C55BE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4.17</w:t>
            </w:r>
          </w:p>
        </w:tc>
      </w:tr>
      <w:tr w14:paraId="26DB23B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0DB6DA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D0A368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BDA758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4.82</w:t>
            </w:r>
          </w:p>
        </w:tc>
      </w:tr>
      <w:tr w14:paraId="1AA57BD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FF515D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854B3F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488440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5.56</w:t>
            </w:r>
          </w:p>
        </w:tc>
      </w:tr>
      <w:tr w14:paraId="1524B3A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98D61D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FEE5FE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6E2C82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5.26</w:t>
            </w:r>
          </w:p>
        </w:tc>
      </w:tr>
      <w:tr w14:paraId="490BA08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1071900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3856F86E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B856F4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4.94</w:t>
            </w:r>
          </w:p>
        </w:tc>
      </w:tr>
      <w:tr w14:paraId="28F596C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C08B8B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5A301D8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098AB2AF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4.04</w:t>
            </w:r>
          </w:p>
        </w:tc>
      </w:tr>
      <w:tr w14:paraId="3F3CCB5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F2CCDD7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54E199B4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DD27E1B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4.11</w:t>
            </w:r>
          </w:p>
        </w:tc>
      </w:tr>
      <w:tr w14:paraId="3E07EDD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5D8362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2A17FEF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08B5B5B1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3.64</w:t>
            </w:r>
          </w:p>
        </w:tc>
      </w:tr>
      <w:tr w14:paraId="31C8154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662C63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65AA6E4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5EC11ED1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3.98</w:t>
            </w:r>
          </w:p>
        </w:tc>
      </w:tr>
      <w:tr w14:paraId="7CD3B0B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single" w:color="auto" w:sz="4" w:space="0"/>
            </w:tcBorders>
            <w:vAlign w:val="center"/>
          </w:tcPr>
          <w:p w14:paraId="354C026E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single" w:color="auto" w:sz="4" w:space="0"/>
            </w:tcBorders>
            <w:vAlign w:val="center"/>
          </w:tcPr>
          <w:p w14:paraId="40060C6E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2551" w:type="dxa"/>
            <w:tcBorders>
              <w:top w:val="nil"/>
              <w:bottom w:val="single" w:color="auto" w:sz="4" w:space="0"/>
            </w:tcBorders>
            <w:vAlign w:val="center"/>
          </w:tcPr>
          <w:p w14:paraId="4317A2F7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4.02</w:t>
            </w:r>
          </w:p>
        </w:tc>
      </w:tr>
    </w:tbl>
    <w:p w14:paraId="3C0D6F81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上表可见，21批洋常春藤提取物中19批水分都小于</w:t>
      </w:r>
      <w:r>
        <w:rPr>
          <w:color w:val="auto"/>
          <w:szCs w:val="21"/>
        </w:rPr>
        <w:t>5%</w:t>
      </w:r>
      <w:r>
        <w:rPr>
          <w:rFonts w:hint="eastAsia"/>
          <w:color w:val="auto"/>
          <w:szCs w:val="21"/>
        </w:rPr>
        <w:t>。因此。将水分不超过</w:t>
      </w:r>
      <w:r>
        <w:rPr>
          <w:color w:val="auto"/>
          <w:szCs w:val="21"/>
        </w:rPr>
        <w:t>5%</w:t>
      </w:r>
      <w:r>
        <w:rPr>
          <w:rFonts w:hint="eastAsia"/>
          <w:color w:val="auto"/>
          <w:szCs w:val="21"/>
        </w:rPr>
        <w:t>订入本标准。</w:t>
      </w:r>
    </w:p>
    <w:p w14:paraId="7C604755">
      <w:pPr>
        <w:rPr>
          <w:rFonts w:hint="eastAsia" w:ascii="宋体" w:hAnsi="宋体" w:cs="宋体"/>
          <w:b/>
          <w:color w:val="auto"/>
          <w:szCs w:val="21"/>
        </w:rPr>
      </w:pPr>
      <w:r>
        <w:rPr>
          <w:rFonts w:hint="eastAsia"/>
          <w:b/>
          <w:color w:val="auto"/>
          <w:szCs w:val="21"/>
        </w:rPr>
        <w:t xml:space="preserve">7 </w:t>
      </w:r>
      <w:r>
        <w:rPr>
          <w:rFonts w:hint="eastAsia" w:ascii="宋体" w:hAnsi="宋体" w:cs="宋体"/>
          <w:b/>
          <w:color w:val="auto"/>
          <w:szCs w:val="21"/>
        </w:rPr>
        <w:t>灰分的测定</w:t>
      </w:r>
    </w:p>
    <w:p w14:paraId="149D7F64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按灰分规定测定的方法进行。测定结果见下表15。</w:t>
      </w:r>
    </w:p>
    <w:p w14:paraId="792CEE60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表15  洋常春藤提取物灰分测定结果</w:t>
      </w:r>
    </w:p>
    <w:tbl>
      <w:tblPr>
        <w:tblStyle w:val="15"/>
        <w:tblW w:w="8080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7"/>
        <w:gridCol w:w="2834"/>
        <w:gridCol w:w="2549"/>
      </w:tblGrid>
      <w:tr w14:paraId="0B3FB67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4BC1CAE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2834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64925E87">
            <w:pPr>
              <w:tabs>
                <w:tab w:val="left" w:pos="648"/>
              </w:tabs>
              <w:autoSpaceDE w:val="0"/>
              <w:autoSpaceDN w:val="0"/>
              <w:spacing w:line="240" w:lineRule="auto"/>
              <w:ind w:left="286" w:hanging="285" w:hangingChars="136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</w:p>
        </w:tc>
        <w:tc>
          <w:tcPr>
            <w:tcW w:w="2549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5E4153FB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灰分含量（</w:t>
            </w:r>
            <w:r>
              <w:rPr>
                <w:color w:val="auto"/>
                <w:kern w:val="0"/>
                <w:szCs w:val="21"/>
              </w:rPr>
              <w:t>%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</w:tr>
      <w:tr w14:paraId="2C6AFDE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single" w:color="auto" w:sz="6" w:space="0"/>
              <w:bottom w:val="nil"/>
            </w:tcBorders>
            <w:vAlign w:val="center"/>
          </w:tcPr>
          <w:p w14:paraId="264733B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single" w:color="auto" w:sz="6" w:space="0"/>
              <w:bottom w:val="nil"/>
            </w:tcBorders>
            <w:vAlign w:val="center"/>
          </w:tcPr>
          <w:p w14:paraId="1496E5F2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2549" w:type="dxa"/>
            <w:tcBorders>
              <w:top w:val="single" w:color="auto" w:sz="6" w:space="0"/>
              <w:bottom w:val="nil"/>
            </w:tcBorders>
            <w:vAlign w:val="center"/>
          </w:tcPr>
          <w:p w14:paraId="7C0023D1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1.87</w:t>
            </w:r>
          </w:p>
        </w:tc>
      </w:tr>
      <w:tr w14:paraId="6211287E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1F9ADC2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12FBE90F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65289CB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1.65</w:t>
            </w:r>
          </w:p>
        </w:tc>
      </w:tr>
      <w:tr w14:paraId="5D29616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474B47F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2E146835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5FEE89C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6.09</w:t>
            </w:r>
          </w:p>
        </w:tc>
      </w:tr>
      <w:tr w14:paraId="620759D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178B784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5C9201ED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6860BB8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5.88</w:t>
            </w:r>
          </w:p>
        </w:tc>
      </w:tr>
      <w:tr w14:paraId="4A835C7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4F0DD27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604EE3E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4D8A379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6.52</w:t>
            </w:r>
          </w:p>
        </w:tc>
      </w:tr>
      <w:tr w14:paraId="5F867FA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2C7E4AE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040CFA7B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00F203C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6.31</w:t>
            </w:r>
          </w:p>
        </w:tc>
      </w:tr>
      <w:tr w14:paraId="04B2C0C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45DC8F5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39733E0B">
            <w:pPr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151FEC2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5.45</w:t>
            </w:r>
          </w:p>
        </w:tc>
      </w:tr>
      <w:tr w14:paraId="3CBADF3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589A3F6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307F133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16119CD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7.32</w:t>
            </w:r>
          </w:p>
        </w:tc>
      </w:tr>
      <w:tr w14:paraId="3D6B471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6812052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165D015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09091B5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7.68</w:t>
            </w:r>
          </w:p>
        </w:tc>
      </w:tr>
      <w:tr w14:paraId="4800F7D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5793908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531B797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600F5A1D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4.05</w:t>
            </w:r>
          </w:p>
        </w:tc>
      </w:tr>
      <w:tr w14:paraId="3C4C1D0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683166E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4A4647D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053E263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3.37</w:t>
            </w:r>
          </w:p>
        </w:tc>
      </w:tr>
      <w:tr w14:paraId="3B04C83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4F01D58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146A7DC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5468294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3.88</w:t>
            </w:r>
          </w:p>
        </w:tc>
      </w:tr>
      <w:tr w14:paraId="03CCCB5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4182832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46EE7BCF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46108BB7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3.73</w:t>
            </w:r>
          </w:p>
        </w:tc>
      </w:tr>
      <w:tr w14:paraId="3368B22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62A0A21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47781B8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65C4366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3.55</w:t>
            </w:r>
          </w:p>
        </w:tc>
      </w:tr>
      <w:tr w14:paraId="589EFFE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67E178A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4FDE3A2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1B6A5080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4.11</w:t>
            </w:r>
          </w:p>
        </w:tc>
      </w:tr>
      <w:tr w14:paraId="3CD9DCD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5287C26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3D3AF99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1A86B4F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3.27</w:t>
            </w:r>
          </w:p>
        </w:tc>
      </w:tr>
      <w:tr w14:paraId="5B0967B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0D574A1D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68C2EB9C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18D5BEE7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3.31</w:t>
            </w:r>
          </w:p>
        </w:tc>
      </w:tr>
      <w:tr w14:paraId="2A25D28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6DE361C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472C2C86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04B4E0EF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3.28</w:t>
            </w:r>
          </w:p>
        </w:tc>
      </w:tr>
      <w:tr w14:paraId="1A0FA41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38BA11FC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5550BDB9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158B3F7F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2.45</w:t>
            </w:r>
          </w:p>
        </w:tc>
      </w:tr>
      <w:tr w14:paraId="3927948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nil"/>
            </w:tcBorders>
            <w:vAlign w:val="center"/>
          </w:tcPr>
          <w:p w14:paraId="0AF1E833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4" w:type="dxa"/>
            <w:tcBorders>
              <w:top w:val="nil"/>
              <w:bottom w:val="nil"/>
            </w:tcBorders>
            <w:vAlign w:val="center"/>
          </w:tcPr>
          <w:p w14:paraId="7D65AC70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2549" w:type="dxa"/>
            <w:tcBorders>
              <w:top w:val="nil"/>
              <w:bottom w:val="nil"/>
            </w:tcBorders>
            <w:vAlign w:val="center"/>
          </w:tcPr>
          <w:p w14:paraId="40954291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2.38</w:t>
            </w:r>
          </w:p>
        </w:tc>
      </w:tr>
      <w:tr w14:paraId="556A567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7" w:type="dxa"/>
            <w:tcBorders>
              <w:top w:val="nil"/>
              <w:bottom w:val="single" w:color="auto" w:sz="4" w:space="0"/>
            </w:tcBorders>
            <w:vAlign w:val="center"/>
          </w:tcPr>
          <w:p w14:paraId="4212AB34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4" w:type="dxa"/>
            <w:tcBorders>
              <w:top w:val="nil"/>
              <w:bottom w:val="single" w:color="auto" w:sz="4" w:space="0"/>
            </w:tcBorders>
            <w:vAlign w:val="center"/>
          </w:tcPr>
          <w:p w14:paraId="613ECCCB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2549" w:type="dxa"/>
            <w:tcBorders>
              <w:top w:val="nil"/>
              <w:bottom w:val="single" w:color="auto" w:sz="4" w:space="0"/>
            </w:tcBorders>
            <w:vAlign w:val="center"/>
          </w:tcPr>
          <w:p w14:paraId="41437EF5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2.76</w:t>
            </w:r>
          </w:p>
        </w:tc>
      </w:tr>
    </w:tbl>
    <w:p w14:paraId="0CF943C0">
      <w:pPr>
        <w:ind w:firstLine="42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上表可见，21批紫锥菊提取物灰分均小于8</w:t>
      </w:r>
      <w:r>
        <w:rPr>
          <w:color w:val="auto"/>
          <w:szCs w:val="21"/>
        </w:rPr>
        <w:t>%</w:t>
      </w:r>
      <w:r>
        <w:rPr>
          <w:rFonts w:hint="eastAsia"/>
          <w:color w:val="auto"/>
          <w:szCs w:val="21"/>
        </w:rPr>
        <w:t>。因此，将灰分不得超过8</w:t>
      </w:r>
      <w:r>
        <w:rPr>
          <w:color w:val="auto"/>
          <w:szCs w:val="21"/>
        </w:rPr>
        <w:t>%</w:t>
      </w:r>
      <w:r>
        <w:rPr>
          <w:rFonts w:hint="eastAsia"/>
          <w:color w:val="auto"/>
          <w:szCs w:val="21"/>
        </w:rPr>
        <w:t>订入本标准。</w:t>
      </w:r>
    </w:p>
    <w:p w14:paraId="660B489C">
      <w:pPr>
        <w:pStyle w:val="45"/>
        <w:spacing w:line="360" w:lineRule="auto"/>
        <w:ind w:firstLine="0" w:firstLineChars="0"/>
        <w:rPr>
          <w:rFonts w:ascii="Times New Roman" w:eastAsia="黑体"/>
          <w:color w:val="auto"/>
          <w:szCs w:val="21"/>
        </w:rPr>
      </w:pPr>
      <w:r>
        <w:rPr>
          <w:rFonts w:hint="eastAsia" w:ascii="Times New Roman" w:eastAsia="黑体"/>
          <w:b/>
          <w:color w:val="auto"/>
          <w:szCs w:val="21"/>
        </w:rPr>
        <w:t>8</w:t>
      </w:r>
      <w:r>
        <w:rPr>
          <w:rFonts w:ascii="Times New Roman" w:eastAsia="黑体"/>
          <w:b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铅、镉、砷、汞的测定</w:t>
      </w:r>
    </w:p>
    <w:p w14:paraId="59ED6B47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按铅、镉、砷、汞、铜测定法（第二法）规定的方法进行。检测结果见表16。</w:t>
      </w:r>
    </w:p>
    <w:p w14:paraId="04395E22">
      <w:pPr>
        <w:ind w:firstLine="422" w:firstLineChars="200"/>
        <w:jc w:val="center"/>
        <w:rPr>
          <w:rFonts w:hint="eastAsia" w:ascii="宋体" w:hAnsi="宋体" w:cs="宋体"/>
          <w:b/>
          <w:bCs/>
          <w:color w:val="auto"/>
          <w:spacing w:val="12"/>
          <w:kern w:val="0"/>
          <w:szCs w:val="21"/>
        </w:rPr>
      </w:pPr>
      <w:r>
        <w:rPr>
          <w:rFonts w:hint="eastAsia" w:ascii="宋体" w:hAnsi="宋体" w:cs="宋体"/>
          <w:b/>
          <w:bCs/>
          <w:color w:val="auto"/>
          <w:szCs w:val="21"/>
        </w:rPr>
        <w:t>表16  洋常春藤提取物铅、镉、砷、汞测定结果</w:t>
      </w:r>
    </w:p>
    <w:tbl>
      <w:tblPr>
        <w:tblStyle w:val="15"/>
        <w:tblW w:w="8470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4"/>
        <w:gridCol w:w="1600"/>
        <w:gridCol w:w="1317"/>
        <w:gridCol w:w="1559"/>
        <w:gridCol w:w="1560"/>
        <w:gridCol w:w="1240"/>
      </w:tblGrid>
      <w:tr w14:paraId="74BAB10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27DD01F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1600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64A027E1">
            <w:pPr>
              <w:autoSpaceDE w:val="0"/>
              <w:autoSpaceDN w:val="0"/>
              <w:spacing w:line="240" w:lineRule="auto"/>
              <w:ind w:firstLine="2" w:firstLineChars="1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</w:p>
        </w:tc>
        <w:tc>
          <w:tcPr>
            <w:tcW w:w="1317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6F26DED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</w:rPr>
              <w:t>As（mg/kg）</w:t>
            </w:r>
          </w:p>
        </w:tc>
        <w:tc>
          <w:tcPr>
            <w:tcW w:w="1559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413EF05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</w:rPr>
              <w:t>Cd（mg/kg）</w:t>
            </w:r>
          </w:p>
        </w:tc>
        <w:tc>
          <w:tcPr>
            <w:tcW w:w="1560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2696E93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</w:rPr>
              <w:t>Hg（mg/kg）</w:t>
            </w:r>
          </w:p>
        </w:tc>
        <w:tc>
          <w:tcPr>
            <w:tcW w:w="1240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067C970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</w:rPr>
              <w:t>Pb（mg/kg）</w:t>
            </w:r>
          </w:p>
        </w:tc>
      </w:tr>
      <w:tr w14:paraId="0696073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single" w:color="auto" w:sz="6" w:space="0"/>
              <w:bottom w:val="nil"/>
            </w:tcBorders>
            <w:vAlign w:val="center"/>
          </w:tcPr>
          <w:p w14:paraId="3926FA7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single" w:color="auto" w:sz="6" w:space="0"/>
              <w:bottom w:val="nil"/>
            </w:tcBorders>
            <w:vAlign w:val="center"/>
          </w:tcPr>
          <w:p w14:paraId="276390A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1317" w:type="dxa"/>
            <w:tcBorders>
              <w:top w:val="single" w:color="auto" w:sz="6" w:space="0"/>
              <w:bottom w:val="nil"/>
            </w:tcBorders>
            <w:vAlign w:val="center"/>
          </w:tcPr>
          <w:p w14:paraId="31B1465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0.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5893</w:t>
            </w:r>
          </w:p>
        </w:tc>
        <w:tc>
          <w:tcPr>
            <w:tcW w:w="1559" w:type="dxa"/>
            <w:tcBorders>
              <w:top w:val="single" w:color="auto" w:sz="6" w:space="0"/>
              <w:bottom w:val="nil"/>
            </w:tcBorders>
            <w:vAlign w:val="center"/>
          </w:tcPr>
          <w:p w14:paraId="78E3374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0.152</w:t>
            </w:r>
          </w:p>
        </w:tc>
        <w:tc>
          <w:tcPr>
            <w:tcW w:w="1560" w:type="dxa"/>
            <w:tcBorders>
              <w:top w:val="single" w:color="auto" w:sz="6" w:space="0"/>
              <w:bottom w:val="nil"/>
            </w:tcBorders>
            <w:vAlign w:val="center"/>
          </w:tcPr>
          <w:p w14:paraId="3FCBFB2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single" w:color="auto" w:sz="6" w:space="0"/>
              <w:bottom w:val="nil"/>
            </w:tcBorders>
            <w:vAlign w:val="center"/>
          </w:tcPr>
          <w:p w14:paraId="0F6DE92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bookmarkStart w:id="3" w:name="OLE_LINK1"/>
            <w:r>
              <w:rPr>
                <w:color w:val="auto"/>
                <w:kern w:val="0"/>
                <w:szCs w:val="21"/>
                <w:lang w:bidi="ar"/>
              </w:rPr>
              <w:t>&lt;0.05</w:t>
            </w:r>
            <w:bookmarkEnd w:id="3"/>
          </w:p>
        </w:tc>
      </w:tr>
      <w:tr w14:paraId="59A6176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449F632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31AAD1E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0142D6B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0.4205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7C332D5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0.261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525FA27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39E9CE8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4DD9F1B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53DD4B0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6B94E9C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4AD8FF4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0.3367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01C7645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0.034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596089D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6794ADB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5C5AE43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3D1AF35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4DF52B3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5188A19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0.1082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01AB32C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0.018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1FC80D35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58AF68F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30A8842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25F1B79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451D231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09D870F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0.2556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4F72895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0.019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780CF2F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23D154A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4867107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4BE3641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6D84044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7CA5C30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0.4733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7E38DC3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0.019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6664BB4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4171DE3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727E7BA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34EF845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63B3DE2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065E905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0.1891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74D4B52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0.025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1F362E3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7C981C3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35C8704D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795BDA63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53D604D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5485B10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0.3774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27E6625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0.020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4C569D6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31E192C5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0.093</w:t>
            </w:r>
          </w:p>
        </w:tc>
      </w:tr>
      <w:tr w14:paraId="718A0FD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6589008E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53E7257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65955D4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0.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4102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2E289A8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0.019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66BDF5A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2086E19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0.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106</w:t>
            </w:r>
          </w:p>
        </w:tc>
      </w:tr>
      <w:tr w14:paraId="0D6FB31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588F643B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1005084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2C1B1AE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0.0513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26E4EA7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0.009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37038E1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1E6E6D9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3D5E787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11357243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4A6D3B1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5B800D5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0.0488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5A8D6AD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0.010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7E49CEC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708F1D2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406FD64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6C3FA36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606D69A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607B42F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0.1035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73C433D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0.007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4906084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0778CD7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10C9834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1D7C3F88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429E00C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42917B6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0.6062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237404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0.173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7CAAEB2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440BB91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0.067</w:t>
            </w:r>
          </w:p>
        </w:tc>
      </w:tr>
      <w:tr w14:paraId="079607F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1DBCEF7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743A769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01E3CBE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0.4954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B12495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0.189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2794621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0283711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0.103</w:t>
            </w:r>
          </w:p>
        </w:tc>
      </w:tr>
      <w:tr w14:paraId="6C2F1A9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21BCB10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5EE034A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5A508A1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0.4221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5ECED5A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0.182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3FE7F33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406B372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0.088</w:t>
            </w:r>
          </w:p>
        </w:tc>
      </w:tr>
      <w:tr w14:paraId="42C4DCA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030068A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41BA8C2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2C9F9FB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0.3056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02BE2CE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0.052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54CC9CF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48AD7DE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518E0A9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608A174B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2CAC7C21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7022B655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0.4734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7EB9CB7E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0.044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38C0A14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50F7E80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3ECE08C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22B3996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5F11FB82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4FEA8F4E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0.4158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74887E72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0.065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3367D6D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31A9166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&lt;0.05</w:t>
            </w:r>
          </w:p>
        </w:tc>
      </w:tr>
      <w:tr w14:paraId="72FE2D0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164530D2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776EB038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6C6B3C91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0.9531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8FF79FD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0.245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2BF7CDB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5C9C4B36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0.098</w:t>
            </w:r>
          </w:p>
        </w:tc>
      </w:tr>
      <w:tr w14:paraId="4337E48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nil"/>
            </w:tcBorders>
            <w:vAlign w:val="center"/>
          </w:tcPr>
          <w:p w14:paraId="79E5F838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1600" w:type="dxa"/>
            <w:tcBorders>
              <w:top w:val="nil"/>
              <w:bottom w:val="nil"/>
            </w:tcBorders>
            <w:vAlign w:val="center"/>
          </w:tcPr>
          <w:p w14:paraId="06707282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1317" w:type="dxa"/>
            <w:tcBorders>
              <w:top w:val="nil"/>
              <w:bottom w:val="nil"/>
            </w:tcBorders>
            <w:vAlign w:val="center"/>
          </w:tcPr>
          <w:p w14:paraId="22E5A9F0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0.8707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5FB52551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0.313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14:paraId="4365790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nil"/>
            </w:tcBorders>
            <w:vAlign w:val="center"/>
          </w:tcPr>
          <w:p w14:paraId="26E1E5C1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0.134</w:t>
            </w:r>
          </w:p>
        </w:tc>
      </w:tr>
      <w:tr w14:paraId="2AE5ADE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94" w:type="dxa"/>
            <w:tcBorders>
              <w:top w:val="nil"/>
              <w:bottom w:val="single" w:color="auto" w:sz="4" w:space="0"/>
            </w:tcBorders>
            <w:vAlign w:val="center"/>
          </w:tcPr>
          <w:p w14:paraId="53F8CDA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1600" w:type="dxa"/>
            <w:tcBorders>
              <w:top w:val="nil"/>
              <w:bottom w:val="single" w:color="auto" w:sz="4" w:space="0"/>
            </w:tcBorders>
            <w:vAlign w:val="center"/>
          </w:tcPr>
          <w:p w14:paraId="0AF78E24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1317" w:type="dxa"/>
            <w:tcBorders>
              <w:top w:val="nil"/>
              <w:bottom w:val="single" w:color="auto" w:sz="4" w:space="0"/>
            </w:tcBorders>
            <w:vAlign w:val="center"/>
          </w:tcPr>
          <w:p w14:paraId="5614AD34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0.9083</w:t>
            </w:r>
          </w:p>
        </w:tc>
        <w:tc>
          <w:tcPr>
            <w:tcW w:w="1559" w:type="dxa"/>
            <w:tcBorders>
              <w:top w:val="nil"/>
              <w:bottom w:val="single" w:color="auto" w:sz="4" w:space="0"/>
            </w:tcBorders>
            <w:vAlign w:val="center"/>
          </w:tcPr>
          <w:p w14:paraId="72459195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0.260</w:t>
            </w:r>
          </w:p>
        </w:tc>
        <w:tc>
          <w:tcPr>
            <w:tcW w:w="1560" w:type="dxa"/>
            <w:tcBorders>
              <w:top w:val="nil"/>
              <w:bottom w:val="single" w:color="auto" w:sz="4" w:space="0"/>
            </w:tcBorders>
            <w:vAlign w:val="center"/>
          </w:tcPr>
          <w:p w14:paraId="71EEFE55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kern w:val="0"/>
                <w:szCs w:val="21"/>
                <w:lang w:bidi="ar"/>
              </w:rPr>
              <w:t>&lt;0.0</w:t>
            </w: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1240" w:type="dxa"/>
            <w:tcBorders>
              <w:top w:val="nil"/>
              <w:bottom w:val="single" w:color="auto" w:sz="4" w:space="0"/>
            </w:tcBorders>
            <w:vAlign w:val="center"/>
          </w:tcPr>
          <w:p w14:paraId="789FF0CC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0.136</w:t>
            </w:r>
          </w:p>
        </w:tc>
      </w:tr>
    </w:tbl>
    <w:p w14:paraId="661C3419">
      <w:pPr>
        <w:ind w:firstLine="42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从上表可见，21批洋常春藤提取物四个重金属元素限量都符合</w:t>
      </w:r>
      <w:r>
        <w:rPr>
          <w:color w:val="auto"/>
          <w:szCs w:val="21"/>
        </w:rPr>
        <w:t>(EC) No 629/2008</w:t>
      </w:r>
      <w:r>
        <w:rPr>
          <w:rFonts w:hint="eastAsia"/>
          <w:color w:val="auto"/>
          <w:szCs w:val="21"/>
        </w:rPr>
        <w:t>欧盟关于食品中特定污染物最高含量规定中食品添加剂</w:t>
      </w:r>
      <w:r>
        <w:rPr>
          <w:color w:val="auto"/>
          <w:szCs w:val="21"/>
        </w:rPr>
        <w:t>Pb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3mg/kg</w:t>
      </w:r>
      <w:r>
        <w:rPr>
          <w:rFonts w:hint="eastAsia"/>
          <w:color w:val="auto"/>
          <w:szCs w:val="21"/>
        </w:rPr>
        <w:t>、</w:t>
      </w:r>
      <w:r>
        <w:rPr>
          <w:color w:val="auto"/>
          <w:szCs w:val="21"/>
        </w:rPr>
        <w:t>Cd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1mg/kg</w:t>
      </w:r>
      <w:r>
        <w:rPr>
          <w:rFonts w:hint="eastAsia"/>
          <w:color w:val="auto"/>
          <w:szCs w:val="21"/>
        </w:rPr>
        <w:t>、</w:t>
      </w:r>
      <w:r>
        <w:rPr>
          <w:color w:val="auto"/>
          <w:szCs w:val="21"/>
        </w:rPr>
        <w:t>Hg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0.1mg/kg</w:t>
      </w:r>
      <w:r>
        <w:rPr>
          <w:rFonts w:hint="eastAsia"/>
          <w:color w:val="auto"/>
          <w:szCs w:val="21"/>
        </w:rPr>
        <w:t>的规定，</w:t>
      </w:r>
      <w:r>
        <w:rPr>
          <w:color w:val="auto"/>
          <w:szCs w:val="21"/>
        </w:rPr>
        <w:t>As</w:t>
      </w:r>
      <w:r>
        <w:rPr>
          <w:rFonts w:hint="eastAsia"/>
          <w:color w:val="auto"/>
          <w:szCs w:val="21"/>
        </w:rPr>
        <w:t>都低于</w:t>
      </w:r>
      <w:r>
        <w:rPr>
          <w:color w:val="auto"/>
          <w:szCs w:val="21"/>
        </w:rPr>
        <w:t>2mg/kg</w:t>
      </w:r>
      <w:r>
        <w:rPr>
          <w:rFonts w:hint="eastAsia"/>
          <w:color w:val="auto"/>
          <w:szCs w:val="21"/>
        </w:rPr>
        <w:t>。</w:t>
      </w:r>
    </w:p>
    <w:p w14:paraId="63079F16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因此，将</w:t>
      </w:r>
      <w:r>
        <w:rPr>
          <w:color w:val="auto"/>
          <w:szCs w:val="21"/>
        </w:rPr>
        <w:t>Pb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3mg/kg</w:t>
      </w:r>
      <w:r>
        <w:rPr>
          <w:rFonts w:hint="eastAsia"/>
          <w:color w:val="auto"/>
          <w:szCs w:val="21"/>
        </w:rPr>
        <w:t>、</w:t>
      </w:r>
      <w:r>
        <w:rPr>
          <w:color w:val="auto"/>
          <w:szCs w:val="21"/>
        </w:rPr>
        <w:t>Cd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1mg/kg</w:t>
      </w:r>
      <w:r>
        <w:rPr>
          <w:rFonts w:hint="eastAsia"/>
          <w:color w:val="auto"/>
          <w:szCs w:val="21"/>
        </w:rPr>
        <w:t>、</w:t>
      </w:r>
      <w:r>
        <w:rPr>
          <w:color w:val="auto"/>
          <w:szCs w:val="21"/>
        </w:rPr>
        <w:t>As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2mg/kg</w:t>
      </w:r>
      <w:r>
        <w:rPr>
          <w:rFonts w:hint="eastAsia"/>
          <w:color w:val="auto"/>
          <w:szCs w:val="21"/>
        </w:rPr>
        <w:t>、</w:t>
      </w:r>
      <w:r>
        <w:rPr>
          <w:color w:val="auto"/>
          <w:szCs w:val="21"/>
        </w:rPr>
        <w:t>Hg</w:t>
      </w:r>
      <w:r>
        <w:rPr>
          <w:rFonts w:hint="eastAsia"/>
          <w:color w:val="auto"/>
          <w:szCs w:val="21"/>
        </w:rPr>
        <w:t>不得过</w:t>
      </w:r>
      <w:r>
        <w:rPr>
          <w:color w:val="auto"/>
          <w:szCs w:val="21"/>
        </w:rPr>
        <w:t>0.1mg/kg</w:t>
      </w:r>
      <w:r>
        <w:rPr>
          <w:rFonts w:hint="eastAsia"/>
          <w:color w:val="auto"/>
          <w:szCs w:val="21"/>
        </w:rPr>
        <w:t>订入本标准。</w:t>
      </w:r>
    </w:p>
    <w:p w14:paraId="366F006F">
      <w:pPr>
        <w:rPr>
          <w:rFonts w:eastAsia="黑体"/>
          <w:b/>
          <w:color w:val="auto"/>
          <w:szCs w:val="21"/>
        </w:rPr>
      </w:pPr>
      <w:r>
        <w:rPr>
          <w:rFonts w:eastAsia="黑体"/>
          <w:b/>
          <w:color w:val="auto"/>
          <w:szCs w:val="21"/>
        </w:rPr>
        <w:t>8</w:t>
      </w:r>
      <w:r>
        <w:rPr>
          <w:rFonts w:hint="eastAsia" w:eastAsia="黑体"/>
          <w:b/>
          <w:color w:val="auto"/>
          <w:szCs w:val="21"/>
        </w:rPr>
        <w:t xml:space="preserve"> </w:t>
      </w:r>
      <w:r>
        <w:rPr>
          <w:rFonts w:hint="eastAsia" w:ascii="宋体" w:hAnsi="宋体" w:cs="宋体"/>
          <w:b/>
          <w:color w:val="auto"/>
          <w:szCs w:val="21"/>
        </w:rPr>
        <w:t>卫生要求</w:t>
      </w:r>
    </w:p>
    <w:p w14:paraId="5B707C50">
      <w:pPr>
        <w:pStyle w:val="45"/>
        <w:spacing w:line="360" w:lineRule="auto"/>
        <w:ind w:firstLine="0" w:firstLineChars="0"/>
        <w:rPr>
          <w:rFonts w:ascii="Times New Roman" w:eastAsia="黑体"/>
          <w:color w:val="auto"/>
          <w:szCs w:val="21"/>
        </w:rPr>
      </w:pPr>
      <w:r>
        <w:rPr>
          <w:rFonts w:ascii="Times New Roman" w:eastAsia="黑体"/>
          <w:b/>
          <w:color w:val="auto"/>
          <w:kern w:val="2"/>
          <w:szCs w:val="21"/>
        </w:rPr>
        <w:t>8</w:t>
      </w:r>
      <w:r>
        <w:rPr>
          <w:rFonts w:hint="eastAsia" w:ascii="Times New Roman" w:eastAsia="黑体"/>
          <w:b/>
          <w:color w:val="auto"/>
          <w:kern w:val="2"/>
          <w:szCs w:val="21"/>
        </w:rPr>
        <w:t xml:space="preserve">.1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菌落总数的测定</w:t>
      </w:r>
      <w:r>
        <w:rPr>
          <w:rFonts w:ascii="Times New Roman" w:eastAsia="黑体"/>
          <w:color w:val="auto"/>
          <w:szCs w:val="21"/>
        </w:rPr>
        <w:t xml:space="preserve"> </w:t>
      </w:r>
    </w:p>
    <w:p w14:paraId="055DE8AD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按菌落总数测定规定的方法进行。</w:t>
      </w:r>
    </w:p>
    <w:p w14:paraId="7EB3DFA1">
      <w:pPr>
        <w:pStyle w:val="45"/>
        <w:spacing w:line="360" w:lineRule="auto"/>
        <w:ind w:firstLine="0" w:firstLineChars="0"/>
        <w:rPr>
          <w:rFonts w:ascii="Times New Roman" w:eastAsia="黑体"/>
          <w:color w:val="auto"/>
          <w:szCs w:val="21"/>
        </w:rPr>
      </w:pPr>
      <w:r>
        <w:rPr>
          <w:rFonts w:ascii="Times New Roman" w:eastAsia="黑体"/>
          <w:b/>
          <w:color w:val="auto"/>
          <w:kern w:val="2"/>
          <w:szCs w:val="21"/>
        </w:rPr>
        <w:t>8</w:t>
      </w:r>
      <w:r>
        <w:rPr>
          <w:rFonts w:hint="eastAsia" w:ascii="Times New Roman" w:eastAsia="黑体"/>
          <w:b/>
          <w:color w:val="auto"/>
          <w:kern w:val="2"/>
          <w:szCs w:val="21"/>
        </w:rPr>
        <w:t xml:space="preserve">.2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 xml:space="preserve">霉菌和酵母的测定 </w:t>
      </w:r>
    </w:p>
    <w:p w14:paraId="559718D3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按霉菌和酵母计数规定的方法进行。</w:t>
      </w:r>
    </w:p>
    <w:p w14:paraId="20A041E1">
      <w:pPr>
        <w:pStyle w:val="45"/>
        <w:spacing w:line="360" w:lineRule="auto"/>
        <w:ind w:firstLine="0" w:firstLineChars="0"/>
        <w:rPr>
          <w:rFonts w:ascii="Times New Roman" w:eastAsia="黑体"/>
          <w:color w:val="auto"/>
          <w:szCs w:val="21"/>
        </w:rPr>
      </w:pPr>
      <w:r>
        <w:rPr>
          <w:rFonts w:ascii="Times New Roman" w:eastAsia="黑体"/>
          <w:b/>
          <w:color w:val="auto"/>
          <w:kern w:val="2"/>
          <w:szCs w:val="21"/>
        </w:rPr>
        <w:t>8</w:t>
      </w:r>
      <w:r>
        <w:rPr>
          <w:rFonts w:hint="eastAsia" w:ascii="Times New Roman" w:eastAsia="黑体"/>
          <w:b/>
          <w:color w:val="auto"/>
          <w:kern w:val="2"/>
          <w:szCs w:val="21"/>
        </w:rPr>
        <w:t>.3</w:t>
      </w:r>
      <w:r>
        <w:rPr>
          <w:rFonts w:ascii="Times New Roman"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大肠菌群的测定</w:t>
      </w:r>
    </w:p>
    <w:p w14:paraId="3F0C0571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按大肠菌群计数定的方法进行。</w:t>
      </w:r>
    </w:p>
    <w:p w14:paraId="4B399C70">
      <w:pPr>
        <w:pStyle w:val="45"/>
        <w:spacing w:line="360" w:lineRule="auto"/>
        <w:ind w:firstLine="0" w:firstLineChars="0"/>
        <w:rPr>
          <w:rFonts w:ascii="Times New Roman" w:eastAsia="黑体"/>
          <w:color w:val="auto"/>
          <w:szCs w:val="21"/>
        </w:rPr>
      </w:pPr>
      <w:r>
        <w:rPr>
          <w:rFonts w:ascii="Times New Roman" w:eastAsia="黑体"/>
          <w:b/>
          <w:color w:val="auto"/>
          <w:kern w:val="2"/>
          <w:szCs w:val="21"/>
        </w:rPr>
        <w:t>8</w:t>
      </w:r>
      <w:r>
        <w:rPr>
          <w:rFonts w:hint="eastAsia" w:ascii="Times New Roman" w:eastAsia="黑体"/>
          <w:b/>
          <w:color w:val="auto"/>
          <w:kern w:val="2"/>
          <w:szCs w:val="21"/>
        </w:rPr>
        <w:t>.4</w:t>
      </w:r>
      <w:r>
        <w:rPr>
          <w:rFonts w:ascii="Times New Roman"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沙门氏菌的测定</w:t>
      </w:r>
    </w:p>
    <w:p w14:paraId="7C334D19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按沙门氏菌检验规定的方法进行。</w:t>
      </w:r>
    </w:p>
    <w:p w14:paraId="5721C52C">
      <w:pPr>
        <w:pStyle w:val="45"/>
        <w:spacing w:line="360" w:lineRule="auto"/>
        <w:ind w:firstLine="0" w:firstLineChars="0"/>
        <w:rPr>
          <w:rFonts w:ascii="Times New Roman" w:eastAsia="黑体"/>
          <w:color w:val="auto"/>
          <w:szCs w:val="21"/>
        </w:rPr>
      </w:pPr>
      <w:r>
        <w:rPr>
          <w:rFonts w:ascii="Times New Roman" w:eastAsia="黑体"/>
          <w:b/>
          <w:color w:val="auto"/>
          <w:kern w:val="2"/>
          <w:szCs w:val="21"/>
        </w:rPr>
        <w:t>8</w:t>
      </w:r>
      <w:r>
        <w:rPr>
          <w:rFonts w:hint="eastAsia" w:ascii="Times New Roman" w:eastAsia="黑体"/>
          <w:b/>
          <w:color w:val="auto"/>
          <w:kern w:val="2"/>
          <w:szCs w:val="21"/>
        </w:rPr>
        <w:t>.</w:t>
      </w:r>
      <w:r>
        <w:rPr>
          <w:rFonts w:ascii="Times New Roman" w:eastAsia="黑体"/>
          <w:b/>
          <w:color w:val="auto"/>
          <w:kern w:val="2"/>
          <w:szCs w:val="21"/>
        </w:rPr>
        <w:t>5</w:t>
      </w:r>
      <w:r>
        <w:rPr>
          <w:rFonts w:ascii="Times New Roman" w:eastAsia="黑体"/>
          <w:color w:val="auto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Cs w:val="21"/>
        </w:rPr>
        <w:t>金黄色葡萄球菌的测定</w:t>
      </w:r>
    </w:p>
    <w:p w14:paraId="45960406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按金黄色葡萄球菌检验规定的方法进行。</w:t>
      </w:r>
    </w:p>
    <w:p w14:paraId="27252842">
      <w:pPr>
        <w:autoSpaceDE w:val="0"/>
        <w:autoSpaceDN w:val="0"/>
        <w:ind w:right="-20" w:firstLine="420" w:firstLineChars="20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菌落总数、霉菌及酵母菌、大肠埃希菌和沙门氏菌检测结果见表17。</w:t>
      </w:r>
    </w:p>
    <w:p w14:paraId="578629CB">
      <w:pPr>
        <w:ind w:firstLine="422" w:firstLineChars="200"/>
        <w:jc w:val="center"/>
        <w:rPr>
          <w:rFonts w:hint="eastAsia" w:ascii="宋体" w:hAnsi="宋体" w:cs="宋体"/>
          <w:b/>
          <w:bCs/>
          <w:color w:val="auto"/>
          <w:szCs w:val="21"/>
        </w:rPr>
      </w:pPr>
      <w:r>
        <w:rPr>
          <w:rFonts w:hint="eastAsia" w:ascii="宋体" w:hAnsi="宋体" w:cs="宋体"/>
          <w:b/>
          <w:bCs/>
          <w:color w:val="auto"/>
          <w:szCs w:val="21"/>
        </w:rPr>
        <w:t>表17  洋常春藤提取物微生物检查结果</w:t>
      </w:r>
    </w:p>
    <w:tbl>
      <w:tblPr>
        <w:tblStyle w:val="15"/>
        <w:tblW w:w="8566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638"/>
        <w:gridCol w:w="1140"/>
        <w:gridCol w:w="1061"/>
        <w:gridCol w:w="1608"/>
        <w:gridCol w:w="895"/>
        <w:gridCol w:w="1136"/>
      </w:tblGrid>
      <w:tr w14:paraId="44A29CAE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50FE24F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1638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40DCF7D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</w:p>
        </w:tc>
        <w:tc>
          <w:tcPr>
            <w:tcW w:w="1140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781DB4D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菌落总数</w:t>
            </w:r>
            <w:r>
              <w:rPr>
                <w:color w:val="auto"/>
                <w:kern w:val="0"/>
                <w:szCs w:val="21"/>
              </w:rPr>
              <w:t>/</w:t>
            </w:r>
            <w:r>
              <w:rPr>
                <w:rFonts w:hint="eastAsia"/>
                <w:color w:val="auto"/>
                <w:kern w:val="0"/>
                <w:szCs w:val="21"/>
              </w:rPr>
              <w:t>（</w:t>
            </w:r>
            <w:r>
              <w:rPr>
                <w:color w:val="auto"/>
                <w:kern w:val="0"/>
                <w:szCs w:val="21"/>
              </w:rPr>
              <w:t>cfu/g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  <w:tc>
          <w:tcPr>
            <w:tcW w:w="1061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26AFC15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霉菌及酵母菌</w:t>
            </w:r>
            <w:r>
              <w:rPr>
                <w:color w:val="auto"/>
                <w:kern w:val="0"/>
                <w:szCs w:val="21"/>
              </w:rPr>
              <w:t>/</w:t>
            </w:r>
            <w:r>
              <w:rPr>
                <w:rFonts w:hint="eastAsia"/>
                <w:color w:val="auto"/>
                <w:kern w:val="0"/>
                <w:szCs w:val="21"/>
              </w:rPr>
              <w:t>（</w:t>
            </w:r>
            <w:r>
              <w:rPr>
                <w:color w:val="auto"/>
                <w:kern w:val="0"/>
                <w:szCs w:val="21"/>
              </w:rPr>
              <w:t>cfu/g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  <w:tc>
          <w:tcPr>
            <w:tcW w:w="1608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3F98548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大肠菌群</w:t>
            </w:r>
          </w:p>
        </w:tc>
        <w:tc>
          <w:tcPr>
            <w:tcW w:w="895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51F0CFC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沙门氏菌</w:t>
            </w:r>
          </w:p>
        </w:tc>
        <w:tc>
          <w:tcPr>
            <w:tcW w:w="1136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1E5F2F34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金黄色葡萄球菌</w:t>
            </w:r>
          </w:p>
        </w:tc>
      </w:tr>
      <w:tr w14:paraId="0D690C1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single" w:color="auto" w:sz="6" w:space="0"/>
              <w:bottom w:val="nil"/>
            </w:tcBorders>
            <w:vAlign w:val="center"/>
          </w:tcPr>
          <w:p w14:paraId="2D61A14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single" w:color="auto" w:sz="6" w:space="0"/>
              <w:bottom w:val="nil"/>
            </w:tcBorders>
            <w:vAlign w:val="center"/>
          </w:tcPr>
          <w:p w14:paraId="15758B2C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1140" w:type="dxa"/>
            <w:tcBorders>
              <w:top w:val="single" w:color="auto" w:sz="6" w:space="0"/>
              <w:bottom w:val="nil"/>
            </w:tcBorders>
            <w:vAlign w:val="center"/>
          </w:tcPr>
          <w:p w14:paraId="5968D10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1061" w:type="dxa"/>
            <w:tcBorders>
              <w:top w:val="single" w:color="auto" w:sz="6" w:space="0"/>
              <w:bottom w:val="nil"/>
            </w:tcBorders>
            <w:vAlign w:val="center"/>
          </w:tcPr>
          <w:p w14:paraId="2528D72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single" w:color="auto" w:sz="6" w:space="0"/>
              <w:bottom w:val="nil"/>
            </w:tcBorders>
            <w:vAlign w:val="center"/>
          </w:tcPr>
          <w:p w14:paraId="2AD307E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single" w:color="auto" w:sz="6" w:space="0"/>
              <w:bottom w:val="nil"/>
            </w:tcBorders>
            <w:vAlign w:val="center"/>
          </w:tcPr>
          <w:p w14:paraId="7CE2F1B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single" w:color="auto" w:sz="6" w:space="0"/>
              <w:bottom w:val="nil"/>
            </w:tcBorders>
            <w:vAlign w:val="center"/>
          </w:tcPr>
          <w:p w14:paraId="29611B8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38628BD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12019B3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62AD0E35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2406F70D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50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3A40618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52E932A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574A2C7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53993A6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4749D62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379A70D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3AE7F6D8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6FF5974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50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3BB984B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5724448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2566D5A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751F27E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7A85DC7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76A87F5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3929EDCB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18945FC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50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0F2B701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10782CE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6D5F47C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7B51570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01056AA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7C67074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17905252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16B2C79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639ECCD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5E25DCD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6D9580B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1B78B6B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6A0690D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47D99E6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029D9F93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73FF690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50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286DD65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18C5990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6F8BB8CA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5E3D202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3306E4E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18EF75C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35871051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1989BAE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53D43B0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0FEA940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353E9C40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3DFD21C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3F4F82D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2A876E0C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289581D3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0AA24FB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0FD93E6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1C3BD93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3F093773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5FA1052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6E8E0D1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685BF5A8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2AEC0FAA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3D21BA3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80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51F2629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5ABD300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26E8F32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51C430B9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0BB9180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5A98E3B3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36643AA5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3E2AA60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60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052F5AF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30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04C09C95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6C43A91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7ABBA51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04A0E21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56DBB90E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4657393C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1B3B82E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50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55196BB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4B458A1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45CE986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21BA56C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1F086EB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2B0DA01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44C333C6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0FA60D3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7055F27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2C437FE5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348E44BE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50EFEA9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0EF3C75C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218C289E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18FEE97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064FAA0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393A13E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0419499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59294886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1FD023A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3FD012D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3933CF2B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139F67A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65596DD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32D836C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2BB9A64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0C2C46D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19A73CB1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425DCF9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2C6E9E77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2AC1FA19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6EA453C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312E795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5EF2EC0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2855C36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7D37023D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0485DC5E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57B7EAE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45BA93F4">
            <w:pPr>
              <w:spacing w:line="240" w:lineRule="auto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21CAC5C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7B12C18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19974E8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5CAB8B72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3C11736C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2C84A94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387EC364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721A95C9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00F144A6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42E334E6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217135EC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0F2E5FED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0122BBA0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3CB7FF92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4AC6B5D4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443A74AF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119B4248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0C4A7C6E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20944B40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74178E12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46B22EBE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1560509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12EAD9E9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56B6706C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3003C297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1B4CEF27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717F6BE7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405B7AB9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107FE426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2AEFC32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nil"/>
            </w:tcBorders>
            <w:vAlign w:val="center"/>
          </w:tcPr>
          <w:p w14:paraId="6FA7B5A5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1638" w:type="dxa"/>
            <w:tcBorders>
              <w:top w:val="nil"/>
              <w:bottom w:val="nil"/>
            </w:tcBorders>
            <w:vAlign w:val="center"/>
          </w:tcPr>
          <w:p w14:paraId="0FF06C50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1140" w:type="dxa"/>
            <w:tcBorders>
              <w:top w:val="nil"/>
              <w:bottom w:val="nil"/>
            </w:tcBorders>
            <w:vAlign w:val="center"/>
          </w:tcPr>
          <w:p w14:paraId="1577E5CC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nil"/>
            </w:tcBorders>
            <w:vAlign w:val="center"/>
          </w:tcPr>
          <w:p w14:paraId="33B78772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nil"/>
            </w:tcBorders>
            <w:vAlign w:val="center"/>
          </w:tcPr>
          <w:p w14:paraId="22D3ED11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nil"/>
            </w:tcBorders>
            <w:vAlign w:val="center"/>
          </w:tcPr>
          <w:p w14:paraId="373A780C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nil"/>
            </w:tcBorders>
            <w:vAlign w:val="center"/>
          </w:tcPr>
          <w:p w14:paraId="591C3A27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  <w:tr w14:paraId="06596694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8" w:type="dxa"/>
            <w:tcBorders>
              <w:top w:val="nil"/>
              <w:bottom w:val="single" w:color="auto" w:sz="4" w:space="0"/>
            </w:tcBorders>
            <w:vAlign w:val="center"/>
          </w:tcPr>
          <w:p w14:paraId="68961C90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1638" w:type="dxa"/>
            <w:tcBorders>
              <w:top w:val="nil"/>
              <w:bottom w:val="single" w:color="auto" w:sz="4" w:space="0"/>
            </w:tcBorders>
            <w:vAlign w:val="center"/>
          </w:tcPr>
          <w:p w14:paraId="61D2C11D">
            <w:pPr>
              <w:spacing w:line="240" w:lineRule="auto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1140" w:type="dxa"/>
            <w:tcBorders>
              <w:top w:val="nil"/>
              <w:bottom w:val="single" w:color="auto" w:sz="4" w:space="0"/>
            </w:tcBorders>
            <w:vAlign w:val="center"/>
          </w:tcPr>
          <w:p w14:paraId="6D475897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30</w:t>
            </w:r>
          </w:p>
        </w:tc>
        <w:tc>
          <w:tcPr>
            <w:tcW w:w="1061" w:type="dxa"/>
            <w:tcBorders>
              <w:top w:val="nil"/>
              <w:bottom w:val="single" w:color="auto" w:sz="4" w:space="0"/>
            </w:tcBorders>
            <w:vAlign w:val="center"/>
          </w:tcPr>
          <w:p w14:paraId="651E77A3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608" w:type="dxa"/>
            <w:tcBorders>
              <w:top w:val="nil"/>
              <w:bottom w:val="single" w:color="auto" w:sz="4" w:space="0"/>
            </w:tcBorders>
            <w:vAlign w:val="center"/>
          </w:tcPr>
          <w:p w14:paraId="5CE09FE0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＜3.0（MPN/g）</w:t>
            </w:r>
          </w:p>
        </w:tc>
        <w:tc>
          <w:tcPr>
            <w:tcW w:w="895" w:type="dxa"/>
            <w:tcBorders>
              <w:top w:val="nil"/>
              <w:bottom w:val="single" w:color="auto" w:sz="4" w:space="0"/>
            </w:tcBorders>
            <w:vAlign w:val="center"/>
          </w:tcPr>
          <w:p w14:paraId="3062314A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  <w:tc>
          <w:tcPr>
            <w:tcW w:w="1136" w:type="dxa"/>
            <w:tcBorders>
              <w:top w:val="nil"/>
              <w:bottom w:val="single" w:color="auto" w:sz="4" w:space="0"/>
            </w:tcBorders>
            <w:vAlign w:val="center"/>
          </w:tcPr>
          <w:p w14:paraId="4209A05A">
            <w:pPr>
              <w:autoSpaceDE w:val="0"/>
              <w:autoSpaceDN w:val="0"/>
              <w:spacing w:line="240" w:lineRule="auto"/>
              <w:jc w:val="center"/>
              <w:rPr>
                <w:rFonts w:hint="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未检出</w:t>
            </w:r>
          </w:p>
        </w:tc>
      </w:tr>
    </w:tbl>
    <w:p w14:paraId="23F22116">
      <w:pPr>
        <w:ind w:firstLine="420" w:firstLineChars="200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上表可见，21批洋常春藤提取物样品菌落总数均小于</w:t>
      </w:r>
      <w:r>
        <w:rPr>
          <w:color w:val="auto"/>
          <w:szCs w:val="21"/>
        </w:rPr>
        <w:t>10</w:t>
      </w:r>
      <w:r>
        <w:rPr>
          <w:rFonts w:hint="eastAsia"/>
          <w:color w:val="auto"/>
          <w:szCs w:val="21"/>
        </w:rPr>
        <w:t>0</w:t>
      </w:r>
      <w:r>
        <w:rPr>
          <w:color w:val="auto"/>
          <w:szCs w:val="21"/>
        </w:rPr>
        <w:t>0 cfu/g</w:t>
      </w:r>
      <w:r>
        <w:rPr>
          <w:rFonts w:hint="eastAsia"/>
          <w:color w:val="auto"/>
          <w:szCs w:val="21"/>
        </w:rPr>
        <w:t>、霉菌及酵母菌小于</w:t>
      </w:r>
      <w:r>
        <w:rPr>
          <w:color w:val="auto"/>
          <w:szCs w:val="21"/>
        </w:rPr>
        <w:t>1</w:t>
      </w:r>
      <w:r>
        <w:rPr>
          <w:rFonts w:hint="eastAsia"/>
          <w:color w:val="auto"/>
          <w:szCs w:val="21"/>
        </w:rPr>
        <w:t>0</w:t>
      </w:r>
      <w:r>
        <w:rPr>
          <w:color w:val="auto"/>
          <w:szCs w:val="21"/>
        </w:rPr>
        <w:t>0 cfu/g</w:t>
      </w:r>
      <w:r>
        <w:rPr>
          <w:rFonts w:hint="eastAsia"/>
          <w:color w:val="auto"/>
          <w:szCs w:val="21"/>
        </w:rPr>
        <w:t>、大肠菌群＜3.0MPN/g,沙门氏菌、金黄色葡萄球菌未检出。根据市场要求和</w:t>
      </w:r>
      <w:r>
        <w:rPr>
          <w:color w:val="auto"/>
          <w:szCs w:val="21"/>
        </w:rPr>
        <w:t>USP</w:t>
      </w:r>
      <w:r>
        <w:rPr>
          <w:rFonts w:hint="eastAsia"/>
          <w:color w:val="auto"/>
          <w:szCs w:val="21"/>
        </w:rPr>
        <w:t>规定可以将该指标要求订入本标准。</w:t>
      </w:r>
    </w:p>
    <w:p w14:paraId="1AEC102D">
      <w:pPr>
        <w:autoSpaceDE w:val="0"/>
        <w:autoSpaceDN w:val="0"/>
        <w:jc w:val="left"/>
        <w:textAlignment w:val="auto"/>
        <w:rPr>
          <w:b/>
          <w:color w:val="auto"/>
          <w:szCs w:val="21"/>
        </w:rPr>
      </w:pPr>
      <w:r>
        <w:rPr>
          <w:b/>
          <w:color w:val="auto"/>
          <w:szCs w:val="21"/>
        </w:rPr>
        <w:t xml:space="preserve">9 </w:t>
      </w:r>
      <w:r>
        <w:rPr>
          <w:rFonts w:hint="eastAsia"/>
          <w:b/>
          <w:color w:val="auto"/>
          <w:szCs w:val="21"/>
        </w:rPr>
        <w:t>残留溶剂的测定</w:t>
      </w:r>
    </w:p>
    <w:p w14:paraId="6D355740">
      <w:pPr>
        <w:pStyle w:val="7"/>
        <w:ind w:firstLine="420" w:firstLineChars="200"/>
        <w:rPr>
          <w:rFonts w:ascii="Times New Roman" w:hAnsi="Times New Roman"/>
          <w:color w:val="auto"/>
        </w:rPr>
      </w:pPr>
      <w:r>
        <w:rPr>
          <w:rFonts w:hint="eastAsia" w:ascii="Times New Roman" w:hAnsi="Times New Roman"/>
          <w:color w:val="auto"/>
        </w:rPr>
        <w:t>按残留溶剂测定法规定的方法进行。检测结果见表18。</w:t>
      </w:r>
    </w:p>
    <w:p w14:paraId="32612857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88" w:lineRule="auto"/>
        <w:jc w:val="center"/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</w:pP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 xml:space="preserve">表18  </w:t>
      </w:r>
      <w:r>
        <w:rPr>
          <w:rFonts w:hint="eastAsia" w:ascii="宋体" w:hAnsi="宋体" w:eastAsia="宋体" w:cs="宋体"/>
          <w:b/>
          <w:bCs/>
          <w:color w:val="auto"/>
        </w:rPr>
        <w:t>洋常春藤提取物</w:t>
      </w:r>
      <w:r>
        <w:rPr>
          <w:rFonts w:hint="eastAsia" w:ascii="宋体" w:hAnsi="宋体" w:eastAsia="宋体" w:cs="宋体"/>
          <w:b/>
          <w:bCs/>
          <w:color w:val="auto"/>
          <w:spacing w:val="12"/>
          <w:kern w:val="0"/>
        </w:rPr>
        <w:t>残留溶剂测定结果</w:t>
      </w:r>
    </w:p>
    <w:tbl>
      <w:tblPr>
        <w:tblStyle w:val="15"/>
        <w:tblW w:w="8080" w:type="dxa"/>
        <w:jc w:val="center"/>
        <w:tblBorders>
          <w:top w:val="single" w:color="000000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2835"/>
        <w:gridCol w:w="2551"/>
      </w:tblGrid>
      <w:tr w14:paraId="46A9989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54554F4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样品来源</w:t>
            </w:r>
          </w:p>
        </w:tc>
        <w:tc>
          <w:tcPr>
            <w:tcW w:w="2835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67CEF6B6">
            <w:pPr>
              <w:tabs>
                <w:tab w:val="left" w:pos="648"/>
              </w:tabs>
              <w:autoSpaceDE w:val="0"/>
              <w:autoSpaceDN w:val="0"/>
              <w:spacing w:line="240" w:lineRule="auto"/>
              <w:ind w:left="286" w:hanging="285" w:hangingChars="136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kern w:val="0"/>
                <w:szCs w:val="21"/>
              </w:rPr>
              <w:t>批</w:t>
            </w:r>
            <w:r>
              <w:rPr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/>
                <w:color w:val="auto"/>
                <w:kern w:val="0"/>
                <w:szCs w:val="21"/>
              </w:rPr>
              <w:t>号</w:t>
            </w:r>
          </w:p>
        </w:tc>
        <w:tc>
          <w:tcPr>
            <w:tcW w:w="2551" w:type="dxa"/>
            <w:tcBorders>
              <w:top w:val="single" w:color="000000" w:sz="4" w:space="0"/>
              <w:bottom w:val="single" w:color="auto" w:sz="6" w:space="0"/>
            </w:tcBorders>
            <w:vAlign w:val="center"/>
          </w:tcPr>
          <w:p w14:paraId="09DB8C7F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color w:val="auto"/>
                <w:kern w:val="0"/>
                <w:szCs w:val="21"/>
              </w:rPr>
              <w:t xml:space="preserve"> </w:t>
            </w:r>
            <w:r>
              <w:rPr>
                <w:rFonts w:hint="eastAsia"/>
                <w:color w:val="auto"/>
                <w:kern w:val="0"/>
                <w:szCs w:val="21"/>
              </w:rPr>
              <w:t>乙醇含量（</w:t>
            </w:r>
            <w:r>
              <w:rPr>
                <w:color w:val="auto"/>
                <w:kern w:val="0"/>
                <w:szCs w:val="21"/>
              </w:rPr>
              <w:t>mg/kg</w:t>
            </w:r>
            <w:r>
              <w:rPr>
                <w:rFonts w:hint="eastAsia"/>
                <w:color w:val="auto"/>
                <w:kern w:val="0"/>
                <w:szCs w:val="21"/>
              </w:rPr>
              <w:t>）</w:t>
            </w:r>
          </w:p>
        </w:tc>
      </w:tr>
      <w:tr w14:paraId="5D19F06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single" w:color="auto" w:sz="6" w:space="0"/>
              <w:bottom w:val="nil"/>
            </w:tcBorders>
            <w:vAlign w:val="center"/>
          </w:tcPr>
          <w:p w14:paraId="734F920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single" w:color="auto" w:sz="6" w:space="0"/>
              <w:bottom w:val="nil"/>
            </w:tcBorders>
            <w:vAlign w:val="center"/>
          </w:tcPr>
          <w:p w14:paraId="4EA1E0B9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N</w:t>
            </w:r>
            <w:r>
              <w:rPr>
                <w:color w:val="auto"/>
                <w:szCs w:val="21"/>
              </w:rPr>
              <w:t>2024121001</w:t>
            </w:r>
          </w:p>
        </w:tc>
        <w:tc>
          <w:tcPr>
            <w:tcW w:w="2551" w:type="dxa"/>
            <w:tcBorders>
              <w:top w:val="single" w:color="auto" w:sz="6" w:space="0"/>
              <w:bottom w:val="nil"/>
            </w:tcBorders>
            <w:vAlign w:val="center"/>
          </w:tcPr>
          <w:p w14:paraId="3336EC7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82.5</w:t>
            </w:r>
          </w:p>
        </w:tc>
      </w:tr>
      <w:tr w14:paraId="7CB8C75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728D6E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4C9C8F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N2025021003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4C30870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105.2</w:t>
            </w:r>
          </w:p>
        </w:tc>
      </w:tr>
      <w:tr w14:paraId="517E419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7C476D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270F603C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N2025042501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3EBA0A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4A9B4E9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3A7166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C13FB8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N2025052007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55A5899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14F1AB9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322418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437E57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N2025072101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F6B5D9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232E61F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6509BDF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2D786F9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N2025072301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005DA27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1E90B8C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570CCB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湖南朗林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36A997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N2025101506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B8E564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4CA8043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10DCC84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96BA11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CCCT-C-A534172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10FF7F3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5299DD48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4B66AC6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嘉禾生物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52B21F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CCCT-C-A507084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2C3F4FA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2F11706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3CAF16A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B9C5CAE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RW-HH20259</w:t>
            </w:r>
            <w:r>
              <w:rPr>
                <w:rFonts w:hint="eastAsia"/>
                <w:color w:val="auto"/>
                <w:szCs w:val="21"/>
              </w:rPr>
              <w:t>0</w:t>
            </w:r>
            <w:r>
              <w:rPr>
                <w:color w:val="auto"/>
                <w:szCs w:val="21"/>
              </w:rPr>
              <w:t>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489C4BB6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643B6CB1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B12708B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D745CC4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RW-HH20251017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4177DA2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0AD05B7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6C5AF05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瑞禾生物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78D84228">
            <w:pPr>
              <w:spacing w:line="240" w:lineRule="auto"/>
              <w:jc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color w:val="auto"/>
                <w:szCs w:val="21"/>
              </w:rPr>
              <w:t>RW-HH20251101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B6EF59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0</w:t>
            </w:r>
          </w:p>
        </w:tc>
      </w:tr>
      <w:tr w14:paraId="33670839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65224F1">
            <w:pPr>
              <w:autoSpaceDE w:val="0"/>
              <w:autoSpaceDN w:val="0"/>
              <w:spacing w:line="240" w:lineRule="auto"/>
              <w:jc w:val="center"/>
              <w:rPr>
                <w:rFonts w:hint="eastAsia" w:ascii="宋体" w:hAnsi="宋体" w:cs="宋体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86038A5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ILE-20250928001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2E69FEF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96.4</w:t>
            </w:r>
          </w:p>
        </w:tc>
      </w:tr>
      <w:tr w14:paraId="0EC50537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2B338EB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009B4A6B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ILE-20251021001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082A371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158.8</w:t>
            </w:r>
          </w:p>
        </w:tc>
      </w:tr>
      <w:tr w14:paraId="0FD59E10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765C1C8">
            <w:pPr>
              <w:autoSpaceDE w:val="0"/>
              <w:autoSpaceDN w:val="0"/>
              <w:spacing w:line="240" w:lineRule="auto"/>
              <w:jc w:val="center"/>
              <w:rPr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康玖堂生物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55C7F557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szCs w:val="21"/>
              </w:rPr>
              <w:t>ILE-20251118001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31BE2B8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72.5</w:t>
            </w:r>
          </w:p>
        </w:tc>
      </w:tr>
      <w:tr w14:paraId="03D4DC55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5B27FF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BE5255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20251121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30D55970">
            <w:pPr>
              <w:widowControl/>
              <w:spacing w:line="240" w:lineRule="auto"/>
              <w:jc w:val="center"/>
              <w:textAlignment w:val="center"/>
              <w:rPr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40.3</w:t>
            </w:r>
          </w:p>
        </w:tc>
      </w:tr>
      <w:tr w14:paraId="43EC2A46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E14568E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4D496A84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20251220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14881722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103.5</w:t>
            </w:r>
          </w:p>
        </w:tc>
      </w:tr>
      <w:tr w14:paraId="29F7743A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A163E9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萃源生物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526B25AE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20251221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7391585A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80.7</w:t>
            </w:r>
          </w:p>
        </w:tc>
      </w:tr>
      <w:tr w14:paraId="1A593093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808500C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1F394DC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20251209001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48A26DC0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134.6</w:t>
            </w:r>
          </w:p>
        </w:tc>
      </w:tr>
      <w:tr w14:paraId="0868BBCF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54D5491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62B22972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20251210002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center"/>
          </w:tcPr>
          <w:p w14:paraId="67ECF465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150.8</w:t>
            </w:r>
          </w:p>
        </w:tc>
      </w:tr>
      <w:tr w14:paraId="206F872B">
        <w:tblPrEx>
          <w:tblBorders>
            <w:top w:val="single" w:color="000000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94" w:type="dxa"/>
            <w:tcBorders>
              <w:top w:val="nil"/>
              <w:bottom w:val="single" w:color="auto" w:sz="4" w:space="0"/>
            </w:tcBorders>
            <w:vAlign w:val="center"/>
          </w:tcPr>
          <w:p w14:paraId="6E03D0DF">
            <w:pPr>
              <w:autoSpaceDE w:val="0"/>
              <w:autoSpaceDN w:val="0"/>
              <w:spacing w:line="240" w:lineRule="auto"/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0"/>
                <w:szCs w:val="21"/>
              </w:rPr>
              <w:t>上禾生物</w:t>
            </w:r>
          </w:p>
        </w:tc>
        <w:tc>
          <w:tcPr>
            <w:tcW w:w="2835" w:type="dxa"/>
            <w:tcBorders>
              <w:top w:val="nil"/>
              <w:bottom w:val="single" w:color="auto" w:sz="4" w:space="0"/>
            </w:tcBorders>
            <w:vAlign w:val="center"/>
          </w:tcPr>
          <w:p w14:paraId="2370E470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20260121001</w:t>
            </w:r>
          </w:p>
        </w:tc>
        <w:tc>
          <w:tcPr>
            <w:tcW w:w="2551" w:type="dxa"/>
            <w:tcBorders>
              <w:top w:val="nil"/>
              <w:bottom w:val="single" w:color="auto" w:sz="4" w:space="0"/>
            </w:tcBorders>
            <w:vAlign w:val="center"/>
          </w:tcPr>
          <w:p w14:paraId="3CF8660B">
            <w:pPr>
              <w:widowControl/>
              <w:spacing w:line="240" w:lineRule="auto"/>
              <w:jc w:val="center"/>
              <w:textAlignment w:val="center"/>
              <w:rPr>
                <w:rFonts w:hint="eastAsia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/>
                <w:color w:val="auto"/>
                <w:kern w:val="0"/>
                <w:szCs w:val="21"/>
                <w:lang w:bidi="ar"/>
              </w:rPr>
              <w:t>152.9</w:t>
            </w:r>
          </w:p>
        </w:tc>
      </w:tr>
    </w:tbl>
    <w:p w14:paraId="111D90F9">
      <w:pPr>
        <w:pStyle w:val="4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djustRightInd w:val="0"/>
        <w:spacing w:line="360" w:lineRule="auto"/>
        <w:rPr>
          <w:color w:val="auto"/>
        </w:rPr>
      </w:pPr>
      <w:r>
        <w:rPr>
          <w:rFonts w:cs="Times New Roman"/>
          <w:color w:val="auto"/>
        </w:rPr>
        <w:t xml:space="preserve">     </w:t>
      </w:r>
      <w:r>
        <w:rPr>
          <w:rFonts w:hint="eastAsia" w:eastAsia="宋体" w:cs="Times New Roman"/>
          <w:color w:val="auto"/>
        </w:rPr>
        <w:t>上表可见，21批洋常春藤提取物样品乙醇残留均小于5000 mg/kg。《中国药典》2025版、《美国药典》USP-NF 2025版规定乙醇残留不得超过5000mg/kg，根据本产品特性和检测结果综合考虑将乙醇残留小于5000 mg/kg订入本标准。</w:t>
      </w:r>
    </w:p>
    <w:p w14:paraId="364F6D09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六、征求意见的采纳情况（附《征求意见汇总处理表》、重大意见分歧的处理结果和依据）</w:t>
      </w:r>
    </w:p>
    <w:p w14:paraId="2016BE2D">
      <w:pPr>
        <w:ind w:firstLine="420" w:firstLineChars="200"/>
        <w:rPr>
          <w:rFonts w:eastAsia="黑体"/>
          <w:color w:val="auto"/>
          <w:szCs w:val="21"/>
        </w:rPr>
      </w:pPr>
    </w:p>
    <w:p w14:paraId="238A77E6">
      <w:pPr>
        <w:ind w:firstLine="420" w:firstLineChars="200"/>
        <w:rPr>
          <w:rFonts w:eastAsia="黑体"/>
          <w:color w:val="auto"/>
          <w:szCs w:val="21"/>
        </w:rPr>
      </w:pPr>
    </w:p>
    <w:p w14:paraId="12268B33">
      <w:pPr>
        <w:ind w:firstLine="420" w:firstLineChars="200"/>
        <w:rPr>
          <w:rFonts w:eastAsia="黑体"/>
          <w:color w:val="auto"/>
          <w:szCs w:val="21"/>
        </w:rPr>
      </w:pPr>
    </w:p>
    <w:p w14:paraId="6BB6D26E">
      <w:pPr>
        <w:ind w:firstLine="420" w:firstLineChars="200"/>
        <w:rPr>
          <w:rFonts w:eastAsia="黑体"/>
          <w:color w:val="auto"/>
          <w:szCs w:val="21"/>
        </w:rPr>
      </w:pPr>
    </w:p>
    <w:p w14:paraId="5FB3BAEC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七、标准实施日期和实施建议</w:t>
      </w:r>
    </w:p>
    <w:p w14:paraId="0D16DE68">
      <w:pPr>
        <w:ind w:firstLine="420" w:firstLineChars="200"/>
        <w:rPr>
          <w:rFonts w:eastAsia="黑体"/>
          <w:color w:val="auto"/>
          <w:szCs w:val="21"/>
        </w:rPr>
      </w:pPr>
    </w:p>
    <w:p w14:paraId="415EFA1F">
      <w:pPr>
        <w:ind w:firstLine="420" w:firstLineChars="200"/>
        <w:rPr>
          <w:rFonts w:eastAsia="黑体"/>
          <w:color w:val="auto"/>
          <w:szCs w:val="21"/>
        </w:rPr>
      </w:pPr>
    </w:p>
    <w:p w14:paraId="73AE55E5">
      <w:pPr>
        <w:ind w:firstLine="420" w:firstLineChars="200"/>
        <w:rPr>
          <w:rFonts w:eastAsia="黑体"/>
          <w:color w:val="auto"/>
          <w:szCs w:val="21"/>
        </w:rPr>
      </w:pPr>
    </w:p>
    <w:p w14:paraId="02221BD8">
      <w:pPr>
        <w:ind w:firstLine="420" w:firstLineChars="200"/>
        <w:rPr>
          <w:rFonts w:eastAsia="黑体"/>
          <w:color w:val="auto"/>
          <w:szCs w:val="21"/>
        </w:rPr>
      </w:pPr>
    </w:p>
    <w:p w14:paraId="7192E570">
      <w:pPr>
        <w:ind w:firstLine="420" w:firstLineChars="200"/>
        <w:rPr>
          <w:rFonts w:eastAsia="黑体"/>
          <w:color w:val="auto"/>
          <w:szCs w:val="21"/>
        </w:rPr>
      </w:pPr>
    </w:p>
    <w:p w14:paraId="2B78EDD5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八、其他需要说明的事项</w:t>
      </w:r>
    </w:p>
    <w:p w14:paraId="5948BD66">
      <w:pPr>
        <w:ind w:firstLine="420" w:firstLineChars="200"/>
        <w:rPr>
          <w:rFonts w:eastAsia="黑体"/>
          <w:color w:val="auto"/>
          <w:szCs w:val="21"/>
        </w:rPr>
      </w:pPr>
    </w:p>
    <w:p w14:paraId="5696D4A9">
      <w:pPr>
        <w:ind w:firstLine="420" w:firstLineChars="200"/>
        <w:rPr>
          <w:rFonts w:eastAsia="黑体"/>
          <w:color w:val="auto"/>
          <w:szCs w:val="21"/>
        </w:rPr>
      </w:pPr>
    </w:p>
    <w:p w14:paraId="736932BB">
      <w:pPr>
        <w:ind w:firstLine="420" w:firstLineChars="200"/>
        <w:rPr>
          <w:rFonts w:eastAsia="黑体"/>
          <w:color w:val="auto"/>
          <w:szCs w:val="21"/>
        </w:rPr>
      </w:pPr>
    </w:p>
    <w:p w14:paraId="25CC19E2">
      <w:pPr>
        <w:ind w:firstLine="420" w:firstLineChars="200"/>
        <w:rPr>
          <w:rFonts w:eastAsia="黑体"/>
          <w:color w:val="auto"/>
          <w:szCs w:val="21"/>
        </w:rPr>
      </w:pPr>
    </w:p>
    <w:p w14:paraId="2209C6F3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九、标准委员会审查意见及处理情况</w:t>
      </w:r>
    </w:p>
    <w:p w14:paraId="6C221591">
      <w:pPr>
        <w:rPr>
          <w:color w:val="auto"/>
          <w:szCs w:val="21"/>
        </w:rPr>
      </w:pPr>
    </w:p>
    <w:p w14:paraId="72A24BD7">
      <w:pPr>
        <w:rPr>
          <w:color w:val="auto"/>
          <w:szCs w:val="21"/>
        </w:rPr>
      </w:pPr>
    </w:p>
    <w:sectPr>
      <w:footerReference r:id="rId5" w:type="default"/>
      <w:footerReference r:id="rId6" w:type="even"/>
      <w:pgSz w:w="11907" w:h="16840"/>
      <w:pgMar w:top="1418" w:right="1197" w:bottom="1418" w:left="156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Unicode MS">
    <w:altName w:val="Malgun Gothic Semilight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PMingLiU">
    <w:altName w:val="Microsoft JhengHei UI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210AC9">
    <w:pPr>
      <w:pStyle w:val="10"/>
      <w:framePr w:wrap="around" w:vAnchor="text" w:hAnchor="margin" w:xAlign="right" w:y="1"/>
      <w:rPr>
        <w:rStyle w:val="19"/>
      </w:rPr>
    </w:pPr>
    <w:r>
      <w:rPr>
        <w:rStyle w:val="19"/>
      </w:rPr>
      <w:fldChar w:fldCharType="begin"/>
    </w:r>
    <w:r>
      <w:rPr>
        <w:rStyle w:val="19"/>
      </w:rPr>
      <w:instrText xml:space="preserve">PAGE  </w:instrText>
    </w:r>
    <w:r>
      <w:rPr>
        <w:rStyle w:val="19"/>
      </w:rPr>
      <w:fldChar w:fldCharType="separate"/>
    </w:r>
    <w:r>
      <w:rPr>
        <w:rStyle w:val="19"/>
      </w:rPr>
      <w:t>20</w:t>
    </w:r>
    <w:r>
      <w:rPr>
        <w:rStyle w:val="19"/>
      </w:rPr>
      <w:fldChar w:fldCharType="end"/>
    </w:r>
  </w:p>
  <w:p w14:paraId="6DA7AF29">
    <w:pPr>
      <w:pStyle w:val="10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335C2A">
    <w:pPr>
      <w:pStyle w:val="10"/>
      <w:framePr w:wrap="around" w:vAnchor="text" w:hAnchor="margin" w:xAlign="right" w:y="1"/>
      <w:rPr>
        <w:rStyle w:val="19"/>
      </w:rPr>
    </w:pPr>
    <w:r>
      <w:rPr>
        <w:rStyle w:val="19"/>
      </w:rPr>
      <w:fldChar w:fldCharType="begin"/>
    </w:r>
    <w:r>
      <w:rPr>
        <w:rStyle w:val="19"/>
      </w:rPr>
      <w:instrText xml:space="preserve">PAGE  </w:instrText>
    </w:r>
    <w:r>
      <w:rPr>
        <w:rStyle w:val="19"/>
      </w:rPr>
      <w:fldChar w:fldCharType="separate"/>
    </w:r>
    <w:r>
      <w:rPr>
        <w:rStyle w:val="19"/>
      </w:rPr>
      <w:t>5</w:t>
    </w:r>
    <w:r>
      <w:rPr>
        <w:rStyle w:val="19"/>
      </w:rPr>
      <w:fldChar w:fldCharType="end"/>
    </w:r>
  </w:p>
  <w:p w14:paraId="7063C4F2">
    <w:pPr>
      <w:pStyle w:val="10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3D1AEB"/>
    <w:multiLevelType w:val="singleLevel"/>
    <w:tmpl w:val="CB3D1AEB"/>
    <w:lvl w:ilvl="0" w:tentative="0">
      <w:start w:val="1"/>
      <w:numFmt w:val="lowerLetter"/>
      <w:suff w:val="space"/>
      <w:lvlText w:val="%1)"/>
      <w:lvlJc w:val="left"/>
      <w:rPr>
        <w:rFonts w:hint="default"/>
        <w:b/>
        <w:bCs/>
      </w:rPr>
    </w:lvl>
  </w:abstractNum>
  <w:abstractNum w:abstractNumId="1">
    <w:nsid w:val="00000007"/>
    <w:multiLevelType w:val="multilevel"/>
    <w:tmpl w:val="00000007"/>
    <w:lvl w:ilvl="0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default" w:ascii="Times New Roman" w:hAnsi="Times New Roman"/>
        <w:b/>
        <w:i w:val="0"/>
        <w:sz w:val="21"/>
      </w:rPr>
    </w:lvl>
    <w:lvl w:ilvl="1" w:tentative="0">
      <w:start w:val="1"/>
      <w:numFmt w:val="decimal"/>
      <w:pStyle w:val="55"/>
      <w:suff w:val="nothing"/>
      <w:lvlText w:val="%1%2　"/>
      <w:lvlJc w:val="left"/>
      <w:pPr>
        <w:ind w:left="284" w:firstLine="0"/>
      </w:pPr>
      <w:rPr>
        <w:rFonts w:hint="eastAsia" w:ascii="黑体" w:hAnsi="Times New Roman" w:eastAsia="黑体"/>
        <w:b w:val="0"/>
        <w:i w:val="0"/>
        <w:sz w:val="21"/>
      </w:rPr>
    </w:lvl>
    <w:lvl w:ilvl="2" w:tentative="0">
      <w:start w:val="1"/>
      <w:numFmt w:val="decimal"/>
      <w:pStyle w:val="54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53"/>
      <w:suff w:val="nothing"/>
      <w:lvlText w:val="%1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2">
    <w:nsid w:val="657D3FBC"/>
    <w:multiLevelType w:val="multilevel"/>
    <w:tmpl w:val="657D3FBC"/>
    <w:lvl w:ilvl="0" w:tentative="0">
      <w:start w:val="1"/>
      <w:numFmt w:val="upperLetter"/>
      <w:pStyle w:val="34"/>
      <w:suff w:val="nothing"/>
      <w:lvlText w:val="附　录　%1"/>
      <w:lvlJc w:val="left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entative="0">
      <w:start w:val="1"/>
      <w:numFmt w:val="decimal"/>
      <w:pStyle w:val="35"/>
      <w:suff w:val="nothing"/>
      <w:lvlText w:val="%1.%2　"/>
      <w:lvlJc w:val="left"/>
      <w:pPr>
        <w:ind w:left="14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2" w:tentative="0">
      <w:start w:val="1"/>
      <w:numFmt w:val="decimal"/>
      <w:pStyle w:val="36"/>
      <w:suff w:val="nothing"/>
      <w:lvlText w:val="%1.%2.%3　"/>
      <w:lvlJc w:val="left"/>
      <w:pPr>
        <w:ind w:left="1135"/>
      </w:pPr>
      <w:rPr>
        <w:rFonts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auto"/>
        <w:spacing w:val="0"/>
        <w:w w:val="100"/>
        <w:kern w:val="2"/>
        <w:position w:val="0"/>
        <w:sz w:val="20"/>
        <w:szCs w:val="20"/>
        <w:u w:val="none"/>
        <w:vertAlign w:val="baseline"/>
      </w:rPr>
    </w:lvl>
    <w:lvl w:ilvl="3" w:tentative="0">
      <w:start w:val="1"/>
      <w:numFmt w:val="decimal"/>
      <w:pStyle w:val="37"/>
      <w:suff w:val="nothing"/>
      <w:lvlText w:val="%1.%2.%3.%4　"/>
      <w:lvlJc w:val="left"/>
      <w:rPr>
        <w:rFonts w:hint="eastAsia" w:ascii="黑体" w:hAnsi="Times New Roman" w:eastAsia="黑体" w:cs="Times New Roman"/>
        <w:b w:val="0"/>
        <w:i w:val="0"/>
        <w:sz w:val="21"/>
      </w:rPr>
    </w:lvl>
    <w:lvl w:ilvl="4" w:tentative="0">
      <w:start w:val="1"/>
      <w:numFmt w:val="decimal"/>
      <w:pStyle w:val="38"/>
      <w:suff w:val="nothing"/>
      <w:lvlText w:val="%1.%2.%3.%4.%5　"/>
      <w:lvlJc w:val="left"/>
      <w:rPr>
        <w:rFonts w:hint="eastAsia" w:ascii="黑体" w:hAnsi="Times New Roman" w:eastAsia="黑体" w:cs="Times New Roman"/>
        <w:b w:val="0"/>
        <w:i w:val="0"/>
        <w:sz w:val="21"/>
      </w:rPr>
    </w:lvl>
    <w:lvl w:ilvl="5" w:tentative="0">
      <w:start w:val="1"/>
      <w:numFmt w:val="decimal"/>
      <w:pStyle w:val="39"/>
      <w:suff w:val="nothing"/>
      <w:lvlText w:val="%1.%2.%3.%4.%5.%6　"/>
      <w:lvlJc w:val="left"/>
      <w:rPr>
        <w:rFonts w:hint="eastAsia" w:ascii="黑体" w:hAnsi="Times New Roman" w:eastAsia="黑体" w:cs="Times New Roman"/>
        <w:b w:val="0"/>
        <w:i w:val="0"/>
        <w:sz w:val="21"/>
      </w:rPr>
    </w:lvl>
    <w:lvl w:ilvl="6" w:tentative="0">
      <w:start w:val="1"/>
      <w:numFmt w:val="decimal"/>
      <w:pStyle w:val="40"/>
      <w:suff w:val="nothing"/>
      <w:lvlText w:val="%1.%2.%3.%4.%5.%6.%7　"/>
      <w:lvlJc w:val="left"/>
      <w:rPr>
        <w:rFonts w:hint="eastAsia" w:ascii="黑体" w:hAnsi="Times New Roman" w:eastAsia="黑体" w:cs="Times New Roman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 w:cs="Times New Roman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QzMWM1YmE2Y2RlN2I5OWIwNzQxMGI2MzAwNDg2MjIifQ=="/>
  </w:docVars>
  <w:rsids>
    <w:rsidRoot w:val="00CD6AA5"/>
    <w:rsid w:val="00001126"/>
    <w:rsid w:val="00001205"/>
    <w:rsid w:val="00001C14"/>
    <w:rsid w:val="00001C2A"/>
    <w:rsid w:val="00001F70"/>
    <w:rsid w:val="0000204B"/>
    <w:rsid w:val="00003DA7"/>
    <w:rsid w:val="0001246E"/>
    <w:rsid w:val="00016C4F"/>
    <w:rsid w:val="00016E69"/>
    <w:rsid w:val="000170A3"/>
    <w:rsid w:val="00020E7B"/>
    <w:rsid w:val="0002249C"/>
    <w:rsid w:val="000262DB"/>
    <w:rsid w:val="00027243"/>
    <w:rsid w:val="000300E8"/>
    <w:rsid w:val="00033181"/>
    <w:rsid w:val="00033585"/>
    <w:rsid w:val="000354F8"/>
    <w:rsid w:val="00037639"/>
    <w:rsid w:val="00037EA2"/>
    <w:rsid w:val="000401B1"/>
    <w:rsid w:val="00041743"/>
    <w:rsid w:val="0004290A"/>
    <w:rsid w:val="00043DAE"/>
    <w:rsid w:val="0004538F"/>
    <w:rsid w:val="00050BEA"/>
    <w:rsid w:val="00050FD9"/>
    <w:rsid w:val="000538B9"/>
    <w:rsid w:val="000541D0"/>
    <w:rsid w:val="00054CB4"/>
    <w:rsid w:val="000550A0"/>
    <w:rsid w:val="0005660E"/>
    <w:rsid w:val="0006308A"/>
    <w:rsid w:val="00065F3B"/>
    <w:rsid w:val="00066E20"/>
    <w:rsid w:val="00071E3B"/>
    <w:rsid w:val="0007214A"/>
    <w:rsid w:val="000801B3"/>
    <w:rsid w:val="00082027"/>
    <w:rsid w:val="000821B6"/>
    <w:rsid w:val="0008793D"/>
    <w:rsid w:val="00090B33"/>
    <w:rsid w:val="00090CB7"/>
    <w:rsid w:val="00091D3E"/>
    <w:rsid w:val="00091F7D"/>
    <w:rsid w:val="0009304C"/>
    <w:rsid w:val="00094A1D"/>
    <w:rsid w:val="00094D49"/>
    <w:rsid w:val="000A06FC"/>
    <w:rsid w:val="000A09FB"/>
    <w:rsid w:val="000A16A7"/>
    <w:rsid w:val="000A1C37"/>
    <w:rsid w:val="000A3E4F"/>
    <w:rsid w:val="000A4AB2"/>
    <w:rsid w:val="000A654E"/>
    <w:rsid w:val="000B66D7"/>
    <w:rsid w:val="000C00F2"/>
    <w:rsid w:val="000C155A"/>
    <w:rsid w:val="000C250A"/>
    <w:rsid w:val="000C42BC"/>
    <w:rsid w:val="000C6154"/>
    <w:rsid w:val="000C7DB7"/>
    <w:rsid w:val="000D06CD"/>
    <w:rsid w:val="000D3561"/>
    <w:rsid w:val="000D421C"/>
    <w:rsid w:val="000D4616"/>
    <w:rsid w:val="000D6894"/>
    <w:rsid w:val="000D6F68"/>
    <w:rsid w:val="000D75CF"/>
    <w:rsid w:val="000D7E51"/>
    <w:rsid w:val="000E0B34"/>
    <w:rsid w:val="000E13D2"/>
    <w:rsid w:val="000E4792"/>
    <w:rsid w:val="000F1D8A"/>
    <w:rsid w:val="000F211A"/>
    <w:rsid w:val="000F36D8"/>
    <w:rsid w:val="000F39BC"/>
    <w:rsid w:val="000F7351"/>
    <w:rsid w:val="000F7D23"/>
    <w:rsid w:val="00102393"/>
    <w:rsid w:val="001061C5"/>
    <w:rsid w:val="0011179C"/>
    <w:rsid w:val="0011261D"/>
    <w:rsid w:val="00114859"/>
    <w:rsid w:val="00115E1C"/>
    <w:rsid w:val="00134180"/>
    <w:rsid w:val="00134936"/>
    <w:rsid w:val="00136B5C"/>
    <w:rsid w:val="00136E11"/>
    <w:rsid w:val="001413DD"/>
    <w:rsid w:val="00142CB1"/>
    <w:rsid w:val="001457A1"/>
    <w:rsid w:val="00145862"/>
    <w:rsid w:val="0015120E"/>
    <w:rsid w:val="00152D8D"/>
    <w:rsid w:val="0015436E"/>
    <w:rsid w:val="00155EF6"/>
    <w:rsid w:val="001575CE"/>
    <w:rsid w:val="001611DD"/>
    <w:rsid w:val="00161BE5"/>
    <w:rsid w:val="001621ED"/>
    <w:rsid w:val="001631F6"/>
    <w:rsid w:val="00164793"/>
    <w:rsid w:val="00170D42"/>
    <w:rsid w:val="00171743"/>
    <w:rsid w:val="00171C72"/>
    <w:rsid w:val="0017278B"/>
    <w:rsid w:val="00172EAE"/>
    <w:rsid w:val="001740C4"/>
    <w:rsid w:val="00175453"/>
    <w:rsid w:val="00183ECA"/>
    <w:rsid w:val="00191AEA"/>
    <w:rsid w:val="0019263F"/>
    <w:rsid w:val="00193A84"/>
    <w:rsid w:val="001A1D5B"/>
    <w:rsid w:val="001A4FC2"/>
    <w:rsid w:val="001A5A03"/>
    <w:rsid w:val="001B23E3"/>
    <w:rsid w:val="001B2C80"/>
    <w:rsid w:val="001B34C9"/>
    <w:rsid w:val="001B37E0"/>
    <w:rsid w:val="001B3D5A"/>
    <w:rsid w:val="001B4842"/>
    <w:rsid w:val="001B6E05"/>
    <w:rsid w:val="001B712A"/>
    <w:rsid w:val="001B7FF6"/>
    <w:rsid w:val="001C101F"/>
    <w:rsid w:val="001C14DE"/>
    <w:rsid w:val="001C7BA6"/>
    <w:rsid w:val="001D55B5"/>
    <w:rsid w:val="001E285E"/>
    <w:rsid w:val="001E334C"/>
    <w:rsid w:val="001E3B9B"/>
    <w:rsid w:val="001E496B"/>
    <w:rsid w:val="001E6792"/>
    <w:rsid w:val="001E6B65"/>
    <w:rsid w:val="001E7852"/>
    <w:rsid w:val="001F3871"/>
    <w:rsid w:val="001F4012"/>
    <w:rsid w:val="001F45C4"/>
    <w:rsid w:val="001F4E96"/>
    <w:rsid w:val="00200DCD"/>
    <w:rsid w:val="002025B2"/>
    <w:rsid w:val="002106D4"/>
    <w:rsid w:val="00212E76"/>
    <w:rsid w:val="00213168"/>
    <w:rsid w:val="002131A0"/>
    <w:rsid w:val="002205C3"/>
    <w:rsid w:val="00221C5B"/>
    <w:rsid w:val="0022314A"/>
    <w:rsid w:val="0022420D"/>
    <w:rsid w:val="00225412"/>
    <w:rsid w:val="002269B9"/>
    <w:rsid w:val="00233908"/>
    <w:rsid w:val="0023422C"/>
    <w:rsid w:val="00235E2B"/>
    <w:rsid w:val="002368C4"/>
    <w:rsid w:val="00240952"/>
    <w:rsid w:val="00243651"/>
    <w:rsid w:val="00246E63"/>
    <w:rsid w:val="002505AC"/>
    <w:rsid w:val="00251C26"/>
    <w:rsid w:val="00251F31"/>
    <w:rsid w:val="00251FAA"/>
    <w:rsid w:val="002573C1"/>
    <w:rsid w:val="002618BF"/>
    <w:rsid w:val="00265B82"/>
    <w:rsid w:val="002663ED"/>
    <w:rsid w:val="00266707"/>
    <w:rsid w:val="00267512"/>
    <w:rsid w:val="0026784F"/>
    <w:rsid w:val="0027134C"/>
    <w:rsid w:val="00271B3E"/>
    <w:rsid w:val="00272766"/>
    <w:rsid w:val="002732D5"/>
    <w:rsid w:val="0028024F"/>
    <w:rsid w:val="002829D1"/>
    <w:rsid w:val="0029052C"/>
    <w:rsid w:val="00290E9F"/>
    <w:rsid w:val="00291D58"/>
    <w:rsid w:val="00292101"/>
    <w:rsid w:val="00294093"/>
    <w:rsid w:val="00295B37"/>
    <w:rsid w:val="002A0145"/>
    <w:rsid w:val="002A019F"/>
    <w:rsid w:val="002A043B"/>
    <w:rsid w:val="002A07DB"/>
    <w:rsid w:val="002A1E69"/>
    <w:rsid w:val="002A6859"/>
    <w:rsid w:val="002A7323"/>
    <w:rsid w:val="002B1ED0"/>
    <w:rsid w:val="002B3D55"/>
    <w:rsid w:val="002B659F"/>
    <w:rsid w:val="002B77DE"/>
    <w:rsid w:val="002B7C9B"/>
    <w:rsid w:val="002C2A92"/>
    <w:rsid w:val="002C2ECF"/>
    <w:rsid w:val="002C557D"/>
    <w:rsid w:val="002C5CD6"/>
    <w:rsid w:val="002C783E"/>
    <w:rsid w:val="002D09DA"/>
    <w:rsid w:val="002D29DB"/>
    <w:rsid w:val="002D2FA9"/>
    <w:rsid w:val="002D48CD"/>
    <w:rsid w:val="002D49BF"/>
    <w:rsid w:val="002D5B74"/>
    <w:rsid w:val="002E1709"/>
    <w:rsid w:val="002E497C"/>
    <w:rsid w:val="002E5E4E"/>
    <w:rsid w:val="002E645E"/>
    <w:rsid w:val="002E65CC"/>
    <w:rsid w:val="002F36E8"/>
    <w:rsid w:val="0030204E"/>
    <w:rsid w:val="00303550"/>
    <w:rsid w:val="003046B8"/>
    <w:rsid w:val="00305146"/>
    <w:rsid w:val="003055ED"/>
    <w:rsid w:val="00311067"/>
    <w:rsid w:val="00313077"/>
    <w:rsid w:val="00316378"/>
    <w:rsid w:val="003169A3"/>
    <w:rsid w:val="00321591"/>
    <w:rsid w:val="00322E06"/>
    <w:rsid w:val="00327419"/>
    <w:rsid w:val="00335789"/>
    <w:rsid w:val="003366A3"/>
    <w:rsid w:val="003375BF"/>
    <w:rsid w:val="00344B19"/>
    <w:rsid w:val="00346E68"/>
    <w:rsid w:val="00346EA5"/>
    <w:rsid w:val="003523E8"/>
    <w:rsid w:val="0035612A"/>
    <w:rsid w:val="003567C8"/>
    <w:rsid w:val="00357A20"/>
    <w:rsid w:val="0036285C"/>
    <w:rsid w:val="00365947"/>
    <w:rsid w:val="003669F2"/>
    <w:rsid w:val="00372416"/>
    <w:rsid w:val="00372DB4"/>
    <w:rsid w:val="00372FB3"/>
    <w:rsid w:val="00376D20"/>
    <w:rsid w:val="003844C6"/>
    <w:rsid w:val="00384EEC"/>
    <w:rsid w:val="0038535E"/>
    <w:rsid w:val="00390E60"/>
    <w:rsid w:val="00390FCD"/>
    <w:rsid w:val="00392EB2"/>
    <w:rsid w:val="00393583"/>
    <w:rsid w:val="003935F3"/>
    <w:rsid w:val="00394D58"/>
    <w:rsid w:val="003A290D"/>
    <w:rsid w:val="003A4BBD"/>
    <w:rsid w:val="003A6F33"/>
    <w:rsid w:val="003A6F73"/>
    <w:rsid w:val="003B3049"/>
    <w:rsid w:val="003B34B1"/>
    <w:rsid w:val="003B55F5"/>
    <w:rsid w:val="003C2E18"/>
    <w:rsid w:val="003C6B72"/>
    <w:rsid w:val="003D0636"/>
    <w:rsid w:val="003D73CF"/>
    <w:rsid w:val="003E4CD7"/>
    <w:rsid w:val="003E6B57"/>
    <w:rsid w:val="003E6C0B"/>
    <w:rsid w:val="003E7664"/>
    <w:rsid w:val="003F01B8"/>
    <w:rsid w:val="003F28BC"/>
    <w:rsid w:val="003F6C06"/>
    <w:rsid w:val="003F77E3"/>
    <w:rsid w:val="00406417"/>
    <w:rsid w:val="00406577"/>
    <w:rsid w:val="004071F1"/>
    <w:rsid w:val="00411592"/>
    <w:rsid w:val="00420D1F"/>
    <w:rsid w:val="00420D93"/>
    <w:rsid w:val="00422190"/>
    <w:rsid w:val="00430549"/>
    <w:rsid w:val="0043195D"/>
    <w:rsid w:val="00431D42"/>
    <w:rsid w:val="00432819"/>
    <w:rsid w:val="00432C03"/>
    <w:rsid w:val="004340E8"/>
    <w:rsid w:val="00434D24"/>
    <w:rsid w:val="00435495"/>
    <w:rsid w:val="0043743C"/>
    <w:rsid w:val="00437EBA"/>
    <w:rsid w:val="00440276"/>
    <w:rsid w:val="00441925"/>
    <w:rsid w:val="004426D3"/>
    <w:rsid w:val="004427A2"/>
    <w:rsid w:val="00443D5C"/>
    <w:rsid w:val="00445EE8"/>
    <w:rsid w:val="0044706E"/>
    <w:rsid w:val="00447ACE"/>
    <w:rsid w:val="00450848"/>
    <w:rsid w:val="004536DD"/>
    <w:rsid w:val="00455926"/>
    <w:rsid w:val="00455F2D"/>
    <w:rsid w:val="004569FC"/>
    <w:rsid w:val="00460B40"/>
    <w:rsid w:val="00465ADB"/>
    <w:rsid w:val="00466AA0"/>
    <w:rsid w:val="0047402E"/>
    <w:rsid w:val="0047461F"/>
    <w:rsid w:val="004759DB"/>
    <w:rsid w:val="004767C3"/>
    <w:rsid w:val="00481914"/>
    <w:rsid w:val="00481986"/>
    <w:rsid w:val="00482189"/>
    <w:rsid w:val="00483C69"/>
    <w:rsid w:val="00484A86"/>
    <w:rsid w:val="004879D3"/>
    <w:rsid w:val="00490449"/>
    <w:rsid w:val="0049349B"/>
    <w:rsid w:val="00494A90"/>
    <w:rsid w:val="00496202"/>
    <w:rsid w:val="00496C4E"/>
    <w:rsid w:val="00497ABF"/>
    <w:rsid w:val="00497F2A"/>
    <w:rsid w:val="004A0934"/>
    <w:rsid w:val="004A1A6E"/>
    <w:rsid w:val="004A620E"/>
    <w:rsid w:val="004B3D31"/>
    <w:rsid w:val="004B42CA"/>
    <w:rsid w:val="004B4A86"/>
    <w:rsid w:val="004B55C3"/>
    <w:rsid w:val="004B631D"/>
    <w:rsid w:val="004B6DEB"/>
    <w:rsid w:val="004C028A"/>
    <w:rsid w:val="004D19B8"/>
    <w:rsid w:val="004D3C73"/>
    <w:rsid w:val="004D6CBF"/>
    <w:rsid w:val="004D7128"/>
    <w:rsid w:val="004E4A8D"/>
    <w:rsid w:val="004E6352"/>
    <w:rsid w:val="004E67C7"/>
    <w:rsid w:val="004E7460"/>
    <w:rsid w:val="004F007E"/>
    <w:rsid w:val="004F1008"/>
    <w:rsid w:val="004F2BE4"/>
    <w:rsid w:val="00500BD4"/>
    <w:rsid w:val="00504CCB"/>
    <w:rsid w:val="00506D2E"/>
    <w:rsid w:val="00510196"/>
    <w:rsid w:val="00517380"/>
    <w:rsid w:val="00521961"/>
    <w:rsid w:val="005224FB"/>
    <w:rsid w:val="00524B24"/>
    <w:rsid w:val="005255A2"/>
    <w:rsid w:val="00527ACD"/>
    <w:rsid w:val="00532732"/>
    <w:rsid w:val="00534BC8"/>
    <w:rsid w:val="00536212"/>
    <w:rsid w:val="00537AA5"/>
    <w:rsid w:val="00540B8E"/>
    <w:rsid w:val="00540D65"/>
    <w:rsid w:val="005412B0"/>
    <w:rsid w:val="00542C00"/>
    <w:rsid w:val="0054572B"/>
    <w:rsid w:val="00546037"/>
    <w:rsid w:val="005464D2"/>
    <w:rsid w:val="005464DA"/>
    <w:rsid w:val="00547CA6"/>
    <w:rsid w:val="0055148D"/>
    <w:rsid w:val="0055283D"/>
    <w:rsid w:val="00552D10"/>
    <w:rsid w:val="00553EB8"/>
    <w:rsid w:val="005545DC"/>
    <w:rsid w:val="00556217"/>
    <w:rsid w:val="00560AE7"/>
    <w:rsid w:val="00562E21"/>
    <w:rsid w:val="00563ACD"/>
    <w:rsid w:val="00566322"/>
    <w:rsid w:val="00570860"/>
    <w:rsid w:val="00570FF5"/>
    <w:rsid w:val="0057211C"/>
    <w:rsid w:val="00572CC8"/>
    <w:rsid w:val="00573AAB"/>
    <w:rsid w:val="005764A5"/>
    <w:rsid w:val="0057783B"/>
    <w:rsid w:val="00577843"/>
    <w:rsid w:val="005857F0"/>
    <w:rsid w:val="00596049"/>
    <w:rsid w:val="005968FC"/>
    <w:rsid w:val="005972BD"/>
    <w:rsid w:val="005A0CAC"/>
    <w:rsid w:val="005A1EC8"/>
    <w:rsid w:val="005A44A5"/>
    <w:rsid w:val="005A5C99"/>
    <w:rsid w:val="005A67D0"/>
    <w:rsid w:val="005B0187"/>
    <w:rsid w:val="005B12BD"/>
    <w:rsid w:val="005B3AD7"/>
    <w:rsid w:val="005B449E"/>
    <w:rsid w:val="005B5DEA"/>
    <w:rsid w:val="005B773E"/>
    <w:rsid w:val="005C1CE3"/>
    <w:rsid w:val="005C343B"/>
    <w:rsid w:val="005C4458"/>
    <w:rsid w:val="005C494F"/>
    <w:rsid w:val="005C5FAB"/>
    <w:rsid w:val="005C6766"/>
    <w:rsid w:val="005D19AB"/>
    <w:rsid w:val="005D2FB5"/>
    <w:rsid w:val="005D7FA2"/>
    <w:rsid w:val="005E4A44"/>
    <w:rsid w:val="005F27B5"/>
    <w:rsid w:val="005F50FA"/>
    <w:rsid w:val="005F61B2"/>
    <w:rsid w:val="005F6712"/>
    <w:rsid w:val="005F7B6D"/>
    <w:rsid w:val="00621A39"/>
    <w:rsid w:val="00623066"/>
    <w:rsid w:val="006250E5"/>
    <w:rsid w:val="0063078F"/>
    <w:rsid w:val="00631733"/>
    <w:rsid w:val="00631FDC"/>
    <w:rsid w:val="0063635B"/>
    <w:rsid w:val="0064335D"/>
    <w:rsid w:val="00643F26"/>
    <w:rsid w:val="0065091F"/>
    <w:rsid w:val="00651046"/>
    <w:rsid w:val="006609C7"/>
    <w:rsid w:val="00660F37"/>
    <w:rsid w:val="00661389"/>
    <w:rsid w:val="00662F4F"/>
    <w:rsid w:val="006643C9"/>
    <w:rsid w:val="006651D3"/>
    <w:rsid w:val="00666F92"/>
    <w:rsid w:val="00670454"/>
    <w:rsid w:val="0067088F"/>
    <w:rsid w:val="00672224"/>
    <w:rsid w:val="006732D2"/>
    <w:rsid w:val="0067448B"/>
    <w:rsid w:val="00675B98"/>
    <w:rsid w:val="00677219"/>
    <w:rsid w:val="00677B34"/>
    <w:rsid w:val="00682D70"/>
    <w:rsid w:val="00684090"/>
    <w:rsid w:val="00685290"/>
    <w:rsid w:val="006861D9"/>
    <w:rsid w:val="00686A5C"/>
    <w:rsid w:val="006874D8"/>
    <w:rsid w:val="00691B5A"/>
    <w:rsid w:val="006932D2"/>
    <w:rsid w:val="00694893"/>
    <w:rsid w:val="00697E1A"/>
    <w:rsid w:val="006A13CE"/>
    <w:rsid w:val="006A187B"/>
    <w:rsid w:val="006A22C5"/>
    <w:rsid w:val="006A279C"/>
    <w:rsid w:val="006A37E8"/>
    <w:rsid w:val="006A67A4"/>
    <w:rsid w:val="006A771C"/>
    <w:rsid w:val="006B0736"/>
    <w:rsid w:val="006B4E1B"/>
    <w:rsid w:val="006B529E"/>
    <w:rsid w:val="006B5425"/>
    <w:rsid w:val="006B638B"/>
    <w:rsid w:val="006B7930"/>
    <w:rsid w:val="006B7EE3"/>
    <w:rsid w:val="006C3A23"/>
    <w:rsid w:val="006C5202"/>
    <w:rsid w:val="006C7E43"/>
    <w:rsid w:val="006D49F2"/>
    <w:rsid w:val="006D50FD"/>
    <w:rsid w:val="006E1A40"/>
    <w:rsid w:val="006E218B"/>
    <w:rsid w:val="006E5642"/>
    <w:rsid w:val="006E7889"/>
    <w:rsid w:val="006E7F59"/>
    <w:rsid w:val="006F0CE9"/>
    <w:rsid w:val="006F1AD9"/>
    <w:rsid w:val="006F2107"/>
    <w:rsid w:val="006F2719"/>
    <w:rsid w:val="006F630D"/>
    <w:rsid w:val="00701CAF"/>
    <w:rsid w:val="00704D14"/>
    <w:rsid w:val="0070665C"/>
    <w:rsid w:val="00716FA3"/>
    <w:rsid w:val="007171B3"/>
    <w:rsid w:val="00721719"/>
    <w:rsid w:val="007246AC"/>
    <w:rsid w:val="0072525C"/>
    <w:rsid w:val="007257C9"/>
    <w:rsid w:val="00730EA4"/>
    <w:rsid w:val="007315C7"/>
    <w:rsid w:val="00731EE3"/>
    <w:rsid w:val="00736AFF"/>
    <w:rsid w:val="00737FBE"/>
    <w:rsid w:val="00742954"/>
    <w:rsid w:val="00743C22"/>
    <w:rsid w:val="00744442"/>
    <w:rsid w:val="007474BF"/>
    <w:rsid w:val="00751050"/>
    <w:rsid w:val="00751E2C"/>
    <w:rsid w:val="00756016"/>
    <w:rsid w:val="0075627F"/>
    <w:rsid w:val="00756815"/>
    <w:rsid w:val="007618E3"/>
    <w:rsid w:val="00763ED9"/>
    <w:rsid w:val="007643BA"/>
    <w:rsid w:val="00765181"/>
    <w:rsid w:val="007659BA"/>
    <w:rsid w:val="00766DE4"/>
    <w:rsid w:val="00770D52"/>
    <w:rsid w:val="00772BFD"/>
    <w:rsid w:val="007753ED"/>
    <w:rsid w:val="00775D48"/>
    <w:rsid w:val="00775EC7"/>
    <w:rsid w:val="0077611D"/>
    <w:rsid w:val="007765C9"/>
    <w:rsid w:val="007802E7"/>
    <w:rsid w:val="007818E8"/>
    <w:rsid w:val="007836D4"/>
    <w:rsid w:val="00783976"/>
    <w:rsid w:val="00783B00"/>
    <w:rsid w:val="0078682D"/>
    <w:rsid w:val="00786D41"/>
    <w:rsid w:val="00787F45"/>
    <w:rsid w:val="00791367"/>
    <w:rsid w:val="00792186"/>
    <w:rsid w:val="007923F7"/>
    <w:rsid w:val="00793894"/>
    <w:rsid w:val="00793CDC"/>
    <w:rsid w:val="00794C45"/>
    <w:rsid w:val="007958F4"/>
    <w:rsid w:val="007B1FB1"/>
    <w:rsid w:val="007B5136"/>
    <w:rsid w:val="007B7F53"/>
    <w:rsid w:val="007C00BE"/>
    <w:rsid w:val="007C0779"/>
    <w:rsid w:val="007C111D"/>
    <w:rsid w:val="007C1335"/>
    <w:rsid w:val="007C1493"/>
    <w:rsid w:val="007C2410"/>
    <w:rsid w:val="007C27F5"/>
    <w:rsid w:val="007C591A"/>
    <w:rsid w:val="007D2821"/>
    <w:rsid w:val="007D2FC6"/>
    <w:rsid w:val="007D710B"/>
    <w:rsid w:val="007D75BF"/>
    <w:rsid w:val="007E233F"/>
    <w:rsid w:val="007E40E1"/>
    <w:rsid w:val="007E6283"/>
    <w:rsid w:val="007E6638"/>
    <w:rsid w:val="007E670B"/>
    <w:rsid w:val="007F2778"/>
    <w:rsid w:val="007F4602"/>
    <w:rsid w:val="007F567C"/>
    <w:rsid w:val="007F58B8"/>
    <w:rsid w:val="0080132F"/>
    <w:rsid w:val="00802431"/>
    <w:rsid w:val="0080349A"/>
    <w:rsid w:val="00804AEA"/>
    <w:rsid w:val="008067E8"/>
    <w:rsid w:val="00807E9A"/>
    <w:rsid w:val="00812E89"/>
    <w:rsid w:val="008138E7"/>
    <w:rsid w:val="00813D8F"/>
    <w:rsid w:val="00814BA6"/>
    <w:rsid w:val="008159BD"/>
    <w:rsid w:val="0081612A"/>
    <w:rsid w:val="00820F2C"/>
    <w:rsid w:val="00822BED"/>
    <w:rsid w:val="00825C34"/>
    <w:rsid w:val="00832578"/>
    <w:rsid w:val="00834FE2"/>
    <w:rsid w:val="00835F83"/>
    <w:rsid w:val="00835FA8"/>
    <w:rsid w:val="0083666C"/>
    <w:rsid w:val="00836C94"/>
    <w:rsid w:val="00837292"/>
    <w:rsid w:val="00840B54"/>
    <w:rsid w:val="00841260"/>
    <w:rsid w:val="00843EFE"/>
    <w:rsid w:val="00846605"/>
    <w:rsid w:val="00851D81"/>
    <w:rsid w:val="0085302D"/>
    <w:rsid w:val="008531CC"/>
    <w:rsid w:val="00854E95"/>
    <w:rsid w:val="00855776"/>
    <w:rsid w:val="00856500"/>
    <w:rsid w:val="008574B3"/>
    <w:rsid w:val="0086249E"/>
    <w:rsid w:val="00863FE8"/>
    <w:rsid w:val="008641FC"/>
    <w:rsid w:val="00865AF9"/>
    <w:rsid w:val="00865B84"/>
    <w:rsid w:val="008674A2"/>
    <w:rsid w:val="00870C87"/>
    <w:rsid w:val="00873583"/>
    <w:rsid w:val="00873F23"/>
    <w:rsid w:val="00875BB6"/>
    <w:rsid w:val="00876FC5"/>
    <w:rsid w:val="00877834"/>
    <w:rsid w:val="008812F3"/>
    <w:rsid w:val="00882211"/>
    <w:rsid w:val="00884097"/>
    <w:rsid w:val="0088438D"/>
    <w:rsid w:val="00890098"/>
    <w:rsid w:val="00890D0E"/>
    <w:rsid w:val="00891407"/>
    <w:rsid w:val="00891564"/>
    <w:rsid w:val="008928D6"/>
    <w:rsid w:val="00895238"/>
    <w:rsid w:val="00897234"/>
    <w:rsid w:val="00897243"/>
    <w:rsid w:val="008A0F53"/>
    <w:rsid w:val="008A3197"/>
    <w:rsid w:val="008A659E"/>
    <w:rsid w:val="008B0EFD"/>
    <w:rsid w:val="008B1477"/>
    <w:rsid w:val="008B27AA"/>
    <w:rsid w:val="008B2C54"/>
    <w:rsid w:val="008B3B75"/>
    <w:rsid w:val="008B43CD"/>
    <w:rsid w:val="008B4CF3"/>
    <w:rsid w:val="008B5A45"/>
    <w:rsid w:val="008C166D"/>
    <w:rsid w:val="008C540D"/>
    <w:rsid w:val="008C7053"/>
    <w:rsid w:val="008D02F3"/>
    <w:rsid w:val="008D0628"/>
    <w:rsid w:val="008D15B5"/>
    <w:rsid w:val="008D4898"/>
    <w:rsid w:val="008E274A"/>
    <w:rsid w:val="008F4CA4"/>
    <w:rsid w:val="008F5E17"/>
    <w:rsid w:val="00900126"/>
    <w:rsid w:val="00903969"/>
    <w:rsid w:val="00903FC3"/>
    <w:rsid w:val="00904067"/>
    <w:rsid w:val="00904B5F"/>
    <w:rsid w:val="009065B6"/>
    <w:rsid w:val="00906F15"/>
    <w:rsid w:val="00907BA6"/>
    <w:rsid w:val="00910235"/>
    <w:rsid w:val="009123B5"/>
    <w:rsid w:val="00915A58"/>
    <w:rsid w:val="009165DE"/>
    <w:rsid w:val="009171CB"/>
    <w:rsid w:val="0092082F"/>
    <w:rsid w:val="00921707"/>
    <w:rsid w:val="009219E8"/>
    <w:rsid w:val="0092244C"/>
    <w:rsid w:val="0092725B"/>
    <w:rsid w:val="00931178"/>
    <w:rsid w:val="00931EA1"/>
    <w:rsid w:val="00932158"/>
    <w:rsid w:val="00937B07"/>
    <w:rsid w:val="00941D70"/>
    <w:rsid w:val="00942112"/>
    <w:rsid w:val="009422B2"/>
    <w:rsid w:val="00943CA6"/>
    <w:rsid w:val="0095113C"/>
    <w:rsid w:val="009535A9"/>
    <w:rsid w:val="00954146"/>
    <w:rsid w:val="009552A6"/>
    <w:rsid w:val="009617F2"/>
    <w:rsid w:val="00961BA3"/>
    <w:rsid w:val="00963B42"/>
    <w:rsid w:val="00964B25"/>
    <w:rsid w:val="00966D8C"/>
    <w:rsid w:val="0096704C"/>
    <w:rsid w:val="00967C16"/>
    <w:rsid w:val="00971899"/>
    <w:rsid w:val="009751B4"/>
    <w:rsid w:val="00977565"/>
    <w:rsid w:val="00977AA2"/>
    <w:rsid w:val="00983302"/>
    <w:rsid w:val="009A0BF4"/>
    <w:rsid w:val="009A0C9A"/>
    <w:rsid w:val="009A3B28"/>
    <w:rsid w:val="009A415D"/>
    <w:rsid w:val="009A6C19"/>
    <w:rsid w:val="009B0274"/>
    <w:rsid w:val="009B066F"/>
    <w:rsid w:val="009B159E"/>
    <w:rsid w:val="009B4CF0"/>
    <w:rsid w:val="009B703F"/>
    <w:rsid w:val="009B7281"/>
    <w:rsid w:val="009B732C"/>
    <w:rsid w:val="009C318B"/>
    <w:rsid w:val="009C56AF"/>
    <w:rsid w:val="009C5B37"/>
    <w:rsid w:val="009C63EA"/>
    <w:rsid w:val="009C77F4"/>
    <w:rsid w:val="009C780E"/>
    <w:rsid w:val="009D3CB8"/>
    <w:rsid w:val="009D3F73"/>
    <w:rsid w:val="009D4B34"/>
    <w:rsid w:val="009D7078"/>
    <w:rsid w:val="009D72E7"/>
    <w:rsid w:val="009D7782"/>
    <w:rsid w:val="009E04A9"/>
    <w:rsid w:val="009E32AC"/>
    <w:rsid w:val="009E4712"/>
    <w:rsid w:val="009E48A0"/>
    <w:rsid w:val="009E7DCF"/>
    <w:rsid w:val="009F19FD"/>
    <w:rsid w:val="00A015E2"/>
    <w:rsid w:val="00A073D9"/>
    <w:rsid w:val="00A10DFF"/>
    <w:rsid w:val="00A12A26"/>
    <w:rsid w:val="00A223CE"/>
    <w:rsid w:val="00A22EB0"/>
    <w:rsid w:val="00A25B07"/>
    <w:rsid w:val="00A25B64"/>
    <w:rsid w:val="00A26993"/>
    <w:rsid w:val="00A301CF"/>
    <w:rsid w:val="00A30441"/>
    <w:rsid w:val="00A32F62"/>
    <w:rsid w:val="00A3588C"/>
    <w:rsid w:val="00A36F44"/>
    <w:rsid w:val="00A37FB2"/>
    <w:rsid w:val="00A443C1"/>
    <w:rsid w:val="00A51258"/>
    <w:rsid w:val="00A56003"/>
    <w:rsid w:val="00A57B30"/>
    <w:rsid w:val="00A63054"/>
    <w:rsid w:val="00A64D2E"/>
    <w:rsid w:val="00A65B85"/>
    <w:rsid w:val="00A65CCE"/>
    <w:rsid w:val="00A66321"/>
    <w:rsid w:val="00A664EA"/>
    <w:rsid w:val="00A71E17"/>
    <w:rsid w:val="00A72090"/>
    <w:rsid w:val="00A72D25"/>
    <w:rsid w:val="00A74ED6"/>
    <w:rsid w:val="00A74F63"/>
    <w:rsid w:val="00A82F27"/>
    <w:rsid w:val="00A83B1E"/>
    <w:rsid w:val="00A84FB9"/>
    <w:rsid w:val="00A86015"/>
    <w:rsid w:val="00A87234"/>
    <w:rsid w:val="00A911CB"/>
    <w:rsid w:val="00A93EB4"/>
    <w:rsid w:val="00AA2C72"/>
    <w:rsid w:val="00AA44C6"/>
    <w:rsid w:val="00AA548D"/>
    <w:rsid w:val="00AB0960"/>
    <w:rsid w:val="00AB1021"/>
    <w:rsid w:val="00AB2792"/>
    <w:rsid w:val="00AB3FE4"/>
    <w:rsid w:val="00AB5837"/>
    <w:rsid w:val="00AC1530"/>
    <w:rsid w:val="00AC2B00"/>
    <w:rsid w:val="00AC3A77"/>
    <w:rsid w:val="00AC4E7D"/>
    <w:rsid w:val="00AC6E78"/>
    <w:rsid w:val="00AD2939"/>
    <w:rsid w:val="00AD33C9"/>
    <w:rsid w:val="00AD7BBB"/>
    <w:rsid w:val="00AE1545"/>
    <w:rsid w:val="00AE24AB"/>
    <w:rsid w:val="00AE307D"/>
    <w:rsid w:val="00AE3850"/>
    <w:rsid w:val="00AE461C"/>
    <w:rsid w:val="00AE4633"/>
    <w:rsid w:val="00AE7D06"/>
    <w:rsid w:val="00AF5399"/>
    <w:rsid w:val="00AF648F"/>
    <w:rsid w:val="00B022EC"/>
    <w:rsid w:val="00B027FC"/>
    <w:rsid w:val="00B03501"/>
    <w:rsid w:val="00B17BFF"/>
    <w:rsid w:val="00B23554"/>
    <w:rsid w:val="00B23998"/>
    <w:rsid w:val="00B239D5"/>
    <w:rsid w:val="00B32900"/>
    <w:rsid w:val="00B332C2"/>
    <w:rsid w:val="00B3349F"/>
    <w:rsid w:val="00B362AF"/>
    <w:rsid w:val="00B37CEC"/>
    <w:rsid w:val="00B4014E"/>
    <w:rsid w:val="00B42233"/>
    <w:rsid w:val="00B43BAC"/>
    <w:rsid w:val="00B45BEA"/>
    <w:rsid w:val="00B45F3D"/>
    <w:rsid w:val="00B50384"/>
    <w:rsid w:val="00B528BE"/>
    <w:rsid w:val="00B531BD"/>
    <w:rsid w:val="00B534F5"/>
    <w:rsid w:val="00B56976"/>
    <w:rsid w:val="00B6014C"/>
    <w:rsid w:val="00B62E90"/>
    <w:rsid w:val="00B64E23"/>
    <w:rsid w:val="00B65E11"/>
    <w:rsid w:val="00B66F0D"/>
    <w:rsid w:val="00B675DD"/>
    <w:rsid w:val="00B679F6"/>
    <w:rsid w:val="00B7028D"/>
    <w:rsid w:val="00B71558"/>
    <w:rsid w:val="00B721F8"/>
    <w:rsid w:val="00B72C31"/>
    <w:rsid w:val="00B76F53"/>
    <w:rsid w:val="00B76FA3"/>
    <w:rsid w:val="00B77EE4"/>
    <w:rsid w:val="00B803E6"/>
    <w:rsid w:val="00B814A5"/>
    <w:rsid w:val="00B836F5"/>
    <w:rsid w:val="00B84356"/>
    <w:rsid w:val="00B846D8"/>
    <w:rsid w:val="00B85252"/>
    <w:rsid w:val="00B8585D"/>
    <w:rsid w:val="00B93B95"/>
    <w:rsid w:val="00B9453F"/>
    <w:rsid w:val="00B96FE0"/>
    <w:rsid w:val="00BA2998"/>
    <w:rsid w:val="00BA39BB"/>
    <w:rsid w:val="00BA5255"/>
    <w:rsid w:val="00BA7731"/>
    <w:rsid w:val="00BA79B7"/>
    <w:rsid w:val="00BA7C69"/>
    <w:rsid w:val="00BB1E62"/>
    <w:rsid w:val="00BB3768"/>
    <w:rsid w:val="00BB4486"/>
    <w:rsid w:val="00BB602D"/>
    <w:rsid w:val="00BC1A7E"/>
    <w:rsid w:val="00BC203D"/>
    <w:rsid w:val="00BD11DF"/>
    <w:rsid w:val="00BD3B2F"/>
    <w:rsid w:val="00BD7D8D"/>
    <w:rsid w:val="00BF0368"/>
    <w:rsid w:val="00BF0413"/>
    <w:rsid w:val="00BF0904"/>
    <w:rsid w:val="00BF40EC"/>
    <w:rsid w:val="00BF4881"/>
    <w:rsid w:val="00BF4DC7"/>
    <w:rsid w:val="00BF56EF"/>
    <w:rsid w:val="00BF5CA7"/>
    <w:rsid w:val="00BF65BE"/>
    <w:rsid w:val="00C00260"/>
    <w:rsid w:val="00C01680"/>
    <w:rsid w:val="00C03B27"/>
    <w:rsid w:val="00C057F3"/>
    <w:rsid w:val="00C05A41"/>
    <w:rsid w:val="00C05C1E"/>
    <w:rsid w:val="00C05E61"/>
    <w:rsid w:val="00C148A3"/>
    <w:rsid w:val="00C14DA2"/>
    <w:rsid w:val="00C16B5E"/>
    <w:rsid w:val="00C16CF4"/>
    <w:rsid w:val="00C2598F"/>
    <w:rsid w:val="00C25FD5"/>
    <w:rsid w:val="00C2636E"/>
    <w:rsid w:val="00C300FC"/>
    <w:rsid w:val="00C301F2"/>
    <w:rsid w:val="00C31CB7"/>
    <w:rsid w:val="00C43AFA"/>
    <w:rsid w:val="00C50D75"/>
    <w:rsid w:val="00C55A54"/>
    <w:rsid w:val="00C55C2B"/>
    <w:rsid w:val="00C572CF"/>
    <w:rsid w:val="00C63206"/>
    <w:rsid w:val="00C64F06"/>
    <w:rsid w:val="00C66F3F"/>
    <w:rsid w:val="00C74FDB"/>
    <w:rsid w:val="00C76F3E"/>
    <w:rsid w:val="00C81D0C"/>
    <w:rsid w:val="00C830C0"/>
    <w:rsid w:val="00C8456B"/>
    <w:rsid w:val="00C85607"/>
    <w:rsid w:val="00C86DBF"/>
    <w:rsid w:val="00C87491"/>
    <w:rsid w:val="00C92227"/>
    <w:rsid w:val="00CA0AA5"/>
    <w:rsid w:val="00CA588E"/>
    <w:rsid w:val="00CA658C"/>
    <w:rsid w:val="00CA6B59"/>
    <w:rsid w:val="00CB0594"/>
    <w:rsid w:val="00CC12E1"/>
    <w:rsid w:val="00CC3E0C"/>
    <w:rsid w:val="00CC5CA6"/>
    <w:rsid w:val="00CC693C"/>
    <w:rsid w:val="00CC7E47"/>
    <w:rsid w:val="00CD1648"/>
    <w:rsid w:val="00CD1F13"/>
    <w:rsid w:val="00CD31D1"/>
    <w:rsid w:val="00CD3638"/>
    <w:rsid w:val="00CD58FA"/>
    <w:rsid w:val="00CD6AA5"/>
    <w:rsid w:val="00CE332B"/>
    <w:rsid w:val="00CE3DDD"/>
    <w:rsid w:val="00CE5B73"/>
    <w:rsid w:val="00CF011F"/>
    <w:rsid w:val="00CF162C"/>
    <w:rsid w:val="00CF38E8"/>
    <w:rsid w:val="00CF39DC"/>
    <w:rsid w:val="00CF4AE7"/>
    <w:rsid w:val="00D0005F"/>
    <w:rsid w:val="00D006D2"/>
    <w:rsid w:val="00D00989"/>
    <w:rsid w:val="00D01BDB"/>
    <w:rsid w:val="00D02F2E"/>
    <w:rsid w:val="00D02F55"/>
    <w:rsid w:val="00D043F6"/>
    <w:rsid w:val="00D12736"/>
    <w:rsid w:val="00D12E18"/>
    <w:rsid w:val="00D13561"/>
    <w:rsid w:val="00D13EE2"/>
    <w:rsid w:val="00D14AE8"/>
    <w:rsid w:val="00D1580C"/>
    <w:rsid w:val="00D233E3"/>
    <w:rsid w:val="00D30B65"/>
    <w:rsid w:val="00D352C1"/>
    <w:rsid w:val="00D41D41"/>
    <w:rsid w:val="00D43981"/>
    <w:rsid w:val="00D44BE0"/>
    <w:rsid w:val="00D44C3F"/>
    <w:rsid w:val="00D4610B"/>
    <w:rsid w:val="00D4676D"/>
    <w:rsid w:val="00D479BE"/>
    <w:rsid w:val="00D47DD6"/>
    <w:rsid w:val="00D56293"/>
    <w:rsid w:val="00D617C9"/>
    <w:rsid w:val="00D621E3"/>
    <w:rsid w:val="00D624DA"/>
    <w:rsid w:val="00D631AE"/>
    <w:rsid w:val="00D63274"/>
    <w:rsid w:val="00D6521D"/>
    <w:rsid w:val="00D658E2"/>
    <w:rsid w:val="00D6736B"/>
    <w:rsid w:val="00D70004"/>
    <w:rsid w:val="00D70617"/>
    <w:rsid w:val="00D7099B"/>
    <w:rsid w:val="00D749CE"/>
    <w:rsid w:val="00D74B98"/>
    <w:rsid w:val="00D75A61"/>
    <w:rsid w:val="00D819B2"/>
    <w:rsid w:val="00D8475C"/>
    <w:rsid w:val="00D91EA1"/>
    <w:rsid w:val="00D92C4F"/>
    <w:rsid w:val="00D93196"/>
    <w:rsid w:val="00D95454"/>
    <w:rsid w:val="00D965D1"/>
    <w:rsid w:val="00D97F19"/>
    <w:rsid w:val="00DA5606"/>
    <w:rsid w:val="00DB0CFA"/>
    <w:rsid w:val="00DB2546"/>
    <w:rsid w:val="00DB3663"/>
    <w:rsid w:val="00DB3B1D"/>
    <w:rsid w:val="00DB4066"/>
    <w:rsid w:val="00DB4C97"/>
    <w:rsid w:val="00DB66B9"/>
    <w:rsid w:val="00DB707C"/>
    <w:rsid w:val="00DC21E3"/>
    <w:rsid w:val="00DC6446"/>
    <w:rsid w:val="00DC68D7"/>
    <w:rsid w:val="00DC709F"/>
    <w:rsid w:val="00DD0F27"/>
    <w:rsid w:val="00DD1697"/>
    <w:rsid w:val="00DD26C5"/>
    <w:rsid w:val="00DD402C"/>
    <w:rsid w:val="00DD6C63"/>
    <w:rsid w:val="00DE2929"/>
    <w:rsid w:val="00DE53D6"/>
    <w:rsid w:val="00DE548E"/>
    <w:rsid w:val="00DE5531"/>
    <w:rsid w:val="00DE6780"/>
    <w:rsid w:val="00DE6A57"/>
    <w:rsid w:val="00DF0B33"/>
    <w:rsid w:val="00DF2CAC"/>
    <w:rsid w:val="00DF583C"/>
    <w:rsid w:val="00DF6A23"/>
    <w:rsid w:val="00DF6F9A"/>
    <w:rsid w:val="00E03A29"/>
    <w:rsid w:val="00E04A13"/>
    <w:rsid w:val="00E06CF1"/>
    <w:rsid w:val="00E1215E"/>
    <w:rsid w:val="00E13B0B"/>
    <w:rsid w:val="00E13C30"/>
    <w:rsid w:val="00E15319"/>
    <w:rsid w:val="00E15FDB"/>
    <w:rsid w:val="00E16807"/>
    <w:rsid w:val="00E20845"/>
    <w:rsid w:val="00E209CE"/>
    <w:rsid w:val="00E23806"/>
    <w:rsid w:val="00E2577C"/>
    <w:rsid w:val="00E27829"/>
    <w:rsid w:val="00E30980"/>
    <w:rsid w:val="00E362CA"/>
    <w:rsid w:val="00E369CA"/>
    <w:rsid w:val="00E37CC1"/>
    <w:rsid w:val="00E47234"/>
    <w:rsid w:val="00E47895"/>
    <w:rsid w:val="00E5066D"/>
    <w:rsid w:val="00E517D6"/>
    <w:rsid w:val="00E54446"/>
    <w:rsid w:val="00E550E8"/>
    <w:rsid w:val="00E5623D"/>
    <w:rsid w:val="00E5632B"/>
    <w:rsid w:val="00E61CD9"/>
    <w:rsid w:val="00E635BA"/>
    <w:rsid w:val="00E65199"/>
    <w:rsid w:val="00E6551A"/>
    <w:rsid w:val="00E66A11"/>
    <w:rsid w:val="00E70782"/>
    <w:rsid w:val="00E751C2"/>
    <w:rsid w:val="00E75B40"/>
    <w:rsid w:val="00E77960"/>
    <w:rsid w:val="00E83E60"/>
    <w:rsid w:val="00E853F6"/>
    <w:rsid w:val="00E861DC"/>
    <w:rsid w:val="00E86237"/>
    <w:rsid w:val="00E879EA"/>
    <w:rsid w:val="00E9059D"/>
    <w:rsid w:val="00E908F3"/>
    <w:rsid w:val="00E91108"/>
    <w:rsid w:val="00E92E02"/>
    <w:rsid w:val="00E94457"/>
    <w:rsid w:val="00E95893"/>
    <w:rsid w:val="00E96FBB"/>
    <w:rsid w:val="00EA5A00"/>
    <w:rsid w:val="00EB38D3"/>
    <w:rsid w:val="00EB3A02"/>
    <w:rsid w:val="00EB6238"/>
    <w:rsid w:val="00EB7836"/>
    <w:rsid w:val="00EC0EFB"/>
    <w:rsid w:val="00EC765D"/>
    <w:rsid w:val="00ED2F1E"/>
    <w:rsid w:val="00ED645B"/>
    <w:rsid w:val="00ED6802"/>
    <w:rsid w:val="00ED720C"/>
    <w:rsid w:val="00EE2939"/>
    <w:rsid w:val="00EF05A8"/>
    <w:rsid w:val="00EF2075"/>
    <w:rsid w:val="00EF2B93"/>
    <w:rsid w:val="00EF7D72"/>
    <w:rsid w:val="00F00D7A"/>
    <w:rsid w:val="00F01DD9"/>
    <w:rsid w:val="00F04D22"/>
    <w:rsid w:val="00F05057"/>
    <w:rsid w:val="00F06202"/>
    <w:rsid w:val="00F06469"/>
    <w:rsid w:val="00F0710A"/>
    <w:rsid w:val="00F073A9"/>
    <w:rsid w:val="00F074FE"/>
    <w:rsid w:val="00F1564F"/>
    <w:rsid w:val="00F20044"/>
    <w:rsid w:val="00F259CA"/>
    <w:rsid w:val="00F278D1"/>
    <w:rsid w:val="00F3008A"/>
    <w:rsid w:val="00F31448"/>
    <w:rsid w:val="00F36A5C"/>
    <w:rsid w:val="00F37BCC"/>
    <w:rsid w:val="00F43513"/>
    <w:rsid w:val="00F436FB"/>
    <w:rsid w:val="00F43861"/>
    <w:rsid w:val="00F44038"/>
    <w:rsid w:val="00F476E7"/>
    <w:rsid w:val="00F515FB"/>
    <w:rsid w:val="00F52067"/>
    <w:rsid w:val="00F5253C"/>
    <w:rsid w:val="00F5286F"/>
    <w:rsid w:val="00F53A11"/>
    <w:rsid w:val="00F571F7"/>
    <w:rsid w:val="00F615E2"/>
    <w:rsid w:val="00F622C2"/>
    <w:rsid w:val="00F635C3"/>
    <w:rsid w:val="00F701B7"/>
    <w:rsid w:val="00F711EF"/>
    <w:rsid w:val="00F71CDA"/>
    <w:rsid w:val="00F722A0"/>
    <w:rsid w:val="00F727AC"/>
    <w:rsid w:val="00F75BB3"/>
    <w:rsid w:val="00F75D4F"/>
    <w:rsid w:val="00F7707C"/>
    <w:rsid w:val="00F8087C"/>
    <w:rsid w:val="00F8181B"/>
    <w:rsid w:val="00F90D99"/>
    <w:rsid w:val="00F96484"/>
    <w:rsid w:val="00FA01C0"/>
    <w:rsid w:val="00FA1593"/>
    <w:rsid w:val="00FA1767"/>
    <w:rsid w:val="00FA30F6"/>
    <w:rsid w:val="00FA49BF"/>
    <w:rsid w:val="00FB1FCD"/>
    <w:rsid w:val="00FB325B"/>
    <w:rsid w:val="00FB6805"/>
    <w:rsid w:val="00FC59C4"/>
    <w:rsid w:val="00FC7771"/>
    <w:rsid w:val="00FD2690"/>
    <w:rsid w:val="00FD3686"/>
    <w:rsid w:val="00FE25E2"/>
    <w:rsid w:val="00FE2DAA"/>
    <w:rsid w:val="00FE3A88"/>
    <w:rsid w:val="00FE3FA3"/>
    <w:rsid w:val="00FF152B"/>
    <w:rsid w:val="00FF2253"/>
    <w:rsid w:val="00FF44DA"/>
    <w:rsid w:val="00FF4E73"/>
    <w:rsid w:val="00FF7058"/>
    <w:rsid w:val="00FF7063"/>
    <w:rsid w:val="01AE1265"/>
    <w:rsid w:val="033D474C"/>
    <w:rsid w:val="053C3CD4"/>
    <w:rsid w:val="06B23520"/>
    <w:rsid w:val="07280683"/>
    <w:rsid w:val="07F22601"/>
    <w:rsid w:val="093E4950"/>
    <w:rsid w:val="09A23D48"/>
    <w:rsid w:val="0BBE1290"/>
    <w:rsid w:val="0CE85CA3"/>
    <w:rsid w:val="0CF34D05"/>
    <w:rsid w:val="107C4081"/>
    <w:rsid w:val="13320844"/>
    <w:rsid w:val="14BC3442"/>
    <w:rsid w:val="16F46E77"/>
    <w:rsid w:val="17370B76"/>
    <w:rsid w:val="17B27556"/>
    <w:rsid w:val="1AD87DE8"/>
    <w:rsid w:val="1B872A58"/>
    <w:rsid w:val="1BC30216"/>
    <w:rsid w:val="1C2368B2"/>
    <w:rsid w:val="1EC75D38"/>
    <w:rsid w:val="1F080A6D"/>
    <w:rsid w:val="206B1DF4"/>
    <w:rsid w:val="207B1E6A"/>
    <w:rsid w:val="20AD2C37"/>
    <w:rsid w:val="26983113"/>
    <w:rsid w:val="28012571"/>
    <w:rsid w:val="28540312"/>
    <w:rsid w:val="28A34C9F"/>
    <w:rsid w:val="28C64335"/>
    <w:rsid w:val="290B7D94"/>
    <w:rsid w:val="2BAE3497"/>
    <w:rsid w:val="2C35587B"/>
    <w:rsid w:val="2CB53113"/>
    <w:rsid w:val="2D320A73"/>
    <w:rsid w:val="2E854950"/>
    <w:rsid w:val="2E8D7952"/>
    <w:rsid w:val="3118459C"/>
    <w:rsid w:val="33296911"/>
    <w:rsid w:val="33321807"/>
    <w:rsid w:val="33733EBF"/>
    <w:rsid w:val="34CA231C"/>
    <w:rsid w:val="38FD6C47"/>
    <w:rsid w:val="3B1F33E0"/>
    <w:rsid w:val="3B8E0B3E"/>
    <w:rsid w:val="3BE17F3E"/>
    <w:rsid w:val="3BF0434B"/>
    <w:rsid w:val="3C191589"/>
    <w:rsid w:val="3E371C39"/>
    <w:rsid w:val="3F6A3BB2"/>
    <w:rsid w:val="3FD95C1E"/>
    <w:rsid w:val="4455683E"/>
    <w:rsid w:val="44D02EA9"/>
    <w:rsid w:val="44DC1629"/>
    <w:rsid w:val="46966D8C"/>
    <w:rsid w:val="47E42042"/>
    <w:rsid w:val="4B034745"/>
    <w:rsid w:val="4B791E78"/>
    <w:rsid w:val="4CA41F51"/>
    <w:rsid w:val="4CCE46A0"/>
    <w:rsid w:val="4D9C67FF"/>
    <w:rsid w:val="4E261995"/>
    <w:rsid w:val="4ED45728"/>
    <w:rsid w:val="519F78C9"/>
    <w:rsid w:val="51FC39CE"/>
    <w:rsid w:val="528B594F"/>
    <w:rsid w:val="53D017FA"/>
    <w:rsid w:val="544460B6"/>
    <w:rsid w:val="54AE1B78"/>
    <w:rsid w:val="54CC2816"/>
    <w:rsid w:val="55122D70"/>
    <w:rsid w:val="55606FA3"/>
    <w:rsid w:val="56917566"/>
    <w:rsid w:val="585E2AD9"/>
    <w:rsid w:val="5B9F7DCD"/>
    <w:rsid w:val="5C1128CE"/>
    <w:rsid w:val="60324540"/>
    <w:rsid w:val="60D726AD"/>
    <w:rsid w:val="62C518F6"/>
    <w:rsid w:val="63821CA7"/>
    <w:rsid w:val="64025D20"/>
    <w:rsid w:val="65517345"/>
    <w:rsid w:val="67317E0C"/>
    <w:rsid w:val="6EF038C5"/>
    <w:rsid w:val="717D1BED"/>
    <w:rsid w:val="719E33B0"/>
    <w:rsid w:val="71D1471A"/>
    <w:rsid w:val="77A9552A"/>
    <w:rsid w:val="790550D1"/>
    <w:rsid w:val="7999649F"/>
    <w:rsid w:val="7BEA143A"/>
    <w:rsid w:val="7C4339FA"/>
    <w:rsid w:val="7CA03085"/>
    <w:rsid w:val="7D0C4FA3"/>
    <w:rsid w:val="7D705146"/>
    <w:rsid w:val="7D723FC2"/>
    <w:rsid w:val="7DF5708B"/>
    <w:rsid w:val="7E1B1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" w:name="heading 2" w:locked="1"/>
    <w:lsdException w:qFormat="1" w:unhideWhenUsed="0" w:uiPriority="99" w:semiHidden="0" w:name="heading 3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semiHidden="0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qFormat="1" w:unhideWhenUsed="0" w:uiPriority="99" w:name="annotation reference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99" w:semiHidden="0" w:name="Title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qFormat="1" w:unhideWhenUsed="0" w:uiPriority="99" w:name="Date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99" w:semiHidden="0" w:name="Emphasis"/>
    <w:lsdException w:uiPriority="99" w:name="Document Map" w:locked="1"/>
    <w:lsdException w:qFormat="1" w:unhideWhenUsed="0" w:uiPriority="99" w:semiHidden="0" w:name="Plain Text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qFormat="1" w:unhideWhenUsed="0" w:uiPriority="99" w:semiHidden="0" w:name="HTML Preformatted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qFormat="1" w:unhideWhenUsed="0" w:uiPriority="99" w:name="annotation subject"/>
    <w:lsdException w:qFormat="1" w:unhideWhenUsed="0" w:uiPriority="99" w:semiHidden="0" w:name="Table Simple 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60" w:lineRule="auto"/>
      <w:jc w:val="both"/>
      <w:textAlignment w:val="baseline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9"/>
    <w:pPr>
      <w:keepNext/>
      <w:adjustRightInd/>
      <w:spacing w:line="240" w:lineRule="auto"/>
      <w:jc w:val="center"/>
      <w:textAlignment w:val="auto"/>
      <w:outlineLvl w:val="0"/>
    </w:pPr>
    <w:rPr>
      <w:kern w:val="0"/>
      <w:sz w:val="20"/>
    </w:rPr>
  </w:style>
  <w:style w:type="paragraph" w:styleId="3">
    <w:name w:val="heading 3"/>
    <w:basedOn w:val="1"/>
    <w:next w:val="1"/>
    <w:link w:val="24"/>
    <w:qFormat/>
    <w:uiPriority w:val="99"/>
    <w:pPr>
      <w:widowControl/>
      <w:adjustRightInd/>
      <w:spacing w:line="240" w:lineRule="auto"/>
      <w:jc w:val="left"/>
      <w:textAlignment w:val="auto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caption"/>
    <w:basedOn w:val="1"/>
    <w:next w:val="1"/>
    <w:unhideWhenUsed/>
    <w:qFormat/>
    <w:locked/>
    <w:uiPriority w:val="35"/>
    <w:rPr>
      <w:rFonts w:eastAsia="黑体" w:asciiTheme="majorHAnsi" w:hAnsiTheme="majorHAnsi" w:cstheme="majorBidi"/>
      <w:sz w:val="20"/>
    </w:rPr>
  </w:style>
  <w:style w:type="paragraph" w:styleId="5">
    <w:name w:val="annotation text"/>
    <w:basedOn w:val="1"/>
    <w:link w:val="25"/>
    <w:qFormat/>
    <w:uiPriority w:val="99"/>
    <w:pPr>
      <w:adjustRightInd/>
      <w:spacing w:line="240" w:lineRule="auto"/>
      <w:jc w:val="left"/>
      <w:textAlignment w:val="auto"/>
    </w:pPr>
    <w:rPr>
      <w:kern w:val="0"/>
      <w:sz w:val="20"/>
    </w:rPr>
  </w:style>
  <w:style w:type="paragraph" w:styleId="6">
    <w:name w:val="Body Text"/>
    <w:basedOn w:val="1"/>
    <w:link w:val="26"/>
    <w:qFormat/>
    <w:uiPriority w:val="99"/>
    <w:pPr>
      <w:adjustRightInd/>
      <w:spacing w:line="240" w:lineRule="auto"/>
      <w:textAlignment w:val="auto"/>
    </w:pPr>
    <w:rPr>
      <w:kern w:val="0"/>
      <w:sz w:val="20"/>
      <w:shd w:val="pct10" w:color="auto" w:fill="FFFFFF"/>
    </w:rPr>
  </w:style>
  <w:style w:type="paragraph" w:styleId="7">
    <w:name w:val="Plain Text"/>
    <w:basedOn w:val="1"/>
    <w:link w:val="52"/>
    <w:qFormat/>
    <w:uiPriority w:val="99"/>
    <w:pPr>
      <w:adjustRightInd/>
      <w:spacing w:line="240" w:lineRule="auto"/>
      <w:textAlignment w:val="auto"/>
    </w:pPr>
    <w:rPr>
      <w:rFonts w:ascii="宋体" w:hAnsi="Courier New"/>
      <w:szCs w:val="21"/>
    </w:rPr>
  </w:style>
  <w:style w:type="paragraph" w:styleId="8">
    <w:name w:val="Date"/>
    <w:basedOn w:val="1"/>
    <w:next w:val="1"/>
    <w:link w:val="27"/>
    <w:semiHidden/>
    <w:qFormat/>
    <w:uiPriority w:val="99"/>
    <w:pPr>
      <w:ind w:left="100" w:leftChars="2500"/>
    </w:pPr>
    <w:rPr>
      <w:kern w:val="0"/>
      <w:sz w:val="20"/>
    </w:rPr>
  </w:style>
  <w:style w:type="paragraph" w:styleId="9">
    <w:name w:val="Balloon Text"/>
    <w:basedOn w:val="1"/>
    <w:link w:val="28"/>
    <w:qFormat/>
    <w:uiPriority w:val="99"/>
    <w:pPr>
      <w:spacing w:line="240" w:lineRule="auto"/>
    </w:pPr>
    <w:rPr>
      <w:kern w:val="0"/>
      <w:sz w:val="18"/>
      <w:szCs w:val="18"/>
    </w:rPr>
  </w:style>
  <w:style w:type="paragraph" w:styleId="10">
    <w:name w:val="footer"/>
    <w:basedOn w:val="1"/>
    <w:link w:val="29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11">
    <w:name w:val="header"/>
    <w:basedOn w:val="1"/>
    <w:link w:val="3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  <w:style w:type="paragraph" w:styleId="12">
    <w:name w:val="HTML Preformatted"/>
    <w:basedOn w:val="1"/>
    <w:link w:val="31"/>
    <w:qFormat/>
    <w:uiPriority w:val="99"/>
    <w:pPr>
      <w:adjustRightInd/>
      <w:spacing w:line="240" w:lineRule="auto"/>
      <w:textAlignment w:val="auto"/>
    </w:pPr>
    <w:rPr>
      <w:rFonts w:ascii="Courier New" w:hAnsi="Courier New"/>
      <w:kern w:val="0"/>
      <w:sz w:val="20"/>
    </w:rPr>
  </w:style>
  <w:style w:type="paragraph" w:styleId="13">
    <w:name w:val="Title"/>
    <w:basedOn w:val="1"/>
    <w:link w:val="32"/>
    <w:qFormat/>
    <w:uiPriority w:val="99"/>
    <w:pPr>
      <w:adjustRightInd/>
      <w:spacing w:line="240" w:lineRule="auto"/>
      <w:jc w:val="center"/>
      <w:textAlignment w:val="auto"/>
    </w:pPr>
    <w:rPr>
      <w:b/>
      <w:kern w:val="0"/>
      <w:sz w:val="20"/>
    </w:rPr>
  </w:style>
  <w:style w:type="paragraph" w:styleId="14">
    <w:name w:val="annotation subject"/>
    <w:basedOn w:val="5"/>
    <w:next w:val="5"/>
    <w:link w:val="51"/>
    <w:semiHidden/>
    <w:qFormat/>
    <w:uiPriority w:val="99"/>
    <w:pPr>
      <w:adjustRightInd w:val="0"/>
      <w:spacing w:line="360" w:lineRule="auto"/>
      <w:textAlignment w:val="baseline"/>
    </w:pPr>
    <w:rPr>
      <w:b/>
      <w:bCs/>
    </w:rPr>
  </w:style>
  <w:style w:type="table" w:styleId="16">
    <w:name w:val="Table Grid"/>
    <w:basedOn w:val="15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17">
    <w:name w:val="Table Simple 1"/>
    <w:basedOn w:val="15"/>
    <w:qFormat/>
    <w:uiPriority w:val="99"/>
    <w:pPr>
      <w:widowControl w:val="0"/>
      <w:autoSpaceDE w:val="0"/>
      <w:autoSpaceDN w:val="0"/>
      <w:adjustRightInd w:val="0"/>
    </w:pPr>
    <w:tblPr>
      <w:tblBorders>
        <w:top w:val="single" w:color="008000" w:sz="12" w:space="0"/>
        <w:bottom w:val="single" w:color="008000" w:sz="12" w:space="0"/>
      </w:tblBorders>
    </w:tblPr>
    <w:tblStylePr w:type="firstRow">
      <w:rPr>
        <w:rFonts w:cs="Times New Roman"/>
      </w:rPr>
      <w:tblPr/>
      <w:tcPr>
        <w:tcBorders>
          <w:bottom w:val="single" w:color="008000" w:sz="6" w:space="0"/>
          <w:tl2br w:val="nil"/>
          <w:tr2bl w:val="nil"/>
        </w:tcBorders>
      </w:tcPr>
    </w:tblStylePr>
    <w:tblStylePr w:type="lastRow">
      <w:rPr>
        <w:rFonts w:cs="Times New Roman"/>
      </w:rPr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character" w:styleId="19">
    <w:name w:val="page number"/>
    <w:basedOn w:val="18"/>
    <w:qFormat/>
    <w:uiPriority w:val="99"/>
    <w:rPr>
      <w:rFonts w:cs="Times New Roman"/>
    </w:rPr>
  </w:style>
  <w:style w:type="character" w:styleId="20">
    <w:name w:val="Emphasis"/>
    <w:basedOn w:val="18"/>
    <w:qFormat/>
    <w:uiPriority w:val="99"/>
    <w:rPr>
      <w:rFonts w:cs="Times New Roman"/>
      <w:i/>
    </w:rPr>
  </w:style>
  <w:style w:type="character" w:styleId="21">
    <w:name w:val="Hyperlink"/>
    <w:basedOn w:val="18"/>
    <w:qFormat/>
    <w:uiPriority w:val="99"/>
    <w:rPr>
      <w:rFonts w:cs="Times New Roman"/>
      <w:color w:val="0000CC"/>
      <w:u w:val="single"/>
    </w:rPr>
  </w:style>
  <w:style w:type="character" w:styleId="22">
    <w:name w:val="annotation reference"/>
    <w:basedOn w:val="18"/>
    <w:semiHidden/>
    <w:qFormat/>
    <w:uiPriority w:val="99"/>
    <w:rPr>
      <w:rFonts w:cs="Times New Roman"/>
      <w:sz w:val="21"/>
    </w:rPr>
  </w:style>
  <w:style w:type="character" w:customStyle="1" w:styleId="23">
    <w:name w:val="标题 1 字符"/>
    <w:basedOn w:val="18"/>
    <w:link w:val="2"/>
    <w:qFormat/>
    <w:locked/>
    <w:uiPriority w:val="99"/>
    <w:rPr>
      <w:rFonts w:ascii="Times New Roman" w:hAnsi="Times New Roman" w:eastAsia="宋体"/>
      <w:sz w:val="20"/>
    </w:rPr>
  </w:style>
  <w:style w:type="character" w:customStyle="1" w:styleId="24">
    <w:name w:val="标题 3 字符"/>
    <w:basedOn w:val="18"/>
    <w:link w:val="3"/>
    <w:qFormat/>
    <w:locked/>
    <w:uiPriority w:val="99"/>
    <w:rPr>
      <w:rFonts w:ascii="宋体" w:hAnsi="宋体" w:eastAsia="宋体"/>
      <w:b/>
      <w:kern w:val="0"/>
      <w:sz w:val="27"/>
    </w:rPr>
  </w:style>
  <w:style w:type="character" w:customStyle="1" w:styleId="25">
    <w:name w:val="批注文字 字符"/>
    <w:basedOn w:val="18"/>
    <w:link w:val="5"/>
    <w:qFormat/>
    <w:locked/>
    <w:uiPriority w:val="99"/>
    <w:rPr>
      <w:rFonts w:ascii="Times New Roman" w:hAnsi="Times New Roman" w:eastAsia="宋体"/>
      <w:sz w:val="20"/>
    </w:rPr>
  </w:style>
  <w:style w:type="character" w:customStyle="1" w:styleId="26">
    <w:name w:val="正文文本 字符"/>
    <w:basedOn w:val="18"/>
    <w:link w:val="6"/>
    <w:qFormat/>
    <w:locked/>
    <w:uiPriority w:val="99"/>
    <w:rPr>
      <w:rFonts w:ascii="Times New Roman" w:hAnsi="Times New Roman" w:eastAsia="宋体"/>
      <w:sz w:val="20"/>
    </w:rPr>
  </w:style>
  <w:style w:type="character" w:customStyle="1" w:styleId="27">
    <w:name w:val="日期 字符"/>
    <w:basedOn w:val="18"/>
    <w:link w:val="8"/>
    <w:semiHidden/>
    <w:qFormat/>
    <w:locked/>
    <w:uiPriority w:val="99"/>
    <w:rPr>
      <w:rFonts w:ascii="Times New Roman" w:hAnsi="Times New Roman" w:eastAsia="宋体"/>
      <w:sz w:val="20"/>
    </w:rPr>
  </w:style>
  <w:style w:type="character" w:customStyle="1" w:styleId="28">
    <w:name w:val="批注框文本 字符"/>
    <w:basedOn w:val="18"/>
    <w:link w:val="9"/>
    <w:qFormat/>
    <w:locked/>
    <w:uiPriority w:val="99"/>
    <w:rPr>
      <w:rFonts w:ascii="Times New Roman" w:hAnsi="Times New Roman" w:eastAsia="宋体"/>
      <w:sz w:val="18"/>
    </w:rPr>
  </w:style>
  <w:style w:type="character" w:customStyle="1" w:styleId="29">
    <w:name w:val="页脚 字符"/>
    <w:basedOn w:val="18"/>
    <w:link w:val="10"/>
    <w:qFormat/>
    <w:locked/>
    <w:uiPriority w:val="99"/>
    <w:rPr>
      <w:sz w:val="18"/>
    </w:rPr>
  </w:style>
  <w:style w:type="character" w:customStyle="1" w:styleId="30">
    <w:name w:val="页眉 字符"/>
    <w:basedOn w:val="18"/>
    <w:link w:val="11"/>
    <w:qFormat/>
    <w:locked/>
    <w:uiPriority w:val="99"/>
    <w:rPr>
      <w:sz w:val="18"/>
    </w:rPr>
  </w:style>
  <w:style w:type="character" w:customStyle="1" w:styleId="31">
    <w:name w:val="HTML 预设格式 字符"/>
    <w:basedOn w:val="18"/>
    <w:link w:val="12"/>
    <w:qFormat/>
    <w:locked/>
    <w:uiPriority w:val="99"/>
    <w:rPr>
      <w:rFonts w:ascii="Courier New" w:hAnsi="Courier New" w:eastAsia="宋体"/>
      <w:sz w:val="20"/>
    </w:rPr>
  </w:style>
  <w:style w:type="character" w:customStyle="1" w:styleId="32">
    <w:name w:val="标题 字符"/>
    <w:basedOn w:val="18"/>
    <w:link w:val="13"/>
    <w:qFormat/>
    <w:locked/>
    <w:uiPriority w:val="99"/>
    <w:rPr>
      <w:rFonts w:ascii="Times New Roman" w:hAnsi="Times New Roman" w:eastAsia="宋体"/>
      <w:b/>
      <w:sz w:val="20"/>
    </w:rPr>
  </w:style>
  <w:style w:type="character" w:customStyle="1" w:styleId="33">
    <w:name w:val="trans"/>
    <w:qFormat/>
    <w:uiPriority w:val="99"/>
  </w:style>
  <w:style w:type="paragraph" w:customStyle="1" w:styleId="34">
    <w:name w:val="附录标识"/>
    <w:basedOn w:val="1"/>
    <w:qFormat/>
    <w:uiPriority w:val="99"/>
    <w:pPr>
      <w:widowControl/>
      <w:numPr>
        <w:ilvl w:val="0"/>
        <w:numId w:val="1"/>
      </w:numPr>
      <w:shd w:val="clear" w:color="FFFFFF" w:fill="FFFFFF"/>
      <w:tabs>
        <w:tab w:val="left" w:pos="6405"/>
      </w:tabs>
      <w:adjustRightInd/>
      <w:spacing w:before="640" w:after="200" w:line="240" w:lineRule="auto"/>
      <w:jc w:val="center"/>
      <w:textAlignment w:val="auto"/>
      <w:outlineLvl w:val="0"/>
    </w:pPr>
    <w:rPr>
      <w:rFonts w:ascii="黑体" w:eastAsia="黑体"/>
      <w:kern w:val="0"/>
    </w:rPr>
  </w:style>
  <w:style w:type="paragraph" w:customStyle="1" w:styleId="35">
    <w:name w:val="附录章标题"/>
    <w:next w:val="1"/>
    <w:link w:val="42"/>
    <w:qFormat/>
    <w:uiPriority w:val="99"/>
    <w:pPr>
      <w:numPr>
        <w:ilvl w:val="1"/>
        <w:numId w:val="1"/>
      </w:numPr>
      <w:wordWrap w:val="0"/>
      <w:overflowPunct w:val="0"/>
      <w:autoSpaceDE w:val="0"/>
      <w:spacing w:beforeLines="50" w:afterLines="50"/>
      <w:jc w:val="both"/>
      <w:textAlignment w:val="baseline"/>
      <w:outlineLvl w:val="1"/>
    </w:pPr>
    <w:rPr>
      <w:rFonts w:ascii="黑体" w:hAnsi="Times New Roman" w:eastAsia="黑体" w:cs="Times New Roman"/>
      <w:kern w:val="21"/>
      <w:sz w:val="22"/>
      <w:szCs w:val="22"/>
      <w:lang w:val="en-US" w:eastAsia="zh-CN" w:bidi="ar-SA"/>
    </w:rPr>
  </w:style>
  <w:style w:type="paragraph" w:customStyle="1" w:styleId="36">
    <w:name w:val="附录一级条标题"/>
    <w:basedOn w:val="35"/>
    <w:next w:val="1"/>
    <w:link w:val="41"/>
    <w:qFormat/>
    <w:uiPriority w:val="99"/>
    <w:pPr>
      <w:numPr>
        <w:ilvl w:val="2"/>
      </w:numPr>
      <w:autoSpaceDN w:val="0"/>
      <w:spacing w:beforeLines="0" w:afterLines="0"/>
      <w:outlineLvl w:val="2"/>
    </w:pPr>
    <w:rPr>
      <w:sz w:val="20"/>
    </w:rPr>
  </w:style>
  <w:style w:type="paragraph" w:customStyle="1" w:styleId="37">
    <w:name w:val="附录二级条标题"/>
    <w:basedOn w:val="36"/>
    <w:next w:val="1"/>
    <w:qFormat/>
    <w:uiPriority w:val="99"/>
    <w:pPr>
      <w:numPr>
        <w:ilvl w:val="3"/>
      </w:numPr>
      <w:tabs>
        <w:tab w:val="left" w:pos="360"/>
      </w:tabs>
      <w:ind w:left="0"/>
      <w:outlineLvl w:val="3"/>
    </w:pPr>
  </w:style>
  <w:style w:type="paragraph" w:customStyle="1" w:styleId="38">
    <w:name w:val="附录三级条标题"/>
    <w:basedOn w:val="37"/>
    <w:next w:val="1"/>
    <w:qFormat/>
    <w:uiPriority w:val="99"/>
    <w:pPr>
      <w:numPr>
        <w:ilvl w:val="4"/>
      </w:numPr>
      <w:outlineLvl w:val="4"/>
    </w:pPr>
  </w:style>
  <w:style w:type="paragraph" w:customStyle="1" w:styleId="39">
    <w:name w:val="附录四级条标题"/>
    <w:basedOn w:val="38"/>
    <w:next w:val="1"/>
    <w:qFormat/>
    <w:uiPriority w:val="99"/>
    <w:pPr>
      <w:numPr>
        <w:ilvl w:val="5"/>
      </w:numPr>
      <w:outlineLvl w:val="5"/>
    </w:pPr>
  </w:style>
  <w:style w:type="paragraph" w:customStyle="1" w:styleId="40">
    <w:name w:val="附录五级条标题"/>
    <w:basedOn w:val="39"/>
    <w:next w:val="1"/>
    <w:qFormat/>
    <w:uiPriority w:val="99"/>
    <w:pPr>
      <w:numPr>
        <w:ilvl w:val="6"/>
      </w:numPr>
      <w:outlineLvl w:val="6"/>
    </w:pPr>
  </w:style>
  <w:style w:type="character" w:customStyle="1" w:styleId="41">
    <w:name w:val="附录一级条标题 Char"/>
    <w:link w:val="36"/>
    <w:qFormat/>
    <w:locked/>
    <w:uiPriority w:val="99"/>
    <w:rPr>
      <w:rFonts w:ascii="黑体" w:hAnsi="Times New Roman" w:eastAsia="黑体"/>
      <w:kern w:val="21"/>
    </w:rPr>
  </w:style>
  <w:style w:type="character" w:customStyle="1" w:styleId="42">
    <w:name w:val="附录章标题 Char"/>
    <w:link w:val="35"/>
    <w:qFormat/>
    <w:locked/>
    <w:uiPriority w:val="99"/>
    <w:rPr>
      <w:rFonts w:ascii="黑体" w:hAnsi="Times New Roman" w:eastAsia="黑体"/>
      <w:kern w:val="21"/>
      <w:sz w:val="22"/>
      <w:szCs w:val="22"/>
      <w:lang w:bidi="ar-SA"/>
    </w:rPr>
  </w:style>
  <w:style w:type="paragraph" w:customStyle="1" w:styleId="43">
    <w:name w:val="列出段落1"/>
    <w:basedOn w:val="1"/>
    <w:qFormat/>
    <w:uiPriority w:val="99"/>
    <w:pPr>
      <w:adjustRightInd/>
      <w:spacing w:line="240" w:lineRule="auto"/>
      <w:ind w:firstLine="420" w:firstLineChars="200"/>
      <w:textAlignment w:val="auto"/>
    </w:pPr>
    <w:rPr>
      <w:rFonts w:ascii="Calibri" w:hAnsi="Calibri"/>
      <w:szCs w:val="22"/>
    </w:rPr>
  </w:style>
  <w:style w:type="paragraph" w:customStyle="1" w:styleId="44">
    <w:name w:val="封面标准文稿类别"/>
    <w:qFormat/>
    <w:uiPriority w:val="99"/>
    <w:pPr>
      <w:spacing w:before="440" w:line="400" w:lineRule="exact"/>
      <w:jc w:val="center"/>
    </w:pPr>
    <w:rPr>
      <w:rFonts w:ascii="宋体" w:hAnsi="Times New Roman" w:eastAsia="宋体" w:cs="Times New Roman"/>
      <w:sz w:val="24"/>
      <w:lang w:val="en-US" w:eastAsia="zh-CN" w:bidi="ar-SA"/>
    </w:rPr>
  </w:style>
  <w:style w:type="paragraph" w:customStyle="1" w:styleId="45">
    <w:name w:val="段"/>
    <w:qFormat/>
    <w:uiPriority w:val="99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46">
    <w:name w:val="封面标准名称"/>
    <w:qFormat/>
    <w:uiPriority w:val="99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character" w:customStyle="1" w:styleId="47">
    <w:name w:val="apple-converted-space"/>
    <w:qFormat/>
    <w:uiPriority w:val="99"/>
  </w:style>
  <w:style w:type="table" w:customStyle="1" w:styleId="48">
    <w:name w:val="Table Normal1"/>
    <w:qFormat/>
    <w:uiPriority w:val="99"/>
    <w:pPr>
      <w:pBdr>
        <w:top w:val="none" w:color="FFFFFF" w:sz="0" w:space="31"/>
        <w:left w:val="none" w:color="FFFFFF" w:sz="0" w:space="31"/>
        <w:bottom w:val="none" w:color="FFFFFF" w:sz="0" w:space="31"/>
        <w:right w:val="none" w:color="FFFFFF" w:sz="0" w:space="31"/>
      </w:pBdr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9">
    <w:name w:val="正文 A"/>
    <w:qFormat/>
    <w:uiPriority w:val="99"/>
    <w:pPr>
      <w:widowControl w:val="0"/>
      <w:pBdr>
        <w:top w:val="none" w:color="FFFFFF" w:sz="0" w:space="31"/>
        <w:left w:val="none" w:color="FFFFFF" w:sz="0" w:space="31"/>
        <w:bottom w:val="none" w:color="FFFFFF" w:sz="0" w:space="31"/>
        <w:right w:val="none" w:color="FFFFFF" w:sz="0" w:space="31"/>
      </w:pBdr>
      <w:jc w:val="both"/>
    </w:pPr>
    <w:rPr>
      <w:rFonts w:ascii="Times New Roman" w:hAnsi="Times New Roman" w:eastAsia="Arial Unicode MS" w:cs="Arial Unicode MS"/>
      <w:color w:val="000000"/>
      <w:kern w:val="2"/>
      <w:sz w:val="21"/>
      <w:szCs w:val="21"/>
      <w:u w:color="000000"/>
      <w:lang w:val="en-US" w:eastAsia="zh-CN" w:bidi="ar-SA"/>
    </w:rPr>
  </w:style>
  <w:style w:type="character" w:customStyle="1" w:styleId="50">
    <w:name w:val="f14sb1"/>
    <w:qFormat/>
    <w:uiPriority w:val="99"/>
    <w:rPr>
      <w:rFonts w:ascii="Arial" w:hAnsi="Arial"/>
      <w:b/>
      <w:sz w:val="28"/>
    </w:rPr>
  </w:style>
  <w:style w:type="character" w:customStyle="1" w:styleId="51">
    <w:name w:val="批注主题 字符"/>
    <w:basedOn w:val="25"/>
    <w:link w:val="14"/>
    <w:semiHidden/>
    <w:qFormat/>
    <w:locked/>
    <w:uiPriority w:val="99"/>
    <w:rPr>
      <w:rFonts w:ascii="Times New Roman" w:hAnsi="Times New Roman" w:eastAsia="宋体"/>
      <w:b/>
      <w:kern w:val="2"/>
      <w:sz w:val="20"/>
    </w:rPr>
  </w:style>
  <w:style w:type="character" w:customStyle="1" w:styleId="52">
    <w:name w:val="纯文本 字符"/>
    <w:basedOn w:val="18"/>
    <w:link w:val="7"/>
    <w:qFormat/>
    <w:locked/>
    <w:uiPriority w:val="99"/>
    <w:rPr>
      <w:rFonts w:ascii="宋体" w:hAnsi="Courier New"/>
      <w:kern w:val="2"/>
      <w:sz w:val="21"/>
    </w:rPr>
  </w:style>
  <w:style w:type="paragraph" w:customStyle="1" w:styleId="53">
    <w:name w:val="二级条标题"/>
    <w:basedOn w:val="54"/>
    <w:next w:val="1"/>
    <w:qFormat/>
    <w:uiPriority w:val="0"/>
    <w:pPr>
      <w:numPr>
        <w:ilvl w:val="3"/>
      </w:numPr>
      <w:outlineLvl w:val="3"/>
    </w:pPr>
  </w:style>
  <w:style w:type="paragraph" w:customStyle="1" w:styleId="54">
    <w:name w:val="一级条标题"/>
    <w:basedOn w:val="55"/>
    <w:next w:val="1"/>
    <w:qFormat/>
    <w:uiPriority w:val="0"/>
    <w:pPr>
      <w:numPr>
        <w:ilvl w:val="2"/>
      </w:numPr>
      <w:outlineLvl w:val="2"/>
    </w:pPr>
    <w:rPr>
      <w:rFonts w:ascii="Times New Roman" w:eastAsia="宋体"/>
      <w:sz w:val="20"/>
    </w:rPr>
  </w:style>
  <w:style w:type="paragraph" w:customStyle="1" w:styleId="55">
    <w:name w:val="章标题"/>
    <w:next w:val="45"/>
    <w:qFormat/>
    <w:uiPriority w:val="0"/>
    <w:pPr>
      <w:numPr>
        <w:ilvl w:val="1"/>
        <w:numId w:val="2"/>
      </w:numPr>
      <w:spacing w:before="156" w:beforeLines="50" w:after="156" w:afterLines="50"/>
      <w:ind w:left="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56">
    <w:name w:val="一级无"/>
    <w:basedOn w:val="54"/>
    <w:qFormat/>
    <w:uiPriority w:val="0"/>
    <w:pPr>
      <w:spacing w:beforeLines="0" w:afterLines="0"/>
    </w:pPr>
    <w:rPr>
      <w:rFonts w:ascii="宋体"/>
    </w:rPr>
  </w:style>
  <w:style w:type="paragraph" w:customStyle="1" w:styleId="57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58">
    <w:name w:val="修订2"/>
    <w:hidden/>
    <w:semiHidden/>
    <w:qFormat/>
    <w:uiPriority w:val="99"/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59">
    <w:name w:val="标准文件_段"/>
    <w:link w:val="60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60">
    <w:name w:val="标准文件_段 Char"/>
    <w:link w:val="59"/>
    <w:qFormat/>
    <w:uiPriority w:val="0"/>
    <w:rPr>
      <w:rFonts w:ascii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2" Type="http://schemas.openxmlformats.org/officeDocument/2006/relationships/fontTable" Target="fontTable.xml"/><Relationship Id="rId51" Type="http://schemas.openxmlformats.org/officeDocument/2006/relationships/customXml" Target="../customXml/item1.xml"/><Relationship Id="rId50" Type="http://schemas.openxmlformats.org/officeDocument/2006/relationships/numbering" Target="numbering.xml"/><Relationship Id="rId5" Type="http://schemas.openxmlformats.org/officeDocument/2006/relationships/footer" Target="footer1.xml"/><Relationship Id="rId49" Type="http://schemas.openxmlformats.org/officeDocument/2006/relationships/image" Target="media/image39.png"/><Relationship Id="rId48" Type="http://schemas.openxmlformats.org/officeDocument/2006/relationships/image" Target="media/image38.png"/><Relationship Id="rId47" Type="http://schemas.openxmlformats.org/officeDocument/2006/relationships/image" Target="media/image37.png"/><Relationship Id="rId46" Type="http://schemas.openxmlformats.org/officeDocument/2006/relationships/image" Target="media/image36.png"/><Relationship Id="rId45" Type="http://schemas.openxmlformats.org/officeDocument/2006/relationships/image" Target="media/image35.png"/><Relationship Id="rId44" Type="http://schemas.openxmlformats.org/officeDocument/2006/relationships/image" Target="media/image34.png"/><Relationship Id="rId43" Type="http://schemas.openxmlformats.org/officeDocument/2006/relationships/image" Target="media/image33.png"/><Relationship Id="rId42" Type="http://schemas.openxmlformats.org/officeDocument/2006/relationships/image" Target="media/image32.png"/><Relationship Id="rId41" Type="http://schemas.openxmlformats.org/officeDocument/2006/relationships/image" Target="media/image31.png"/><Relationship Id="rId40" Type="http://schemas.openxmlformats.org/officeDocument/2006/relationships/image" Target="media/image30.png"/><Relationship Id="rId4" Type="http://schemas.openxmlformats.org/officeDocument/2006/relationships/endnotes" Target="endnotes.xml"/><Relationship Id="rId39" Type="http://schemas.openxmlformats.org/officeDocument/2006/relationships/image" Target="media/image29.png"/><Relationship Id="rId38" Type="http://schemas.openxmlformats.org/officeDocument/2006/relationships/image" Target="media/image28.png"/><Relationship Id="rId37" Type="http://schemas.openxmlformats.org/officeDocument/2006/relationships/image" Target="media/image27.png"/><Relationship Id="rId36" Type="http://schemas.openxmlformats.org/officeDocument/2006/relationships/image" Target="media/image26.png"/><Relationship Id="rId35" Type="http://schemas.openxmlformats.org/officeDocument/2006/relationships/image" Target="media/image25.png"/><Relationship Id="rId34" Type="http://schemas.openxmlformats.org/officeDocument/2006/relationships/image" Target="media/image24.png"/><Relationship Id="rId33" Type="http://schemas.openxmlformats.org/officeDocument/2006/relationships/image" Target="media/image23.png"/><Relationship Id="rId32" Type="http://schemas.openxmlformats.org/officeDocument/2006/relationships/image" Target="media/image22.png"/><Relationship Id="rId31" Type="http://schemas.openxmlformats.org/officeDocument/2006/relationships/image" Target="media/image21.png"/><Relationship Id="rId30" Type="http://schemas.openxmlformats.org/officeDocument/2006/relationships/image" Target="media/image20.png"/><Relationship Id="rId3" Type="http://schemas.openxmlformats.org/officeDocument/2006/relationships/footnotes" Target="footnotes.xml"/><Relationship Id="rId29" Type="http://schemas.openxmlformats.org/officeDocument/2006/relationships/image" Target="media/image19.png"/><Relationship Id="rId28" Type="http://schemas.openxmlformats.org/officeDocument/2006/relationships/image" Target="media/image18.png"/><Relationship Id="rId27" Type="http://schemas.openxmlformats.org/officeDocument/2006/relationships/image" Target="media/image17.png"/><Relationship Id="rId26" Type="http://schemas.openxmlformats.org/officeDocument/2006/relationships/image" Target="media/image16.png"/><Relationship Id="rId25" Type="http://schemas.openxmlformats.org/officeDocument/2006/relationships/image" Target="media/image15.png"/><Relationship Id="rId24" Type="http://schemas.openxmlformats.org/officeDocument/2006/relationships/image" Target="media/image14.png"/><Relationship Id="rId23" Type="http://schemas.openxmlformats.org/officeDocument/2006/relationships/image" Target="media/image13.png"/><Relationship Id="rId22" Type="http://schemas.openxmlformats.org/officeDocument/2006/relationships/image" Target="media/image12.wmf"/><Relationship Id="rId21" Type="http://schemas.openxmlformats.org/officeDocument/2006/relationships/oleObject" Target="embeddings/oleObject2.bin"/><Relationship Id="rId20" Type="http://schemas.openxmlformats.org/officeDocument/2006/relationships/chart" Target="charts/chart1.xml"/><Relationship Id="rId2" Type="http://schemas.openxmlformats.org/officeDocument/2006/relationships/settings" Target="settings.xml"/><Relationship Id="rId19" Type="http://schemas.openxmlformats.org/officeDocument/2006/relationships/image" Target="media/image11.wmf"/><Relationship Id="rId18" Type="http://schemas.openxmlformats.org/officeDocument/2006/relationships/oleObject" Target="embeddings/oleObject1.bin"/><Relationship Id="rId17" Type="http://schemas.openxmlformats.org/officeDocument/2006/relationships/image" Target="media/image10.png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D:\&#24037;&#20316;\&#26893;&#29289;&#25552;&#21462;&#29289;&#22242;&#20307;&#21830;&#21153;&#26631;&#20934;\&#26893;&#29289;&#25552;&#21462;&#29289;&#22242;&#20307;&#21830;&#21153;&#26631;&#20934;2023\&#26816;&#27979;&#32467;&#26524;&#3492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zh-CN" altLang="en-US"/>
              <a:t>常春藤苷</a:t>
            </a:r>
            <a:r>
              <a:rPr lang="en-US" altLang="zh-CN"/>
              <a:t>C</a:t>
            </a:r>
            <a:r>
              <a:rPr lang="zh-CN" altLang="en-US"/>
              <a:t>标准曲线</a:t>
            </a:r>
            <a:endParaRPr lang="zh-CN"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delete val="1"/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1"/>
            <c:dispEq val="1"/>
            <c:trendlineLbl>
              <c:layout/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lang="zh-CN" sz="9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</c:trendlineLbl>
          </c:trendline>
          <c:xVal>
            <c:numRef>
              <c:f>Sheet1!$D$7:$I$7</c:f>
              <c:numCache>
                <c:formatCode>General</c:formatCode>
                <c:ptCount val="6"/>
                <c:pt idx="0">
                  <c:v>41</c:v>
                </c:pt>
                <c:pt idx="1">
                  <c:v>81.99</c:v>
                </c:pt>
                <c:pt idx="2">
                  <c:v>163.99</c:v>
                </c:pt>
                <c:pt idx="3">
                  <c:v>245.98</c:v>
                </c:pt>
                <c:pt idx="4">
                  <c:v>327.97</c:v>
                </c:pt>
                <c:pt idx="5">
                  <c:v>409.97</c:v>
                </c:pt>
              </c:numCache>
            </c:numRef>
          </c:xVal>
          <c:yVal>
            <c:numRef>
              <c:f>Sheet1!$D$6:$I$6</c:f>
              <c:numCache>
                <c:formatCode>General</c:formatCode>
                <c:ptCount val="6"/>
                <c:pt idx="0">
                  <c:v>257.858</c:v>
                </c:pt>
                <c:pt idx="1">
                  <c:v>516.621</c:v>
                </c:pt>
                <c:pt idx="2">
                  <c:v>1031.0935</c:v>
                </c:pt>
                <c:pt idx="3">
                  <c:v>1553.128</c:v>
                </c:pt>
                <c:pt idx="4">
                  <c:v>2066.7755</c:v>
                </c:pt>
                <c:pt idx="5">
                  <c:v>2588.2915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68542704"/>
        <c:axId val="168553264"/>
      </c:scatterChart>
      <c:valAx>
        <c:axId val="168542704"/>
        <c:scaling>
          <c:orientation val="minMax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68553264"/>
        <c:crosses val="autoZero"/>
        <c:crossBetween val="midCat"/>
      </c:valAx>
      <c:valAx>
        <c:axId val="168553264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6854270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uri="{0b15fc19-7d7d-44ad-8c2d-2c3a37ce22c3}">
        <chartProps xmlns="https://web.wps.cn/et/2018/main" chartId="{e9e322d4-d0e7-40b2-a737-5ae619a84027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A4809-9FAE-4037-8577-EF0D74F7DAD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28</Pages>
  <Words>5410</Words>
  <Characters>7793</Characters>
  <Lines>106</Lines>
  <Paragraphs>29</Paragraphs>
  <TotalTime>1</TotalTime>
  <ScaleCrop>false</ScaleCrop>
  <LinksUpToDate>false</LinksUpToDate>
  <CharactersWithSpaces>8033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2023-05-11T03:18:00Z</dcterms:created>
  <dc:creator>TY_YY</dc:creator>
  <cp:lastModifiedBy>一笑而过</cp:lastModifiedBy>
  <cp:lastPrinted>2021-02-01T00:55:00Z</cp:lastPrinted>
  <dcterms:modified xsi:type="dcterms:W3CDTF">2026-05-09T08:55:45Z</dcterms:modified>
  <cp:revision>210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81A4B4AB14D74775B2B2AEBC2B58F499</vt:lpwstr>
  </property>
  <property fmtid="{D5CDD505-2E9C-101B-9397-08002B2CF9AE}" pid="4" name="KSOTemplateDocerSaveRecord">
    <vt:lpwstr>eyJoZGlkIjoiOGE3MGIxMjYyMDVkOTdmNDBjMDhhNTE5NTE1ZTdmOGUiLCJ1c2VySWQiOiIzNTA0ODA4MzEifQ==</vt:lpwstr>
  </property>
</Properties>
</file>