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05AE6F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54EB8F55">
            <w:pPr>
              <w:pStyle w:val="18"/>
              <w:framePr w:wrap="notBeside" w:vAnchor="page" w:hAnchor="page" w:x="1372" w:y="568"/>
              <w:tabs>
                <w:tab w:val="clear" w:pos="4153"/>
                <w:tab w:val="clear" w:pos="8306"/>
              </w:tabs>
              <w:spacing w:line="240" w:lineRule="auto"/>
              <w:jc w:val="left"/>
              <w:rPr>
                <w:rFonts w:hint="eastAsia" w:ascii="黑体" w:hAnsi="黑体" w:eastAsia="黑体"/>
                <w:sz w:val="21"/>
                <w:szCs w:val="21"/>
              </w:rPr>
            </w:pPr>
            <w:r>
              <w:rPr>
                <w:rFonts w:ascii="Times New Roman" w:hAnsi="Times New Roman" w:eastAsia="黑体"/>
                <w:sz w:val="21"/>
                <w:szCs w:val="21"/>
              </w:rPr>
              <w:t>ICS</w:t>
            </w:r>
            <w:r>
              <w:rPr>
                <w:rFonts w:ascii="黑体" w:hAnsi="黑体" w:eastAsia="黑体"/>
                <w:sz w:val="21"/>
                <w:szCs w:val="21"/>
              </w:rPr>
              <w:t xml:space="preserve">  </w:t>
            </w:r>
          </w:p>
        </w:tc>
        <w:tc>
          <w:tcPr>
            <w:tcW w:w="8855" w:type="dxa"/>
          </w:tcPr>
          <w:p w14:paraId="6BE685F8">
            <w:pPr>
              <w:pStyle w:val="18"/>
              <w:framePr w:wrap="notBeside" w:vAnchor="page" w:hAnchor="page" w:x="1372" w:y="568"/>
              <w:tabs>
                <w:tab w:val="clear" w:pos="4153"/>
                <w:tab w:val="clear" w:pos="8306"/>
              </w:tabs>
              <w:spacing w:line="240" w:lineRule="auto"/>
              <w:jc w:val="both"/>
              <w:rPr>
                <w:rFonts w:hint="eastAsia" w:ascii="黑体" w:hAnsi="黑体" w:eastAsia="黑体"/>
                <w:sz w:val="21"/>
                <w:szCs w:val="21"/>
              </w:rPr>
            </w:pPr>
            <w:r>
              <w:rPr>
                <w:rFonts w:ascii="黑体" w:hAnsi="黑体" w:eastAsia="黑体"/>
                <w:sz w:val="21"/>
                <w:szCs w:val="21"/>
              </w:rPr>
              <w:fldChar w:fldCharType="begin">
                <w:ffData>
                  <w:name w:val="ICS"/>
                  <w:enabled/>
                  <w:calcOnExit w:val="0"/>
                  <w:textInput>
                    <w:default w:val="点击此处添加ICS号"/>
                  </w:textInput>
                </w:ffData>
              </w:fldChar>
            </w:r>
            <w:bookmarkStart w:id="0" w:name="ICS"/>
            <w:r>
              <w:rPr>
                <w:rFonts w:ascii="黑体" w:hAnsi="黑体" w:eastAsia="黑体"/>
                <w:sz w:val="21"/>
                <w:szCs w:val="21"/>
              </w:rPr>
              <w:instrText xml:space="preserve"> FORMTEXT </w:instrText>
            </w:r>
            <w:r>
              <w:rPr>
                <w:rFonts w:ascii="黑体" w:hAnsi="黑体" w:eastAsia="黑体"/>
                <w:sz w:val="21"/>
                <w:szCs w:val="21"/>
              </w:rPr>
              <w:fldChar w:fldCharType="separate"/>
            </w:r>
            <w:r>
              <w:rPr>
                <w:rFonts w:ascii="黑体" w:hAnsi="黑体" w:eastAsia="黑体"/>
                <w:sz w:val="21"/>
                <w:szCs w:val="21"/>
              </w:rPr>
              <w:t>11.120</w:t>
            </w:r>
            <w:r>
              <w:rPr>
                <w:rFonts w:ascii="黑体" w:hAnsi="黑体" w:eastAsia="黑体"/>
                <w:sz w:val="21"/>
                <w:szCs w:val="21"/>
              </w:rPr>
              <w:fldChar w:fldCharType="end"/>
            </w:r>
            <w:bookmarkEnd w:id="0"/>
          </w:p>
        </w:tc>
      </w:tr>
      <w:tr w14:paraId="27C673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100AD7D0">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Times New Roman" w:hAnsi="Times New Roman" w:eastAsia="黑体"/>
                <w:sz w:val="21"/>
                <w:szCs w:val="21"/>
              </w:rPr>
              <w:t xml:space="preserve">CCS </w:t>
            </w:r>
            <w:r>
              <w:rPr>
                <w:rFonts w:ascii="黑体" w:hAnsi="黑体" w:eastAsia="黑体"/>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0089B579">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0B06020F">
                  <w:pPr>
                    <w:pStyle w:val="49"/>
                    <w:framePr w:wrap="notBeside" w:vAnchor="page" w:hAnchor="page" w:x="1372" w:y="568"/>
                    <w:ind w:left="420" w:right="624"/>
                    <w:rPr>
                      <w:rFonts w:hint="eastAsia" w:ascii="宋体" w:hAnsi="宋体"/>
                      <w:sz w:val="28"/>
                      <w:szCs w:val="28"/>
                    </w:rPr>
                  </w:pPr>
                </w:p>
              </w:tc>
            </w:tr>
          </w:tbl>
          <w:p w14:paraId="3E038307">
            <w:pPr>
              <w:pStyle w:val="18"/>
              <w:framePr w:wrap="notBeside" w:vAnchor="page" w:hAnchor="page" w:x="1372" w:y="568"/>
              <w:tabs>
                <w:tab w:val="clear" w:pos="4153"/>
                <w:tab w:val="clear" w:pos="8306"/>
              </w:tabs>
              <w:spacing w:before="40" w:line="240" w:lineRule="auto"/>
              <w:jc w:val="left"/>
              <w:rPr>
                <w:rFonts w:hint="eastAsia" w:ascii="黑体" w:hAnsi="黑体" w:eastAsia="黑体"/>
                <w:sz w:val="21"/>
                <w:szCs w:val="21"/>
              </w:rPr>
            </w:pPr>
            <w:r>
              <w:rPr>
                <w:rFonts w:ascii="黑体" w:hAnsi="黑体" w:eastAsia="黑体"/>
                <w:sz w:val="21"/>
                <w:szCs w:val="21"/>
              </w:rPr>
              <w:fldChar w:fldCharType="begin">
                <w:ffData>
                  <w:name w:val="CSDN"/>
                  <w:enabled/>
                  <w:calcOnExit w:val="0"/>
                  <w:textInput>
                    <w:default w:val="点击此处添加CCS号"/>
                  </w:textInput>
                </w:ffData>
              </w:fldChar>
            </w:r>
            <w:bookmarkStart w:id="1" w:name="CSDN"/>
            <w:r>
              <w:rPr>
                <w:rFonts w:ascii="黑体" w:hAnsi="黑体" w:eastAsia="黑体"/>
                <w:sz w:val="21"/>
                <w:szCs w:val="21"/>
              </w:rPr>
              <w:instrText xml:space="preserve"> FORMTEXT </w:instrText>
            </w:r>
            <w:r>
              <w:rPr>
                <w:rFonts w:ascii="黑体" w:hAnsi="黑体" w:eastAsia="黑体"/>
                <w:sz w:val="21"/>
                <w:szCs w:val="21"/>
              </w:rPr>
              <w:fldChar w:fldCharType="separate"/>
            </w:r>
            <w:r>
              <w:rPr>
                <w:rFonts w:hint="eastAsia" w:ascii="黑体" w:hAnsi="黑体" w:eastAsia="黑体"/>
                <w:sz w:val="21"/>
                <w:szCs w:val="21"/>
              </w:rPr>
              <w:t>C</w:t>
            </w:r>
            <w:r>
              <w:rPr>
                <w:rFonts w:ascii="黑体" w:hAnsi="黑体" w:eastAsia="黑体"/>
                <w:sz w:val="21"/>
                <w:szCs w:val="21"/>
              </w:rPr>
              <w:t xml:space="preserve"> 25</w:t>
            </w:r>
            <w:r>
              <w:rPr>
                <w:rFonts w:ascii="黑体" w:hAnsi="黑体" w:eastAsia="黑体"/>
                <w:sz w:val="21"/>
                <w:szCs w:val="21"/>
              </w:rPr>
              <w:fldChar w:fldCharType="end"/>
            </w:r>
            <w:bookmarkEnd w:id="1"/>
          </w:p>
        </w:tc>
      </w:tr>
    </w:tbl>
    <w:p w14:paraId="034986D0">
      <w:pPr>
        <w:pStyle w:val="50"/>
        <w:framePr w:w="9639" w:h="624" w:hRule="exact" w:hSpace="181" w:vSpace="181" w:wrap="around" w:hAnchor="page" w:x="1305" w:y="2269"/>
        <w:rPr>
          <w:rFonts w:hint="eastAsia" w:ascii="黑体" w:hAnsi="黑体" w:eastAsia="黑体"/>
          <w:b w:val="0"/>
          <w:bCs w:val="0"/>
          <w:w w:val="100"/>
          <w:sz w:val="48"/>
          <w:szCs w:val="48"/>
        </w:rPr>
      </w:pPr>
      <w:bookmarkStart w:id="2" w:name="_Hlk26473981"/>
      <w:r>
        <w:rPr>
          <w:rFonts w:hint="eastAsia" w:ascii="黑体" w:eastAsia="黑体"/>
          <w:b w:val="0"/>
          <w:w w:val="100"/>
          <w:sz w:val="48"/>
        </w:rPr>
        <w:t>团体</w:t>
      </w:r>
      <w:r>
        <w:rPr>
          <w:rFonts w:hint="eastAsia" w:ascii="黑体" w:hAnsi="黑体" w:eastAsia="黑体"/>
          <w:b w:val="0"/>
          <w:bCs w:val="0"/>
          <w:w w:val="100"/>
          <w:sz w:val="48"/>
          <w:szCs w:val="48"/>
        </w:rPr>
        <w:t>标准</w:t>
      </w:r>
    </w:p>
    <w:bookmarkEnd w:id="2"/>
    <w:p w14:paraId="36C58B77">
      <w:pPr>
        <w:pStyle w:val="195"/>
      </w:pPr>
      <w:r>
        <w:t>T/</w:t>
      </w:r>
      <w:r>
        <w:fldChar w:fldCharType="begin">
          <w:ffData>
            <w:name w:val="文字1"/>
            <w:enabled/>
            <w:calcOnExit w:val="0"/>
            <w:textInput>
              <w:default w:val="XXX"/>
            </w:textInput>
          </w:ffData>
        </w:fldChar>
      </w:r>
      <w:bookmarkStart w:id="3" w:name="文字1"/>
      <w:r>
        <w:instrText xml:space="preserve"> FORMTEXT </w:instrText>
      </w:r>
      <w:r>
        <w:fldChar w:fldCharType="separate"/>
      </w:r>
      <w:r>
        <w:rPr>
          <w:rFonts w:hint="eastAsia"/>
        </w:rPr>
        <w:t>CCCMHPIE</w:t>
      </w:r>
      <w:r>
        <w:fldChar w:fldCharType="end"/>
      </w:r>
      <w:bookmarkEnd w:id="3"/>
      <w:r>
        <w:t xml:space="preserve"> </w:t>
      </w:r>
      <w:r>
        <w:fldChar w:fldCharType="begin">
          <w:ffData>
            <w:name w:val="NSTD_CODE_F"/>
            <w:enabled/>
            <w:calcOnExit w:val="0"/>
            <w:textInput>
              <w:default w:val="XXXX"/>
            </w:textInput>
          </w:ffData>
        </w:fldChar>
      </w:r>
      <w:bookmarkStart w:id="4" w:name="NSTD_CODE_F"/>
      <w:r>
        <w:instrText xml:space="preserve"> FORMTEXT </w:instrText>
      </w:r>
      <w:r>
        <w:fldChar w:fldCharType="separate"/>
      </w:r>
      <w:r>
        <w:t>1.</w:t>
      </w:r>
      <w:r>
        <w:rPr>
          <w:rFonts w:hint="eastAsia"/>
        </w:rPr>
        <w:t>XX</w:t>
      </w:r>
      <w:r>
        <w:fldChar w:fldCharType="end"/>
      </w:r>
      <w:bookmarkEnd w:id="4"/>
      <w:r>
        <w:rPr>
          <w:rFonts w:hAnsi="黑体"/>
        </w:rPr>
        <w:t>—</w:t>
      </w:r>
      <w:r>
        <w:fldChar w:fldCharType="begin">
          <w:ffData>
            <w:name w:val="NSTD_CODE_B"/>
            <w:enabled/>
            <w:calcOnExit w:val="0"/>
            <w:textInput>
              <w:default w:val="XXXX"/>
            </w:textInput>
          </w:ffData>
        </w:fldChar>
      </w:r>
      <w:bookmarkStart w:id="5" w:name="NSTD_CODE_B"/>
      <w:r>
        <w:instrText xml:space="preserve"> FORMTEXT </w:instrText>
      </w:r>
      <w:r>
        <w:fldChar w:fldCharType="separate"/>
      </w:r>
      <w:r>
        <w:t>202</w:t>
      </w:r>
      <w:r>
        <w:rPr>
          <w:rFonts w:hint="eastAsia"/>
        </w:rPr>
        <w:t>6</w:t>
      </w:r>
      <w:r>
        <w:fldChar w:fldCharType="end"/>
      </w:r>
      <w:bookmarkEnd w:id="5"/>
    </w:p>
    <w:p w14:paraId="53842D06">
      <w:pPr>
        <w:pStyle w:val="196"/>
        <w:rPr>
          <w:rFonts w:hint="eastAsia" w:hAnsi="黑体"/>
        </w:rPr>
      </w:pPr>
      <w:r>
        <w:rPr>
          <w:rFonts w:hAnsi="黑体"/>
        </w:rPr>
        <w:fldChar w:fldCharType="begin">
          <w:ffData>
            <w:name w:val="OSTD_CODE"/>
            <w:enabled/>
            <w:calcOnExit w:val="0"/>
            <w:textInput/>
          </w:ffData>
        </w:fldChar>
      </w:r>
      <w:bookmarkStart w:id="6" w:name="OSTD_CODE"/>
      <w:r>
        <w:rPr>
          <w:rFonts w:hAnsi="黑体"/>
        </w:rPr>
        <w:instrText xml:space="preserve"> FORMTEXT </w:instrText>
      </w:r>
      <w:r>
        <w:rPr>
          <w:rFonts w:hAnsi="黑体"/>
        </w:rPr>
        <w:fldChar w:fldCharType="separate"/>
      </w:r>
      <w:r>
        <w:rPr>
          <w:rFonts w:hAnsi="黑体"/>
        </w:rPr>
        <w:t>     </w:t>
      </w:r>
      <w:r>
        <w:rPr>
          <w:rFonts w:hAnsi="黑体"/>
        </w:rPr>
        <w:fldChar w:fldCharType="end"/>
      </w:r>
      <w:bookmarkEnd w:id="6"/>
    </w:p>
    <w:p w14:paraId="10C01307">
      <w:pPr>
        <w:spacing w:line="240" w:lineRule="auto"/>
        <w:rPr>
          <w:rFonts w:hint="eastAsia" w:ascii="黑体" w:hAnsi="黑体" w:eastAsia="黑体"/>
          <w:kern w:val="0"/>
          <w:sz w:val="10"/>
          <w:szCs w:val="10"/>
        </w:rPr>
      </w:pPr>
      <w:r>
        <w:rPr>
          <w:rFonts w:ascii="黑体" w:hAnsi="黑体" w:eastAsia="黑体"/>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33A6B0D6">
      <w:pPr>
        <w:pStyle w:val="50"/>
        <w:framePr w:w="9639" w:h="6976" w:hRule="exact" w:hSpace="0" w:vSpace="0" w:wrap="around" w:hAnchor="page" w:y="6408"/>
        <w:jc w:val="center"/>
        <w:rPr>
          <w:rFonts w:hint="eastAsia" w:ascii="黑体" w:hAnsi="黑体" w:eastAsia="黑体"/>
          <w:b w:val="0"/>
          <w:bCs w:val="0"/>
          <w:w w:val="100"/>
        </w:rPr>
      </w:pPr>
    </w:p>
    <w:p w14:paraId="1CDACB8D">
      <w:pPr>
        <w:pStyle w:val="197"/>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7" w:name="CSTD_NAME"/>
      <w:r>
        <w:instrText xml:space="preserve"> FORMTEXT </w:instrText>
      </w:r>
      <w:r>
        <w:fldChar w:fldCharType="separate"/>
      </w:r>
      <w:r>
        <w:t>植物提取物　</w:t>
      </w:r>
      <w:r>
        <w:rPr>
          <w:rFonts w:hint="eastAsia"/>
        </w:rPr>
        <w:t>洋常春藤</w:t>
      </w:r>
      <w:r>
        <w:t>提取物</w:t>
      </w:r>
      <w:r>
        <w:fldChar w:fldCharType="end"/>
      </w:r>
      <w:bookmarkEnd w:id="7"/>
    </w:p>
    <w:p w14:paraId="10BF907B">
      <w:pPr>
        <w:framePr w:w="9639" w:h="6974" w:hRule="exact" w:wrap="around" w:vAnchor="page" w:hAnchor="page" w:x="1419" w:y="6408" w:anchorLock="1"/>
        <w:ind w:left="-1418"/>
      </w:pPr>
    </w:p>
    <w:p w14:paraId="20167143">
      <w:pPr>
        <w:pStyle w:val="125"/>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8" w:name="ESTD_NAME"/>
      <w:r>
        <w:rPr>
          <w:rFonts w:eastAsia="黑体"/>
          <w:szCs w:val="28"/>
        </w:rPr>
        <w:instrText xml:space="preserve"> FORMTEXT </w:instrText>
      </w:r>
      <w:r>
        <w:rPr>
          <w:rFonts w:eastAsia="黑体"/>
          <w:szCs w:val="28"/>
        </w:rPr>
        <w:fldChar w:fldCharType="separate"/>
      </w:r>
      <w:r>
        <w:rPr>
          <w:rFonts w:eastAsia="黑体"/>
          <w:szCs w:val="28"/>
        </w:rPr>
        <w:t>Plant Extract——</w:t>
      </w:r>
      <w:r>
        <w:rPr>
          <w:rFonts w:hint="eastAsia" w:eastAsia="黑体"/>
          <w:szCs w:val="28"/>
        </w:rPr>
        <w:t>Ivy Leaf</w:t>
      </w:r>
      <w:r>
        <w:rPr>
          <w:rFonts w:eastAsia="黑体"/>
          <w:szCs w:val="28"/>
        </w:rPr>
        <w:t xml:space="preserve"> Extract</w:t>
      </w:r>
      <w:r>
        <w:rPr>
          <w:rFonts w:eastAsia="黑体"/>
          <w:szCs w:val="28"/>
        </w:rPr>
        <w:fldChar w:fldCharType="end"/>
      </w:r>
      <w:bookmarkEnd w:id="8"/>
    </w:p>
    <w:p w14:paraId="1803E21F">
      <w:pPr>
        <w:framePr w:w="9639" w:h="6974" w:hRule="exact" w:wrap="around" w:vAnchor="page" w:hAnchor="page" w:x="1419" w:y="6408" w:anchorLock="1"/>
        <w:spacing w:line="760" w:lineRule="exact"/>
        <w:ind w:left="-1418"/>
      </w:pPr>
    </w:p>
    <w:p w14:paraId="68067D60">
      <w:pPr>
        <w:pStyle w:val="125"/>
        <w:framePr w:w="9639" w:h="6974" w:hRule="exact" w:wrap="around" w:vAnchor="page" w:hAnchor="page" w:x="1419" w:y="6408" w:anchorLock="1"/>
        <w:textAlignment w:val="bottom"/>
        <w:rPr>
          <w:rFonts w:eastAsia="黑体"/>
          <w:szCs w:val="28"/>
        </w:rPr>
      </w:pPr>
    </w:p>
    <w:p w14:paraId="5C04BBF7">
      <w:pPr>
        <w:pStyle w:val="125"/>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9" w:name="下拉1"/>
      <w:r>
        <w:rPr>
          <w:sz w:val="24"/>
          <w:szCs w:val="28"/>
        </w:rPr>
        <w:instrText xml:space="preserve"> FORMDROPDOWN </w:instrText>
      </w:r>
      <w:r>
        <w:rPr>
          <w:sz w:val="24"/>
          <w:szCs w:val="28"/>
        </w:rPr>
        <w:fldChar w:fldCharType="separate"/>
      </w:r>
      <w:r>
        <w:rPr>
          <w:sz w:val="24"/>
          <w:szCs w:val="28"/>
        </w:rPr>
        <w:fldChar w:fldCharType="end"/>
      </w:r>
      <w:bookmarkEnd w:id="9"/>
    </w:p>
    <w:p w14:paraId="3CABE8BE">
      <w:pPr>
        <w:pStyle w:val="125"/>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0" w:name="CMPLSH_DATE"/>
      <w:r>
        <w:rPr>
          <w:sz w:val="21"/>
          <w:szCs w:val="28"/>
        </w:rPr>
        <w:instrText xml:space="preserve"> FORMTEXT </w:instrText>
      </w:r>
      <w:r>
        <w:rPr>
          <w:sz w:val="21"/>
          <w:szCs w:val="28"/>
        </w:rPr>
        <w:fldChar w:fldCharType="separate"/>
      </w:r>
      <w:r>
        <w:rPr>
          <w:rFonts w:hint="eastAsia"/>
          <w:sz w:val="21"/>
          <w:szCs w:val="28"/>
        </w:rPr>
        <w:t>2026年0</w:t>
      </w:r>
      <w:r>
        <w:rPr>
          <w:rFonts w:hint="eastAsia"/>
          <w:sz w:val="21"/>
          <w:szCs w:val="28"/>
          <w:lang w:val="en-US" w:eastAsia="zh-CN"/>
        </w:rPr>
        <w:t>5</w:t>
      </w:r>
      <w:r>
        <w:rPr>
          <w:rFonts w:hint="eastAsia"/>
          <w:sz w:val="21"/>
          <w:szCs w:val="28"/>
        </w:rPr>
        <w:t>月</w:t>
      </w:r>
      <w:r>
        <w:rPr>
          <w:rFonts w:hint="eastAsia"/>
          <w:sz w:val="21"/>
          <w:szCs w:val="28"/>
          <w:lang w:val="en-US" w:eastAsia="zh-CN"/>
        </w:rPr>
        <w:t>10</w:t>
      </w:r>
      <w:r>
        <w:rPr>
          <w:rFonts w:hint="eastAsia"/>
          <w:sz w:val="21"/>
          <w:szCs w:val="28"/>
        </w:rPr>
        <w:t>日</w:t>
      </w:r>
      <w:r>
        <w:rPr>
          <w:sz w:val="21"/>
          <w:szCs w:val="28"/>
        </w:rPr>
        <w:fldChar w:fldCharType="end"/>
      </w:r>
      <w:bookmarkEnd w:id="10"/>
    </w:p>
    <w:p w14:paraId="2A0C9E16">
      <w:pPr>
        <w:pStyle w:val="125"/>
        <w:framePr w:w="9639" w:h="6974" w:hRule="exact" w:wrap="around" w:vAnchor="page" w:hAnchor="page" w:x="1419" w:y="6408" w:anchorLock="1"/>
        <w:spacing w:before="720" w:beforeLines="300" w:after="72" w:afterLines="30"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1" w:name="下拉2"/>
      <w:r>
        <w:rPr>
          <w:b/>
          <w:sz w:val="21"/>
          <w:szCs w:val="28"/>
        </w:rPr>
        <w:instrText xml:space="preserve"> FORMDROPDOWN </w:instrText>
      </w:r>
      <w:r>
        <w:rPr>
          <w:b/>
          <w:sz w:val="21"/>
          <w:szCs w:val="28"/>
        </w:rPr>
        <w:fldChar w:fldCharType="separate"/>
      </w:r>
      <w:r>
        <w:rPr>
          <w:b/>
          <w:sz w:val="21"/>
          <w:szCs w:val="28"/>
        </w:rPr>
        <w:fldChar w:fldCharType="end"/>
      </w:r>
      <w:bookmarkEnd w:id="11"/>
    </w:p>
    <w:p w14:paraId="41197C65">
      <w:pPr>
        <w:pStyle w:val="193"/>
        <w:framePr w:wrap="around" w:y="14176"/>
      </w:pPr>
      <w:r>
        <w:rPr>
          <w:rFonts w:ascii="黑体"/>
        </w:rPr>
        <w:fldChar w:fldCharType="begin">
          <w:ffData>
            <w:name w:val="PLSH_DATE_Y"/>
            <w:enabled/>
            <w:calcOnExit w:val="0"/>
            <w:textInput>
              <w:default w:val="XXXX"/>
              <w:maxLength w:val="4"/>
            </w:textInput>
          </w:ffData>
        </w:fldChar>
      </w:r>
      <w:bookmarkStart w:id="12" w:name="PLSH_DATE_Y"/>
      <w:r>
        <w:rPr>
          <w:rFonts w:ascii="黑体"/>
        </w:rPr>
        <w:instrText xml:space="preserve"> FORMTEXT </w:instrText>
      </w:r>
      <w:r>
        <w:rPr>
          <w:rFonts w:ascii="黑体"/>
        </w:rPr>
        <w:fldChar w:fldCharType="separate"/>
      </w:r>
      <w:r>
        <w:rPr>
          <w:rFonts w:ascii="黑体"/>
        </w:rPr>
        <w:t>202</w:t>
      </w:r>
      <w:r>
        <w:rPr>
          <w:rFonts w:hint="eastAsia" w:ascii="黑体"/>
        </w:rPr>
        <w:t>6</w:t>
      </w:r>
      <w:r>
        <w:rPr>
          <w:rFonts w:ascii="黑体"/>
        </w:rPr>
        <w:fldChar w:fldCharType="end"/>
      </w:r>
      <w:bookmarkEnd w:id="12"/>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3" w:name="PLSH_DATE_M"/>
      <w:r>
        <w:rPr>
          <w:rFonts w:ascii="黑体"/>
        </w:rPr>
        <w:instrText xml:space="preserve"> FORMTEXT </w:instrText>
      </w:r>
      <w:r>
        <w:rPr>
          <w:rFonts w:ascii="黑体"/>
        </w:rPr>
        <w:fldChar w:fldCharType="separate"/>
      </w:r>
      <w:r>
        <w:rPr>
          <w:rFonts w:hint="eastAsia" w:ascii="黑体"/>
        </w:rPr>
        <w:t>XX</w:t>
      </w:r>
      <w:r>
        <w:rPr>
          <w:rFonts w:ascii="黑体"/>
        </w:rPr>
        <w:fldChar w:fldCharType="end"/>
      </w:r>
      <w:bookmarkEnd w:id="13"/>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4" w:name="PLSH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4"/>
      <w:r>
        <w:rPr>
          <w:rFonts w:hint="eastAsia"/>
        </w:rPr>
        <w:t>发布</w:t>
      </w:r>
    </w:p>
    <w:p w14:paraId="09C616B2">
      <w:pPr>
        <w:pStyle w:val="194"/>
        <w:framePr w:wrap="around" w:y="14176"/>
      </w:pPr>
      <w:r>
        <w:rPr>
          <w:rFonts w:ascii="黑体"/>
        </w:rPr>
        <w:fldChar w:fldCharType="begin">
          <w:ffData>
            <w:name w:val="CROT_DATE_Y"/>
            <w:enabled/>
            <w:calcOnExit w:val="0"/>
            <w:textInput>
              <w:default w:val="XXXX"/>
              <w:maxLength w:val="4"/>
            </w:textInput>
          </w:ffData>
        </w:fldChar>
      </w:r>
      <w:bookmarkStart w:id="15" w:name="CROT_DATE_Y"/>
      <w:r>
        <w:rPr>
          <w:rFonts w:ascii="黑体"/>
        </w:rPr>
        <w:instrText xml:space="preserve"> FORMTEXT </w:instrText>
      </w:r>
      <w:r>
        <w:rPr>
          <w:rFonts w:ascii="黑体"/>
        </w:rPr>
        <w:fldChar w:fldCharType="separate"/>
      </w:r>
      <w:r>
        <w:rPr>
          <w:rFonts w:ascii="黑体"/>
        </w:rPr>
        <w:t>202</w:t>
      </w:r>
      <w:r>
        <w:rPr>
          <w:rFonts w:hint="eastAsia" w:ascii="黑体"/>
        </w:rPr>
        <w:t>6</w:t>
      </w:r>
      <w:r>
        <w:rPr>
          <w:rFonts w:ascii="黑体"/>
        </w:rPr>
        <w:fldChar w:fldCharType="end"/>
      </w:r>
      <w:bookmarkEnd w:id="15"/>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6" w:name="CROT_DATE_M"/>
      <w:r>
        <w:rPr>
          <w:rFonts w:ascii="黑体"/>
        </w:rPr>
        <w:instrText xml:space="preserve"> FORMTEXT </w:instrText>
      </w:r>
      <w:r>
        <w:rPr>
          <w:rFonts w:ascii="黑体"/>
        </w:rPr>
        <w:fldChar w:fldCharType="separate"/>
      </w:r>
      <w:r>
        <w:rPr>
          <w:rFonts w:hint="eastAsia" w:ascii="黑体"/>
        </w:rPr>
        <w:t>XX</w:t>
      </w:r>
      <w:r>
        <w:rPr>
          <w:rFonts w:ascii="黑体"/>
        </w:rPr>
        <w:fldChar w:fldCharType="end"/>
      </w:r>
      <w:bookmarkEnd w:id="16"/>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7" w:name="CROT_DATE_D"/>
      <w:r>
        <w:rPr>
          <w:rFonts w:ascii="黑体"/>
        </w:rPr>
        <w:instrText xml:space="preserve"> FORMTEXT </w:instrText>
      </w:r>
      <w:r>
        <w:rPr>
          <w:rFonts w:ascii="黑体"/>
        </w:rPr>
        <w:fldChar w:fldCharType="separate"/>
      </w:r>
      <w:r>
        <w:rPr>
          <w:rFonts w:ascii="黑体"/>
        </w:rPr>
        <w:t>XX</w:t>
      </w:r>
      <w:r>
        <w:rPr>
          <w:rFonts w:ascii="黑体"/>
        </w:rPr>
        <w:fldChar w:fldCharType="end"/>
      </w:r>
      <w:bookmarkEnd w:id="17"/>
      <w:r>
        <w:rPr>
          <w:rFonts w:hint="eastAsia"/>
        </w:rPr>
        <w:t>实施</w:t>
      </w:r>
    </w:p>
    <w:p w14:paraId="0F6162A4">
      <w:pPr>
        <w:pStyle w:val="151"/>
        <w:framePr w:h="584" w:hRule="exact" w:hSpace="181" w:vSpace="181" w:wrap="around" w:y="14800"/>
        <w:rPr>
          <w:rFonts w:hint="eastAsia" w:hAnsi="黑体"/>
        </w:rPr>
      </w:pPr>
      <w:r>
        <w:rPr>
          <w:rFonts w:hAnsi="黑体"/>
          <w:w w:val="100"/>
          <w:sz w:val="28"/>
        </w:rPr>
        <w:fldChar w:fldCharType="begin">
          <w:ffData>
            <w:name w:val="fm"/>
            <w:enabled/>
            <w:calcOnExit w:val="0"/>
            <w:textInput/>
          </w:ffData>
        </w:fldChar>
      </w:r>
      <w:bookmarkStart w:id="18" w:name="fm"/>
      <w:r>
        <w:rPr>
          <w:rFonts w:hAnsi="黑体"/>
          <w:w w:val="100"/>
          <w:sz w:val="28"/>
        </w:rPr>
        <w:instrText xml:space="preserve"> FORMTEXT </w:instrText>
      </w:r>
      <w:r>
        <w:rPr>
          <w:rFonts w:hAnsi="黑体"/>
          <w:w w:val="100"/>
          <w:sz w:val="28"/>
        </w:rPr>
        <w:fldChar w:fldCharType="separate"/>
      </w:r>
      <w:r>
        <w:rPr>
          <w:rFonts w:hint="eastAsia" w:hAnsi="黑体"/>
          <w:w w:val="100"/>
          <w:sz w:val="28"/>
        </w:rPr>
        <w:t>中国医药保健品进出口商会</w:t>
      </w:r>
      <w:r>
        <w:rPr>
          <w:rFonts w:hAnsi="黑体"/>
          <w:w w:val="100"/>
          <w:sz w:val="28"/>
        </w:rPr>
        <w:fldChar w:fldCharType="end"/>
      </w:r>
      <w:bookmarkEnd w:id="18"/>
      <w:r>
        <w:rPr>
          <w:rFonts w:ascii="Times New Roman"/>
          <w:w w:val="100"/>
          <w:sz w:val="28"/>
        </w:rPr>
        <w:t>  </w:t>
      </w:r>
      <w:r>
        <w:rPr>
          <w:rStyle w:val="229"/>
          <w:rFonts w:hint="eastAsia" w:hAnsi="黑体"/>
          <w:position w:val="0"/>
        </w:rPr>
        <w:t>发</w:t>
      </w:r>
      <w:r>
        <w:rPr>
          <w:rStyle w:val="229"/>
          <w:rFonts w:hint="eastAsia" w:hAnsi="黑体"/>
          <w:spacing w:val="0"/>
          <w:position w:val="0"/>
        </w:rPr>
        <w:t>布</w:t>
      </w:r>
    </w:p>
    <w:p w14:paraId="2611D4FE">
      <w:pPr>
        <w:rPr>
          <w:rFonts w:hint="eastAsia" w:ascii="宋体" w:hAnsi="宋体"/>
          <w:sz w:val="28"/>
          <w:szCs w:val="28"/>
        </w:rPr>
        <w:sectPr>
          <w:headerReference r:id="rId6" w:type="first"/>
          <w:footerReference r:id="rId8" w:type="first"/>
          <w:headerReference r:id="rId5" w:type="default"/>
          <w:footerReference r:id="rId7" w:type="even"/>
          <w:type w:val="continuous"/>
          <w:pgSz w:w="11906" w:h="16838"/>
          <w:pgMar w:top="567" w:right="1134" w:bottom="1134" w:left="1134" w:header="1418" w:footer="1134" w:gutter="284"/>
          <w:cols w:space="425" w:num="1"/>
          <w:titlePg/>
          <w:docGrid w:linePitch="312" w:charSpace="0"/>
        </w:sectPr>
      </w:pPr>
      <w:r>
        <w:rPr>
          <w:rFonts w:hint="eastAsia" w:ascii="宋体" w:hAnsi="宋体"/>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1524DC95">
      <w:pPr>
        <w:pStyle w:val="89"/>
        <w:spacing w:after="360"/>
      </w:pPr>
      <w:bookmarkStart w:id="19" w:name="BookMark2"/>
      <w:r>
        <w:rPr>
          <w:spacing w:val="320"/>
        </w:rPr>
        <w:t>前</w:t>
      </w:r>
      <w:r>
        <w:t>言</w:t>
      </w:r>
    </w:p>
    <w:p w14:paraId="422EFE78">
      <w:pPr>
        <w:pStyle w:val="56"/>
        <w:ind w:firstLine="420"/>
      </w:pPr>
      <w:r>
        <w:rPr>
          <w:rFonts w:hint="eastAsia"/>
        </w:rPr>
        <w:t>本文件按照GB/T 1.1—2020《标准化工作导则  第1部分：标准化文件的结构和起草规则》的规定起草。</w:t>
      </w:r>
    </w:p>
    <w:p w14:paraId="1FE5203B">
      <w:pPr>
        <w:pStyle w:val="56"/>
        <w:ind w:firstLine="420"/>
      </w:pPr>
      <w:r>
        <w:rPr>
          <w:rFonts w:hint="eastAsia"/>
        </w:rPr>
        <w:t>请注意本文件的某些内容可能涉及专利。本文件的发布机构不承担识别专利的责任。</w:t>
      </w:r>
    </w:p>
    <w:p w14:paraId="34123AB8">
      <w:pPr>
        <w:pStyle w:val="56"/>
        <w:ind w:firstLine="420"/>
      </w:pPr>
      <w:r>
        <w:rPr>
          <w:rFonts w:hint="eastAsia"/>
        </w:rPr>
        <w:t>本文件由中国医药保健品进出口商会提出并归口。</w:t>
      </w:r>
    </w:p>
    <w:p w14:paraId="3A638307">
      <w:pPr>
        <w:pStyle w:val="56"/>
        <w:ind w:firstLine="420"/>
      </w:pPr>
      <w:r>
        <w:rPr>
          <w:rFonts w:hint="eastAsia"/>
        </w:rPr>
        <w:t>本文件起草单位：湖南朗林生物资源股份有限公司、陕西瑞禾生物工程有限责任公司、道地药用植物规范化栽培与综合利用湖南省工程实验室。</w:t>
      </w:r>
    </w:p>
    <w:p w14:paraId="16A689BF">
      <w:pPr>
        <w:pStyle w:val="56"/>
        <w:ind w:firstLine="420"/>
      </w:pPr>
      <w:r>
        <w:rPr>
          <w:rFonts w:hint="eastAsia"/>
        </w:rPr>
        <w:t>本文件主要起草人：易宇阳、童旭日、钟纯、史锋、彭国平。</w:t>
      </w:r>
    </w:p>
    <w:p w14:paraId="0DFF34F0">
      <w:pPr>
        <w:pStyle w:val="56"/>
        <w:ind w:firstLine="420"/>
      </w:pPr>
    </w:p>
    <w:p w14:paraId="129E98C8">
      <w:pPr>
        <w:pStyle w:val="56"/>
        <w:ind w:firstLine="420"/>
        <w:sectPr>
          <w:headerReference r:id="rId9" w:type="default"/>
          <w:footerReference r:id="rId11" w:type="default"/>
          <w:headerReference r:id="rId10" w:type="even"/>
          <w:footerReference r:id="rId12" w:type="even"/>
          <w:pgSz w:w="11906" w:h="16838"/>
          <w:pgMar w:top="2410" w:right="1134" w:bottom="1134" w:left="1134" w:header="1418" w:footer="1134" w:gutter="284"/>
          <w:pgNumType w:fmt="upperRoman" w:start="1"/>
          <w:cols w:space="425" w:num="1"/>
          <w:formProt w:val="0"/>
          <w:docGrid w:linePitch="312" w:charSpace="0"/>
        </w:sectPr>
      </w:pPr>
    </w:p>
    <w:bookmarkEnd w:id="19"/>
    <w:p w14:paraId="6957EFF8">
      <w:pPr>
        <w:spacing w:line="20" w:lineRule="exact"/>
        <w:jc w:val="center"/>
        <w:rPr>
          <w:rFonts w:hint="eastAsia" w:ascii="黑体" w:hAnsi="黑体" w:eastAsia="黑体"/>
          <w:sz w:val="32"/>
          <w:szCs w:val="32"/>
        </w:rPr>
      </w:pPr>
      <w:bookmarkStart w:id="20" w:name="BookMark4"/>
    </w:p>
    <w:p w14:paraId="6D9DE996">
      <w:pPr>
        <w:spacing w:line="20" w:lineRule="exact"/>
        <w:jc w:val="center"/>
        <w:rPr>
          <w:rFonts w:hint="eastAsia" w:ascii="黑体" w:hAnsi="黑体" w:eastAsia="黑体"/>
          <w:sz w:val="32"/>
          <w:szCs w:val="32"/>
        </w:rPr>
      </w:pPr>
    </w:p>
    <w:sdt>
      <w:sdtPr>
        <w:tag w:val="NEW_STAND_NAME"/>
        <w:id w:val="595910757"/>
        <w:lock w:val="sdtLocked"/>
        <w:placeholder>
          <w:docPart w:val="317736968F4F426A88893EE247E262FC"/>
        </w:placeholder>
      </w:sdtPr>
      <w:sdtContent>
        <w:p w14:paraId="5E17204B">
          <w:pPr>
            <w:pStyle w:val="177"/>
            <w:spacing w:before="2" w:beforeLines="1" w:after="528" w:afterLines="220"/>
            <w:rPr>
              <w:rFonts w:hint="eastAsia"/>
            </w:rPr>
          </w:pPr>
          <w:bookmarkStart w:id="21" w:name="NEW_STAND_NAME"/>
          <w:r>
            <w:rPr>
              <w:rFonts w:hint="eastAsia"/>
            </w:rPr>
            <w:t>植物提取物　洋常春藤提取物</w:t>
          </w:r>
        </w:p>
      </w:sdtContent>
    </w:sdt>
    <w:bookmarkEnd w:id="21"/>
    <w:p w14:paraId="383EC061">
      <w:pPr>
        <w:pStyle w:val="104"/>
        <w:spacing w:before="240" w:after="240"/>
      </w:pPr>
      <w:bookmarkStart w:id="22" w:name="_Toc17233333"/>
      <w:bookmarkStart w:id="23" w:name="_Toc26718930"/>
      <w:bookmarkStart w:id="24" w:name="_Toc26986530"/>
      <w:bookmarkStart w:id="25" w:name="_Toc17233325"/>
      <w:bookmarkStart w:id="26" w:name="_Toc26986771"/>
      <w:bookmarkStart w:id="27" w:name="_Toc26648465"/>
      <w:bookmarkStart w:id="28" w:name="_Toc24884211"/>
      <w:bookmarkStart w:id="29" w:name="_Toc24884218"/>
      <w:r>
        <w:rPr>
          <w:rFonts w:hint="eastAsia"/>
        </w:rPr>
        <w:t>范围</w:t>
      </w:r>
      <w:bookmarkEnd w:id="22"/>
      <w:bookmarkEnd w:id="23"/>
      <w:bookmarkEnd w:id="24"/>
      <w:bookmarkEnd w:id="25"/>
      <w:bookmarkEnd w:id="26"/>
      <w:bookmarkEnd w:id="27"/>
      <w:bookmarkEnd w:id="28"/>
      <w:bookmarkEnd w:id="29"/>
    </w:p>
    <w:p w14:paraId="5A6708A0">
      <w:pPr>
        <w:pStyle w:val="56"/>
        <w:ind w:firstLine="420"/>
      </w:pPr>
      <w:bookmarkStart w:id="30" w:name="_Toc17233326"/>
      <w:bookmarkStart w:id="31" w:name="_Toc26648466"/>
      <w:bookmarkStart w:id="32" w:name="_Toc24884212"/>
      <w:bookmarkStart w:id="33" w:name="_Toc24884219"/>
      <w:bookmarkStart w:id="34" w:name="_Toc17233334"/>
      <w:r>
        <w:rPr>
          <w:rFonts w:hint="eastAsia"/>
        </w:rPr>
        <w:t>本文件规定了洋常春藤提取物的技术要求、检验方法、检验规则、包装、标签、运输、贮存和保质期要求。</w:t>
      </w:r>
    </w:p>
    <w:p w14:paraId="3DC2D597">
      <w:pPr>
        <w:pStyle w:val="56"/>
        <w:ind w:firstLine="420"/>
      </w:pPr>
      <w:r>
        <w:rPr>
          <w:rFonts w:hint="eastAsia"/>
        </w:rPr>
        <w:t>本文件适用于以洋常春藤叶为原料经乙醇水或水提取、浓缩后，喷雾干燥而成的洋常春藤提取物。</w:t>
      </w:r>
    </w:p>
    <w:p w14:paraId="7688D82B">
      <w:pPr>
        <w:pStyle w:val="104"/>
        <w:spacing w:before="240" w:after="240"/>
      </w:pPr>
      <w:bookmarkStart w:id="35" w:name="_Toc26986772"/>
      <w:bookmarkStart w:id="36" w:name="_Toc26986531"/>
      <w:bookmarkStart w:id="37" w:name="_Toc26718931"/>
      <w:r>
        <w:rPr>
          <w:rFonts w:hint="eastAsia"/>
        </w:rPr>
        <w:t>规范性引用文件</w:t>
      </w:r>
      <w:bookmarkEnd w:id="30"/>
      <w:bookmarkEnd w:id="31"/>
      <w:bookmarkEnd w:id="32"/>
      <w:bookmarkEnd w:id="33"/>
      <w:bookmarkEnd w:id="34"/>
      <w:bookmarkEnd w:id="35"/>
      <w:bookmarkEnd w:id="36"/>
      <w:bookmarkEnd w:id="37"/>
    </w:p>
    <w:sdt>
      <w:sdtPr>
        <w:rPr>
          <w:rFonts w:hint="eastAsia"/>
        </w:rPr>
        <w:id w:val="715848253"/>
        <w:placeholder>
          <w:docPart w:val="9D51CC710A094DCD81438F55C1305777"/>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rPr>
      </w:sdtEndPr>
      <w:sdtContent>
        <w:p w14:paraId="7AD9F369">
          <w:pPr>
            <w:pStyle w:val="56"/>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165C04D9">
      <w:pPr>
        <w:pStyle w:val="56"/>
        <w:ind w:firstLine="420"/>
      </w:pPr>
      <w:r>
        <w:rPr>
          <w:rFonts w:hint="eastAsia"/>
        </w:rPr>
        <w:t>GB 4789.2 食品安全国家标准 食品微生物学检验 菌落总数测定</w:t>
      </w:r>
    </w:p>
    <w:p w14:paraId="6332BC7E">
      <w:pPr>
        <w:pStyle w:val="56"/>
        <w:ind w:firstLine="420"/>
      </w:pPr>
      <w:r>
        <w:rPr>
          <w:rFonts w:hint="eastAsia"/>
        </w:rPr>
        <w:t>GB 4789.3 食品安全国家标准 食品微生物学检验 大肠菌群计数</w:t>
      </w:r>
    </w:p>
    <w:p w14:paraId="2C760870">
      <w:pPr>
        <w:pStyle w:val="56"/>
        <w:ind w:firstLine="420"/>
      </w:pPr>
      <w:r>
        <w:rPr>
          <w:rFonts w:hint="eastAsia"/>
        </w:rPr>
        <w:t>GB 4789.4 食品安全国家标准 食品微生物学检验 沙门氏菌检验</w:t>
      </w:r>
    </w:p>
    <w:p w14:paraId="472E8249">
      <w:pPr>
        <w:pStyle w:val="56"/>
        <w:ind w:firstLine="420"/>
      </w:pPr>
      <w:r>
        <w:rPr>
          <w:rFonts w:hint="eastAsia"/>
        </w:rPr>
        <w:t>GB 4789.10</w:t>
      </w:r>
      <w:r>
        <w:t xml:space="preserve"> </w:t>
      </w:r>
      <w:r>
        <w:rPr>
          <w:rFonts w:hint="eastAsia"/>
        </w:rPr>
        <w:t>食品安全国家标准 食品微生物学检验 金黄色葡萄球菌检验</w:t>
      </w:r>
    </w:p>
    <w:p w14:paraId="5E48FCF0">
      <w:pPr>
        <w:pStyle w:val="56"/>
        <w:ind w:firstLine="420"/>
      </w:pPr>
      <w:r>
        <w:rPr>
          <w:rFonts w:hint="eastAsia"/>
        </w:rPr>
        <w:t>GB 4789.15 食品安全国家标准 食品微生物学检验 霉菌和酵母计数</w:t>
      </w:r>
    </w:p>
    <w:p w14:paraId="311C7BE6">
      <w:pPr>
        <w:pStyle w:val="56"/>
        <w:ind w:firstLine="420"/>
        <w:rPr>
          <w:color w:val="auto"/>
        </w:rPr>
      </w:pPr>
      <w:r>
        <w:rPr>
          <w:rFonts w:hint="eastAsia"/>
          <w:color w:val="auto"/>
        </w:rPr>
        <w:t>GB 4806.1 食品安全国家标准 食品接触材料及制品通用安全要求</w:t>
      </w:r>
    </w:p>
    <w:p w14:paraId="2CC9F1EF">
      <w:pPr>
        <w:pStyle w:val="56"/>
        <w:ind w:firstLine="420"/>
        <w:rPr>
          <w:color w:val="auto"/>
        </w:rPr>
      </w:pPr>
      <w:r>
        <w:rPr>
          <w:rFonts w:hint="eastAsia"/>
          <w:color w:val="auto"/>
        </w:rPr>
        <w:t>GB 5009.3 食品安全国家标准 食品中水分的测定</w:t>
      </w:r>
    </w:p>
    <w:p w14:paraId="5A532D52">
      <w:pPr>
        <w:pStyle w:val="56"/>
        <w:ind w:firstLine="420"/>
        <w:rPr>
          <w:color w:val="auto"/>
        </w:rPr>
      </w:pPr>
      <w:r>
        <w:rPr>
          <w:rFonts w:hint="eastAsia"/>
          <w:color w:val="auto"/>
        </w:rPr>
        <w:t>GB 5009.4 食品安全国家标准 食品中灰分的测定</w:t>
      </w:r>
    </w:p>
    <w:p w14:paraId="43FE9847">
      <w:pPr>
        <w:pStyle w:val="56"/>
        <w:ind w:firstLine="420"/>
        <w:rPr>
          <w:color w:val="auto"/>
        </w:rPr>
      </w:pPr>
      <w:r>
        <w:rPr>
          <w:rFonts w:hint="eastAsia"/>
          <w:color w:val="auto"/>
        </w:rPr>
        <w:t>GB/T 6682 分析实验室用水规格和试验方法</w:t>
      </w:r>
    </w:p>
    <w:p w14:paraId="1924AE71">
      <w:pPr>
        <w:pStyle w:val="56"/>
        <w:ind w:firstLine="420"/>
        <w:rPr>
          <w:color w:val="auto"/>
        </w:rPr>
      </w:pPr>
      <w:r>
        <w:rPr>
          <w:rFonts w:hint="eastAsia"/>
          <w:color w:val="auto"/>
        </w:rPr>
        <w:t>GB/T 43808 植物提取物 术语</w:t>
      </w:r>
    </w:p>
    <w:p w14:paraId="2F44E5F1">
      <w:pPr>
        <w:pStyle w:val="56"/>
        <w:ind w:firstLine="420"/>
        <w:rPr>
          <w:color w:val="auto"/>
        </w:rPr>
      </w:pPr>
      <w:r>
        <w:rPr>
          <w:rFonts w:hint="eastAsia"/>
          <w:color w:val="auto"/>
        </w:rPr>
        <w:t>《中华人民共和国药典（2025年版）》第四部 通则 0861 残留溶剂测定法</w:t>
      </w:r>
    </w:p>
    <w:p w14:paraId="01360D92">
      <w:pPr>
        <w:pStyle w:val="56"/>
        <w:ind w:firstLine="420"/>
        <w:rPr>
          <w:color w:val="auto"/>
        </w:rPr>
      </w:pPr>
      <w:r>
        <w:rPr>
          <w:rFonts w:hint="eastAsia"/>
          <w:color w:val="auto"/>
        </w:rPr>
        <w:t>《中华人民共和国药典（2025年版）》第四部 通则 0982 粒度和粒度分布测定法</w:t>
      </w:r>
    </w:p>
    <w:p w14:paraId="11B3444D">
      <w:pPr>
        <w:pStyle w:val="56"/>
        <w:ind w:firstLine="420"/>
        <w:rPr>
          <w:color w:val="auto"/>
        </w:rPr>
      </w:pPr>
      <w:r>
        <w:rPr>
          <w:rFonts w:hint="eastAsia"/>
          <w:color w:val="auto"/>
        </w:rPr>
        <w:t>《中华人民共和国药典（2025年版）》第四部 通则 2321 铅、镉、砷、汞、铜测定法</w:t>
      </w:r>
    </w:p>
    <w:p w14:paraId="25500289">
      <w:pPr>
        <w:pStyle w:val="104"/>
        <w:spacing w:before="240" w:after="240"/>
        <w:rPr>
          <w:color w:val="auto"/>
          <w:szCs w:val="21"/>
        </w:rPr>
      </w:pPr>
      <w:r>
        <w:rPr>
          <w:rFonts w:hint="eastAsia"/>
          <w:color w:val="auto"/>
          <w:szCs w:val="21"/>
        </w:rPr>
        <w:t>术语和定义</w:t>
      </w:r>
    </w:p>
    <w:sdt>
      <w:sdtPr>
        <w:rPr>
          <w:color w:val="auto"/>
        </w:rPr>
        <w:id w:val="-1909835108"/>
        <w:placeholder>
          <w:docPart w:val="C37928D5372C4128A9889AB2CEFEB649"/>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color w:val="auto"/>
        </w:rPr>
      </w:sdtEndPr>
      <w:sdtContent>
        <w:p w14:paraId="097E0878">
          <w:pPr>
            <w:pStyle w:val="56"/>
            <w:ind w:firstLine="420"/>
            <w:rPr>
              <w:color w:val="auto"/>
            </w:rPr>
          </w:pPr>
          <w:bookmarkStart w:id="38" w:name="_Toc26986532"/>
          <w:bookmarkEnd w:id="38"/>
          <w:r>
            <w:rPr>
              <w:color w:val="auto"/>
            </w:rPr>
            <w:t>GB/T 43808界定的以及下列术语和定义适用于本文件。</w:t>
          </w:r>
        </w:p>
      </w:sdtContent>
    </w:sdt>
    <w:p w14:paraId="43179263">
      <w:pPr>
        <w:pStyle w:val="104"/>
        <w:numPr>
          <w:ilvl w:val="0"/>
          <w:numId w:val="0"/>
        </w:numPr>
        <w:spacing w:before="240" w:after="240"/>
        <w:rPr>
          <w:color w:val="auto"/>
          <w:highlight w:val="yellow"/>
        </w:rPr>
      </w:pPr>
      <w:r>
        <w:rPr>
          <w:rFonts w:hint="eastAsia"/>
          <w:color w:val="auto"/>
        </w:rPr>
        <w:t xml:space="preserve">3.1 洋常春藤提取物 </w:t>
      </w:r>
      <w:r>
        <w:rPr>
          <w:rFonts w:hint="eastAsia"/>
          <w:color w:val="auto"/>
          <w:szCs w:val="28"/>
        </w:rPr>
        <w:t>Ivy Leaf</w:t>
      </w:r>
      <w:r>
        <w:rPr>
          <w:color w:val="auto"/>
        </w:rPr>
        <w:t xml:space="preserve"> Extract</w:t>
      </w:r>
    </w:p>
    <w:p w14:paraId="7A57B74A">
      <w:pPr>
        <w:pStyle w:val="56"/>
        <w:ind w:firstLine="420"/>
        <w:rPr>
          <w:color w:val="auto"/>
        </w:rPr>
      </w:pPr>
      <w:r>
        <w:rPr>
          <w:rFonts w:hint="eastAsia"/>
          <w:color w:val="auto"/>
          <w:szCs w:val="21"/>
        </w:rPr>
        <w:t>以五加科常春藤属植物洋常春藤</w:t>
      </w:r>
      <w:r>
        <w:rPr>
          <w:i/>
          <w:iCs/>
          <w:color w:val="auto"/>
        </w:rPr>
        <w:t xml:space="preserve">Hedera helix </w:t>
      </w:r>
      <w:r>
        <w:rPr>
          <w:color w:val="auto"/>
        </w:rPr>
        <w:t>L</w:t>
      </w:r>
      <w:r>
        <w:rPr>
          <w:i/>
          <w:iCs/>
          <w:color w:val="auto"/>
        </w:rPr>
        <w:t>.</w:t>
      </w:r>
      <w:r>
        <w:rPr>
          <w:color w:val="auto"/>
          <w:szCs w:val="21"/>
        </w:rPr>
        <w:t>的</w:t>
      </w:r>
      <w:r>
        <w:rPr>
          <w:rFonts w:hint="eastAsia"/>
          <w:color w:val="auto"/>
          <w:szCs w:val="21"/>
        </w:rPr>
        <w:t>叶为原料，经乙醇水或水提取、浓缩、干燥制成的产品。</w:t>
      </w:r>
    </w:p>
    <w:p w14:paraId="121F99CE">
      <w:pPr>
        <w:pStyle w:val="104"/>
        <w:spacing w:before="240" w:after="240"/>
        <w:rPr>
          <w:color w:val="auto"/>
        </w:rPr>
      </w:pPr>
      <w:r>
        <w:rPr>
          <w:rFonts w:hint="eastAsia"/>
          <w:color w:val="auto"/>
        </w:rPr>
        <w:t>技术要求</w:t>
      </w:r>
    </w:p>
    <w:p w14:paraId="615C3A7E">
      <w:pPr>
        <w:pStyle w:val="105"/>
        <w:spacing w:before="120" w:after="120"/>
        <w:rPr>
          <w:color w:val="auto"/>
        </w:rPr>
      </w:pPr>
      <w:r>
        <w:rPr>
          <w:rFonts w:hint="eastAsia"/>
          <w:color w:val="auto"/>
        </w:rPr>
        <w:t>工艺要求</w:t>
      </w:r>
    </w:p>
    <w:p w14:paraId="2A3CD8A1">
      <w:pPr>
        <w:pStyle w:val="65"/>
        <w:spacing w:before="120" w:after="120"/>
        <w:rPr>
          <w:color w:val="auto"/>
        </w:rPr>
      </w:pPr>
      <w:r>
        <w:rPr>
          <w:rFonts w:hint="eastAsia"/>
          <w:color w:val="auto"/>
        </w:rPr>
        <w:t>植物原料</w:t>
      </w:r>
    </w:p>
    <w:p w14:paraId="7B4F5EB1">
      <w:pPr>
        <w:pStyle w:val="56"/>
        <w:ind w:firstLine="420"/>
        <w:rPr>
          <w:color w:val="auto"/>
        </w:rPr>
      </w:pPr>
      <w:r>
        <w:rPr>
          <w:rFonts w:hint="eastAsia"/>
          <w:color w:val="auto"/>
        </w:rPr>
        <w:t>五加科常春藤属植物洋常春藤</w:t>
      </w:r>
      <w:r>
        <w:rPr>
          <w:i/>
          <w:iCs/>
          <w:color w:val="auto"/>
        </w:rPr>
        <w:t xml:space="preserve">Hedera helix </w:t>
      </w:r>
      <w:r>
        <w:rPr>
          <w:color w:val="auto"/>
        </w:rPr>
        <w:t>L</w:t>
      </w:r>
      <w:r>
        <w:rPr>
          <w:i/>
          <w:iCs/>
          <w:color w:val="auto"/>
        </w:rPr>
        <w:t>.</w:t>
      </w:r>
      <w:r>
        <w:rPr>
          <w:rFonts w:hint="eastAsia"/>
          <w:color w:val="auto"/>
        </w:rPr>
        <w:t>的叶。</w:t>
      </w:r>
    </w:p>
    <w:p w14:paraId="2EF0B412">
      <w:pPr>
        <w:pStyle w:val="65"/>
        <w:spacing w:before="120" w:after="120"/>
        <w:rPr>
          <w:color w:val="auto"/>
        </w:rPr>
      </w:pPr>
      <w:r>
        <w:rPr>
          <w:rFonts w:hint="eastAsia"/>
          <w:color w:val="auto"/>
        </w:rPr>
        <w:t>工艺过程</w:t>
      </w:r>
    </w:p>
    <w:p w14:paraId="6338F579">
      <w:pPr>
        <w:pStyle w:val="56"/>
        <w:ind w:firstLine="420"/>
        <w:rPr>
          <w:color w:val="auto"/>
        </w:rPr>
      </w:pPr>
      <w:r>
        <w:rPr>
          <w:rFonts w:hint="eastAsia"/>
          <w:color w:val="auto"/>
        </w:rPr>
        <w:t>原料→提取→过滤→浓缩→干燥→产品。</w:t>
      </w:r>
    </w:p>
    <w:p w14:paraId="1B2E021E">
      <w:pPr>
        <w:pStyle w:val="105"/>
        <w:spacing w:before="120" w:after="120"/>
        <w:rPr>
          <w:color w:val="auto"/>
        </w:rPr>
      </w:pPr>
      <w:r>
        <w:rPr>
          <w:rFonts w:hint="eastAsia"/>
          <w:color w:val="auto"/>
        </w:rPr>
        <w:t>产品要求</w:t>
      </w:r>
    </w:p>
    <w:p w14:paraId="4F140699">
      <w:pPr>
        <w:pStyle w:val="65"/>
        <w:spacing w:before="120" w:after="120"/>
        <w:rPr>
          <w:color w:val="auto"/>
        </w:rPr>
      </w:pPr>
      <w:r>
        <w:rPr>
          <w:rFonts w:hint="eastAsia"/>
          <w:color w:val="auto"/>
        </w:rPr>
        <w:t>感官要求</w:t>
      </w:r>
    </w:p>
    <w:p w14:paraId="4E4E0348">
      <w:pPr>
        <w:pStyle w:val="56"/>
        <w:ind w:firstLine="420"/>
        <w:rPr>
          <w:color w:val="auto"/>
        </w:rPr>
      </w:pPr>
      <w:r>
        <w:rPr>
          <w:rFonts w:hint="eastAsia"/>
          <w:color w:val="auto"/>
        </w:rPr>
        <w:t>应符合表1的规定。</w:t>
      </w:r>
    </w:p>
    <w:p w14:paraId="21E0C9FC">
      <w:pPr>
        <w:pStyle w:val="112"/>
        <w:spacing w:before="120" w:after="120"/>
        <w:rPr>
          <w:color w:val="auto"/>
        </w:rPr>
      </w:pPr>
      <w:r>
        <w:rPr>
          <w:rFonts w:hint="eastAsia"/>
          <w:color w:val="auto"/>
        </w:rPr>
        <w:t>感官要求</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4667"/>
        <w:gridCol w:w="4667"/>
      </w:tblGrid>
      <w:tr w14:paraId="3973C3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4667" w:type="dxa"/>
            <w:tcBorders>
              <w:top w:val="single" w:color="auto" w:sz="8" w:space="0"/>
              <w:bottom w:val="single" w:color="auto" w:sz="8" w:space="0"/>
            </w:tcBorders>
            <w:vAlign w:val="center"/>
          </w:tcPr>
          <w:p w14:paraId="47B18071">
            <w:pPr>
              <w:pStyle w:val="178"/>
              <w:rPr>
                <w:color w:val="auto"/>
              </w:rPr>
            </w:pPr>
            <w:r>
              <w:rPr>
                <w:rFonts w:hint="eastAsia"/>
                <w:bCs/>
                <w:color w:val="auto"/>
              </w:rPr>
              <w:t>项目</w:t>
            </w:r>
          </w:p>
        </w:tc>
        <w:tc>
          <w:tcPr>
            <w:tcW w:w="4667" w:type="dxa"/>
            <w:tcBorders>
              <w:top w:val="single" w:color="auto" w:sz="8" w:space="0"/>
              <w:bottom w:val="single" w:color="auto" w:sz="8" w:space="0"/>
            </w:tcBorders>
            <w:vAlign w:val="center"/>
          </w:tcPr>
          <w:p w14:paraId="7F995C38">
            <w:pPr>
              <w:pStyle w:val="178"/>
              <w:rPr>
                <w:color w:val="auto"/>
              </w:rPr>
            </w:pPr>
            <w:r>
              <w:rPr>
                <w:rFonts w:hint="eastAsia"/>
                <w:bCs/>
                <w:color w:val="auto"/>
              </w:rPr>
              <w:t>要求</w:t>
            </w:r>
          </w:p>
        </w:tc>
      </w:tr>
      <w:tr w14:paraId="15659A0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667" w:type="dxa"/>
            <w:tcBorders>
              <w:top w:val="single" w:color="auto" w:sz="8" w:space="0"/>
            </w:tcBorders>
            <w:vAlign w:val="center"/>
          </w:tcPr>
          <w:p w14:paraId="2911D3AF">
            <w:pPr>
              <w:pStyle w:val="178"/>
              <w:rPr>
                <w:color w:val="auto"/>
              </w:rPr>
            </w:pPr>
            <w:r>
              <w:rPr>
                <w:rFonts w:hint="eastAsia"/>
                <w:bCs/>
                <w:color w:val="auto"/>
              </w:rPr>
              <w:t>色泽</w:t>
            </w:r>
          </w:p>
        </w:tc>
        <w:tc>
          <w:tcPr>
            <w:tcW w:w="4667" w:type="dxa"/>
            <w:tcBorders>
              <w:top w:val="single" w:color="auto" w:sz="8" w:space="0"/>
            </w:tcBorders>
          </w:tcPr>
          <w:p w14:paraId="2BF29C5E">
            <w:pPr>
              <w:pStyle w:val="178"/>
              <w:rPr>
                <w:color w:val="auto"/>
              </w:rPr>
            </w:pPr>
            <w:r>
              <w:rPr>
                <w:rFonts w:hint="eastAsia"/>
                <w:color w:val="auto"/>
              </w:rPr>
              <w:t>棕色到棕绿色</w:t>
            </w:r>
            <w:r>
              <w:rPr>
                <w:rFonts w:hint="eastAsia"/>
                <w:color w:val="auto"/>
                <w:szCs w:val="21"/>
              </w:rPr>
              <w:t>、色泽均匀</w:t>
            </w:r>
          </w:p>
        </w:tc>
      </w:tr>
      <w:tr w14:paraId="3ACDCA5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667" w:type="dxa"/>
          </w:tcPr>
          <w:p w14:paraId="75D34DF1">
            <w:pPr>
              <w:pStyle w:val="178"/>
              <w:rPr>
                <w:color w:val="auto"/>
              </w:rPr>
            </w:pPr>
            <w:r>
              <w:rPr>
                <w:rFonts w:hint="eastAsia"/>
                <w:color w:val="auto"/>
                <w:szCs w:val="21"/>
              </w:rPr>
              <w:t>滋味与气味</w:t>
            </w:r>
          </w:p>
        </w:tc>
        <w:tc>
          <w:tcPr>
            <w:tcW w:w="4667" w:type="dxa"/>
          </w:tcPr>
          <w:p w14:paraId="46620E5C">
            <w:pPr>
              <w:pStyle w:val="178"/>
              <w:rPr>
                <w:color w:val="auto"/>
              </w:rPr>
            </w:pPr>
            <w:r>
              <w:rPr>
                <w:rFonts w:hint="eastAsia"/>
                <w:color w:val="auto"/>
                <w:szCs w:val="21"/>
              </w:rPr>
              <w:t>具有本品特有的气味，味苦</w:t>
            </w:r>
          </w:p>
        </w:tc>
      </w:tr>
      <w:tr w14:paraId="7B1EA02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667" w:type="dxa"/>
            <w:vAlign w:val="center"/>
          </w:tcPr>
          <w:p w14:paraId="03D87388">
            <w:pPr>
              <w:pStyle w:val="178"/>
              <w:rPr>
                <w:color w:val="auto"/>
              </w:rPr>
            </w:pPr>
            <w:r>
              <w:rPr>
                <w:rFonts w:hint="eastAsia"/>
                <w:color w:val="auto"/>
              </w:rPr>
              <w:t>外观</w:t>
            </w:r>
          </w:p>
        </w:tc>
        <w:tc>
          <w:tcPr>
            <w:tcW w:w="4667" w:type="dxa"/>
          </w:tcPr>
          <w:p w14:paraId="21D4C88D">
            <w:pPr>
              <w:pStyle w:val="178"/>
              <w:rPr>
                <w:color w:val="auto"/>
              </w:rPr>
            </w:pPr>
            <w:r>
              <w:rPr>
                <w:rFonts w:hint="eastAsia"/>
                <w:color w:val="auto"/>
                <w:szCs w:val="21"/>
              </w:rPr>
              <w:t>均匀粉末，无肉眼可见异物</w:t>
            </w:r>
          </w:p>
        </w:tc>
      </w:tr>
    </w:tbl>
    <w:p w14:paraId="60F25387">
      <w:pPr>
        <w:pStyle w:val="65"/>
        <w:spacing w:before="120" w:after="120"/>
        <w:rPr>
          <w:color w:val="auto"/>
        </w:rPr>
      </w:pPr>
      <w:r>
        <w:rPr>
          <w:rFonts w:hint="eastAsia"/>
          <w:color w:val="auto"/>
        </w:rPr>
        <w:t>理化要求</w:t>
      </w:r>
    </w:p>
    <w:p w14:paraId="4B7B42C6">
      <w:pPr>
        <w:pStyle w:val="56"/>
        <w:ind w:firstLine="420"/>
        <w:rPr>
          <w:color w:val="auto"/>
        </w:rPr>
      </w:pPr>
      <w:r>
        <w:rPr>
          <w:rFonts w:hint="eastAsia"/>
          <w:color w:val="auto"/>
        </w:rPr>
        <w:t>应符合表2的规定。</w:t>
      </w:r>
    </w:p>
    <w:p w14:paraId="52BD92E0">
      <w:pPr>
        <w:pStyle w:val="112"/>
        <w:spacing w:before="120" w:after="120"/>
        <w:rPr>
          <w:color w:val="auto"/>
        </w:rPr>
      </w:pPr>
      <w:r>
        <w:rPr>
          <w:rFonts w:hint="eastAsia"/>
          <w:color w:val="auto"/>
        </w:rPr>
        <w:t>理化要求</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1833"/>
        <w:gridCol w:w="2835"/>
        <w:gridCol w:w="4666"/>
      </w:tblGrid>
      <w:tr w14:paraId="541586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4668" w:type="dxa"/>
            <w:gridSpan w:val="2"/>
            <w:tcBorders>
              <w:top w:val="single" w:color="auto" w:sz="8" w:space="0"/>
              <w:bottom w:val="single" w:color="auto" w:sz="8" w:space="0"/>
            </w:tcBorders>
            <w:vAlign w:val="center"/>
          </w:tcPr>
          <w:p w14:paraId="4DB87942">
            <w:pPr>
              <w:pStyle w:val="178"/>
              <w:rPr>
                <w:color w:val="auto"/>
              </w:rPr>
            </w:pPr>
            <w:r>
              <w:rPr>
                <w:rFonts w:hint="eastAsia"/>
                <w:color w:val="auto"/>
              </w:rPr>
              <w:t>项目</w:t>
            </w:r>
          </w:p>
        </w:tc>
        <w:tc>
          <w:tcPr>
            <w:tcW w:w="4666" w:type="dxa"/>
            <w:tcBorders>
              <w:top w:val="single" w:color="auto" w:sz="8" w:space="0"/>
              <w:bottom w:val="single" w:color="auto" w:sz="8" w:space="0"/>
            </w:tcBorders>
            <w:vAlign w:val="center"/>
          </w:tcPr>
          <w:p w14:paraId="3910C9AB">
            <w:pPr>
              <w:pStyle w:val="178"/>
              <w:rPr>
                <w:color w:val="auto"/>
              </w:rPr>
            </w:pPr>
            <w:r>
              <w:rPr>
                <w:rFonts w:hint="eastAsia"/>
                <w:color w:val="auto"/>
              </w:rPr>
              <w:t>指标</w:t>
            </w:r>
          </w:p>
        </w:tc>
      </w:tr>
      <w:tr w14:paraId="2F28F9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668" w:type="dxa"/>
            <w:gridSpan w:val="2"/>
            <w:tcBorders>
              <w:top w:val="single" w:color="auto" w:sz="8" w:space="0"/>
            </w:tcBorders>
            <w:vAlign w:val="center"/>
          </w:tcPr>
          <w:p w14:paraId="58C8689F">
            <w:pPr>
              <w:pStyle w:val="178"/>
              <w:rPr>
                <w:color w:val="auto"/>
              </w:rPr>
            </w:pPr>
            <w:r>
              <w:rPr>
                <w:color w:val="auto"/>
                <w:szCs w:val="21"/>
              </w:rPr>
              <w:t>鉴别</w:t>
            </w:r>
          </w:p>
        </w:tc>
        <w:tc>
          <w:tcPr>
            <w:tcW w:w="4666" w:type="dxa"/>
            <w:tcBorders>
              <w:top w:val="single" w:color="auto" w:sz="8" w:space="0"/>
            </w:tcBorders>
            <w:vAlign w:val="center"/>
          </w:tcPr>
          <w:p w14:paraId="1B628F87">
            <w:pPr>
              <w:pStyle w:val="178"/>
              <w:rPr>
                <w:color w:val="auto"/>
              </w:rPr>
            </w:pPr>
            <w:r>
              <w:rPr>
                <w:rFonts w:hint="eastAsia"/>
                <w:color w:val="auto"/>
                <w:szCs w:val="21"/>
              </w:rPr>
              <w:t>供试品色谱中，在与常春藤苷C、α-常春藤苷对照品色谱相应的位置上，显相同的斑点</w:t>
            </w:r>
          </w:p>
        </w:tc>
      </w:tr>
      <w:tr w14:paraId="68C25A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vAlign w:val="center"/>
          </w:tcPr>
          <w:p w14:paraId="5206B2F5">
            <w:pPr>
              <w:pStyle w:val="178"/>
              <w:rPr>
                <w:color w:val="auto"/>
              </w:rPr>
            </w:pPr>
            <w:r>
              <w:rPr>
                <w:rFonts w:hint="eastAsia"/>
                <w:color w:val="auto"/>
                <w:szCs w:val="21"/>
              </w:rPr>
              <w:t>指标成分含量</w:t>
            </w:r>
          </w:p>
        </w:tc>
        <w:tc>
          <w:tcPr>
            <w:tcW w:w="2835" w:type="dxa"/>
            <w:vAlign w:val="center"/>
          </w:tcPr>
          <w:p w14:paraId="660C3DC3">
            <w:pPr>
              <w:pStyle w:val="178"/>
              <w:rPr>
                <w:color w:val="auto"/>
              </w:rPr>
            </w:pPr>
            <w:r>
              <w:rPr>
                <w:rFonts w:hint="eastAsia"/>
                <w:color w:val="auto"/>
              </w:rPr>
              <w:t>常春藤苷C（按干燥品计）/%</w:t>
            </w:r>
          </w:p>
        </w:tc>
        <w:tc>
          <w:tcPr>
            <w:tcW w:w="4666" w:type="dxa"/>
          </w:tcPr>
          <w:p w14:paraId="7EAA5D18">
            <w:pPr>
              <w:pStyle w:val="178"/>
              <w:rPr>
                <w:color w:val="auto"/>
              </w:rPr>
            </w:pPr>
            <w:r>
              <w:rPr>
                <w:rFonts w:hint="eastAsia"/>
                <w:color w:val="auto"/>
              </w:rPr>
              <w:t>≥10.0</w:t>
            </w:r>
          </w:p>
        </w:tc>
      </w:tr>
      <w:tr w14:paraId="3049405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668" w:type="dxa"/>
            <w:gridSpan w:val="2"/>
            <w:vAlign w:val="center"/>
          </w:tcPr>
          <w:p w14:paraId="030B59BB">
            <w:pPr>
              <w:pStyle w:val="178"/>
              <w:rPr>
                <w:color w:val="auto"/>
              </w:rPr>
            </w:pPr>
            <w:r>
              <w:rPr>
                <w:rFonts w:hint="eastAsia"/>
                <w:color w:val="auto"/>
              </w:rPr>
              <w:t>粒度（80目筛通过率）/%</w:t>
            </w:r>
          </w:p>
        </w:tc>
        <w:tc>
          <w:tcPr>
            <w:tcW w:w="4666" w:type="dxa"/>
          </w:tcPr>
          <w:p w14:paraId="657E106E">
            <w:pPr>
              <w:pStyle w:val="178"/>
              <w:rPr>
                <w:color w:val="auto"/>
              </w:rPr>
            </w:pPr>
            <w:r>
              <w:rPr>
                <w:rFonts w:hint="eastAsia"/>
                <w:color w:val="auto"/>
              </w:rPr>
              <w:t>≥90.0</w:t>
            </w:r>
          </w:p>
        </w:tc>
      </w:tr>
      <w:tr w14:paraId="7F1204D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668" w:type="dxa"/>
            <w:gridSpan w:val="2"/>
            <w:vAlign w:val="center"/>
          </w:tcPr>
          <w:p w14:paraId="0535A45F">
            <w:pPr>
              <w:pStyle w:val="178"/>
              <w:rPr>
                <w:color w:val="auto"/>
              </w:rPr>
            </w:pPr>
            <w:r>
              <w:rPr>
                <w:rFonts w:hint="eastAsia"/>
                <w:color w:val="auto"/>
              </w:rPr>
              <w:t>水分</w:t>
            </w:r>
            <w:r>
              <w:rPr>
                <w:color w:val="auto"/>
              </w:rPr>
              <w:t>/%</w:t>
            </w:r>
          </w:p>
        </w:tc>
        <w:tc>
          <w:tcPr>
            <w:tcW w:w="4666" w:type="dxa"/>
          </w:tcPr>
          <w:p w14:paraId="75EF796B">
            <w:pPr>
              <w:pStyle w:val="178"/>
              <w:rPr>
                <w:color w:val="auto"/>
              </w:rPr>
            </w:pPr>
            <w:r>
              <w:rPr>
                <w:rFonts w:hint="eastAsia"/>
                <w:color w:val="auto"/>
              </w:rPr>
              <w:t>≤5.0</w:t>
            </w:r>
          </w:p>
        </w:tc>
      </w:tr>
      <w:tr w14:paraId="44CC86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668" w:type="dxa"/>
            <w:gridSpan w:val="2"/>
            <w:vAlign w:val="center"/>
          </w:tcPr>
          <w:p w14:paraId="714FA502">
            <w:pPr>
              <w:pStyle w:val="178"/>
              <w:rPr>
                <w:color w:val="auto"/>
              </w:rPr>
            </w:pPr>
            <w:r>
              <w:rPr>
                <w:rFonts w:hint="eastAsia"/>
                <w:color w:val="auto"/>
              </w:rPr>
              <w:t>灰分/%</w:t>
            </w:r>
          </w:p>
        </w:tc>
        <w:tc>
          <w:tcPr>
            <w:tcW w:w="4666" w:type="dxa"/>
          </w:tcPr>
          <w:p w14:paraId="177A2AE6">
            <w:pPr>
              <w:pStyle w:val="178"/>
              <w:rPr>
                <w:color w:val="auto"/>
              </w:rPr>
            </w:pPr>
            <w:r>
              <w:rPr>
                <w:rFonts w:hint="eastAsia"/>
                <w:color w:val="auto"/>
              </w:rPr>
              <w:t>≤8.0</w:t>
            </w:r>
          </w:p>
        </w:tc>
      </w:tr>
      <w:tr w14:paraId="15F3675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vMerge w:val="restart"/>
            <w:vAlign w:val="center"/>
          </w:tcPr>
          <w:p w14:paraId="753FB261">
            <w:pPr>
              <w:pStyle w:val="178"/>
              <w:rPr>
                <w:color w:val="auto"/>
              </w:rPr>
            </w:pPr>
            <w:r>
              <w:rPr>
                <w:rFonts w:hint="eastAsia"/>
                <w:color w:val="auto"/>
              </w:rPr>
              <w:t>重金属及有害元素</w:t>
            </w:r>
          </w:p>
        </w:tc>
        <w:tc>
          <w:tcPr>
            <w:tcW w:w="2835" w:type="dxa"/>
          </w:tcPr>
          <w:p w14:paraId="27AB37A3">
            <w:pPr>
              <w:pStyle w:val="178"/>
              <w:rPr>
                <w:color w:val="auto"/>
              </w:rPr>
            </w:pPr>
            <w:r>
              <w:rPr>
                <w:rFonts w:hint="eastAsia"/>
                <w:color w:val="auto"/>
              </w:rPr>
              <w:t>铅（Pb）/（mg/kg）</w:t>
            </w:r>
          </w:p>
        </w:tc>
        <w:tc>
          <w:tcPr>
            <w:tcW w:w="4666" w:type="dxa"/>
          </w:tcPr>
          <w:p w14:paraId="6E82408E">
            <w:pPr>
              <w:pStyle w:val="178"/>
              <w:rPr>
                <w:color w:val="auto"/>
              </w:rPr>
            </w:pPr>
            <w:r>
              <w:rPr>
                <w:rFonts w:hint="eastAsia"/>
                <w:color w:val="auto"/>
              </w:rPr>
              <w:t>≤3.0</w:t>
            </w:r>
          </w:p>
        </w:tc>
      </w:tr>
      <w:tr w14:paraId="2694CA3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vMerge w:val="continue"/>
            <w:vAlign w:val="center"/>
          </w:tcPr>
          <w:p w14:paraId="35D07A34">
            <w:pPr>
              <w:pStyle w:val="178"/>
              <w:rPr>
                <w:color w:val="auto"/>
              </w:rPr>
            </w:pPr>
          </w:p>
        </w:tc>
        <w:tc>
          <w:tcPr>
            <w:tcW w:w="2835" w:type="dxa"/>
          </w:tcPr>
          <w:p w14:paraId="19ECF190">
            <w:pPr>
              <w:pStyle w:val="178"/>
              <w:rPr>
                <w:color w:val="auto"/>
              </w:rPr>
            </w:pPr>
            <w:r>
              <w:rPr>
                <w:rFonts w:hint="eastAsia"/>
                <w:color w:val="auto"/>
              </w:rPr>
              <w:t>镉（Cd）/（mg/kg）</w:t>
            </w:r>
          </w:p>
        </w:tc>
        <w:tc>
          <w:tcPr>
            <w:tcW w:w="4666" w:type="dxa"/>
          </w:tcPr>
          <w:p w14:paraId="31FBDE88">
            <w:pPr>
              <w:pStyle w:val="178"/>
              <w:rPr>
                <w:color w:val="auto"/>
              </w:rPr>
            </w:pPr>
            <w:r>
              <w:rPr>
                <w:rFonts w:hint="eastAsia"/>
                <w:color w:val="auto"/>
              </w:rPr>
              <w:t>≤1.0</w:t>
            </w:r>
          </w:p>
        </w:tc>
      </w:tr>
      <w:tr w14:paraId="42FE45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vMerge w:val="continue"/>
            <w:vAlign w:val="center"/>
          </w:tcPr>
          <w:p w14:paraId="351F8743">
            <w:pPr>
              <w:pStyle w:val="178"/>
              <w:rPr>
                <w:color w:val="auto"/>
              </w:rPr>
            </w:pPr>
          </w:p>
        </w:tc>
        <w:tc>
          <w:tcPr>
            <w:tcW w:w="2835" w:type="dxa"/>
          </w:tcPr>
          <w:p w14:paraId="1594EDE8">
            <w:pPr>
              <w:pStyle w:val="178"/>
              <w:rPr>
                <w:color w:val="auto"/>
              </w:rPr>
            </w:pPr>
            <w:r>
              <w:rPr>
                <w:rFonts w:hint="eastAsia"/>
                <w:color w:val="auto"/>
              </w:rPr>
              <w:t>砷（As）/（mg/kg）</w:t>
            </w:r>
          </w:p>
        </w:tc>
        <w:tc>
          <w:tcPr>
            <w:tcW w:w="4666" w:type="dxa"/>
          </w:tcPr>
          <w:p w14:paraId="0D77AB96">
            <w:pPr>
              <w:pStyle w:val="178"/>
              <w:rPr>
                <w:color w:val="auto"/>
              </w:rPr>
            </w:pPr>
            <w:r>
              <w:rPr>
                <w:rFonts w:hint="eastAsia"/>
                <w:color w:val="auto"/>
              </w:rPr>
              <w:t>≤2.0</w:t>
            </w:r>
          </w:p>
        </w:tc>
      </w:tr>
      <w:tr w14:paraId="0839011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1833" w:type="dxa"/>
            <w:vMerge w:val="continue"/>
            <w:vAlign w:val="center"/>
          </w:tcPr>
          <w:p w14:paraId="2FCA840E">
            <w:pPr>
              <w:pStyle w:val="178"/>
              <w:rPr>
                <w:color w:val="auto"/>
              </w:rPr>
            </w:pPr>
          </w:p>
        </w:tc>
        <w:tc>
          <w:tcPr>
            <w:tcW w:w="2835" w:type="dxa"/>
          </w:tcPr>
          <w:p w14:paraId="0738C7FC">
            <w:pPr>
              <w:pStyle w:val="178"/>
              <w:rPr>
                <w:color w:val="auto"/>
              </w:rPr>
            </w:pPr>
            <w:r>
              <w:rPr>
                <w:rFonts w:hint="eastAsia"/>
                <w:color w:val="auto"/>
              </w:rPr>
              <w:t>汞（Hg）/（mg/kg）</w:t>
            </w:r>
          </w:p>
        </w:tc>
        <w:tc>
          <w:tcPr>
            <w:tcW w:w="4666" w:type="dxa"/>
          </w:tcPr>
          <w:p w14:paraId="285CB92F">
            <w:pPr>
              <w:pStyle w:val="178"/>
              <w:rPr>
                <w:color w:val="auto"/>
              </w:rPr>
            </w:pPr>
            <w:r>
              <w:rPr>
                <w:rFonts w:hint="eastAsia"/>
                <w:color w:val="auto"/>
              </w:rPr>
              <w:t>≤0.1</w:t>
            </w:r>
          </w:p>
        </w:tc>
      </w:tr>
      <w:tr w14:paraId="2BBBDA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668" w:type="dxa"/>
            <w:gridSpan w:val="2"/>
            <w:vAlign w:val="center"/>
          </w:tcPr>
          <w:p w14:paraId="0DEC827D">
            <w:pPr>
              <w:pStyle w:val="178"/>
              <w:rPr>
                <w:color w:val="auto"/>
              </w:rPr>
            </w:pPr>
            <w:r>
              <w:rPr>
                <w:rFonts w:hint="eastAsia"/>
                <w:color w:val="auto"/>
              </w:rPr>
              <w:t>残留溶剂（乙醇）/（mg/kg）</w:t>
            </w:r>
          </w:p>
        </w:tc>
        <w:tc>
          <w:tcPr>
            <w:tcW w:w="4666" w:type="dxa"/>
          </w:tcPr>
          <w:p w14:paraId="4556BDCA">
            <w:pPr>
              <w:pStyle w:val="178"/>
              <w:rPr>
                <w:color w:val="auto"/>
              </w:rPr>
            </w:pPr>
            <w:r>
              <w:rPr>
                <w:rFonts w:hint="eastAsia"/>
                <w:color w:val="auto"/>
              </w:rPr>
              <w:t>≤5000</w:t>
            </w:r>
          </w:p>
        </w:tc>
      </w:tr>
    </w:tbl>
    <w:p w14:paraId="60A92599">
      <w:pPr>
        <w:pStyle w:val="65"/>
        <w:spacing w:before="120" w:after="120"/>
        <w:rPr>
          <w:color w:val="auto"/>
        </w:rPr>
      </w:pPr>
      <w:r>
        <w:rPr>
          <w:rFonts w:hint="eastAsia"/>
          <w:color w:val="auto"/>
        </w:rPr>
        <w:t>微生物要求</w:t>
      </w:r>
    </w:p>
    <w:p w14:paraId="5414489B">
      <w:pPr>
        <w:pStyle w:val="56"/>
        <w:ind w:firstLine="420"/>
        <w:rPr>
          <w:color w:val="auto"/>
        </w:rPr>
      </w:pPr>
      <w:r>
        <w:rPr>
          <w:rFonts w:hint="eastAsia"/>
          <w:color w:val="auto"/>
        </w:rPr>
        <w:t>应符合表3的规定。</w:t>
      </w:r>
    </w:p>
    <w:p w14:paraId="29323CF9">
      <w:pPr>
        <w:pStyle w:val="112"/>
        <w:spacing w:before="120" w:after="120"/>
        <w:rPr>
          <w:color w:val="auto"/>
        </w:rPr>
      </w:pPr>
      <w:r>
        <w:rPr>
          <w:rFonts w:hint="eastAsia"/>
          <w:color w:val="auto"/>
        </w:rPr>
        <w:t>微生物要求</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0" w:type="dxa"/>
          <w:bottom w:w="0" w:type="dxa"/>
          <w:right w:w="0" w:type="dxa"/>
        </w:tblCellMar>
      </w:tblPr>
      <w:tblGrid>
        <w:gridCol w:w="4667"/>
        <w:gridCol w:w="4667"/>
      </w:tblGrid>
      <w:tr w14:paraId="62BF8A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blHeader/>
          <w:jc w:val="center"/>
        </w:trPr>
        <w:tc>
          <w:tcPr>
            <w:tcW w:w="4667" w:type="dxa"/>
            <w:tcBorders>
              <w:top w:val="single" w:color="auto" w:sz="8" w:space="0"/>
              <w:bottom w:val="single" w:color="auto" w:sz="8" w:space="0"/>
            </w:tcBorders>
            <w:vAlign w:val="center"/>
          </w:tcPr>
          <w:p w14:paraId="0759EE0F">
            <w:pPr>
              <w:pStyle w:val="178"/>
              <w:rPr>
                <w:color w:val="auto"/>
              </w:rPr>
            </w:pPr>
            <w:r>
              <w:rPr>
                <w:rFonts w:hint="eastAsia"/>
                <w:color w:val="auto"/>
              </w:rPr>
              <w:t>项目</w:t>
            </w:r>
          </w:p>
        </w:tc>
        <w:tc>
          <w:tcPr>
            <w:tcW w:w="4667" w:type="dxa"/>
            <w:tcBorders>
              <w:top w:val="single" w:color="auto" w:sz="8" w:space="0"/>
              <w:bottom w:val="single" w:color="auto" w:sz="8" w:space="0"/>
            </w:tcBorders>
            <w:vAlign w:val="center"/>
          </w:tcPr>
          <w:p w14:paraId="200E6182">
            <w:pPr>
              <w:pStyle w:val="178"/>
              <w:rPr>
                <w:color w:val="auto"/>
              </w:rPr>
            </w:pPr>
            <w:r>
              <w:rPr>
                <w:rFonts w:hint="eastAsia"/>
                <w:color w:val="auto"/>
              </w:rPr>
              <w:t>指标</w:t>
            </w:r>
          </w:p>
        </w:tc>
      </w:tr>
      <w:tr w14:paraId="543C09A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667" w:type="dxa"/>
            <w:tcBorders>
              <w:top w:val="single" w:color="auto" w:sz="8" w:space="0"/>
            </w:tcBorders>
            <w:vAlign w:val="center"/>
          </w:tcPr>
          <w:p w14:paraId="6933F4C7">
            <w:pPr>
              <w:pStyle w:val="178"/>
              <w:rPr>
                <w:color w:val="auto"/>
              </w:rPr>
            </w:pPr>
            <w:r>
              <w:rPr>
                <w:rFonts w:hint="eastAsia"/>
                <w:color w:val="auto"/>
              </w:rPr>
              <w:t>菌落总数/（CFU/g）</w:t>
            </w:r>
          </w:p>
        </w:tc>
        <w:tc>
          <w:tcPr>
            <w:tcW w:w="4667" w:type="dxa"/>
            <w:tcBorders>
              <w:top w:val="single" w:color="auto" w:sz="8" w:space="0"/>
            </w:tcBorders>
            <w:vAlign w:val="center"/>
          </w:tcPr>
          <w:p w14:paraId="09426C29">
            <w:pPr>
              <w:pStyle w:val="178"/>
              <w:rPr>
                <w:color w:val="auto"/>
              </w:rPr>
            </w:pPr>
            <w:r>
              <w:rPr>
                <w:rFonts w:hint="eastAsia"/>
                <w:color w:val="auto"/>
              </w:rPr>
              <w:t>≤1000</w:t>
            </w:r>
          </w:p>
        </w:tc>
      </w:tr>
      <w:tr w14:paraId="51F00C7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667" w:type="dxa"/>
            <w:vAlign w:val="center"/>
          </w:tcPr>
          <w:p w14:paraId="1E4B44AE">
            <w:pPr>
              <w:pStyle w:val="178"/>
              <w:rPr>
                <w:color w:val="auto"/>
              </w:rPr>
            </w:pPr>
            <w:r>
              <w:rPr>
                <w:rFonts w:hint="eastAsia"/>
                <w:color w:val="auto"/>
              </w:rPr>
              <w:t>霉菌和酵母/（CFU/g）</w:t>
            </w:r>
          </w:p>
        </w:tc>
        <w:tc>
          <w:tcPr>
            <w:tcW w:w="4667" w:type="dxa"/>
            <w:vAlign w:val="center"/>
          </w:tcPr>
          <w:p w14:paraId="48968819">
            <w:pPr>
              <w:pStyle w:val="178"/>
              <w:rPr>
                <w:color w:val="auto"/>
              </w:rPr>
            </w:pPr>
            <w:r>
              <w:rPr>
                <w:rFonts w:hint="eastAsia"/>
                <w:color w:val="auto"/>
              </w:rPr>
              <w:t>≤100</w:t>
            </w:r>
          </w:p>
        </w:tc>
      </w:tr>
      <w:tr w14:paraId="3F01DF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667" w:type="dxa"/>
          </w:tcPr>
          <w:p w14:paraId="011ADB7F">
            <w:pPr>
              <w:pStyle w:val="178"/>
              <w:rPr>
                <w:color w:val="auto"/>
              </w:rPr>
            </w:pPr>
            <w:r>
              <w:rPr>
                <w:rFonts w:hint="eastAsia"/>
                <w:color w:val="auto"/>
              </w:rPr>
              <w:t>大肠菌群/（MPN/g）</w:t>
            </w:r>
          </w:p>
        </w:tc>
        <w:tc>
          <w:tcPr>
            <w:tcW w:w="4667" w:type="dxa"/>
          </w:tcPr>
          <w:p w14:paraId="7E633554">
            <w:pPr>
              <w:pStyle w:val="178"/>
              <w:rPr>
                <w:color w:val="auto"/>
              </w:rPr>
            </w:pPr>
            <w:r>
              <w:rPr>
                <w:rFonts w:hint="eastAsia"/>
                <w:color w:val="auto"/>
              </w:rPr>
              <w:t>≤3.0</w:t>
            </w:r>
          </w:p>
        </w:tc>
      </w:tr>
      <w:tr w14:paraId="18762A3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667" w:type="dxa"/>
            <w:vAlign w:val="center"/>
          </w:tcPr>
          <w:p w14:paraId="45E59DBC">
            <w:pPr>
              <w:pStyle w:val="178"/>
              <w:rPr>
                <w:color w:val="auto"/>
              </w:rPr>
            </w:pPr>
            <w:r>
              <w:rPr>
                <w:rFonts w:hint="eastAsia"/>
                <w:color w:val="auto"/>
              </w:rPr>
              <w:t>沙门氏菌/2</w:t>
            </w:r>
            <w:r>
              <w:rPr>
                <w:color w:val="auto"/>
              </w:rPr>
              <w:t>5</w:t>
            </w:r>
            <w:r>
              <w:rPr>
                <w:rFonts w:hint="eastAsia"/>
                <w:color w:val="auto"/>
              </w:rPr>
              <w:t>g</w:t>
            </w:r>
          </w:p>
        </w:tc>
        <w:tc>
          <w:tcPr>
            <w:tcW w:w="4667" w:type="dxa"/>
            <w:vAlign w:val="center"/>
          </w:tcPr>
          <w:p w14:paraId="14E10B2B">
            <w:pPr>
              <w:pStyle w:val="178"/>
              <w:rPr>
                <w:color w:val="auto"/>
              </w:rPr>
            </w:pPr>
            <w:r>
              <w:rPr>
                <w:rFonts w:hint="eastAsia"/>
                <w:color w:val="auto"/>
              </w:rPr>
              <w:t>不得检出</w:t>
            </w:r>
          </w:p>
        </w:tc>
      </w:tr>
      <w:tr w14:paraId="17BC28B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667" w:type="dxa"/>
            <w:tcBorders>
              <w:bottom w:val="single" w:color="auto" w:sz="8" w:space="0"/>
            </w:tcBorders>
            <w:vAlign w:val="center"/>
          </w:tcPr>
          <w:p w14:paraId="083F5A27">
            <w:pPr>
              <w:pStyle w:val="178"/>
              <w:rPr>
                <w:color w:val="auto"/>
              </w:rPr>
            </w:pPr>
            <w:r>
              <w:rPr>
                <w:rFonts w:hint="eastAsia"/>
                <w:color w:val="auto"/>
              </w:rPr>
              <w:t>金黄色葡萄球菌/25g</w:t>
            </w:r>
          </w:p>
        </w:tc>
        <w:tc>
          <w:tcPr>
            <w:tcW w:w="4667" w:type="dxa"/>
            <w:tcBorders>
              <w:bottom w:val="single" w:color="auto" w:sz="8" w:space="0"/>
            </w:tcBorders>
            <w:vAlign w:val="center"/>
          </w:tcPr>
          <w:p w14:paraId="0172448B">
            <w:pPr>
              <w:pStyle w:val="178"/>
              <w:rPr>
                <w:color w:val="auto"/>
              </w:rPr>
            </w:pPr>
            <w:r>
              <w:rPr>
                <w:rFonts w:hint="eastAsia"/>
                <w:color w:val="auto"/>
              </w:rPr>
              <w:t>不得检出</w:t>
            </w:r>
          </w:p>
        </w:tc>
      </w:tr>
    </w:tbl>
    <w:p w14:paraId="2872D25E">
      <w:pPr>
        <w:pStyle w:val="65"/>
        <w:spacing w:before="120" w:after="120"/>
        <w:rPr>
          <w:color w:val="auto"/>
        </w:rPr>
      </w:pPr>
      <w:r>
        <w:rPr>
          <w:rFonts w:hint="eastAsia"/>
          <w:color w:val="auto"/>
        </w:rPr>
        <w:t>其他污染物</w:t>
      </w:r>
    </w:p>
    <w:p w14:paraId="57FD35FA">
      <w:pPr>
        <w:pStyle w:val="56"/>
        <w:ind w:firstLine="420"/>
        <w:rPr>
          <w:color w:val="auto"/>
        </w:rPr>
      </w:pPr>
      <w:r>
        <w:rPr>
          <w:rFonts w:hint="eastAsia"/>
          <w:color w:val="auto"/>
        </w:rPr>
        <w:t>其他污染物限量要求，依据不同要求，应符合我国相关法规的规定。对于出口产品，应符合出口目的国相关法规的规定。</w:t>
      </w:r>
    </w:p>
    <w:p w14:paraId="280CA781">
      <w:pPr>
        <w:pStyle w:val="104"/>
        <w:spacing w:before="240" w:after="240"/>
        <w:rPr>
          <w:color w:val="auto"/>
        </w:rPr>
      </w:pPr>
      <w:r>
        <w:rPr>
          <w:rFonts w:hint="eastAsia"/>
          <w:color w:val="auto"/>
        </w:rPr>
        <w:t>检验方法</w:t>
      </w:r>
    </w:p>
    <w:p w14:paraId="0882BC69">
      <w:pPr>
        <w:pStyle w:val="105"/>
        <w:spacing w:before="120" w:after="120"/>
        <w:rPr>
          <w:color w:val="auto"/>
        </w:rPr>
      </w:pPr>
      <w:r>
        <w:rPr>
          <w:rFonts w:hint="eastAsia"/>
          <w:color w:val="auto"/>
        </w:rPr>
        <w:t>感官检验</w:t>
      </w:r>
    </w:p>
    <w:p w14:paraId="1A82B2A2">
      <w:pPr>
        <w:pStyle w:val="56"/>
        <w:ind w:firstLine="420"/>
        <w:rPr>
          <w:color w:val="auto"/>
        </w:rPr>
      </w:pPr>
      <w:r>
        <w:rPr>
          <w:rFonts w:hint="eastAsia"/>
          <w:color w:val="auto"/>
        </w:rPr>
        <w:t>启开试样后，立即嗅其气味，尝其滋味；另取试样适量置于白色瓷盘中，在自然光线下，观察其色泽、外观，并检查有无异物。</w:t>
      </w:r>
    </w:p>
    <w:p w14:paraId="230BA3F4">
      <w:pPr>
        <w:pStyle w:val="105"/>
        <w:spacing w:before="120" w:after="120"/>
        <w:rPr>
          <w:color w:val="auto"/>
        </w:rPr>
      </w:pPr>
      <w:r>
        <w:rPr>
          <w:rFonts w:hint="eastAsia"/>
          <w:color w:val="auto"/>
        </w:rPr>
        <w:t>理化检验</w:t>
      </w:r>
    </w:p>
    <w:p w14:paraId="109D9CD6">
      <w:pPr>
        <w:pStyle w:val="65"/>
        <w:spacing w:before="120" w:after="120"/>
        <w:rPr>
          <w:color w:val="auto"/>
        </w:rPr>
      </w:pPr>
      <w:r>
        <w:rPr>
          <w:rFonts w:hint="eastAsia"/>
          <w:color w:val="auto"/>
        </w:rPr>
        <w:t>鉴别</w:t>
      </w:r>
    </w:p>
    <w:p w14:paraId="09968561">
      <w:pPr>
        <w:pStyle w:val="56"/>
        <w:ind w:firstLine="420"/>
        <w:rPr>
          <w:color w:val="auto"/>
        </w:rPr>
      </w:pPr>
      <w:r>
        <w:rPr>
          <w:rFonts w:hint="eastAsia"/>
          <w:color w:val="auto"/>
        </w:rPr>
        <w:t>按</w:t>
      </w:r>
      <w:r>
        <w:rPr>
          <w:rFonts w:hint="eastAsia" w:hAnsi="宋体" w:cs="宋体"/>
          <w:color w:val="auto"/>
        </w:rPr>
        <w:t>附录A中</w:t>
      </w:r>
      <w:r>
        <w:rPr>
          <w:rFonts w:hint="eastAsia"/>
          <w:color w:val="auto"/>
        </w:rPr>
        <w:t>A.2规定的方法进行测定，</w:t>
      </w:r>
      <w:r>
        <w:rPr>
          <w:rFonts w:hint="eastAsia" w:hAnsi="宋体" w:cs="宋体"/>
          <w:color w:val="auto"/>
        </w:rPr>
        <w:t>鉴别色谱图参照附录B中图B.1</w:t>
      </w:r>
      <w:r>
        <w:rPr>
          <w:rFonts w:hint="eastAsia"/>
          <w:color w:val="auto"/>
        </w:rPr>
        <w:t>。</w:t>
      </w:r>
    </w:p>
    <w:p w14:paraId="6E878039">
      <w:pPr>
        <w:pStyle w:val="65"/>
        <w:spacing w:before="120" w:after="120"/>
        <w:rPr>
          <w:color w:val="auto"/>
        </w:rPr>
      </w:pPr>
      <w:r>
        <w:rPr>
          <w:rFonts w:hint="eastAsia"/>
          <w:color w:val="auto"/>
        </w:rPr>
        <w:t>常春藤苷C</w:t>
      </w:r>
    </w:p>
    <w:p w14:paraId="5F4F0E6E">
      <w:pPr>
        <w:pStyle w:val="56"/>
        <w:ind w:firstLine="420"/>
        <w:rPr>
          <w:color w:val="auto"/>
        </w:rPr>
      </w:pPr>
      <w:r>
        <w:rPr>
          <w:rFonts w:hint="eastAsia"/>
          <w:color w:val="auto"/>
        </w:rPr>
        <w:t>按</w:t>
      </w:r>
      <w:r>
        <w:rPr>
          <w:rFonts w:hint="eastAsia" w:hAnsi="宋体" w:cs="宋体"/>
          <w:color w:val="auto"/>
        </w:rPr>
        <w:t>附录A中</w:t>
      </w:r>
      <w:r>
        <w:rPr>
          <w:rFonts w:hint="eastAsia"/>
          <w:color w:val="auto"/>
        </w:rPr>
        <w:t>A.</w:t>
      </w:r>
      <w:r>
        <w:rPr>
          <w:color w:val="auto"/>
        </w:rPr>
        <w:t>3</w:t>
      </w:r>
      <w:r>
        <w:rPr>
          <w:rFonts w:hint="eastAsia"/>
          <w:color w:val="auto"/>
        </w:rPr>
        <w:t>规定的方法进行测定。</w:t>
      </w:r>
    </w:p>
    <w:p w14:paraId="76E97863">
      <w:pPr>
        <w:pStyle w:val="65"/>
        <w:spacing w:before="120" w:after="120"/>
        <w:rPr>
          <w:color w:val="auto"/>
        </w:rPr>
      </w:pPr>
      <w:r>
        <w:rPr>
          <w:rFonts w:hint="eastAsia"/>
          <w:color w:val="auto"/>
        </w:rPr>
        <w:t>粒度</w:t>
      </w:r>
    </w:p>
    <w:p w14:paraId="75BC536A">
      <w:pPr>
        <w:pStyle w:val="56"/>
        <w:ind w:firstLine="420"/>
        <w:rPr>
          <w:color w:val="auto"/>
        </w:rPr>
      </w:pPr>
      <w:r>
        <w:rPr>
          <w:rFonts w:hint="eastAsia"/>
          <w:color w:val="auto"/>
        </w:rPr>
        <w:t>按《中华人民共和国药典（2025年版）》第四部 通则 0982 粒度和粒度分布测定法第二法（筛分法）进行测定。</w:t>
      </w:r>
    </w:p>
    <w:p w14:paraId="54D9079C">
      <w:pPr>
        <w:pStyle w:val="65"/>
        <w:spacing w:before="120" w:after="120"/>
        <w:rPr>
          <w:color w:val="auto"/>
        </w:rPr>
      </w:pPr>
      <w:r>
        <w:rPr>
          <w:rFonts w:hint="eastAsia"/>
          <w:color w:val="auto"/>
        </w:rPr>
        <w:t>水分</w:t>
      </w:r>
    </w:p>
    <w:p w14:paraId="2505E07D">
      <w:pPr>
        <w:pStyle w:val="56"/>
        <w:ind w:firstLine="420"/>
        <w:rPr>
          <w:color w:val="auto"/>
        </w:rPr>
      </w:pPr>
      <w:r>
        <w:rPr>
          <w:rFonts w:hint="eastAsia"/>
          <w:color w:val="auto"/>
        </w:rPr>
        <w:t>按GB 5009.</w:t>
      </w:r>
      <w:r>
        <w:rPr>
          <w:color w:val="auto"/>
        </w:rPr>
        <w:t>3</w:t>
      </w:r>
      <w:r>
        <w:rPr>
          <w:rFonts w:hint="eastAsia"/>
          <w:color w:val="auto"/>
        </w:rPr>
        <w:t>的第二法进行测定。</w:t>
      </w:r>
    </w:p>
    <w:p w14:paraId="6D81D5B4">
      <w:pPr>
        <w:pStyle w:val="65"/>
        <w:spacing w:before="120" w:after="120"/>
        <w:rPr>
          <w:color w:val="auto"/>
        </w:rPr>
      </w:pPr>
      <w:r>
        <w:rPr>
          <w:rFonts w:hint="eastAsia"/>
          <w:color w:val="auto"/>
        </w:rPr>
        <w:t>重金属及有害元素</w:t>
      </w:r>
    </w:p>
    <w:p w14:paraId="28F0405F">
      <w:pPr>
        <w:pStyle w:val="56"/>
        <w:ind w:firstLine="420"/>
        <w:rPr>
          <w:color w:val="auto"/>
        </w:rPr>
      </w:pPr>
      <w:r>
        <w:rPr>
          <w:rFonts w:hint="eastAsia"/>
          <w:color w:val="auto"/>
        </w:rPr>
        <w:t>按《中华人民共和国药典（2025年版）》第四部 通则 2321 铅、镉、砷、汞、铜测定法进行测定。</w:t>
      </w:r>
    </w:p>
    <w:p w14:paraId="23E2383B">
      <w:pPr>
        <w:pStyle w:val="65"/>
        <w:spacing w:before="120" w:after="120"/>
        <w:rPr>
          <w:color w:val="auto"/>
        </w:rPr>
      </w:pPr>
      <w:r>
        <w:rPr>
          <w:rFonts w:hint="eastAsia"/>
          <w:color w:val="auto"/>
        </w:rPr>
        <w:t>残留溶剂</w:t>
      </w:r>
    </w:p>
    <w:p w14:paraId="3894005B">
      <w:pPr>
        <w:pStyle w:val="56"/>
        <w:ind w:firstLine="420"/>
        <w:rPr>
          <w:color w:val="auto"/>
        </w:rPr>
      </w:pPr>
      <w:r>
        <w:rPr>
          <w:rFonts w:hint="eastAsia"/>
          <w:color w:val="auto"/>
        </w:rPr>
        <w:t>按《中华人民共和国药典（2025年版）》第四部 通则 0861 残留溶剂测定法进行测定。</w:t>
      </w:r>
    </w:p>
    <w:p w14:paraId="20DE837E">
      <w:pPr>
        <w:pStyle w:val="105"/>
        <w:spacing w:before="120" w:after="120"/>
        <w:rPr>
          <w:color w:val="auto"/>
        </w:rPr>
      </w:pPr>
      <w:r>
        <w:rPr>
          <w:rFonts w:hint="eastAsia"/>
          <w:color w:val="auto"/>
        </w:rPr>
        <w:t>微生物检验</w:t>
      </w:r>
    </w:p>
    <w:p w14:paraId="136749D9">
      <w:pPr>
        <w:pStyle w:val="65"/>
        <w:spacing w:before="120" w:after="120"/>
        <w:rPr>
          <w:color w:val="auto"/>
        </w:rPr>
      </w:pPr>
      <w:r>
        <w:rPr>
          <w:rFonts w:hint="eastAsia"/>
          <w:color w:val="auto"/>
        </w:rPr>
        <w:t>菌落总数</w:t>
      </w:r>
    </w:p>
    <w:p w14:paraId="7C88D1D6">
      <w:pPr>
        <w:pStyle w:val="56"/>
        <w:ind w:firstLine="420"/>
        <w:rPr>
          <w:color w:val="auto"/>
        </w:rPr>
      </w:pPr>
      <w:r>
        <w:rPr>
          <w:rFonts w:hint="eastAsia"/>
          <w:color w:val="auto"/>
        </w:rPr>
        <w:t>按GB 4789.2中规定的方法测定。</w:t>
      </w:r>
    </w:p>
    <w:p w14:paraId="27E6EDF0">
      <w:pPr>
        <w:pStyle w:val="65"/>
        <w:spacing w:before="120" w:after="120"/>
        <w:rPr>
          <w:color w:val="auto"/>
        </w:rPr>
      </w:pPr>
      <w:r>
        <w:rPr>
          <w:rFonts w:hint="eastAsia"/>
          <w:color w:val="auto"/>
        </w:rPr>
        <w:t>霉菌和酵母</w:t>
      </w:r>
    </w:p>
    <w:p w14:paraId="6142D8F1">
      <w:pPr>
        <w:pStyle w:val="56"/>
        <w:ind w:firstLine="420"/>
        <w:rPr>
          <w:color w:val="auto"/>
        </w:rPr>
      </w:pPr>
      <w:r>
        <w:rPr>
          <w:rFonts w:hint="eastAsia"/>
          <w:color w:val="auto"/>
        </w:rPr>
        <w:t>按GB 4789.15中规定的方法测定。</w:t>
      </w:r>
    </w:p>
    <w:p w14:paraId="5C897DB3">
      <w:pPr>
        <w:pStyle w:val="65"/>
        <w:spacing w:before="120" w:after="120"/>
        <w:rPr>
          <w:color w:val="auto"/>
        </w:rPr>
      </w:pPr>
      <w:r>
        <w:rPr>
          <w:rFonts w:hint="eastAsia"/>
          <w:color w:val="auto"/>
        </w:rPr>
        <w:t>大肠菌群</w:t>
      </w:r>
    </w:p>
    <w:p w14:paraId="21A8284D">
      <w:pPr>
        <w:pStyle w:val="56"/>
        <w:ind w:firstLine="420"/>
        <w:rPr>
          <w:color w:val="auto"/>
        </w:rPr>
      </w:pPr>
      <w:r>
        <w:rPr>
          <w:rFonts w:hint="eastAsia"/>
          <w:color w:val="auto"/>
        </w:rPr>
        <w:t>按GB 4789.3中规定的方法进行测定。</w:t>
      </w:r>
    </w:p>
    <w:p w14:paraId="4B1ED781">
      <w:pPr>
        <w:pStyle w:val="65"/>
        <w:spacing w:before="120" w:after="120"/>
        <w:rPr>
          <w:color w:val="auto"/>
        </w:rPr>
      </w:pPr>
      <w:r>
        <w:rPr>
          <w:rFonts w:hint="eastAsia"/>
          <w:color w:val="auto"/>
        </w:rPr>
        <w:t>沙门氏菌</w:t>
      </w:r>
    </w:p>
    <w:p w14:paraId="793E5F47">
      <w:pPr>
        <w:pStyle w:val="56"/>
        <w:ind w:firstLine="420"/>
        <w:rPr>
          <w:color w:val="auto"/>
        </w:rPr>
      </w:pPr>
      <w:r>
        <w:rPr>
          <w:rFonts w:hint="eastAsia"/>
          <w:color w:val="auto"/>
        </w:rPr>
        <w:t>按GB 4789.4中规定的方法测定。</w:t>
      </w:r>
    </w:p>
    <w:p w14:paraId="68DA2AD1">
      <w:pPr>
        <w:pStyle w:val="65"/>
        <w:spacing w:before="120" w:after="120"/>
        <w:rPr>
          <w:color w:val="auto"/>
        </w:rPr>
      </w:pPr>
      <w:r>
        <w:rPr>
          <w:rFonts w:hint="eastAsia"/>
          <w:color w:val="auto"/>
        </w:rPr>
        <w:t>金黄色葡萄球菌</w:t>
      </w:r>
    </w:p>
    <w:p w14:paraId="14A96FDE">
      <w:pPr>
        <w:pStyle w:val="56"/>
        <w:ind w:firstLine="420"/>
        <w:rPr>
          <w:color w:val="auto"/>
        </w:rPr>
      </w:pPr>
      <w:r>
        <w:rPr>
          <w:rFonts w:hint="eastAsia"/>
          <w:color w:val="auto"/>
        </w:rPr>
        <w:t>按GB 4789.</w:t>
      </w:r>
      <w:r>
        <w:rPr>
          <w:color w:val="auto"/>
        </w:rPr>
        <w:t>10</w:t>
      </w:r>
      <w:r>
        <w:rPr>
          <w:rFonts w:hint="eastAsia"/>
          <w:color w:val="auto"/>
        </w:rPr>
        <w:t>中规定的方法测定。</w:t>
      </w:r>
    </w:p>
    <w:p w14:paraId="43354641">
      <w:pPr>
        <w:pStyle w:val="104"/>
        <w:spacing w:before="240" w:after="240"/>
        <w:rPr>
          <w:color w:val="auto"/>
        </w:rPr>
      </w:pPr>
      <w:r>
        <w:rPr>
          <w:rFonts w:hint="eastAsia"/>
          <w:color w:val="auto"/>
        </w:rPr>
        <w:t>检验规则</w:t>
      </w:r>
    </w:p>
    <w:p w14:paraId="6DD504B3">
      <w:pPr>
        <w:pStyle w:val="105"/>
        <w:spacing w:before="120" w:after="120"/>
        <w:rPr>
          <w:color w:val="auto"/>
        </w:rPr>
      </w:pPr>
      <w:r>
        <w:rPr>
          <w:rFonts w:hint="eastAsia"/>
          <w:color w:val="auto"/>
        </w:rPr>
        <w:t>组批</w:t>
      </w:r>
    </w:p>
    <w:p w14:paraId="2022461C">
      <w:pPr>
        <w:pStyle w:val="56"/>
        <w:ind w:firstLine="420"/>
        <w:rPr>
          <w:color w:val="auto"/>
        </w:rPr>
      </w:pPr>
      <w:r>
        <w:rPr>
          <w:rFonts w:hint="eastAsia"/>
          <w:color w:val="auto"/>
        </w:rPr>
        <w:t>同一批投料生产的产品，以同一生产日期为一检验批次。</w:t>
      </w:r>
    </w:p>
    <w:p w14:paraId="5DE8560B">
      <w:pPr>
        <w:pStyle w:val="105"/>
        <w:spacing w:before="120" w:after="120"/>
        <w:rPr>
          <w:color w:val="auto"/>
        </w:rPr>
      </w:pPr>
      <w:r>
        <w:rPr>
          <w:rFonts w:hint="eastAsia"/>
          <w:color w:val="auto"/>
        </w:rPr>
        <w:t>抽样</w:t>
      </w:r>
    </w:p>
    <w:p w14:paraId="3539D4D7">
      <w:pPr>
        <w:pStyle w:val="56"/>
        <w:ind w:firstLine="420"/>
        <w:rPr>
          <w:color w:val="auto"/>
        </w:rPr>
      </w:pPr>
      <w:r>
        <w:rPr>
          <w:color w:val="auto"/>
        </w:rPr>
        <w:t>从每批成品中随机抽取样品，抽样数量应满足检验和留样需求。</w:t>
      </w:r>
    </w:p>
    <w:p w14:paraId="06A704B7">
      <w:pPr>
        <w:pStyle w:val="105"/>
        <w:spacing w:before="120" w:after="120"/>
        <w:rPr>
          <w:color w:val="auto"/>
        </w:rPr>
      </w:pPr>
      <w:r>
        <w:rPr>
          <w:rFonts w:hint="eastAsia"/>
          <w:color w:val="auto"/>
        </w:rPr>
        <w:t>出厂检验</w:t>
      </w:r>
    </w:p>
    <w:p w14:paraId="506C9455">
      <w:pPr>
        <w:pStyle w:val="165"/>
        <w:rPr>
          <w:color w:val="auto"/>
        </w:rPr>
      </w:pPr>
      <w:r>
        <w:rPr>
          <w:rFonts w:hint="eastAsia"/>
          <w:color w:val="auto"/>
        </w:rPr>
        <w:t>产品应逐批检验，</w:t>
      </w:r>
      <w:r>
        <w:rPr>
          <w:color w:val="auto"/>
          <w:szCs w:val="21"/>
        </w:rPr>
        <w:t>检验合格后产品方可出厂</w:t>
      </w:r>
      <w:r>
        <w:rPr>
          <w:rFonts w:hint="eastAsia"/>
          <w:color w:val="auto"/>
        </w:rPr>
        <w:t>。</w:t>
      </w:r>
    </w:p>
    <w:p w14:paraId="70834F07">
      <w:pPr>
        <w:pStyle w:val="165"/>
        <w:rPr>
          <w:color w:val="auto"/>
        </w:rPr>
      </w:pPr>
      <w:r>
        <w:rPr>
          <w:rFonts w:hint="eastAsia"/>
          <w:color w:val="auto"/>
        </w:rPr>
        <w:t>出厂检验项目：外观、常春藤苷C、水分、菌落总数、霉菌和酵母、大肠菌群。</w:t>
      </w:r>
    </w:p>
    <w:p w14:paraId="787BAAB0">
      <w:pPr>
        <w:pStyle w:val="105"/>
        <w:spacing w:before="120" w:after="120"/>
        <w:rPr>
          <w:color w:val="auto"/>
        </w:rPr>
      </w:pPr>
      <w:r>
        <w:rPr>
          <w:rFonts w:hint="eastAsia"/>
          <w:color w:val="auto"/>
        </w:rPr>
        <w:t>型式检验</w:t>
      </w:r>
    </w:p>
    <w:p w14:paraId="3B50188D">
      <w:pPr>
        <w:pStyle w:val="165"/>
        <w:rPr>
          <w:color w:val="auto"/>
        </w:rPr>
      </w:pPr>
      <w:r>
        <w:rPr>
          <w:rFonts w:hint="eastAsia"/>
          <w:color w:val="auto"/>
        </w:rPr>
        <w:t>型式检验项目包括本文件中规定的全部项目。</w:t>
      </w:r>
    </w:p>
    <w:p w14:paraId="0ACAA162">
      <w:pPr>
        <w:pStyle w:val="165"/>
        <w:rPr>
          <w:color w:val="auto"/>
        </w:rPr>
      </w:pPr>
      <w:r>
        <w:rPr>
          <w:rFonts w:hint="eastAsia"/>
          <w:color w:val="auto"/>
        </w:rPr>
        <w:t>正常生产时每年应进行一次型式检验。</w:t>
      </w:r>
    </w:p>
    <w:p w14:paraId="1A9DDD02">
      <w:pPr>
        <w:pStyle w:val="165"/>
        <w:rPr>
          <w:color w:val="auto"/>
        </w:rPr>
      </w:pPr>
      <w:r>
        <w:rPr>
          <w:rFonts w:hint="eastAsia"/>
          <w:color w:val="auto"/>
        </w:rPr>
        <w:t>有下列情况之一时应进行型式检验。</w:t>
      </w:r>
    </w:p>
    <w:p w14:paraId="3534563E">
      <w:pPr>
        <w:pStyle w:val="174"/>
        <w:rPr>
          <w:color w:val="auto"/>
        </w:rPr>
      </w:pPr>
      <w:r>
        <w:rPr>
          <w:rFonts w:hint="eastAsia"/>
          <w:color w:val="auto"/>
        </w:rPr>
        <w:t>原料来源变动较大时；</w:t>
      </w:r>
    </w:p>
    <w:p w14:paraId="33DD4B10">
      <w:pPr>
        <w:pStyle w:val="174"/>
        <w:rPr>
          <w:color w:val="auto"/>
        </w:rPr>
      </w:pPr>
      <w:r>
        <w:rPr>
          <w:rFonts w:hint="eastAsia"/>
          <w:color w:val="auto"/>
        </w:rPr>
        <w:t>正式投产后，如配方、生产工艺有较大变化，可能影响产品质量时；</w:t>
      </w:r>
    </w:p>
    <w:p w14:paraId="4B9563AD">
      <w:pPr>
        <w:pStyle w:val="174"/>
        <w:rPr>
          <w:color w:val="auto"/>
        </w:rPr>
      </w:pPr>
      <w:r>
        <w:rPr>
          <w:rFonts w:hint="eastAsia"/>
          <w:color w:val="auto"/>
        </w:rPr>
        <w:t>出厂检验与上一次型式检验结果有较大差异时；</w:t>
      </w:r>
    </w:p>
    <w:p w14:paraId="3D1DCCE6">
      <w:pPr>
        <w:pStyle w:val="174"/>
        <w:rPr>
          <w:color w:val="auto"/>
        </w:rPr>
      </w:pPr>
      <w:r>
        <w:rPr>
          <w:rFonts w:hint="eastAsia"/>
          <w:color w:val="auto"/>
        </w:rPr>
        <w:t>产品停产6个月以上，恢复生产时；</w:t>
      </w:r>
    </w:p>
    <w:p w14:paraId="3B4A605B">
      <w:pPr>
        <w:pStyle w:val="174"/>
        <w:rPr>
          <w:color w:val="auto"/>
        </w:rPr>
      </w:pPr>
      <w:r>
        <w:rPr>
          <w:rFonts w:hint="eastAsia"/>
          <w:color w:val="auto"/>
        </w:rPr>
        <w:t>市场监督管理部门提出进行型式检验的要求时。</w:t>
      </w:r>
    </w:p>
    <w:p w14:paraId="2F5F63DE">
      <w:pPr>
        <w:pStyle w:val="105"/>
        <w:spacing w:before="120" w:after="120"/>
      </w:pPr>
      <w:r>
        <w:rPr>
          <w:rFonts w:hint="eastAsia"/>
        </w:rPr>
        <w:t>判定规则</w:t>
      </w:r>
    </w:p>
    <w:p w14:paraId="79870932">
      <w:pPr>
        <w:pStyle w:val="165"/>
      </w:pPr>
      <w:r>
        <w:rPr>
          <w:rFonts w:hint="eastAsia"/>
        </w:rPr>
        <w:t>检验项目全部符合本文件规定时，判该批产品为合格品。</w:t>
      </w:r>
    </w:p>
    <w:p w14:paraId="4C78C34B">
      <w:pPr>
        <w:pStyle w:val="165"/>
      </w:pPr>
      <w:r>
        <w:rPr>
          <w:rFonts w:hint="eastAsia"/>
        </w:rPr>
        <w:t>检验项目如有（微生物项目除外）不符合本文件要求时，可以在原批次产品中加倍抽样复检一次，判定以复检结果为准。复检后仍有一项或一项以上不符合标准时，判该批产品为不合格品。</w:t>
      </w:r>
    </w:p>
    <w:p w14:paraId="4FE8DF19">
      <w:pPr>
        <w:pStyle w:val="165"/>
      </w:pPr>
      <w:r>
        <w:rPr>
          <w:rFonts w:hint="eastAsia"/>
        </w:rPr>
        <w:t>微生物项目有任何一项不符合本文件规定，判为不合格品，不应复验。</w:t>
      </w:r>
    </w:p>
    <w:p w14:paraId="33C3AD88">
      <w:pPr>
        <w:pStyle w:val="104"/>
        <w:spacing w:before="240" w:after="240"/>
      </w:pPr>
      <w:r>
        <w:rPr>
          <w:rFonts w:hint="eastAsia"/>
        </w:rPr>
        <w:t>包装、标签、运输、贮存和保质期</w:t>
      </w:r>
    </w:p>
    <w:p w14:paraId="74E50003">
      <w:pPr>
        <w:pStyle w:val="105"/>
        <w:spacing w:before="120" w:after="120"/>
        <w:rPr>
          <w:rFonts w:hint="eastAsia" w:hAnsi="黑体"/>
          <w:bCs/>
          <w:szCs w:val="21"/>
        </w:rPr>
      </w:pPr>
      <w:r>
        <w:rPr>
          <w:rFonts w:hAnsi="黑体"/>
          <w:bCs/>
          <w:szCs w:val="21"/>
        </w:rPr>
        <w:t>包装</w:t>
      </w:r>
    </w:p>
    <w:p w14:paraId="103E697B">
      <w:pPr>
        <w:pStyle w:val="56"/>
        <w:ind w:firstLine="420"/>
      </w:pPr>
      <w:r>
        <w:rPr>
          <w:rFonts w:hint="eastAsia"/>
        </w:rPr>
        <w:t>包装材料应符合GB 4806.1</w:t>
      </w:r>
      <w:r>
        <w:t xml:space="preserve"> </w:t>
      </w:r>
      <w:r>
        <w:rPr>
          <w:rFonts w:hint="eastAsia"/>
        </w:rPr>
        <w:t>食品安全国家标准 食品接触材料及制品通用安全要求。</w:t>
      </w:r>
    </w:p>
    <w:p w14:paraId="456146DC">
      <w:pPr>
        <w:pStyle w:val="105"/>
        <w:spacing w:before="120" w:after="120"/>
      </w:pPr>
      <w:r>
        <w:rPr>
          <w:rFonts w:hint="eastAsia"/>
        </w:rPr>
        <w:t>标签</w:t>
      </w:r>
    </w:p>
    <w:p w14:paraId="3FE84216">
      <w:pPr>
        <w:pStyle w:val="56"/>
        <w:ind w:firstLine="420"/>
      </w:pPr>
      <w:r>
        <w:rPr>
          <w:rFonts w:hint="eastAsia"/>
        </w:rPr>
        <w:t>包装标签上应标明：产品名称、批号、规格、净含量、执行标准、生产厂名、厂址、产地、生产日期、保质期、贮存条件。</w:t>
      </w:r>
    </w:p>
    <w:p w14:paraId="4C3C0981">
      <w:pPr>
        <w:pStyle w:val="105"/>
        <w:spacing w:before="120" w:after="120"/>
      </w:pPr>
      <w:r>
        <w:rPr>
          <w:rFonts w:hint="eastAsia"/>
        </w:rPr>
        <w:t>运输</w:t>
      </w:r>
    </w:p>
    <w:p w14:paraId="36456697">
      <w:pPr>
        <w:pStyle w:val="56"/>
        <w:ind w:firstLine="420"/>
      </w:pPr>
      <w:r>
        <w:rPr>
          <w:rFonts w:hint="eastAsia"/>
        </w:rPr>
        <w:t>运输时应轻装轻卸，不应与有毒、有害、有异味、易污染物品混装载运，严防挤压、雨淋、暴晒。</w:t>
      </w:r>
    </w:p>
    <w:p w14:paraId="1F7D88B2">
      <w:pPr>
        <w:pStyle w:val="105"/>
        <w:spacing w:before="120" w:after="120"/>
      </w:pPr>
      <w:r>
        <w:rPr>
          <w:rFonts w:hint="eastAsia"/>
        </w:rPr>
        <w:t>贮存</w:t>
      </w:r>
    </w:p>
    <w:p w14:paraId="2DF1E656">
      <w:pPr>
        <w:pStyle w:val="56"/>
        <w:ind w:firstLine="420"/>
      </w:pPr>
      <w:r>
        <w:rPr>
          <w:rFonts w:hint="eastAsia"/>
        </w:rPr>
        <w:t>产品应贮存于阴凉、干燥的仓库中。避免与有毒、有害、易腐、易污染等物品一起堆放。</w:t>
      </w:r>
    </w:p>
    <w:p w14:paraId="341E4AA2">
      <w:pPr>
        <w:pStyle w:val="105"/>
        <w:spacing w:before="120" w:after="120"/>
      </w:pPr>
      <w:r>
        <w:rPr>
          <w:rFonts w:hint="eastAsia"/>
        </w:rPr>
        <w:t>保质期</w:t>
      </w:r>
    </w:p>
    <w:p w14:paraId="0921F715">
      <w:pPr>
        <w:pStyle w:val="56"/>
        <w:ind w:firstLine="420"/>
      </w:pPr>
      <w:r>
        <w:rPr>
          <w:rFonts w:hint="eastAsia"/>
        </w:rPr>
        <w:t>在符合规定的贮运条件、包装完整、未经开启封口的情况下，</w:t>
      </w:r>
      <w:r>
        <w:rPr>
          <w:szCs w:val="21"/>
        </w:rPr>
        <w:t>保质期</w:t>
      </w:r>
      <w:r>
        <w:rPr>
          <w:rFonts w:hint="eastAsia"/>
          <w:szCs w:val="21"/>
        </w:rPr>
        <w:t>为</w:t>
      </w:r>
      <w:r>
        <w:rPr>
          <w:szCs w:val="21"/>
        </w:rPr>
        <w:t>24个月</w:t>
      </w:r>
      <w:r>
        <w:rPr>
          <w:rFonts w:hint="eastAsia"/>
        </w:rPr>
        <w:t>。</w:t>
      </w:r>
    </w:p>
    <w:p w14:paraId="77108604">
      <w:pPr>
        <w:pStyle w:val="56"/>
        <w:ind w:firstLine="420"/>
      </w:pPr>
    </w:p>
    <w:p w14:paraId="4FF239CB">
      <w:pPr>
        <w:pStyle w:val="56"/>
        <w:ind w:firstLine="420"/>
        <w:sectPr>
          <w:headerReference r:id="rId13" w:type="default"/>
          <w:footerReference r:id="rId15" w:type="default"/>
          <w:headerReference r:id="rId14" w:type="even"/>
          <w:footerReference r:id="rId16" w:type="even"/>
          <w:pgSz w:w="11906" w:h="16838"/>
          <w:pgMar w:top="2410" w:right="1134" w:bottom="1134" w:left="1134" w:header="1418" w:footer="1134" w:gutter="284"/>
          <w:pgNumType w:start="1"/>
          <w:cols w:space="425" w:num="1"/>
          <w:formProt w:val="0"/>
          <w:docGrid w:linePitch="312" w:charSpace="0"/>
        </w:sectPr>
      </w:pPr>
    </w:p>
    <w:bookmarkEnd w:id="20"/>
    <w:p w14:paraId="1AA001C8">
      <w:pPr>
        <w:pStyle w:val="198"/>
        <w:rPr>
          <w:rFonts w:hint="eastAsia"/>
        </w:rPr>
      </w:pPr>
      <w:bookmarkStart w:id="39" w:name="BookMark5"/>
    </w:p>
    <w:p w14:paraId="077111C1">
      <w:pPr>
        <w:pStyle w:val="199"/>
      </w:pPr>
    </w:p>
    <w:p w14:paraId="17C2C027">
      <w:pPr>
        <w:pStyle w:val="76"/>
        <w:spacing w:before="60" w:after="120"/>
      </w:pPr>
      <w:r>
        <w:br w:type="textWrapping"/>
      </w:r>
      <w:r>
        <w:rPr>
          <w:rFonts w:hint="eastAsia"/>
        </w:rPr>
        <w:t>（规范性）</w:t>
      </w:r>
      <w:r>
        <w:br w:type="textWrapping"/>
      </w:r>
      <w:r>
        <w:rPr>
          <w:rFonts w:hint="eastAsia"/>
        </w:rPr>
        <w:t>检验方法</w:t>
      </w:r>
      <w:r>
        <w:rPr>
          <w:rStyle w:val="33"/>
        </w:rPr>
        <w:footnoteReference w:id="0"/>
      </w:r>
      <w:r>
        <w:rPr>
          <w:rStyle w:val="33"/>
        </w:rPr>
        <w:t>)</w:t>
      </w:r>
    </w:p>
    <w:p w14:paraId="255263FF">
      <w:pPr>
        <w:pStyle w:val="78"/>
        <w:spacing w:before="120" w:after="120"/>
      </w:pPr>
      <w:r>
        <w:rPr>
          <w:rFonts w:hint="eastAsia"/>
        </w:rPr>
        <w:t>一般规定</w:t>
      </w:r>
    </w:p>
    <w:p w14:paraId="64D30095">
      <w:pPr>
        <w:pStyle w:val="56"/>
        <w:ind w:firstLine="420"/>
      </w:pPr>
      <w:r>
        <w:rPr>
          <w:rFonts w:hint="eastAsia"/>
        </w:rPr>
        <w:t>本文件所用试剂和水，在没有注明其他要求时，均指分析纯试剂和符合GB/T 6682规定的实验用水。实验中所用溶液在未注明用何种溶剂配制时，均指水溶液。</w:t>
      </w:r>
    </w:p>
    <w:p w14:paraId="0DCA30E5">
      <w:pPr>
        <w:pStyle w:val="78"/>
        <w:spacing w:before="120" w:after="120"/>
      </w:pPr>
      <w:r>
        <w:rPr>
          <w:rFonts w:hint="eastAsia"/>
        </w:rPr>
        <w:t>鉴别</w:t>
      </w:r>
    </w:p>
    <w:p w14:paraId="20C26FB9">
      <w:pPr>
        <w:pStyle w:val="79"/>
        <w:spacing w:before="120" w:after="120"/>
      </w:pPr>
      <w:r>
        <w:rPr>
          <w:rFonts w:hint="eastAsia"/>
        </w:rPr>
        <w:t>仪器和设备</w:t>
      </w:r>
    </w:p>
    <w:p w14:paraId="5E44DE54">
      <w:pPr>
        <w:pStyle w:val="213"/>
      </w:pPr>
      <w:r>
        <w:rPr>
          <w:rFonts w:hint="eastAsia"/>
        </w:rPr>
        <w:t>超声波清洗器。</w:t>
      </w:r>
    </w:p>
    <w:p w14:paraId="1312195B">
      <w:pPr>
        <w:pStyle w:val="213"/>
      </w:pPr>
      <w:r>
        <w:rPr>
          <w:rFonts w:hint="eastAsia"/>
        </w:rPr>
        <w:t>层析缸：规格与薄层板相适应。</w:t>
      </w:r>
    </w:p>
    <w:p w14:paraId="38636D8F">
      <w:pPr>
        <w:pStyle w:val="79"/>
        <w:spacing w:before="120" w:after="120"/>
      </w:pPr>
      <w:r>
        <w:rPr>
          <w:rFonts w:hint="eastAsia"/>
        </w:rPr>
        <w:t>试剂和材料</w:t>
      </w:r>
    </w:p>
    <w:p w14:paraId="596ED4F3">
      <w:pPr>
        <w:pStyle w:val="213"/>
      </w:pPr>
      <w:r>
        <w:rPr>
          <w:rFonts w:hint="eastAsia"/>
        </w:rPr>
        <w:t>甲醇。</w:t>
      </w:r>
    </w:p>
    <w:p w14:paraId="0BEC4B7E">
      <w:pPr>
        <w:pStyle w:val="213"/>
      </w:pPr>
      <w:r>
        <w:rPr>
          <w:rFonts w:hint="eastAsia"/>
        </w:rPr>
        <w:t>乙酸乙酯。</w:t>
      </w:r>
    </w:p>
    <w:p w14:paraId="0318D2C1">
      <w:pPr>
        <w:pStyle w:val="213"/>
      </w:pPr>
      <w:r>
        <w:rPr>
          <w:rFonts w:hint="eastAsia"/>
        </w:rPr>
        <w:t>丙酮。</w:t>
      </w:r>
    </w:p>
    <w:p w14:paraId="6A59EF82">
      <w:pPr>
        <w:pStyle w:val="213"/>
      </w:pPr>
      <w:r>
        <w:rPr>
          <w:rFonts w:hint="eastAsia"/>
        </w:rPr>
        <w:t>甲酸。</w:t>
      </w:r>
    </w:p>
    <w:p w14:paraId="17462D51">
      <w:pPr>
        <w:pStyle w:val="213"/>
      </w:pPr>
      <w:r>
        <w:rPr>
          <w:rFonts w:hint="eastAsia"/>
        </w:rPr>
        <w:t>对照品：</w:t>
      </w:r>
    </w:p>
    <w:p w14:paraId="7A4533CB">
      <w:pPr>
        <w:pStyle w:val="132"/>
      </w:pPr>
      <w:bookmarkStart w:id="40" w:name="OLE_LINK1"/>
      <w:r>
        <w:rPr>
          <w:rFonts w:hint="eastAsia"/>
        </w:rPr>
        <w:t>常春藤苷C，CAS号14216-03-6，含量99.70%；</w:t>
      </w:r>
    </w:p>
    <w:p w14:paraId="4BE0FBDD">
      <w:pPr>
        <w:pStyle w:val="132"/>
      </w:pPr>
      <w:r>
        <w:rPr>
          <w:rFonts w:hint="eastAsia"/>
        </w:rPr>
        <w:t>α-常春藤苷，CAS号27013-91-8，含量98.25%。</w:t>
      </w:r>
    </w:p>
    <w:bookmarkEnd w:id="40"/>
    <w:p w14:paraId="112B36B6">
      <w:pPr>
        <w:pStyle w:val="213"/>
      </w:pPr>
      <w:r>
        <w:rPr>
          <w:rFonts w:hint="eastAsia"/>
        </w:rPr>
        <w:t>显色剂：10%硫酸乙醇溶液。</w:t>
      </w:r>
    </w:p>
    <w:p w14:paraId="41DEAD66">
      <w:pPr>
        <w:pStyle w:val="79"/>
        <w:spacing w:before="120" w:after="120"/>
      </w:pPr>
      <w:r>
        <w:rPr>
          <w:rFonts w:hint="eastAsia"/>
        </w:rPr>
        <w:t>色谱系统</w:t>
      </w:r>
    </w:p>
    <w:p w14:paraId="16AEEE42">
      <w:pPr>
        <w:pStyle w:val="213"/>
        <w:rPr>
          <w:color w:val="auto"/>
        </w:rPr>
      </w:pPr>
      <w:r>
        <w:rPr>
          <w:rFonts w:hint="eastAsia"/>
          <w:color w:val="auto"/>
        </w:rPr>
        <w:t>薄层板：硅胶G薄层板。</w:t>
      </w:r>
    </w:p>
    <w:p w14:paraId="4FF72966">
      <w:pPr>
        <w:pStyle w:val="213"/>
        <w:rPr>
          <w:color w:val="auto"/>
        </w:rPr>
      </w:pPr>
      <w:r>
        <w:rPr>
          <w:rFonts w:hint="eastAsia"/>
          <w:color w:val="auto"/>
        </w:rPr>
        <w:t>展开剂：乙酸乙酯-乙醇-水（10:2:1，体积比）。</w:t>
      </w:r>
    </w:p>
    <w:p w14:paraId="57FC1C93">
      <w:pPr>
        <w:pStyle w:val="79"/>
        <w:spacing w:before="120" w:after="120"/>
        <w:rPr>
          <w:color w:val="auto"/>
        </w:rPr>
      </w:pPr>
      <w:r>
        <w:rPr>
          <w:rFonts w:hint="eastAsia"/>
          <w:color w:val="auto"/>
        </w:rPr>
        <w:t>操作方法</w:t>
      </w:r>
    </w:p>
    <w:p w14:paraId="7DE10A2A">
      <w:pPr>
        <w:pStyle w:val="81"/>
        <w:spacing w:before="120" w:after="120"/>
        <w:rPr>
          <w:color w:val="auto"/>
        </w:rPr>
      </w:pPr>
      <w:r>
        <w:rPr>
          <w:rFonts w:hint="eastAsia" w:hAnsi="黑体"/>
          <w:bCs/>
          <w:color w:val="auto"/>
        </w:rPr>
        <w:t>对照品溶液的制备</w:t>
      </w:r>
    </w:p>
    <w:p w14:paraId="3D4FFA80">
      <w:pPr>
        <w:pStyle w:val="56"/>
        <w:ind w:firstLine="420"/>
        <w:rPr>
          <w:color w:val="auto"/>
        </w:rPr>
      </w:pPr>
      <w:r>
        <w:rPr>
          <w:rFonts w:hint="eastAsia"/>
          <w:color w:val="auto"/>
        </w:rPr>
        <w:t>取常春藤苷C、α-常春藤苷对照品适量，加甲醇分别制成浓度1.0mg/mL、1.0mg/mL的溶液。</w:t>
      </w:r>
    </w:p>
    <w:p w14:paraId="4049C31D">
      <w:pPr>
        <w:pStyle w:val="81"/>
        <w:spacing w:before="120" w:after="120"/>
        <w:rPr>
          <w:color w:val="auto"/>
        </w:rPr>
      </w:pPr>
      <w:r>
        <w:rPr>
          <w:rFonts w:hint="eastAsia"/>
          <w:color w:val="auto"/>
        </w:rPr>
        <w:t>供试品溶液的制备</w:t>
      </w:r>
    </w:p>
    <w:p w14:paraId="68CEF55E">
      <w:pPr>
        <w:pStyle w:val="56"/>
        <w:ind w:firstLine="420"/>
        <w:rPr>
          <w:color w:val="auto"/>
        </w:rPr>
      </w:pPr>
      <w:r>
        <w:rPr>
          <w:rFonts w:hint="eastAsia"/>
          <w:color w:val="auto"/>
        </w:rPr>
        <w:t>取供试品约500mg，置10mL量瓶中，加甲醇5mL使溶解，超声（250W，40kHz）处理10min，放冷，加甲醇至刻度，摇匀，滤过，即得。</w:t>
      </w:r>
    </w:p>
    <w:p w14:paraId="66A7FC13">
      <w:pPr>
        <w:pStyle w:val="81"/>
        <w:spacing w:before="120" w:after="120"/>
        <w:rPr>
          <w:rFonts w:hint="eastAsia" w:hAnsi="黑体"/>
          <w:bCs/>
          <w:color w:val="auto"/>
        </w:rPr>
      </w:pPr>
      <w:r>
        <w:rPr>
          <w:rFonts w:hint="eastAsia" w:hAnsi="黑体"/>
          <w:bCs/>
          <w:color w:val="auto"/>
        </w:rPr>
        <w:t>测定方法</w:t>
      </w:r>
    </w:p>
    <w:p w14:paraId="557E5871">
      <w:pPr>
        <w:pStyle w:val="56"/>
        <w:ind w:firstLine="420"/>
        <w:rPr>
          <w:color w:val="auto"/>
        </w:rPr>
      </w:pPr>
      <w:r>
        <w:rPr>
          <w:rFonts w:hint="eastAsia"/>
          <w:color w:val="auto"/>
        </w:rPr>
        <w:t>分别吸取对照品溶液和供试品溶液5</w:t>
      </w:r>
      <w:r>
        <w:rPr>
          <w:rFonts w:ascii="Times New Roman"/>
          <w:color w:val="auto"/>
        </w:rPr>
        <w:t>~</w:t>
      </w:r>
      <w:r>
        <w:rPr>
          <w:rFonts w:hint="eastAsia"/>
          <w:color w:val="auto"/>
        </w:rPr>
        <w:t>10µL，分别点于同一硅胶G薄层板上，在展开剂中展开约12cm，取出，100-105℃烘干。喷显色剂，在110℃下加热10min使斑点或条带显色清晰，分别置于日光和365nm紫外光下检视。</w:t>
      </w:r>
    </w:p>
    <w:p w14:paraId="6B13C456">
      <w:pPr>
        <w:pStyle w:val="78"/>
        <w:spacing w:before="120" w:after="120"/>
      </w:pPr>
      <w:r>
        <w:rPr>
          <w:rFonts w:hint="eastAsia"/>
        </w:rPr>
        <w:t>常春藤苷C含量</w:t>
      </w:r>
    </w:p>
    <w:p w14:paraId="705FF68C">
      <w:pPr>
        <w:pStyle w:val="79"/>
        <w:spacing w:before="120" w:after="120"/>
      </w:pPr>
      <w:r>
        <w:rPr>
          <w:rFonts w:hint="eastAsia"/>
        </w:rPr>
        <w:t>方法提要</w:t>
      </w:r>
    </w:p>
    <w:p w14:paraId="2C825ADD">
      <w:pPr>
        <w:pStyle w:val="56"/>
        <w:ind w:firstLine="420"/>
      </w:pPr>
      <w:r>
        <w:rPr>
          <w:rFonts w:hint="eastAsia"/>
        </w:rPr>
        <w:t>供试品经甲醇溶液溶解后，采用高效液相色谱法测定，以常春藤苷C为对照品按外标法测定常春藤苷C的含量。</w:t>
      </w:r>
    </w:p>
    <w:p w14:paraId="1FE48975">
      <w:pPr>
        <w:pStyle w:val="79"/>
        <w:spacing w:before="120" w:after="120"/>
      </w:pPr>
      <w:r>
        <w:rPr>
          <w:rFonts w:hint="eastAsia"/>
        </w:rPr>
        <w:t>仪器和材料</w:t>
      </w:r>
    </w:p>
    <w:p w14:paraId="1D7A17AF">
      <w:pPr>
        <w:pStyle w:val="213"/>
      </w:pPr>
      <w:r>
        <w:rPr>
          <w:rFonts w:hint="eastAsia"/>
        </w:rPr>
        <w:t>分析天平，感量为0.01mg。</w:t>
      </w:r>
    </w:p>
    <w:p w14:paraId="6FEB67AB">
      <w:pPr>
        <w:pStyle w:val="213"/>
      </w:pPr>
      <w:r>
        <w:rPr>
          <w:rFonts w:hint="eastAsia"/>
        </w:rPr>
        <w:t>高效液相色谱仪。</w:t>
      </w:r>
    </w:p>
    <w:p w14:paraId="34F4F5D2">
      <w:pPr>
        <w:pStyle w:val="213"/>
      </w:pPr>
      <w:r>
        <w:rPr>
          <w:rFonts w:hint="eastAsia"/>
        </w:rPr>
        <w:t>超声波清洗器。</w:t>
      </w:r>
    </w:p>
    <w:p w14:paraId="348745F1">
      <w:pPr>
        <w:pStyle w:val="79"/>
        <w:spacing w:before="120" w:after="120"/>
      </w:pPr>
      <w:r>
        <w:rPr>
          <w:rFonts w:hint="eastAsia"/>
        </w:rPr>
        <w:t>试剂和溶液</w:t>
      </w:r>
    </w:p>
    <w:p w14:paraId="4493016C">
      <w:pPr>
        <w:pStyle w:val="213"/>
      </w:pPr>
      <w:r>
        <w:rPr>
          <w:rFonts w:hint="eastAsia"/>
        </w:rPr>
        <w:t>甲醇（色谱纯）。</w:t>
      </w:r>
    </w:p>
    <w:p w14:paraId="56AA6207">
      <w:pPr>
        <w:pStyle w:val="213"/>
      </w:pPr>
      <w:r>
        <w:rPr>
          <w:rFonts w:hint="eastAsia"/>
        </w:rPr>
        <w:t>水（三级水）。</w:t>
      </w:r>
    </w:p>
    <w:p w14:paraId="617F7F8E">
      <w:pPr>
        <w:pStyle w:val="213"/>
      </w:pPr>
      <w:r>
        <w:rPr>
          <w:rFonts w:hint="eastAsia"/>
        </w:rPr>
        <w:t>乙腈（色谱纯）。</w:t>
      </w:r>
    </w:p>
    <w:p w14:paraId="7AD02705">
      <w:pPr>
        <w:pStyle w:val="213"/>
      </w:pPr>
      <w:r>
        <w:rPr>
          <w:rFonts w:hint="eastAsia"/>
        </w:rPr>
        <w:t>对照品：常春藤苷C，CAS号14216-03-6，纯度99.70%</w:t>
      </w:r>
      <w:r>
        <w:rPr>
          <w:rFonts w:hint="eastAsia"/>
          <w:lang w:eastAsia="zh-CN"/>
        </w:rPr>
        <w:t>。</w:t>
      </w:r>
    </w:p>
    <w:p w14:paraId="1E75DB70">
      <w:pPr>
        <w:pStyle w:val="79"/>
        <w:spacing w:before="120" w:after="120"/>
      </w:pPr>
      <w:r>
        <w:rPr>
          <w:rFonts w:hint="eastAsia"/>
        </w:rPr>
        <w:t>色谱条件与系统适用性试验</w:t>
      </w:r>
    </w:p>
    <w:p w14:paraId="2A700B77">
      <w:pPr>
        <w:pStyle w:val="56"/>
        <w:ind w:firstLine="420"/>
      </w:pPr>
      <w:r>
        <w:rPr>
          <w:rFonts w:hint="eastAsia"/>
        </w:rPr>
        <w:t>以十八烷基硅烷键合硅胶为填充剂；以乙腈</w:t>
      </w:r>
      <w:r>
        <w:rPr>
          <w:rFonts w:hint="eastAsia" w:hAnsi="宋体"/>
        </w:rPr>
        <w:t>﹕</w:t>
      </w:r>
      <w:r>
        <w:rPr>
          <w:rFonts w:hint="eastAsia"/>
        </w:rPr>
        <w:t>水=28</w:t>
      </w:r>
      <w:r>
        <w:rPr>
          <w:rFonts w:hint="eastAsia" w:hAnsi="宋体"/>
        </w:rPr>
        <w:t>﹕</w:t>
      </w:r>
      <w:r>
        <w:rPr>
          <w:rFonts w:hint="eastAsia"/>
        </w:rPr>
        <w:t>72（体积比） 为流动相，进行等度洗脱；检测波长为195nm，流速1.0mL/min。理论板数按常春藤苷C峰计算应不低于6000。</w:t>
      </w:r>
    </w:p>
    <w:p w14:paraId="27749B6A">
      <w:pPr>
        <w:pStyle w:val="79"/>
        <w:spacing w:before="120" w:after="120"/>
      </w:pPr>
      <w:r>
        <w:rPr>
          <w:rFonts w:hint="eastAsia"/>
        </w:rPr>
        <w:t>操作方法</w:t>
      </w:r>
    </w:p>
    <w:p w14:paraId="3F7AFA6A">
      <w:pPr>
        <w:pStyle w:val="81"/>
        <w:spacing w:before="120" w:after="120"/>
      </w:pPr>
      <w:r>
        <w:rPr>
          <w:rFonts w:hint="eastAsia" w:hAnsi="黑体"/>
          <w:bCs/>
        </w:rPr>
        <w:t>对照品溶液的制备</w:t>
      </w:r>
    </w:p>
    <w:p w14:paraId="6BE5843B">
      <w:pPr>
        <w:pStyle w:val="56"/>
        <w:ind w:firstLine="420"/>
      </w:pPr>
      <w:r>
        <w:rPr>
          <w:rFonts w:hint="eastAsia"/>
        </w:rPr>
        <w:t>取常春藤苷C对照品适量，精密称定，置量瓶中，加甲醇制成0.1mg/mL的溶液，即得。</w:t>
      </w:r>
    </w:p>
    <w:p w14:paraId="5F0EAF76">
      <w:pPr>
        <w:pStyle w:val="81"/>
        <w:spacing w:before="120" w:after="120"/>
      </w:pPr>
      <w:r>
        <w:rPr>
          <w:rFonts w:hint="eastAsia"/>
        </w:rPr>
        <w:t>供试品溶液的制备</w:t>
      </w:r>
    </w:p>
    <w:p w14:paraId="516E2E96">
      <w:pPr>
        <w:pStyle w:val="56"/>
        <w:ind w:firstLine="420"/>
      </w:pPr>
      <w:r>
        <w:rPr>
          <w:rFonts w:hint="eastAsia"/>
        </w:rPr>
        <w:t>取供试品适量（相当于含常春藤苷C 2</w:t>
      </w:r>
      <w:r>
        <w:rPr>
          <w:rFonts w:ascii="Times New Roman"/>
          <w:color w:val="auto"/>
        </w:rPr>
        <w:t>~</w:t>
      </w:r>
      <w:r>
        <w:rPr>
          <w:rFonts w:hint="eastAsia"/>
        </w:rPr>
        <w:t>3 mg），精密称定，置25mL量瓶中，加甲醇适量，超声（250W，40kHz）处理30min，取出，放冷，并用甲醇稀释至刻度，摇匀，滤过，取续滤液，即得。</w:t>
      </w:r>
    </w:p>
    <w:p w14:paraId="0AFE1FD7">
      <w:pPr>
        <w:pStyle w:val="81"/>
        <w:spacing w:before="120" w:after="120"/>
        <w:rPr>
          <w:rFonts w:hint="eastAsia" w:hAnsi="黑体"/>
          <w:bCs/>
        </w:rPr>
      </w:pPr>
      <w:r>
        <w:rPr>
          <w:rFonts w:hint="eastAsia" w:hAnsi="黑体"/>
          <w:bCs/>
        </w:rPr>
        <w:t>测定方法</w:t>
      </w:r>
    </w:p>
    <w:p w14:paraId="52182B6F">
      <w:pPr>
        <w:pStyle w:val="56"/>
        <w:ind w:firstLine="420"/>
      </w:pPr>
      <w:r>
        <w:rPr>
          <w:rFonts w:hint="eastAsia"/>
        </w:rPr>
        <w:t>分别精密吸取对照品溶液与供试品溶液各10</w:t>
      </w:r>
      <w:r>
        <w:rPr>
          <w:rFonts w:ascii="Times New Roman"/>
        </w:rPr>
        <w:t>μ</w:t>
      </w:r>
      <w:r>
        <w:rPr>
          <w:rFonts w:hint="eastAsia"/>
        </w:rPr>
        <w:t>L，注入液相色谱仪，测定，记录色谱图。</w:t>
      </w:r>
    </w:p>
    <w:p w14:paraId="0447213D">
      <w:pPr>
        <w:pStyle w:val="79"/>
        <w:spacing w:before="120" w:after="120"/>
      </w:pPr>
      <w:r>
        <w:rPr>
          <w:rFonts w:hint="eastAsia"/>
        </w:rPr>
        <w:t>结果计算</w:t>
      </w:r>
    </w:p>
    <w:p w14:paraId="37D2C175">
      <w:pPr>
        <w:pStyle w:val="56"/>
        <w:ind w:firstLine="420"/>
      </w:pPr>
      <w:r>
        <w:rPr>
          <w:rFonts w:hint="eastAsia"/>
        </w:rPr>
        <w:t>供试品中常春藤苷C含量以质量分数</w:t>
      </w:r>
      <m:oMath>
        <m:sSub>
          <m:sSubPr>
            <m:ctrlPr>
              <w:rPr>
                <w:rFonts w:ascii="Cambria Math" w:hAnsi="Cambria Math"/>
                <w:i/>
                <w:kern w:val="2"/>
                <w:szCs w:val="21"/>
              </w:rPr>
            </m:ctrlPr>
          </m:sSubPr>
          <m:e>
            <m:r>
              <m:rPr/>
              <w:rPr>
                <w:rFonts w:hint="eastAsia" w:ascii="Cambria Math" w:hAnsi="Cambria Math"/>
                <w:kern w:val="2"/>
                <w:szCs w:val="21"/>
              </w:rPr>
              <m:t>w</m:t>
            </m:r>
            <m:ctrlPr>
              <w:rPr>
                <w:rFonts w:ascii="Cambria Math" w:hAnsi="Cambria Math"/>
                <w:i/>
                <w:kern w:val="2"/>
                <w:szCs w:val="21"/>
              </w:rPr>
            </m:ctrlPr>
          </m:e>
          <m:sub>
            <m:r>
              <m:rPr/>
              <w:rPr>
                <w:rFonts w:hint="eastAsia" w:ascii="Cambria Math" w:hAnsi="Cambria Math"/>
                <w:kern w:val="2"/>
                <w:szCs w:val="21"/>
              </w:rPr>
              <m:t>i</m:t>
            </m:r>
            <m:ctrlPr>
              <w:rPr>
                <w:rFonts w:ascii="Cambria Math" w:hAnsi="Cambria Math"/>
                <w:i/>
                <w:kern w:val="2"/>
                <w:szCs w:val="21"/>
              </w:rPr>
            </m:ctrlPr>
          </m:sub>
        </m:sSub>
      </m:oMath>
      <w:r>
        <w:rPr>
          <w:rFonts w:hint="eastAsia"/>
        </w:rPr>
        <w:t>计，数值以%表示，按公式（</w:t>
      </w:r>
      <w:r>
        <w:t>A.</w:t>
      </w:r>
      <w:r>
        <w:fldChar w:fldCharType="begin"/>
      </w:r>
      <w:r>
        <w:instrText xml:space="preserve"> seq fulu_equation_132723478887118202 </w:instrText>
      </w:r>
      <w:r>
        <w:fldChar w:fldCharType="separate"/>
      </w:r>
      <w:r>
        <w:t>1</w:t>
      </w:r>
      <w:r>
        <w:fldChar w:fldCharType="end"/>
      </w:r>
      <w:r>
        <w:rPr>
          <w:rFonts w:hint="eastAsia"/>
        </w:rPr>
        <w:t>）计算。</w:t>
      </w:r>
    </w:p>
    <w:p w14:paraId="2B5463FF">
      <w:pPr>
        <w:pStyle w:val="113"/>
        <w:rPr>
          <w:rFonts w:hint="eastAsia"/>
        </w:rPr>
      </w:pPr>
      <w:r>
        <w:tab/>
      </w:r>
      <w:r>
        <w:br w:type="textWrapping"/>
      </w:r>
      <m:oMathPara>
        <m:oMathParaPr>
          <m:jc m:val="right"/>
        </m:oMathParaPr>
        <m:oMath>
          <m:sSub>
            <m:sSubPr>
              <m:ctrlPr>
                <w:rPr>
                  <w:rFonts w:ascii="Cambria Math" w:hAnsi="Cambria Math"/>
                  <w:i/>
                </w:rPr>
              </m:ctrlPr>
            </m:sSubPr>
            <m:e>
              <m:r>
                <m:rPr/>
                <w:rPr>
                  <w:rFonts w:hint="eastAsia" w:ascii="Cambria Math" w:hAnsi="Cambria Math"/>
                </w:rPr>
                <m:t>w</m:t>
              </m:r>
              <m:ctrlPr>
                <w:rPr>
                  <w:rFonts w:ascii="Cambria Math" w:hAnsi="Cambria Math"/>
                  <w:i/>
                </w:rPr>
              </m:ctrlPr>
            </m:e>
            <m:sub>
              <m:r>
                <m:rPr/>
                <w:rPr>
                  <w:rFonts w:hint="eastAsia" w:ascii="Cambria Math" w:hAnsi="Cambria Math"/>
                </w:rPr>
                <m:t>i</m:t>
              </m:r>
              <m:ctrlPr>
                <w:rPr>
                  <w:rFonts w:ascii="Cambria Math" w:hAnsi="Cambria Math"/>
                  <w:i/>
                </w:rPr>
              </m:ctrlPr>
            </m:sub>
          </m:sSub>
          <m:r>
            <m:rPr/>
            <w:rPr>
              <w:rFonts w:ascii="Cambria Math" w:hAnsi="Cambria Math"/>
            </w:rPr>
            <m:t>=</m:t>
          </m:r>
          <m:f>
            <m:fPr>
              <m:ctrlPr>
                <w:rPr>
                  <w:rFonts w:ascii="Cambria Math" w:hAnsi="Cambria Math"/>
                  <w:i/>
                </w:rPr>
              </m:ctrlPr>
            </m:fPr>
            <m:num>
              <m:sSub>
                <m:sSubPr>
                  <m:ctrlPr>
                    <w:rPr>
                      <w:rFonts w:ascii="Cambria Math" w:hAnsi="Cambria Math"/>
                      <w:i/>
                    </w:rPr>
                  </m:ctrlPr>
                </m:sSubPr>
                <m:e>
                  <m:r>
                    <m:rPr/>
                    <w:rPr>
                      <w:rFonts w:hint="eastAsia" w:ascii="Cambria Math" w:hAnsi="Cambria Math"/>
                    </w:rPr>
                    <m:t>C</m:t>
                  </m:r>
                  <m:ctrlPr>
                    <w:rPr>
                      <w:rFonts w:ascii="Cambria Math" w:hAnsi="Cambria Math"/>
                      <w:i/>
                    </w:rPr>
                  </m:ctrlPr>
                </m:e>
                <m:sub>
                  <m:r>
                    <m:rPr/>
                    <w:rPr>
                      <w:rFonts w:ascii="Cambria Math" w:hAnsi="Cambria Math"/>
                    </w:rPr>
                    <m:t>0</m:t>
                  </m:r>
                  <m:ctrlPr>
                    <w:rPr>
                      <w:rFonts w:ascii="Cambria Math" w:hAnsi="Cambria Math"/>
                      <w:i/>
                    </w:rPr>
                  </m:ctrlPr>
                </m:sub>
              </m:sSub>
              <m:r>
                <m:rPr/>
                <w:rPr>
                  <w:rFonts w:ascii="Cambria Math" w:hAnsi="Cambria Math"/>
                </w:rPr>
                <m:t>×</m:t>
              </m:r>
              <m:sSub>
                <m:sSubPr>
                  <m:ctrlPr>
                    <w:rPr>
                      <w:rFonts w:ascii="Cambria Math" w:hAnsi="Cambria Math"/>
                      <w:i/>
                    </w:rPr>
                  </m:ctrlPr>
                </m:sSubPr>
                <m:e>
                  <m:r>
                    <m:rPr/>
                    <w:rPr>
                      <w:rFonts w:hint="eastAsia" w:ascii="Cambria Math" w:hAnsi="Cambria Math"/>
                    </w:rPr>
                    <m:t>A</m:t>
                  </m:r>
                  <m:ctrlPr>
                    <w:rPr>
                      <w:rFonts w:ascii="Cambria Math" w:hAnsi="Cambria Math"/>
                      <w:i/>
                    </w:rPr>
                  </m:ctrlPr>
                </m:e>
                <m:sub>
                  <m:r>
                    <m:rPr/>
                    <w:rPr>
                      <w:rFonts w:hint="eastAsia" w:ascii="Cambria Math" w:hAnsi="Cambria Math"/>
                    </w:rPr>
                    <m:t>i</m:t>
                  </m:r>
                  <m:ctrlPr>
                    <w:rPr>
                      <w:rFonts w:ascii="Cambria Math" w:hAnsi="Cambria Math"/>
                      <w:i/>
                    </w:rPr>
                  </m:ctrlPr>
                </m:sub>
              </m:sSub>
              <m:r>
                <m:rPr/>
                <w:rPr>
                  <w:rFonts w:ascii="Cambria Math" w:hAnsi="Cambria Math"/>
                </w:rPr>
                <m:t>×</m:t>
              </m:r>
              <m:r>
                <m:rPr/>
                <w:rPr>
                  <w:rFonts w:hint="eastAsia" w:ascii="Cambria Math" w:hAnsi="Cambria Math"/>
                </w:rPr>
                <m:t>V</m:t>
              </m:r>
              <m:r>
                <m:rPr/>
                <w:rPr>
                  <w:rFonts w:ascii="Cambria Math" w:hAnsi="Cambria Math"/>
                </w:rPr>
                <m:t>×</m:t>
              </m:r>
              <m:r>
                <m:rPr/>
                <w:rPr>
                  <w:rFonts w:hint="eastAsia" w:ascii="Cambria Math" w:hAnsi="Cambria Math"/>
                </w:rPr>
                <m:t>P</m:t>
              </m:r>
              <m:ctrlPr>
                <w:rPr>
                  <w:rFonts w:ascii="Cambria Math" w:hAnsi="Cambria Math"/>
                  <w:i/>
                </w:rPr>
              </m:ctrlPr>
            </m:num>
            <m:den>
              <m:sSub>
                <m:sSubPr>
                  <m:ctrlPr>
                    <w:rPr>
                      <w:rFonts w:ascii="Cambria Math" w:hAnsi="Cambria Math"/>
                      <w:i/>
                    </w:rPr>
                  </m:ctrlPr>
                </m:sSubPr>
                <m:e>
                  <m:r>
                    <m:rPr/>
                    <w:rPr>
                      <w:rFonts w:hint="eastAsia" w:ascii="Cambria Math" w:hAnsi="Cambria Math"/>
                    </w:rPr>
                    <m:t>A</m:t>
                  </m:r>
                  <m:ctrlPr>
                    <w:rPr>
                      <w:rFonts w:ascii="Cambria Math" w:hAnsi="Cambria Math"/>
                      <w:i/>
                    </w:rPr>
                  </m:ctrlPr>
                </m:e>
                <m:sub>
                  <m:r>
                    <m:rPr/>
                    <w:rPr>
                      <w:rFonts w:ascii="Cambria Math" w:hAnsi="Cambria Math"/>
                    </w:rPr>
                    <m:t>0</m:t>
                  </m:r>
                  <m:ctrlPr>
                    <w:rPr>
                      <w:rFonts w:ascii="Cambria Math" w:hAnsi="Cambria Math"/>
                      <w:i/>
                    </w:rPr>
                  </m:ctrlPr>
                </m:sub>
              </m:sSub>
              <m:r>
                <m:rPr/>
                <w:rPr>
                  <w:rFonts w:ascii="Cambria Math" w:hAnsi="Cambria Math"/>
                </w:rPr>
                <m:t>×</m:t>
              </m:r>
              <m:r>
                <m:rPr/>
                <w:rPr>
                  <w:rFonts w:hint="eastAsia" w:ascii="Cambria Math" w:hAnsi="Cambria Math"/>
                </w:rPr>
                <m:t>m</m:t>
              </m:r>
              <m:r>
                <m:rPr/>
                <w:rPr>
                  <w:rFonts w:ascii="Cambria Math" w:hAnsi="Cambria Math"/>
                </w:rPr>
                <m:t>×</m:t>
              </m:r>
              <m:d>
                <m:dPr>
                  <m:ctrlPr>
                    <w:rPr>
                      <w:rFonts w:ascii="Cambria Math" w:hAnsi="Cambria Math"/>
                      <w:i/>
                    </w:rPr>
                  </m:ctrlPr>
                </m:dPr>
                <m:e>
                  <m:r>
                    <m:rPr/>
                    <w:rPr>
                      <w:rFonts w:ascii="Cambria Math" w:hAnsi="Cambria Math"/>
                    </w:rPr>
                    <m:t>1−</m:t>
                  </m:r>
                  <m:r>
                    <m:rPr/>
                    <w:rPr>
                      <w:rFonts w:hint="eastAsia" w:ascii="Cambria Math" w:hAnsi="Cambria Math"/>
                    </w:rPr>
                    <m:t>d</m:t>
                  </m:r>
                  <m:ctrlPr>
                    <w:rPr>
                      <w:rFonts w:ascii="Cambria Math" w:hAnsi="Cambria Math"/>
                      <w:i/>
                    </w:rPr>
                  </m:ctrlPr>
                </m:e>
              </m:d>
              <m:ctrlPr>
                <w:rPr>
                  <w:rFonts w:ascii="Cambria Math" w:hAnsi="Cambria Math"/>
                  <w:i/>
                </w:rPr>
              </m:ctrlPr>
            </m:den>
          </m:f>
          <m:r>
            <m:rPr/>
            <w:rPr>
              <w:rFonts w:ascii="Cambria Math" w:hAnsi="Cambria Math"/>
            </w:rPr>
            <m:t>×100%</m:t>
          </m:r>
          <m:r>
            <m:rPr>
              <m:sty m:val="p"/>
            </m:rPr>
            <w:rPr>
              <w:rFonts w:hint="eastAsia" w:ascii="Cambria Math" w:hAnsi="Cambria Math"/>
            </w:rPr>
            <m:t>　</m:t>
          </m:r>
          <m:r>
            <m:rPr>
              <m:sty m:val="p"/>
            </m:rPr>
            <w:rPr>
              <w:rFonts w:ascii="Cambria Math" w:hAnsi="Cambria Math"/>
            </w:rPr>
            <m:t>⋯⋯⋯⋯⋯⋯⋯⋯⋯⋯</m:t>
          </m:r>
          <m:r>
            <m:rPr>
              <m:sty m:val="p"/>
            </m:rPr>
            <w:rPr>
              <w:rFonts w:hint="eastAsia" w:ascii="Cambria Math" w:hAnsi="Cambria Math"/>
            </w:rPr>
            <m:t>（A</m:t>
          </m:r>
          <m:r>
            <m:rPr>
              <m:sty m:val="p"/>
            </m:rPr>
            <w:rPr>
              <w:rFonts w:ascii="Cambria Math" w:hAnsi="Cambria Math"/>
            </w:rPr>
            <m:t>.1</m:t>
          </m:r>
          <m:r>
            <m:rPr>
              <m:sty m:val="p"/>
            </m:rPr>
            <w:rPr>
              <w:rFonts w:hint="eastAsia" w:ascii="Cambria Math" w:hAnsi="Cambria Math"/>
            </w:rPr>
            <m:t>）</m:t>
          </m:r>
        </m:oMath>
      </m:oMathPara>
    </w:p>
    <w:p w14:paraId="5F8CF3D8">
      <w:pPr>
        <w:pStyle w:val="55"/>
        <w:ind w:firstLine="420"/>
      </w:pPr>
      <w:r>
        <w:rPr>
          <w:rFonts w:hint="eastAsia"/>
        </w:rPr>
        <w:t>式中：</w:t>
      </w:r>
    </w:p>
    <w:p w14:paraId="3D7386E0">
      <w:pPr>
        <w:pStyle w:val="230"/>
        <w:spacing w:before="120" w:after="120"/>
        <w:ind w:firstLine="420"/>
        <w:rPr>
          <w:rFonts w:ascii="Times New Roman"/>
          <w:bCs/>
        </w:rPr>
      </w:pPr>
      <m:oMath>
        <m:sSub>
          <m:sSubPr>
            <m:ctrlPr>
              <w:rPr>
                <w:rFonts w:ascii="Cambria Math" w:hAnsi="Cambria Math"/>
                <w:i/>
                <w:kern w:val="2"/>
                <w:szCs w:val="21"/>
              </w:rPr>
            </m:ctrlPr>
          </m:sSubPr>
          <m:e>
            <m:r>
              <m:rPr/>
              <w:rPr>
                <w:rFonts w:hint="eastAsia" w:ascii="Cambria Math" w:hAnsi="Cambria Math"/>
                <w:kern w:val="2"/>
                <w:szCs w:val="21"/>
              </w:rPr>
              <m:t>w</m:t>
            </m:r>
            <m:ctrlPr>
              <w:rPr>
                <w:rFonts w:ascii="Cambria Math" w:hAnsi="Cambria Math"/>
                <w:i/>
                <w:kern w:val="2"/>
                <w:szCs w:val="21"/>
              </w:rPr>
            </m:ctrlPr>
          </m:e>
          <m:sub>
            <m:r>
              <m:rPr/>
              <w:rPr>
                <w:rFonts w:hint="eastAsia" w:ascii="Cambria Math" w:hAnsi="Cambria Math"/>
                <w:kern w:val="2"/>
                <w:szCs w:val="21"/>
              </w:rPr>
              <m:t>i</m:t>
            </m:r>
            <m:r>
              <m:rPr/>
              <w:rPr>
                <w:rFonts w:ascii="Cambria Math" w:hAnsi="Cambria Math"/>
                <w:kern w:val="2"/>
                <w:szCs w:val="21"/>
              </w:rPr>
              <m:t xml:space="preserve"> </m:t>
            </m:r>
            <m:ctrlPr>
              <w:rPr>
                <w:rFonts w:ascii="Cambria Math" w:hAnsi="Cambria Math"/>
                <w:i/>
                <w:kern w:val="2"/>
                <w:szCs w:val="21"/>
              </w:rPr>
            </m:ctrlPr>
          </m:sub>
        </m:sSub>
      </m:oMath>
      <w:r>
        <w:rPr>
          <w:rFonts w:ascii="Times New Roman"/>
          <w:bCs/>
        </w:rPr>
        <w:t>——</w:t>
      </w:r>
      <w:r>
        <w:rPr>
          <w:rFonts w:hint="eastAsia" w:ascii="Times New Roman"/>
          <w:bCs/>
        </w:rPr>
        <w:t>供试品中常春藤苷C的质量分数，</w:t>
      </w:r>
      <w:bookmarkStart w:id="41" w:name="_Hlk84969175"/>
      <w:r>
        <w:rPr>
          <w:rFonts w:hint="eastAsia" w:ascii="Times New Roman"/>
          <w:bCs/>
        </w:rPr>
        <w:t>%</w:t>
      </w:r>
      <w:bookmarkEnd w:id="41"/>
      <w:r>
        <w:rPr>
          <w:rFonts w:hint="eastAsia" w:ascii="Times New Roman"/>
          <w:bCs/>
        </w:rPr>
        <w:t>；</w:t>
      </w:r>
    </w:p>
    <w:p w14:paraId="140A1E50">
      <w:pPr>
        <w:pStyle w:val="230"/>
        <w:spacing w:before="120" w:after="120"/>
        <w:ind w:firstLine="420"/>
        <w:rPr>
          <w:rFonts w:ascii="Times New Roman"/>
          <w:bCs/>
        </w:rPr>
      </w:pPr>
      <m:oMath>
        <m:sSub>
          <m:sSubPr>
            <m:ctrlPr>
              <w:rPr>
                <w:rFonts w:ascii="Cambria Math" w:hAnsi="Cambria Math"/>
                <w:i/>
                <w:kern w:val="2"/>
                <w:szCs w:val="21"/>
              </w:rPr>
            </m:ctrlPr>
          </m:sSubPr>
          <m:e>
            <m:r>
              <m:rPr/>
              <w:rPr>
                <w:rFonts w:hint="eastAsia" w:ascii="Cambria Math" w:hAnsi="Cambria Math"/>
              </w:rPr>
              <m:t>C</m:t>
            </m:r>
            <m:ctrlPr>
              <w:rPr>
                <w:rFonts w:ascii="Cambria Math" w:hAnsi="Cambria Math"/>
                <w:i/>
                <w:kern w:val="2"/>
                <w:szCs w:val="21"/>
              </w:rPr>
            </m:ctrlPr>
          </m:e>
          <m:sub>
            <m:r>
              <m:rPr/>
              <w:rPr>
                <w:rFonts w:ascii="Cambria Math" w:hAnsi="Cambria Math"/>
              </w:rPr>
              <m:t>0</m:t>
            </m:r>
            <m:ctrlPr>
              <w:rPr>
                <w:rFonts w:ascii="Cambria Math" w:hAnsi="Cambria Math"/>
                <w:i/>
                <w:kern w:val="2"/>
                <w:szCs w:val="21"/>
              </w:rPr>
            </m:ctrlPr>
          </m:sub>
        </m:sSub>
        <m:r>
          <m:rPr/>
          <w:rPr>
            <w:rFonts w:ascii="Cambria Math" w:hAnsi="Cambria Math"/>
            <w:kern w:val="2"/>
            <w:szCs w:val="21"/>
          </w:rPr>
          <m:t xml:space="preserve"> </m:t>
        </m:r>
      </m:oMath>
      <w:r>
        <w:rPr>
          <w:rFonts w:ascii="Times New Roman"/>
          <w:bCs/>
        </w:rPr>
        <w:t>——</w:t>
      </w:r>
      <w:r>
        <w:rPr>
          <w:rFonts w:hint="eastAsia" w:ascii="Times New Roman"/>
          <w:bCs/>
        </w:rPr>
        <w:t>对照品溶液中常春藤苷C的浓度，单位为毫克每毫升（mg/mL）；</w:t>
      </w:r>
    </w:p>
    <w:p w14:paraId="63399BDB">
      <w:pPr>
        <w:pStyle w:val="230"/>
        <w:spacing w:before="120" w:after="120"/>
        <w:ind w:firstLine="420"/>
        <w:rPr>
          <w:rFonts w:ascii="Times New Roman"/>
          <w:bCs/>
        </w:rPr>
      </w:pPr>
      <m:oMath>
        <m:sSub>
          <m:sSubPr>
            <m:ctrlPr>
              <w:rPr>
                <w:rFonts w:ascii="Cambria Math" w:hAnsi="Cambria Math"/>
                <w:i/>
                <w:kern w:val="2"/>
                <w:szCs w:val="21"/>
              </w:rPr>
            </m:ctrlPr>
          </m:sSubPr>
          <m:e>
            <m:r>
              <m:rPr/>
              <w:rPr>
                <w:rFonts w:hint="eastAsia" w:ascii="Cambria Math" w:hAnsi="Cambria Math"/>
              </w:rPr>
              <m:t>A</m:t>
            </m:r>
            <m:ctrlPr>
              <w:rPr>
                <w:rFonts w:ascii="Cambria Math" w:hAnsi="Cambria Math"/>
                <w:i/>
                <w:kern w:val="2"/>
                <w:szCs w:val="21"/>
              </w:rPr>
            </m:ctrlPr>
          </m:e>
          <m:sub>
            <m:r>
              <m:rPr/>
              <w:rPr>
                <w:rFonts w:hint="eastAsia" w:ascii="Cambria Math" w:hAnsi="Cambria Math"/>
              </w:rPr>
              <m:t>i</m:t>
            </m:r>
            <m:ctrlPr>
              <w:rPr>
                <w:rFonts w:ascii="Cambria Math" w:hAnsi="Cambria Math"/>
                <w:i/>
                <w:kern w:val="2"/>
                <w:szCs w:val="21"/>
              </w:rPr>
            </m:ctrlPr>
          </m:sub>
        </m:sSub>
        <m:r>
          <m:rPr/>
          <w:rPr>
            <w:rFonts w:ascii="Cambria Math" w:hAnsi="Cambria Math"/>
            <w:kern w:val="2"/>
            <w:szCs w:val="21"/>
          </w:rPr>
          <m:t xml:space="preserve"> </m:t>
        </m:r>
      </m:oMath>
      <w:r>
        <w:rPr>
          <w:rFonts w:ascii="Times New Roman"/>
          <w:bCs/>
        </w:rPr>
        <w:t>——</w:t>
      </w:r>
      <w:r>
        <w:rPr>
          <w:rFonts w:hint="eastAsia"/>
        </w:rPr>
        <w:t>供试品溶液中</w:t>
      </w:r>
      <w:r>
        <w:rPr>
          <w:rFonts w:hint="eastAsia" w:ascii="Times New Roman"/>
          <w:bCs/>
        </w:rPr>
        <w:t>常春藤苷C</w:t>
      </w:r>
      <w:r>
        <w:rPr>
          <w:rFonts w:hint="eastAsia"/>
        </w:rPr>
        <w:t>的峰面积</w:t>
      </w:r>
      <w:r>
        <w:rPr>
          <w:rFonts w:hint="eastAsia" w:ascii="Times New Roman"/>
          <w:bCs/>
        </w:rPr>
        <w:t>；</w:t>
      </w:r>
    </w:p>
    <w:p w14:paraId="341D14A0">
      <w:pPr>
        <w:pStyle w:val="230"/>
        <w:spacing w:before="120" w:after="120"/>
        <w:ind w:firstLine="420"/>
        <w:rPr>
          <w:rFonts w:ascii="Times New Roman"/>
          <w:bCs/>
        </w:rPr>
      </w:pPr>
      <m:oMath>
        <m:sSub>
          <m:sSubPr>
            <m:ctrlPr>
              <w:rPr>
                <w:rFonts w:ascii="Cambria Math" w:hAnsi="Cambria Math"/>
                <w:i/>
                <w:kern w:val="2"/>
                <w:szCs w:val="21"/>
              </w:rPr>
            </m:ctrlPr>
          </m:sSubPr>
          <m:e>
            <m:r>
              <m:rPr/>
              <w:rPr>
                <w:rFonts w:hint="eastAsia" w:ascii="Cambria Math" w:hAnsi="Cambria Math"/>
              </w:rPr>
              <m:t>A</m:t>
            </m:r>
            <m:ctrlPr>
              <w:rPr>
                <w:rFonts w:ascii="Cambria Math" w:hAnsi="Cambria Math"/>
                <w:i/>
                <w:kern w:val="2"/>
                <w:szCs w:val="21"/>
              </w:rPr>
            </m:ctrlPr>
          </m:e>
          <m:sub>
            <m:r>
              <m:rPr/>
              <w:rPr>
                <w:rFonts w:ascii="Cambria Math" w:hAnsi="Cambria Math"/>
              </w:rPr>
              <m:t>0</m:t>
            </m:r>
            <m:ctrlPr>
              <w:rPr>
                <w:rFonts w:ascii="Cambria Math" w:hAnsi="Cambria Math"/>
                <w:i/>
                <w:kern w:val="2"/>
                <w:szCs w:val="21"/>
              </w:rPr>
            </m:ctrlPr>
          </m:sub>
        </m:sSub>
        <m:r>
          <m:rPr/>
          <w:rPr>
            <w:rFonts w:ascii="Cambria Math" w:hAnsi="Cambria Math"/>
            <w:kern w:val="2"/>
            <w:szCs w:val="21"/>
          </w:rPr>
          <m:t xml:space="preserve"> </m:t>
        </m:r>
      </m:oMath>
      <w:r>
        <w:rPr>
          <w:rFonts w:ascii="Times New Roman"/>
          <w:bCs/>
        </w:rPr>
        <w:t>——</w:t>
      </w:r>
      <w:r>
        <w:rPr>
          <w:rFonts w:hint="eastAsia"/>
        </w:rPr>
        <w:t>对照品溶液中</w:t>
      </w:r>
      <w:r>
        <w:rPr>
          <w:rFonts w:hint="eastAsia" w:ascii="Times New Roman"/>
          <w:bCs/>
        </w:rPr>
        <w:t>常春藤苷C</w:t>
      </w:r>
      <w:r>
        <w:rPr>
          <w:rFonts w:hint="eastAsia"/>
        </w:rPr>
        <w:t>的峰面积</w:t>
      </w:r>
      <w:r>
        <w:rPr>
          <w:rFonts w:hint="eastAsia" w:ascii="Times New Roman"/>
          <w:bCs/>
        </w:rPr>
        <w:t>；</w:t>
      </w:r>
    </w:p>
    <w:p w14:paraId="5AACFF76">
      <w:pPr>
        <w:pStyle w:val="230"/>
        <w:spacing w:before="120" w:after="120"/>
        <w:ind w:firstLine="420"/>
        <w:rPr>
          <w:rFonts w:ascii="Times New Roman"/>
          <w:bCs/>
        </w:rPr>
      </w:pPr>
      <m:oMath>
        <m:r>
          <m:rPr/>
          <w:rPr>
            <w:rFonts w:hint="eastAsia" w:ascii="Cambria Math" w:hAnsi="Cambria Math"/>
            <w:kern w:val="2"/>
            <w:szCs w:val="21"/>
          </w:rPr>
          <m:t>V</m:t>
        </m:r>
        <m:r>
          <m:rPr/>
          <w:rPr>
            <w:rFonts w:ascii="Cambria Math" w:hAnsi="Cambria Math"/>
            <w:kern w:val="2"/>
            <w:szCs w:val="21"/>
          </w:rPr>
          <m:t xml:space="preserve">   </m:t>
        </m:r>
      </m:oMath>
      <w:r>
        <w:rPr>
          <w:rFonts w:ascii="Times New Roman"/>
          <w:bCs/>
        </w:rPr>
        <w:t>——</w:t>
      </w:r>
      <w:r>
        <w:rPr>
          <w:rFonts w:hint="eastAsia" w:ascii="Times New Roman"/>
          <w:bCs/>
        </w:rPr>
        <w:t>供试品溶液的稀释体积，单位为毫升（mL）；</w:t>
      </w:r>
    </w:p>
    <w:p w14:paraId="39D13AB1">
      <w:pPr>
        <w:pStyle w:val="230"/>
        <w:spacing w:before="120" w:after="120"/>
        <w:ind w:firstLine="420"/>
        <w:rPr>
          <w:rFonts w:ascii="Times New Roman"/>
          <w:bCs/>
        </w:rPr>
      </w:pPr>
      <m:oMath>
        <m:r>
          <m:rPr/>
          <w:rPr>
            <w:rFonts w:hint="eastAsia" w:ascii="Cambria Math" w:hAnsi="Cambria Math"/>
            <w:kern w:val="2"/>
            <w:szCs w:val="21"/>
          </w:rPr>
          <m:t>P</m:t>
        </m:r>
        <m:r>
          <m:rPr/>
          <w:rPr>
            <w:rFonts w:ascii="Cambria Math" w:hAnsi="Cambria Math"/>
            <w:kern w:val="2"/>
            <w:szCs w:val="21"/>
          </w:rPr>
          <m:t xml:space="preserve">  </m:t>
        </m:r>
      </m:oMath>
      <w:r>
        <w:rPr>
          <w:rFonts w:ascii="Times New Roman"/>
          <w:bCs/>
        </w:rPr>
        <w:t>——</w:t>
      </w:r>
      <w:r>
        <w:rPr>
          <w:rFonts w:hint="eastAsia"/>
        </w:rPr>
        <w:t>对照品</w:t>
      </w:r>
      <w:r>
        <w:rPr>
          <w:rFonts w:hint="eastAsia" w:ascii="Times New Roman"/>
          <w:bCs/>
        </w:rPr>
        <w:t>常春藤苷C</w:t>
      </w:r>
      <w:r>
        <w:rPr>
          <w:rFonts w:hint="eastAsia"/>
        </w:rPr>
        <w:t>的纯度，</w:t>
      </w:r>
      <w:r>
        <w:rPr>
          <w:rFonts w:hint="eastAsia" w:ascii="Times New Roman"/>
          <w:bCs/>
        </w:rPr>
        <w:t>%；</w:t>
      </w:r>
    </w:p>
    <w:p w14:paraId="2AC57690">
      <w:pPr>
        <w:pStyle w:val="230"/>
        <w:spacing w:before="120" w:after="120"/>
        <w:ind w:firstLine="420"/>
        <w:rPr>
          <w:rFonts w:ascii="Times New Roman"/>
          <w:bCs/>
        </w:rPr>
      </w:pPr>
      <m:oMath>
        <m:r>
          <m:rPr/>
          <w:rPr>
            <w:rFonts w:hint="eastAsia" w:ascii="Cambria Math" w:hAnsi="Cambria Math"/>
          </w:rPr>
          <m:t>m</m:t>
        </m:r>
      </m:oMath>
      <w:r>
        <w:rPr>
          <w:rFonts w:hint="eastAsia" w:ascii="Times New Roman"/>
        </w:rPr>
        <w:t xml:space="preserve"> </w:t>
      </w:r>
      <w:r>
        <w:rPr>
          <w:rFonts w:ascii="Times New Roman"/>
          <w:bCs/>
        </w:rPr>
        <w:t>——</w:t>
      </w:r>
      <w:r>
        <w:rPr>
          <w:rFonts w:hint="eastAsia" w:ascii="Times New Roman"/>
          <w:bCs/>
        </w:rPr>
        <w:t>供试品的称样量，单位为毫克（mg）；</w:t>
      </w:r>
    </w:p>
    <w:p w14:paraId="7462391E">
      <w:pPr>
        <w:pStyle w:val="230"/>
        <w:spacing w:before="120" w:after="120"/>
        <w:ind w:firstLine="420"/>
        <w:rPr>
          <w:rFonts w:ascii="Times New Roman"/>
          <w:bCs/>
        </w:rPr>
      </w:pPr>
      <m:oMath>
        <m:r>
          <m:rPr/>
          <w:rPr>
            <w:rFonts w:hint="eastAsia" w:ascii="Cambria Math" w:hAnsi="Cambria Math"/>
          </w:rPr>
          <m:t>d</m:t>
        </m:r>
        <m:r>
          <m:rPr/>
          <w:rPr>
            <w:rFonts w:ascii="Cambria Math" w:hAnsi="Cambria Math"/>
          </w:rPr>
          <m:t xml:space="preserve"> </m:t>
        </m:r>
      </m:oMath>
      <w:r>
        <w:rPr>
          <w:rFonts w:hint="eastAsia" w:ascii="Times New Roman"/>
        </w:rPr>
        <w:t xml:space="preserve"> </w:t>
      </w:r>
      <w:r>
        <w:rPr>
          <w:rFonts w:ascii="Times New Roman"/>
          <w:bCs/>
        </w:rPr>
        <w:t>——</w:t>
      </w:r>
      <w:r>
        <w:rPr>
          <w:rFonts w:hint="eastAsia" w:ascii="Times New Roman"/>
          <w:bCs/>
        </w:rPr>
        <w:t>供试品的</w:t>
      </w:r>
      <w:r>
        <w:rPr>
          <w:rFonts w:hint="eastAsia"/>
          <w:szCs w:val="21"/>
        </w:rPr>
        <w:t>水分</w:t>
      </w:r>
      <w:r>
        <w:rPr>
          <w:rFonts w:hint="eastAsia" w:ascii="Times New Roman"/>
          <w:bCs/>
        </w:rPr>
        <w:t>，%。</w:t>
      </w:r>
    </w:p>
    <w:p w14:paraId="3A049CEF">
      <w:pPr>
        <w:pStyle w:val="198"/>
        <w:rPr>
          <w:rFonts w:hint="eastAsia"/>
        </w:rPr>
      </w:pPr>
    </w:p>
    <w:p w14:paraId="5E055BC2">
      <w:pPr>
        <w:pStyle w:val="199"/>
      </w:pPr>
    </w:p>
    <w:p w14:paraId="0E9E00A4">
      <w:pPr>
        <w:pStyle w:val="76"/>
        <w:spacing w:before="60" w:after="120"/>
      </w:pPr>
      <w:r>
        <w:br w:type="textWrapping"/>
      </w:r>
      <w:r>
        <w:rPr>
          <w:rFonts w:hint="eastAsia"/>
        </w:rPr>
        <w:t>（资料性）</w:t>
      </w:r>
      <w:r>
        <w:br w:type="textWrapping"/>
      </w:r>
      <w:r>
        <w:rPr>
          <w:rFonts w:hint="eastAsia"/>
        </w:rPr>
        <w:t>TLC色谱图</w:t>
      </w:r>
    </w:p>
    <w:p w14:paraId="5E8B3AEA">
      <w:pPr>
        <w:pStyle w:val="211"/>
      </w:pPr>
      <w:r>
        <w:rPr>
          <w:rFonts w:hint="eastAsia"/>
          <w:color w:val="000000"/>
          <w:szCs w:val="21"/>
        </w:rPr>
        <w:t>洋常春藤提取物鉴别</w:t>
      </w:r>
      <w:r>
        <w:rPr>
          <w:rFonts w:hint="eastAsia"/>
        </w:rPr>
        <w:t>图谱见图B.1。</w:t>
      </w:r>
    </w:p>
    <w:p w14:paraId="1E600AB6">
      <w:pPr>
        <w:pStyle w:val="56"/>
        <w:ind w:firstLine="0" w:firstLineChars="0"/>
        <w:jc w:val="center"/>
        <w:rPr>
          <w:kern w:val="2"/>
        </w:rPr>
      </w:pPr>
      <w:bookmarkStart w:id="42" w:name="_Hlk78796541"/>
      <w:r>
        <w:drawing>
          <wp:inline distT="0" distB="0" distL="0" distR="0">
            <wp:extent cx="2692400" cy="2984500"/>
            <wp:effectExtent l="0" t="0" r="0" b="6350"/>
            <wp:docPr id="23466670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666706" name="图片 1"/>
                    <pic:cNvPicPr>
                      <a:picLocks noChangeAspect="1"/>
                    </pic:cNvPicPr>
                  </pic:nvPicPr>
                  <pic:blipFill>
                    <a:blip r:embed="rId22"/>
                    <a:stretch>
                      <a:fillRect/>
                    </a:stretch>
                  </pic:blipFill>
                  <pic:spPr>
                    <a:xfrm>
                      <a:off x="0" y="0"/>
                      <a:ext cx="2698967" cy="2992332"/>
                    </a:xfrm>
                    <a:prstGeom prst="rect">
                      <a:avLst/>
                    </a:prstGeom>
                  </pic:spPr>
                </pic:pic>
              </a:graphicData>
            </a:graphic>
          </wp:inline>
        </w:drawing>
      </w:r>
      <w:r>
        <w:drawing>
          <wp:inline distT="0" distB="0" distL="0" distR="0">
            <wp:extent cx="2984500" cy="2990850"/>
            <wp:effectExtent l="0" t="0" r="6350" b="0"/>
            <wp:docPr id="166950063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500634" name="图片 1"/>
                    <pic:cNvPicPr>
                      <a:picLocks noChangeAspect="1"/>
                    </pic:cNvPicPr>
                  </pic:nvPicPr>
                  <pic:blipFill>
                    <a:blip r:embed="rId23"/>
                    <a:stretch>
                      <a:fillRect/>
                    </a:stretch>
                  </pic:blipFill>
                  <pic:spPr>
                    <a:xfrm>
                      <a:off x="0" y="0"/>
                      <a:ext cx="3001511" cy="3007363"/>
                    </a:xfrm>
                    <a:prstGeom prst="rect">
                      <a:avLst/>
                    </a:prstGeom>
                  </pic:spPr>
                </pic:pic>
              </a:graphicData>
            </a:graphic>
          </wp:inline>
        </w:drawing>
      </w:r>
    </w:p>
    <w:bookmarkEnd w:id="42"/>
    <w:p w14:paraId="6587AA94">
      <w:pPr>
        <w:pStyle w:val="179"/>
        <w:numPr>
          <w:ilvl w:val="0"/>
          <w:numId w:val="0"/>
        </w:numPr>
        <w:ind w:firstLine="360" w:firstLineChars="200"/>
      </w:pPr>
      <w:r>
        <w:rPr>
          <w:rFonts w:hint="eastAsia"/>
        </w:rPr>
        <w:t>说明：1—α-常春藤苷对照品；2—常春藤苷C 对照品；3、4—供试品。左图为日光下检视，右图为365nm紫外光下检视。</w:t>
      </w:r>
    </w:p>
    <w:bookmarkEnd w:id="39"/>
    <w:p w14:paraId="20A7CE07">
      <w:pPr>
        <w:pStyle w:val="83"/>
        <w:spacing w:before="120" w:after="120"/>
        <w:rPr>
          <w:color w:val="000000" w:themeColor="text1"/>
          <w14:textFill>
            <w14:solidFill>
              <w14:schemeClr w14:val="tx1"/>
            </w14:solidFill>
          </w14:textFill>
        </w:rPr>
      </w:pPr>
      <w:r>
        <w:rPr>
          <w:rFonts w:hint="eastAsia"/>
          <w:color w:val="000000" w:themeColor="text1"/>
          <w14:textFill>
            <w14:solidFill>
              <w14:schemeClr w14:val="tx1"/>
            </w14:solidFill>
          </w14:textFill>
        </w:rPr>
        <w:t>TLC鉴别图谱</w:t>
      </w:r>
    </w:p>
    <w:p w14:paraId="6097A959">
      <w:pPr>
        <w:pStyle w:val="56"/>
        <w:ind w:firstLine="420"/>
        <w:jc w:val="center"/>
        <w:rPr>
          <w:highlight w:val="yellow"/>
        </w:rPr>
      </w:pPr>
      <w:r>
        <w:rPr>
          <w:rFonts w:hint="eastAsia"/>
        </w:rPr>
        <w:drawing>
          <wp:inline distT="0" distB="0" distL="0" distR="0">
            <wp:extent cx="1485900" cy="317500"/>
            <wp:effectExtent l="0" t="0" r="0" b="6350"/>
            <wp:docPr id="8" name="图片 8"/>
            <wp:cNvGraphicFramePr/>
            <a:graphic xmlns:a="http://schemas.openxmlformats.org/drawingml/2006/main">
              <a:graphicData uri="http://schemas.openxmlformats.org/drawingml/2006/picture">
                <pic:pic xmlns:pic="http://schemas.openxmlformats.org/drawingml/2006/picture">
                  <pic:nvPicPr>
                    <pic:cNvPr id="8" name="图片 8"/>
                    <pic:cNvPicPr/>
                  </pic:nvPicPr>
                  <pic:blipFill>
                    <a:blip r:embed="rId24">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Start w:id="43" w:name="_GoBack"/>
      <w:bookmarkEnd w:id="43"/>
    </w:p>
    <w:sectPr>
      <w:headerReference r:id="rId17" w:type="default"/>
      <w:footerReference r:id="rId19" w:type="default"/>
      <w:headerReference r:id="rId18" w:type="even"/>
      <w:footerReference r:id="rId20" w:type="even"/>
      <w:pgSz w:w="11906" w:h="16838"/>
      <w:pgMar w:top="2410"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Cambria Math">
    <w:panose1 w:val="02040503050406030204"/>
    <w:charset w:val="00"/>
    <w:family w:val="roman"/>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83052FE">
    <w:pPr>
      <w:pStyle w:val="17"/>
    </w:pPr>
    <w:r>
      <w:fldChar w:fldCharType="begin"/>
    </w:r>
    <w:r>
      <w:instrText xml:space="preserve">PAGE   \* MERGEFORMAT</w:instrText>
    </w:r>
    <w:r>
      <w:fldChar w:fldCharType="separate"/>
    </w:r>
    <w:r>
      <w:rPr>
        <w:lang w:val="zh-CN"/>
      </w:rPr>
      <w:t>2</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61E1E7">
    <w:pPr>
      <w:pStyle w:val="17"/>
      <w:ind w:right="720"/>
      <w:jc w:val="both"/>
      <w:rPr>
        <w:sz w:val="2"/>
        <w:szCs w:val="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2BF68B">
    <w:pPr>
      <w:pStyle w:val="52"/>
    </w:pPr>
    <w:r>
      <w:fldChar w:fldCharType="begin"/>
    </w:r>
    <w:r>
      <w:instrText xml:space="preserve">PAGE   \* MERGEFORMAT</w:instrText>
    </w:r>
    <w:r>
      <w:fldChar w:fldCharType="separate"/>
    </w:r>
    <w:r>
      <w:rPr>
        <w:lang w:val="zh-CN"/>
      </w:rPr>
      <w:t>I</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CF5E48">
    <w:pPr>
      <w:pStyle w:val="51"/>
    </w:pPr>
    <w:r>
      <w:fldChar w:fldCharType="begin"/>
    </w:r>
    <w:r>
      <w:instrText xml:space="preserve"> PAGE   \* MERGEFORMAT \* MERGEFORMAT </w:instrText>
    </w:r>
    <w:r>
      <w:fldChar w:fldCharType="separate"/>
    </w:r>
    <w:r>
      <w:t>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B6B203">
    <w:pPr>
      <w:pStyle w:val="52"/>
    </w:pPr>
    <w:r>
      <w:fldChar w:fldCharType="begin"/>
    </w:r>
    <w:r>
      <w:instrText xml:space="preserve">PAGE   \* MERGEFORMAT</w:instrText>
    </w:r>
    <w:r>
      <w:fldChar w:fldCharType="separate"/>
    </w:r>
    <w:r>
      <w:rPr>
        <w:lang w:val="zh-CN"/>
      </w:rPr>
      <w:t>3</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1E2A29">
    <w:pPr>
      <w:pStyle w:val="51"/>
    </w:pPr>
    <w:r>
      <w:fldChar w:fldCharType="begin"/>
    </w:r>
    <w:r>
      <w:instrText xml:space="preserve"> PAGE   \* MERGEFORMAT \* MERGEFORMAT </w:instrText>
    </w:r>
    <w:r>
      <w:fldChar w:fldCharType="separate"/>
    </w:r>
    <w:r>
      <w:t>2</w:t>
    </w:r>
    <w: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E1EA8A">
    <w:pPr>
      <w:pStyle w:val="52"/>
    </w:pPr>
    <w:r>
      <w:fldChar w:fldCharType="begin"/>
    </w:r>
    <w:r>
      <w:instrText xml:space="preserve">PAGE   \* MERGEFORMAT</w:instrText>
    </w:r>
    <w:r>
      <w:fldChar w:fldCharType="separate"/>
    </w:r>
    <w:r>
      <w:rPr>
        <w:lang w:val="zh-CN"/>
      </w:rPr>
      <w:t>1</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3503BE">
    <w:pPr>
      <w:pStyle w:val="51"/>
    </w:pPr>
    <w:r>
      <w:fldChar w:fldCharType="begin"/>
    </w:r>
    <w:r>
      <w:instrText xml:space="preserve"> PAGE   \* MERGEFORMAT \* MERGEFORMAT </w:instrText>
    </w:r>
    <w:r>
      <w:fldChar w:fldCharType="separate"/>
    </w:r>
    <w:r>
      <w:t>8</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pPr>
        <w:spacing w:line="240" w:lineRule="auto"/>
      </w:pPr>
      <w:r>
        <w:separator/>
      </w:r>
    </w:p>
  </w:footnote>
  <w:footnote w:type="continuationSeparator" w:id="3">
    <w:p>
      <w:pPr>
        <w:spacing w:line="240" w:lineRule="auto"/>
      </w:pPr>
      <w:r>
        <w:continuationSeparator/>
      </w:r>
    </w:p>
  </w:footnote>
  <w:footnote w:id="0">
    <w:p w14:paraId="68E39827">
      <w:pPr>
        <w:pStyle w:val="21"/>
        <w:ind w:left="720" w:hanging="300"/>
        <w:rPr>
          <w:sz w:val="15"/>
        </w:rPr>
      </w:pPr>
      <w:r>
        <w:rPr>
          <w:rStyle w:val="33"/>
          <w:sz w:val="15"/>
          <w:vertAlign w:val="baseline"/>
        </w:rPr>
        <w:footnoteRef/>
      </w:r>
      <w:r>
        <w:rPr>
          <w:sz w:val="15"/>
        </w:rPr>
        <w:t xml:space="preserve">) </w:t>
      </w:r>
      <w:r>
        <w:rPr>
          <w:rFonts w:hint="eastAsia"/>
          <w:sz w:val="15"/>
        </w:rPr>
        <w:t>非商业性声明：上述所采用的设备、色谱柱、标准对照品等，涉及具体商业品牌、型号的，仅供参考，无商业目的，鼓励标准使用者</w:t>
      </w:r>
      <w:r>
        <w:rPr>
          <w:rFonts w:hint="eastAsia" w:hAnsi="Times New Roman"/>
          <w:kern w:val="0"/>
          <w:sz w:val="15"/>
          <w:szCs w:val="20"/>
        </w:rPr>
        <w:t>尝试使用不同品牌、型号的设备、色谱柱及标准品。</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9D525">
    <w:pPr>
      <w:pStyle w:val="18"/>
      <w:wordWrap w:val="0"/>
      <w:jc w:val="right"/>
      <w:rPr>
        <w:rFonts w:hint="eastAsia" w:ascii="黑体" w:hAnsi="黑体" w:eastAsia="黑体"/>
      </w:rPr>
    </w:pPr>
    <w:r>
      <w:rPr>
        <w:rFonts w:ascii="黑体" w:hAnsi="黑体" w:eastAsia="黑体"/>
      </w:rPr>
      <w:t>Q/LB.</w:t>
    </w:r>
    <w:r>
      <w:rPr>
        <w:rFonts w:hint="eastAsia" w:ascii="黑体" w:hAnsi="黑体" w:eastAsia="黑体"/>
      </w:rPr>
      <w:t>□</w:t>
    </w:r>
    <w:r>
      <w:rPr>
        <w:rFonts w:ascii="黑体" w:hAnsi="黑体" w:eastAsia="黑体"/>
      </w:rPr>
      <w:t>XXXXX-XXXX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55F0B9">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7D3492">
    <w:pPr>
      <w:pStyle w:val="61"/>
      <w:rPr>
        <w:rFonts w:hint="eastAsia"/>
      </w:rPr>
    </w:pPr>
    <w:r>
      <w:fldChar w:fldCharType="begin"/>
    </w:r>
    <w:r>
      <w:instrText xml:space="preserve"> STYLEREF  标准文件_文件编号  \* MERGEFORMAT </w:instrText>
    </w:r>
    <w:r>
      <w:fldChar w:fldCharType="separate"/>
    </w:r>
    <w:r>
      <w:t>T/CCCMHPIE 1.XX—2026</w:t>
    </w:r>
    <w:r>
      <w:fldChar w:fldCharType="end"/>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C784AC">
    <w:pPr>
      <w:pStyle w:val="62"/>
      <w:rPr>
        <w:rFonts w:hint="eastAsia"/>
      </w:rPr>
    </w:pPr>
    <w:r>
      <w:fldChar w:fldCharType="begin"/>
    </w:r>
    <w:r>
      <w:instrText xml:space="preserve"> STYLEREF  标准文件_文件编号 \* MERGEFORMAT </w:instrText>
    </w:r>
    <w:r>
      <w:fldChar w:fldCharType="separate"/>
    </w:r>
    <w:r>
      <w:t>T/CCCMHPIE 1.XX—2026</w:t>
    </w:r>
    <w: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34A381">
    <w:pPr>
      <w:pStyle w:val="61"/>
      <w:rPr>
        <w:rFonts w:hint="eastAsia"/>
      </w:rPr>
    </w:pPr>
    <w:r>
      <w:fldChar w:fldCharType="begin"/>
    </w:r>
    <w:r>
      <w:instrText xml:space="preserve"> STYLEREF  标准文件_文件编号  \* MERGEFORMAT </w:instrText>
    </w:r>
    <w:r>
      <w:fldChar w:fldCharType="separate"/>
    </w:r>
    <w:r>
      <w:t>T/CCCMHPIE 1.XX—2026</w:t>
    </w:r>
    <w:r>
      <w:fldChar w:fldCharType="end"/>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848958">
    <w:pPr>
      <w:pStyle w:val="62"/>
      <w:rPr>
        <w:rFonts w:hint="eastAsia"/>
      </w:rPr>
    </w:pPr>
    <w:r>
      <w:fldChar w:fldCharType="begin"/>
    </w:r>
    <w:r>
      <w:instrText xml:space="preserve"> STYLEREF  标准文件_文件编号 \* MERGEFORMAT </w:instrText>
    </w:r>
    <w:r>
      <w:fldChar w:fldCharType="separate"/>
    </w:r>
    <w:r>
      <w:t>T/CCCMHPIE 1.XX—2026</w:t>
    </w:r>
    <w:r>
      <w:fldChar w:fldCharType="end"/>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8CBD02">
    <w:pPr>
      <w:pStyle w:val="61"/>
      <w:rPr>
        <w:rFonts w:hint="eastAsia"/>
      </w:rPr>
    </w:pPr>
    <w:r>
      <w:fldChar w:fldCharType="begin"/>
    </w:r>
    <w:r>
      <w:instrText xml:space="preserve"> STYLEREF  标准文件_文件编号  \* MERGEFORMAT </w:instrText>
    </w:r>
    <w:r>
      <w:fldChar w:fldCharType="separate"/>
    </w:r>
    <w:r>
      <w:t>T/CCCMHPIE 1.XX—2026</w:t>
    </w:r>
    <w:r>
      <w:fldChar w:fldCharType="end"/>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EFF4F4">
    <w:pPr>
      <w:pStyle w:val="62"/>
      <w:rPr>
        <w:rFonts w:hint="eastAsia"/>
      </w:rPr>
    </w:pPr>
    <w:r>
      <w:fldChar w:fldCharType="begin"/>
    </w:r>
    <w:r>
      <w:instrText xml:space="preserve"> STYLEREF  标准文件_文件编号 \* MERGEFORMAT </w:instrText>
    </w:r>
    <w:r>
      <w:fldChar w:fldCharType="separate"/>
    </w:r>
    <w:r>
      <w:t>T/CCCMHPIE 1.XX—2026</w: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567"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0"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800" w:hanging="374"/>
      </w:pPr>
      <w:rPr>
        <w:rFonts w:hint="eastAsia" w:ascii="黑体" w:eastAsia="黑体"/>
        <w:b w:val="0"/>
        <w:i w:val="0"/>
        <w:sz w:val="18"/>
      </w:rPr>
    </w:lvl>
    <w:lvl w:ilvl="1" w:tentative="0">
      <w:start w:val="1"/>
      <w:numFmt w:val="lowerLetter"/>
      <w:lvlText w:val="%2)"/>
      <w:lvlJc w:val="left"/>
      <w:pPr>
        <w:tabs>
          <w:tab w:val="left" w:pos="1203"/>
        </w:tabs>
        <w:ind w:left="789" w:hanging="363"/>
      </w:pPr>
      <w:rPr>
        <w:rFonts w:hint="eastAsia"/>
      </w:rPr>
    </w:lvl>
    <w:lvl w:ilvl="2" w:tentative="0">
      <w:start w:val="1"/>
      <w:numFmt w:val="lowerRoman"/>
      <w:lvlText w:val="%3."/>
      <w:lvlJc w:val="right"/>
      <w:pPr>
        <w:tabs>
          <w:tab w:val="left" w:pos="1203"/>
        </w:tabs>
        <w:ind w:left="789" w:hanging="363"/>
      </w:pPr>
      <w:rPr>
        <w:rFonts w:hint="eastAsia"/>
      </w:rPr>
    </w:lvl>
    <w:lvl w:ilvl="3" w:tentative="0">
      <w:start w:val="1"/>
      <w:numFmt w:val="decimal"/>
      <w:lvlText w:val="%4."/>
      <w:lvlJc w:val="left"/>
      <w:pPr>
        <w:tabs>
          <w:tab w:val="left" w:pos="1203"/>
        </w:tabs>
        <w:ind w:left="789" w:hanging="363"/>
      </w:pPr>
      <w:rPr>
        <w:rFonts w:hint="eastAsia"/>
      </w:rPr>
    </w:lvl>
    <w:lvl w:ilvl="4" w:tentative="0">
      <w:start w:val="1"/>
      <w:numFmt w:val="lowerLetter"/>
      <w:lvlText w:val="%5)"/>
      <w:lvlJc w:val="left"/>
      <w:pPr>
        <w:tabs>
          <w:tab w:val="left" w:pos="1203"/>
        </w:tabs>
        <w:ind w:left="789" w:hanging="363"/>
      </w:pPr>
      <w:rPr>
        <w:rFonts w:hint="eastAsia"/>
      </w:rPr>
    </w:lvl>
    <w:lvl w:ilvl="5" w:tentative="0">
      <w:start w:val="1"/>
      <w:numFmt w:val="lowerRoman"/>
      <w:lvlText w:val="%6."/>
      <w:lvlJc w:val="right"/>
      <w:pPr>
        <w:tabs>
          <w:tab w:val="left" w:pos="1203"/>
        </w:tabs>
        <w:ind w:left="789" w:hanging="363"/>
      </w:pPr>
      <w:rPr>
        <w:rFonts w:hint="eastAsia"/>
      </w:rPr>
    </w:lvl>
    <w:lvl w:ilvl="6" w:tentative="0">
      <w:start w:val="1"/>
      <w:numFmt w:val="decimal"/>
      <w:lvlText w:val="%7."/>
      <w:lvlJc w:val="left"/>
      <w:pPr>
        <w:tabs>
          <w:tab w:val="left" w:pos="1203"/>
        </w:tabs>
        <w:ind w:left="789" w:hanging="363"/>
      </w:pPr>
      <w:rPr>
        <w:rFonts w:hint="eastAsia"/>
      </w:rPr>
    </w:lvl>
    <w:lvl w:ilvl="7" w:tentative="0">
      <w:start w:val="1"/>
      <w:numFmt w:val="lowerLetter"/>
      <w:lvlText w:val="%8)"/>
      <w:lvlJc w:val="left"/>
      <w:pPr>
        <w:tabs>
          <w:tab w:val="left" w:pos="1203"/>
        </w:tabs>
        <w:ind w:left="789" w:hanging="363"/>
      </w:pPr>
      <w:rPr>
        <w:rFonts w:hint="eastAsia"/>
      </w:rPr>
    </w:lvl>
    <w:lvl w:ilvl="8" w:tentative="0">
      <w:start w:val="1"/>
      <w:numFmt w:val="lowerRoman"/>
      <w:lvlText w:val="%9."/>
      <w:lvlJc w:val="right"/>
      <w:pPr>
        <w:tabs>
          <w:tab w:val="left" w:pos="1203"/>
        </w:tabs>
        <w:ind w:left="789"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attachedTemplate r:id="rId1"/>
  <w:documentProtection w:edit="forms" w:enforcement="1" w:cryptProviderType="rsaAES" w:cryptAlgorithmClass="hash" w:cryptAlgorithmType="typeAny" w:cryptAlgorithmSid="14" w:cryptSpinCount="100000" w:hash="Wfu2xNTlMqsCcZROiFbKOwTzDL6Kym2HYSd8Eyd1I73ozB1c6qJMhNRmxWgHCgZGAXtb+1d1uvCW5y5mWntYBA==" w:salt="A10b6xRmWQMzmTE0TKc1kQ=="/>
  <w:defaultTabStop w:val="420"/>
  <w:evenAndOddHeaders w:val="1"/>
  <w:drawingGridHorizontalSpacing w:val="105"/>
  <w:drawingGridVerticalSpacing w:val="156"/>
  <w:displayHorizontalDrawingGridEvery w:val="0"/>
  <w:displayVerticalDrawingGridEvery w:val="2"/>
  <w:characterSpacingControl w:val="compressPunctuation"/>
  <w:footnotePr>
    <w:footnote w:id="2"/>
    <w:footnote w:id="3"/>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QzMWM1YmE2Y2RlN2I5OWIwNzQxMGI2MzAwNDg2MjIifQ=="/>
  </w:docVars>
  <w:rsids>
    <w:rsidRoot w:val="003D204A"/>
    <w:rsid w:val="0000040A"/>
    <w:rsid w:val="00000A94"/>
    <w:rsid w:val="00001972"/>
    <w:rsid w:val="00001D9A"/>
    <w:rsid w:val="00007B3A"/>
    <w:rsid w:val="00010048"/>
    <w:rsid w:val="00010211"/>
    <w:rsid w:val="0001076E"/>
    <w:rsid w:val="000107E0"/>
    <w:rsid w:val="00011FDE"/>
    <w:rsid w:val="00012FFD"/>
    <w:rsid w:val="00014162"/>
    <w:rsid w:val="00014340"/>
    <w:rsid w:val="00016A9C"/>
    <w:rsid w:val="00021B90"/>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0A04"/>
    <w:rsid w:val="000515DD"/>
    <w:rsid w:val="0005265A"/>
    <w:rsid w:val="000539DD"/>
    <w:rsid w:val="00053BD3"/>
    <w:rsid w:val="000556ED"/>
    <w:rsid w:val="00055FE2"/>
    <w:rsid w:val="0005616F"/>
    <w:rsid w:val="000571D9"/>
    <w:rsid w:val="00060688"/>
    <w:rsid w:val="00060C2E"/>
    <w:rsid w:val="00061033"/>
    <w:rsid w:val="000619E9"/>
    <w:rsid w:val="000622D4"/>
    <w:rsid w:val="0006357D"/>
    <w:rsid w:val="00064B61"/>
    <w:rsid w:val="000654F5"/>
    <w:rsid w:val="000655C3"/>
    <w:rsid w:val="00067F1E"/>
    <w:rsid w:val="00071CC0"/>
    <w:rsid w:val="00071CFC"/>
    <w:rsid w:val="00073C8C"/>
    <w:rsid w:val="00077B64"/>
    <w:rsid w:val="00080A1C"/>
    <w:rsid w:val="00082317"/>
    <w:rsid w:val="00083D2C"/>
    <w:rsid w:val="00086AA1"/>
    <w:rsid w:val="00087A77"/>
    <w:rsid w:val="00090CA6"/>
    <w:rsid w:val="00091088"/>
    <w:rsid w:val="00092B8A"/>
    <w:rsid w:val="00092FB0"/>
    <w:rsid w:val="000934C5"/>
    <w:rsid w:val="00093D25"/>
    <w:rsid w:val="00093DAB"/>
    <w:rsid w:val="00093DED"/>
    <w:rsid w:val="00094D73"/>
    <w:rsid w:val="00096D63"/>
    <w:rsid w:val="00097438"/>
    <w:rsid w:val="000A0B60"/>
    <w:rsid w:val="000A0EB8"/>
    <w:rsid w:val="000A19FC"/>
    <w:rsid w:val="000A296B"/>
    <w:rsid w:val="000A7311"/>
    <w:rsid w:val="000B060F"/>
    <w:rsid w:val="000B1592"/>
    <w:rsid w:val="000B1FF2"/>
    <w:rsid w:val="000B3CDA"/>
    <w:rsid w:val="000B5E05"/>
    <w:rsid w:val="000B6A0B"/>
    <w:rsid w:val="000B6BE9"/>
    <w:rsid w:val="000C0F6C"/>
    <w:rsid w:val="000C11DB"/>
    <w:rsid w:val="000C1492"/>
    <w:rsid w:val="000C1C02"/>
    <w:rsid w:val="000C2FBD"/>
    <w:rsid w:val="000C4B41"/>
    <w:rsid w:val="000C57D6"/>
    <w:rsid w:val="000C6362"/>
    <w:rsid w:val="000C7666"/>
    <w:rsid w:val="000D0A9C"/>
    <w:rsid w:val="000D1795"/>
    <w:rsid w:val="000D329A"/>
    <w:rsid w:val="000D4B9C"/>
    <w:rsid w:val="000D4EB6"/>
    <w:rsid w:val="000D753B"/>
    <w:rsid w:val="000E296A"/>
    <w:rsid w:val="000E4C9E"/>
    <w:rsid w:val="000E6FD7"/>
    <w:rsid w:val="000F06E1"/>
    <w:rsid w:val="000F0E3C"/>
    <w:rsid w:val="000F19D5"/>
    <w:rsid w:val="000F4050"/>
    <w:rsid w:val="000F4AEA"/>
    <w:rsid w:val="000F67E9"/>
    <w:rsid w:val="00104926"/>
    <w:rsid w:val="00111182"/>
    <w:rsid w:val="00113B1E"/>
    <w:rsid w:val="00113B9C"/>
    <w:rsid w:val="0011711C"/>
    <w:rsid w:val="00124E4F"/>
    <w:rsid w:val="001260B7"/>
    <w:rsid w:val="001265CB"/>
    <w:rsid w:val="001321C6"/>
    <w:rsid w:val="001325C4"/>
    <w:rsid w:val="00133010"/>
    <w:rsid w:val="001338EE"/>
    <w:rsid w:val="00133AAE"/>
    <w:rsid w:val="00135323"/>
    <w:rsid w:val="001356C4"/>
    <w:rsid w:val="001369AC"/>
    <w:rsid w:val="00137565"/>
    <w:rsid w:val="00137C7F"/>
    <w:rsid w:val="00141114"/>
    <w:rsid w:val="00142969"/>
    <w:rsid w:val="001446C2"/>
    <w:rsid w:val="001457E7"/>
    <w:rsid w:val="00145D9D"/>
    <w:rsid w:val="00146388"/>
    <w:rsid w:val="001529E5"/>
    <w:rsid w:val="00152FB3"/>
    <w:rsid w:val="00153C7E"/>
    <w:rsid w:val="001556CB"/>
    <w:rsid w:val="00155B80"/>
    <w:rsid w:val="00156B25"/>
    <w:rsid w:val="00156E1A"/>
    <w:rsid w:val="00157894"/>
    <w:rsid w:val="00157B55"/>
    <w:rsid w:val="001642FA"/>
    <w:rsid w:val="001643D0"/>
    <w:rsid w:val="001649EB"/>
    <w:rsid w:val="00164BAF"/>
    <w:rsid w:val="00164FA8"/>
    <w:rsid w:val="00165065"/>
    <w:rsid w:val="00165434"/>
    <w:rsid w:val="0016580B"/>
    <w:rsid w:val="00165F49"/>
    <w:rsid w:val="00166B88"/>
    <w:rsid w:val="0016770A"/>
    <w:rsid w:val="00170804"/>
    <w:rsid w:val="001708E9"/>
    <w:rsid w:val="0017340B"/>
    <w:rsid w:val="00173FB1"/>
    <w:rsid w:val="0017585C"/>
    <w:rsid w:val="00176DFD"/>
    <w:rsid w:val="001852C9"/>
    <w:rsid w:val="00187A0B"/>
    <w:rsid w:val="00190087"/>
    <w:rsid w:val="001913C4"/>
    <w:rsid w:val="0019348F"/>
    <w:rsid w:val="00193A07"/>
    <w:rsid w:val="00194C95"/>
    <w:rsid w:val="00195C34"/>
    <w:rsid w:val="00195D5E"/>
    <w:rsid w:val="00196EF5"/>
    <w:rsid w:val="001A1A53"/>
    <w:rsid w:val="001A234A"/>
    <w:rsid w:val="001A4CF3"/>
    <w:rsid w:val="001A6696"/>
    <w:rsid w:val="001B06E8"/>
    <w:rsid w:val="001B0EDE"/>
    <w:rsid w:val="001B60C4"/>
    <w:rsid w:val="001B71D0"/>
    <w:rsid w:val="001B71EE"/>
    <w:rsid w:val="001C04A8"/>
    <w:rsid w:val="001C06C4"/>
    <w:rsid w:val="001C2C03"/>
    <w:rsid w:val="001C3E5E"/>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06541"/>
    <w:rsid w:val="00210B15"/>
    <w:rsid w:val="002142EA"/>
    <w:rsid w:val="00214958"/>
    <w:rsid w:val="00215ADD"/>
    <w:rsid w:val="002204BB"/>
    <w:rsid w:val="00221B79"/>
    <w:rsid w:val="00221C6B"/>
    <w:rsid w:val="00224A3D"/>
    <w:rsid w:val="002253A1"/>
    <w:rsid w:val="0022543E"/>
    <w:rsid w:val="00225CF8"/>
    <w:rsid w:val="0022685D"/>
    <w:rsid w:val="0022794E"/>
    <w:rsid w:val="00233A4A"/>
    <w:rsid w:val="00233D64"/>
    <w:rsid w:val="0023482A"/>
    <w:rsid w:val="0023563D"/>
    <w:rsid w:val="002359CB"/>
    <w:rsid w:val="00243540"/>
    <w:rsid w:val="0024497B"/>
    <w:rsid w:val="0024499A"/>
    <w:rsid w:val="0024515B"/>
    <w:rsid w:val="0024570D"/>
    <w:rsid w:val="00246021"/>
    <w:rsid w:val="0024666E"/>
    <w:rsid w:val="00247F52"/>
    <w:rsid w:val="00250B25"/>
    <w:rsid w:val="00250BBE"/>
    <w:rsid w:val="002515C2"/>
    <w:rsid w:val="0025194F"/>
    <w:rsid w:val="00252B9C"/>
    <w:rsid w:val="002543D0"/>
    <w:rsid w:val="00254652"/>
    <w:rsid w:val="0026148A"/>
    <w:rsid w:val="00262696"/>
    <w:rsid w:val="00263D25"/>
    <w:rsid w:val="002643C3"/>
    <w:rsid w:val="00264A0C"/>
    <w:rsid w:val="002652A2"/>
    <w:rsid w:val="002652C5"/>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9791D"/>
    <w:rsid w:val="002A084B"/>
    <w:rsid w:val="002A1260"/>
    <w:rsid w:val="002A1589"/>
    <w:rsid w:val="002A1608"/>
    <w:rsid w:val="002A2383"/>
    <w:rsid w:val="002A25DC"/>
    <w:rsid w:val="002A3AAB"/>
    <w:rsid w:val="002A4CC5"/>
    <w:rsid w:val="002A4CEA"/>
    <w:rsid w:val="002A5977"/>
    <w:rsid w:val="002A5A13"/>
    <w:rsid w:val="002A757F"/>
    <w:rsid w:val="002A7F44"/>
    <w:rsid w:val="002B072C"/>
    <w:rsid w:val="002B0C40"/>
    <w:rsid w:val="002B17D4"/>
    <w:rsid w:val="002B1966"/>
    <w:rsid w:val="002B1ABB"/>
    <w:rsid w:val="002B4508"/>
    <w:rsid w:val="002B5779"/>
    <w:rsid w:val="002B7332"/>
    <w:rsid w:val="002B7F51"/>
    <w:rsid w:val="002C09E7"/>
    <w:rsid w:val="002C1E06"/>
    <w:rsid w:val="002C1FDB"/>
    <w:rsid w:val="002C3F07"/>
    <w:rsid w:val="002C5278"/>
    <w:rsid w:val="002C7EBB"/>
    <w:rsid w:val="002D06C1"/>
    <w:rsid w:val="002D42B5"/>
    <w:rsid w:val="002D4F1A"/>
    <w:rsid w:val="002D6EC6"/>
    <w:rsid w:val="002D79AC"/>
    <w:rsid w:val="002E039D"/>
    <w:rsid w:val="002E43BE"/>
    <w:rsid w:val="002E4D5A"/>
    <w:rsid w:val="002E6326"/>
    <w:rsid w:val="002E6552"/>
    <w:rsid w:val="002F2D89"/>
    <w:rsid w:val="002F30E0"/>
    <w:rsid w:val="002F35E4"/>
    <w:rsid w:val="002F3730"/>
    <w:rsid w:val="002F38E1"/>
    <w:rsid w:val="002F7AF6"/>
    <w:rsid w:val="00300E63"/>
    <w:rsid w:val="00302F5F"/>
    <w:rsid w:val="0030441D"/>
    <w:rsid w:val="00306063"/>
    <w:rsid w:val="0030724D"/>
    <w:rsid w:val="00313B85"/>
    <w:rsid w:val="003141D2"/>
    <w:rsid w:val="00317784"/>
    <w:rsid w:val="00317988"/>
    <w:rsid w:val="003221B4"/>
    <w:rsid w:val="0032258D"/>
    <w:rsid w:val="00322CD3"/>
    <w:rsid w:val="00322E62"/>
    <w:rsid w:val="00324D13"/>
    <w:rsid w:val="00324EDD"/>
    <w:rsid w:val="003331E4"/>
    <w:rsid w:val="00336139"/>
    <w:rsid w:val="00336C64"/>
    <w:rsid w:val="00337162"/>
    <w:rsid w:val="0034194F"/>
    <w:rsid w:val="00344605"/>
    <w:rsid w:val="003474AA"/>
    <w:rsid w:val="00350D1D"/>
    <w:rsid w:val="00352C83"/>
    <w:rsid w:val="00352F1A"/>
    <w:rsid w:val="00360B58"/>
    <w:rsid w:val="0036107C"/>
    <w:rsid w:val="003615D2"/>
    <w:rsid w:val="0036429C"/>
    <w:rsid w:val="00364A53"/>
    <w:rsid w:val="00364B08"/>
    <w:rsid w:val="003654CB"/>
    <w:rsid w:val="00365AA9"/>
    <w:rsid w:val="00365F86"/>
    <w:rsid w:val="00365F87"/>
    <w:rsid w:val="00366E89"/>
    <w:rsid w:val="003705F4"/>
    <w:rsid w:val="00370D58"/>
    <w:rsid w:val="003712E1"/>
    <w:rsid w:val="003712FD"/>
    <w:rsid w:val="00371316"/>
    <w:rsid w:val="00372CA9"/>
    <w:rsid w:val="00372D79"/>
    <w:rsid w:val="00376713"/>
    <w:rsid w:val="0037674F"/>
    <w:rsid w:val="00381815"/>
    <w:rsid w:val="003819AF"/>
    <w:rsid w:val="003820E9"/>
    <w:rsid w:val="00382DE7"/>
    <w:rsid w:val="00384FFC"/>
    <w:rsid w:val="0038669F"/>
    <w:rsid w:val="003872FC"/>
    <w:rsid w:val="00387ADC"/>
    <w:rsid w:val="00390020"/>
    <w:rsid w:val="003903D6"/>
    <w:rsid w:val="00390EE6"/>
    <w:rsid w:val="0039118F"/>
    <w:rsid w:val="00392AD7"/>
    <w:rsid w:val="00392B43"/>
    <w:rsid w:val="00392D2F"/>
    <w:rsid w:val="003938D9"/>
    <w:rsid w:val="00394376"/>
    <w:rsid w:val="003943FF"/>
    <w:rsid w:val="0039490F"/>
    <w:rsid w:val="003974EB"/>
    <w:rsid w:val="00397CC5"/>
    <w:rsid w:val="003A1582"/>
    <w:rsid w:val="003A3D9C"/>
    <w:rsid w:val="003A4077"/>
    <w:rsid w:val="003A4AA7"/>
    <w:rsid w:val="003A6B56"/>
    <w:rsid w:val="003B09AD"/>
    <w:rsid w:val="003B1F18"/>
    <w:rsid w:val="003B210D"/>
    <w:rsid w:val="003B59E1"/>
    <w:rsid w:val="003B5BF0"/>
    <w:rsid w:val="003B60BF"/>
    <w:rsid w:val="003B6BE3"/>
    <w:rsid w:val="003C010C"/>
    <w:rsid w:val="003C0A6C"/>
    <w:rsid w:val="003C14F8"/>
    <w:rsid w:val="003C282A"/>
    <w:rsid w:val="003C4BD8"/>
    <w:rsid w:val="003C5A43"/>
    <w:rsid w:val="003D0519"/>
    <w:rsid w:val="003D0FF6"/>
    <w:rsid w:val="003D1392"/>
    <w:rsid w:val="003D204A"/>
    <w:rsid w:val="003D262C"/>
    <w:rsid w:val="003D6D61"/>
    <w:rsid w:val="003E0462"/>
    <w:rsid w:val="003E091D"/>
    <w:rsid w:val="003E1C53"/>
    <w:rsid w:val="003E1E06"/>
    <w:rsid w:val="003E2A69"/>
    <w:rsid w:val="003E2D49"/>
    <w:rsid w:val="003E2FD4"/>
    <w:rsid w:val="003E49F6"/>
    <w:rsid w:val="003E660F"/>
    <w:rsid w:val="003E6E4E"/>
    <w:rsid w:val="003E7664"/>
    <w:rsid w:val="003F0841"/>
    <w:rsid w:val="003F23D3"/>
    <w:rsid w:val="003F3F08"/>
    <w:rsid w:val="003F49F1"/>
    <w:rsid w:val="003F6272"/>
    <w:rsid w:val="003F7BBA"/>
    <w:rsid w:val="00400E72"/>
    <w:rsid w:val="00401400"/>
    <w:rsid w:val="0040213A"/>
    <w:rsid w:val="00403E2F"/>
    <w:rsid w:val="00404869"/>
    <w:rsid w:val="00404CE1"/>
    <w:rsid w:val="00405884"/>
    <w:rsid w:val="0040670E"/>
    <w:rsid w:val="00406EDF"/>
    <w:rsid w:val="00407D39"/>
    <w:rsid w:val="0041477A"/>
    <w:rsid w:val="004167A3"/>
    <w:rsid w:val="00420D93"/>
    <w:rsid w:val="00422904"/>
    <w:rsid w:val="00432DAA"/>
    <w:rsid w:val="00434305"/>
    <w:rsid w:val="00435DF7"/>
    <w:rsid w:val="0044083F"/>
    <w:rsid w:val="00441AE7"/>
    <w:rsid w:val="00445574"/>
    <w:rsid w:val="004467FB"/>
    <w:rsid w:val="00452D6B"/>
    <w:rsid w:val="00454484"/>
    <w:rsid w:val="0045517B"/>
    <w:rsid w:val="00455669"/>
    <w:rsid w:val="0045686E"/>
    <w:rsid w:val="004577F4"/>
    <w:rsid w:val="00461E4A"/>
    <w:rsid w:val="00462CC3"/>
    <w:rsid w:val="00463B77"/>
    <w:rsid w:val="00463C7B"/>
    <w:rsid w:val="004644A6"/>
    <w:rsid w:val="004659BD"/>
    <w:rsid w:val="00467437"/>
    <w:rsid w:val="00470775"/>
    <w:rsid w:val="004709EF"/>
    <w:rsid w:val="004746B1"/>
    <w:rsid w:val="0047539B"/>
    <w:rsid w:val="0047583F"/>
    <w:rsid w:val="00475DE8"/>
    <w:rsid w:val="00481C44"/>
    <w:rsid w:val="00484936"/>
    <w:rsid w:val="00485C89"/>
    <w:rsid w:val="00486BE3"/>
    <w:rsid w:val="004905E4"/>
    <w:rsid w:val="00490A89"/>
    <w:rsid w:val="00490AB4"/>
    <w:rsid w:val="00491531"/>
    <w:rsid w:val="00492F02"/>
    <w:rsid w:val="004939AE"/>
    <w:rsid w:val="004A0CBC"/>
    <w:rsid w:val="004A12DF"/>
    <w:rsid w:val="004A1BA8"/>
    <w:rsid w:val="004A4B57"/>
    <w:rsid w:val="004A6153"/>
    <w:rsid w:val="004A63FA"/>
    <w:rsid w:val="004A6A3D"/>
    <w:rsid w:val="004B0272"/>
    <w:rsid w:val="004B2701"/>
    <w:rsid w:val="004B2E1B"/>
    <w:rsid w:val="004B3AA8"/>
    <w:rsid w:val="004B3E93"/>
    <w:rsid w:val="004B6475"/>
    <w:rsid w:val="004B77AA"/>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C0A"/>
    <w:rsid w:val="004E1F2E"/>
    <w:rsid w:val="004E30C5"/>
    <w:rsid w:val="004E4AA5"/>
    <w:rsid w:val="004E4AEE"/>
    <w:rsid w:val="004E5897"/>
    <w:rsid w:val="004E59E3"/>
    <w:rsid w:val="004E67C0"/>
    <w:rsid w:val="004E77EA"/>
    <w:rsid w:val="004F391A"/>
    <w:rsid w:val="004F3CFB"/>
    <w:rsid w:val="004F6456"/>
    <w:rsid w:val="004F696E"/>
    <w:rsid w:val="004F6C71"/>
    <w:rsid w:val="00501139"/>
    <w:rsid w:val="0050363E"/>
    <w:rsid w:val="005039BC"/>
    <w:rsid w:val="005043BB"/>
    <w:rsid w:val="00504A3D"/>
    <w:rsid w:val="00504DFA"/>
    <w:rsid w:val="00505767"/>
    <w:rsid w:val="005073F0"/>
    <w:rsid w:val="0051097C"/>
    <w:rsid w:val="00510A7B"/>
    <w:rsid w:val="00512F6E"/>
    <w:rsid w:val="00513038"/>
    <w:rsid w:val="00514174"/>
    <w:rsid w:val="00516088"/>
    <w:rsid w:val="00516B0B"/>
    <w:rsid w:val="005220EC"/>
    <w:rsid w:val="00523F95"/>
    <w:rsid w:val="00524D65"/>
    <w:rsid w:val="005257F1"/>
    <w:rsid w:val="00525B16"/>
    <w:rsid w:val="00533D04"/>
    <w:rsid w:val="00534804"/>
    <w:rsid w:val="00534BDF"/>
    <w:rsid w:val="005354EA"/>
    <w:rsid w:val="0053585F"/>
    <w:rsid w:val="00535EC4"/>
    <w:rsid w:val="00535ED9"/>
    <w:rsid w:val="0053692B"/>
    <w:rsid w:val="00537C92"/>
    <w:rsid w:val="00541853"/>
    <w:rsid w:val="00543BDA"/>
    <w:rsid w:val="005441CC"/>
    <w:rsid w:val="005479DA"/>
    <w:rsid w:val="00547BCC"/>
    <w:rsid w:val="0055013B"/>
    <w:rsid w:val="005512EE"/>
    <w:rsid w:val="00551F6F"/>
    <w:rsid w:val="00555044"/>
    <w:rsid w:val="00561475"/>
    <w:rsid w:val="00562308"/>
    <w:rsid w:val="005633D8"/>
    <w:rsid w:val="0056487B"/>
    <w:rsid w:val="00564FB9"/>
    <w:rsid w:val="005726D4"/>
    <w:rsid w:val="00573D9E"/>
    <w:rsid w:val="005801E3"/>
    <w:rsid w:val="00581802"/>
    <w:rsid w:val="00582739"/>
    <w:rsid w:val="005836A8"/>
    <w:rsid w:val="0058409C"/>
    <w:rsid w:val="00584262"/>
    <w:rsid w:val="00586630"/>
    <w:rsid w:val="00587ADD"/>
    <w:rsid w:val="00593A49"/>
    <w:rsid w:val="00596160"/>
    <w:rsid w:val="005966E2"/>
    <w:rsid w:val="00597007"/>
    <w:rsid w:val="005A0966"/>
    <w:rsid w:val="005A11B7"/>
    <w:rsid w:val="005A1B41"/>
    <w:rsid w:val="005A260B"/>
    <w:rsid w:val="005A4A1B"/>
    <w:rsid w:val="005A7830"/>
    <w:rsid w:val="005A7FCE"/>
    <w:rsid w:val="005B0F3F"/>
    <w:rsid w:val="005B191C"/>
    <w:rsid w:val="005B4903"/>
    <w:rsid w:val="005B51CE"/>
    <w:rsid w:val="005B5885"/>
    <w:rsid w:val="005B5CD7"/>
    <w:rsid w:val="005B6CF6"/>
    <w:rsid w:val="005B7422"/>
    <w:rsid w:val="005B7902"/>
    <w:rsid w:val="005C29B8"/>
    <w:rsid w:val="005C403D"/>
    <w:rsid w:val="005C5F21"/>
    <w:rsid w:val="005C7156"/>
    <w:rsid w:val="005C7C09"/>
    <w:rsid w:val="005D0C75"/>
    <w:rsid w:val="005D0FF6"/>
    <w:rsid w:val="005D4171"/>
    <w:rsid w:val="005D6A95"/>
    <w:rsid w:val="005D6B2C"/>
    <w:rsid w:val="005D6D9C"/>
    <w:rsid w:val="005E2227"/>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6E32"/>
    <w:rsid w:val="00617387"/>
    <w:rsid w:val="006205D6"/>
    <w:rsid w:val="006252D8"/>
    <w:rsid w:val="006259BC"/>
    <w:rsid w:val="0062636B"/>
    <w:rsid w:val="00632182"/>
    <w:rsid w:val="00632AE0"/>
    <w:rsid w:val="00633C17"/>
    <w:rsid w:val="00634D9E"/>
    <w:rsid w:val="00636E3E"/>
    <w:rsid w:val="006379F7"/>
    <w:rsid w:val="00637E4D"/>
    <w:rsid w:val="0064024D"/>
    <w:rsid w:val="00640620"/>
    <w:rsid w:val="00641A1F"/>
    <w:rsid w:val="00645904"/>
    <w:rsid w:val="00651ACB"/>
    <w:rsid w:val="00651C47"/>
    <w:rsid w:val="00652AB2"/>
    <w:rsid w:val="00653FED"/>
    <w:rsid w:val="00654EC0"/>
    <w:rsid w:val="00654F74"/>
    <w:rsid w:val="0065525B"/>
    <w:rsid w:val="006557B4"/>
    <w:rsid w:val="00655D4F"/>
    <w:rsid w:val="00656D29"/>
    <w:rsid w:val="00663A1F"/>
    <w:rsid w:val="006640E5"/>
    <w:rsid w:val="006646F1"/>
    <w:rsid w:val="00664929"/>
    <w:rsid w:val="00664F62"/>
    <w:rsid w:val="006655E1"/>
    <w:rsid w:val="00672060"/>
    <w:rsid w:val="00672BFD"/>
    <w:rsid w:val="006750E6"/>
    <w:rsid w:val="006765E3"/>
    <w:rsid w:val="006770F4"/>
    <w:rsid w:val="0067791C"/>
    <w:rsid w:val="00677A84"/>
    <w:rsid w:val="0068026D"/>
    <w:rsid w:val="00680A27"/>
    <w:rsid w:val="006816A4"/>
    <w:rsid w:val="006819B8"/>
    <w:rsid w:val="006840A6"/>
    <w:rsid w:val="006840C4"/>
    <w:rsid w:val="006850CD"/>
    <w:rsid w:val="00685AAB"/>
    <w:rsid w:val="00685DA9"/>
    <w:rsid w:val="00690484"/>
    <w:rsid w:val="006A07AA"/>
    <w:rsid w:val="006A25E5"/>
    <w:rsid w:val="006A2B46"/>
    <w:rsid w:val="006A336D"/>
    <w:rsid w:val="006A37B9"/>
    <w:rsid w:val="006B0C5C"/>
    <w:rsid w:val="006B2672"/>
    <w:rsid w:val="006B54BF"/>
    <w:rsid w:val="006B5F44"/>
    <w:rsid w:val="006B5F90"/>
    <w:rsid w:val="006B62E4"/>
    <w:rsid w:val="006C1BBA"/>
    <w:rsid w:val="006C2079"/>
    <w:rsid w:val="006C5A62"/>
    <w:rsid w:val="006C5D68"/>
    <w:rsid w:val="006C6976"/>
    <w:rsid w:val="006C6DD0"/>
    <w:rsid w:val="006C7E1C"/>
    <w:rsid w:val="006D04EA"/>
    <w:rsid w:val="006D16C4"/>
    <w:rsid w:val="006D3E96"/>
    <w:rsid w:val="006D4515"/>
    <w:rsid w:val="006D4BB1"/>
    <w:rsid w:val="006D6593"/>
    <w:rsid w:val="006D7152"/>
    <w:rsid w:val="006E1092"/>
    <w:rsid w:val="006E31D8"/>
    <w:rsid w:val="006F03A8"/>
    <w:rsid w:val="006F0758"/>
    <w:rsid w:val="006F25F4"/>
    <w:rsid w:val="006F2ACA"/>
    <w:rsid w:val="006F2ADC"/>
    <w:rsid w:val="006F2BFE"/>
    <w:rsid w:val="006F31E9"/>
    <w:rsid w:val="006F4CC9"/>
    <w:rsid w:val="006F5795"/>
    <w:rsid w:val="006F6284"/>
    <w:rsid w:val="007002C5"/>
    <w:rsid w:val="00704387"/>
    <w:rsid w:val="0070665C"/>
    <w:rsid w:val="00707669"/>
    <w:rsid w:val="00710955"/>
    <w:rsid w:val="00711CBA"/>
    <w:rsid w:val="00711F72"/>
    <w:rsid w:val="00711FB5"/>
    <w:rsid w:val="00712A01"/>
    <w:rsid w:val="00713E1F"/>
    <w:rsid w:val="00714F58"/>
    <w:rsid w:val="00717F7C"/>
    <w:rsid w:val="00722FBF"/>
    <w:rsid w:val="00722FC2"/>
    <w:rsid w:val="00724E1B"/>
    <w:rsid w:val="00725949"/>
    <w:rsid w:val="00727FA2"/>
    <w:rsid w:val="007322D9"/>
    <w:rsid w:val="00732BC0"/>
    <w:rsid w:val="0073720F"/>
    <w:rsid w:val="0073730A"/>
    <w:rsid w:val="00737383"/>
    <w:rsid w:val="00737796"/>
    <w:rsid w:val="00737B99"/>
    <w:rsid w:val="0074165C"/>
    <w:rsid w:val="00742C35"/>
    <w:rsid w:val="007432CA"/>
    <w:rsid w:val="007439EB"/>
    <w:rsid w:val="00743CB4"/>
    <w:rsid w:val="00743F0A"/>
    <w:rsid w:val="007444E8"/>
    <w:rsid w:val="0074548E"/>
    <w:rsid w:val="00745773"/>
    <w:rsid w:val="00746800"/>
    <w:rsid w:val="007469CF"/>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59E8"/>
    <w:rsid w:val="00795E9C"/>
    <w:rsid w:val="007A0521"/>
    <w:rsid w:val="007A066A"/>
    <w:rsid w:val="007A2E12"/>
    <w:rsid w:val="007A3475"/>
    <w:rsid w:val="007A36F6"/>
    <w:rsid w:val="007A41C8"/>
    <w:rsid w:val="007A54CE"/>
    <w:rsid w:val="007A6E9E"/>
    <w:rsid w:val="007A6FD9"/>
    <w:rsid w:val="007A7FFA"/>
    <w:rsid w:val="007B04EB"/>
    <w:rsid w:val="007B0D4F"/>
    <w:rsid w:val="007B1EFC"/>
    <w:rsid w:val="007B5A3D"/>
    <w:rsid w:val="007B5B95"/>
    <w:rsid w:val="007B6032"/>
    <w:rsid w:val="007B68EA"/>
    <w:rsid w:val="007B7453"/>
    <w:rsid w:val="007C0BFC"/>
    <w:rsid w:val="007C2D89"/>
    <w:rsid w:val="007C3215"/>
    <w:rsid w:val="007C4593"/>
    <w:rsid w:val="007C5309"/>
    <w:rsid w:val="007C6069"/>
    <w:rsid w:val="007C7173"/>
    <w:rsid w:val="007D06C4"/>
    <w:rsid w:val="007D1352"/>
    <w:rsid w:val="007D1BC4"/>
    <w:rsid w:val="007D2508"/>
    <w:rsid w:val="007D2821"/>
    <w:rsid w:val="007D346A"/>
    <w:rsid w:val="007D6518"/>
    <w:rsid w:val="007D76BD"/>
    <w:rsid w:val="007E0BF1"/>
    <w:rsid w:val="007E20B9"/>
    <w:rsid w:val="007E27C7"/>
    <w:rsid w:val="007F0ED8"/>
    <w:rsid w:val="007F0F63"/>
    <w:rsid w:val="007F1DC7"/>
    <w:rsid w:val="007F67BF"/>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0F2C"/>
    <w:rsid w:val="00821709"/>
    <w:rsid w:val="00823303"/>
    <w:rsid w:val="008233B2"/>
    <w:rsid w:val="00823A9F"/>
    <w:rsid w:val="00823C85"/>
    <w:rsid w:val="00825138"/>
    <w:rsid w:val="008269DD"/>
    <w:rsid w:val="00830621"/>
    <w:rsid w:val="00830E2B"/>
    <w:rsid w:val="008319EC"/>
    <w:rsid w:val="0083348C"/>
    <w:rsid w:val="008373D3"/>
    <w:rsid w:val="00840617"/>
    <w:rsid w:val="00840F84"/>
    <w:rsid w:val="00842A47"/>
    <w:rsid w:val="00843C13"/>
    <w:rsid w:val="00844720"/>
    <w:rsid w:val="0084500C"/>
    <w:rsid w:val="008454F8"/>
    <w:rsid w:val="00851070"/>
    <w:rsid w:val="0085173A"/>
    <w:rsid w:val="008603CE"/>
    <w:rsid w:val="008620FC"/>
    <w:rsid w:val="008627A5"/>
    <w:rsid w:val="00863E05"/>
    <w:rsid w:val="00865ACA"/>
    <w:rsid w:val="00865D28"/>
    <w:rsid w:val="00865F85"/>
    <w:rsid w:val="00866EA4"/>
    <w:rsid w:val="00867C10"/>
    <w:rsid w:val="00870439"/>
    <w:rsid w:val="00870DA1"/>
    <w:rsid w:val="00882BFC"/>
    <w:rsid w:val="00883F93"/>
    <w:rsid w:val="00884DB3"/>
    <w:rsid w:val="008856E3"/>
    <w:rsid w:val="00885A9D"/>
    <w:rsid w:val="008864F6"/>
    <w:rsid w:val="0089049D"/>
    <w:rsid w:val="0089186B"/>
    <w:rsid w:val="008928C9"/>
    <w:rsid w:val="008930CB"/>
    <w:rsid w:val="008938DC"/>
    <w:rsid w:val="00893A98"/>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5041"/>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5ECC"/>
    <w:rsid w:val="008E669A"/>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4E18"/>
    <w:rsid w:val="00945180"/>
    <w:rsid w:val="00945428"/>
    <w:rsid w:val="00945979"/>
    <w:rsid w:val="0094607B"/>
    <w:rsid w:val="00953604"/>
    <w:rsid w:val="0095496B"/>
    <w:rsid w:val="00960F1E"/>
    <w:rsid w:val="009610DC"/>
    <w:rsid w:val="00961490"/>
    <w:rsid w:val="0096381A"/>
    <w:rsid w:val="00965E04"/>
    <w:rsid w:val="00966000"/>
    <w:rsid w:val="009671B4"/>
    <w:rsid w:val="009674AD"/>
    <w:rsid w:val="00970CDC"/>
    <w:rsid w:val="00971222"/>
    <w:rsid w:val="00975727"/>
    <w:rsid w:val="00977010"/>
    <w:rsid w:val="00977D02"/>
    <w:rsid w:val="00977FF9"/>
    <w:rsid w:val="009809BB"/>
    <w:rsid w:val="0098364B"/>
    <w:rsid w:val="00983D6E"/>
    <w:rsid w:val="00983EA2"/>
    <w:rsid w:val="009908A3"/>
    <w:rsid w:val="009911AF"/>
    <w:rsid w:val="00991875"/>
    <w:rsid w:val="00991BDC"/>
    <w:rsid w:val="00991F92"/>
    <w:rsid w:val="00992985"/>
    <w:rsid w:val="00993889"/>
    <w:rsid w:val="00994FB4"/>
    <w:rsid w:val="0099551B"/>
    <w:rsid w:val="00996BD2"/>
    <w:rsid w:val="00997552"/>
    <w:rsid w:val="00997BF1"/>
    <w:rsid w:val="009A01FC"/>
    <w:rsid w:val="009A089C"/>
    <w:rsid w:val="009A118E"/>
    <w:rsid w:val="009A21CD"/>
    <w:rsid w:val="009A278C"/>
    <w:rsid w:val="009A2BC2"/>
    <w:rsid w:val="009A42C1"/>
    <w:rsid w:val="009A5429"/>
    <w:rsid w:val="009A72AD"/>
    <w:rsid w:val="009B09E0"/>
    <w:rsid w:val="009B0BC5"/>
    <w:rsid w:val="009B1247"/>
    <w:rsid w:val="009B47F9"/>
    <w:rsid w:val="009B6029"/>
    <w:rsid w:val="009B6971"/>
    <w:rsid w:val="009C222F"/>
    <w:rsid w:val="009C27F1"/>
    <w:rsid w:val="009C3152"/>
    <w:rsid w:val="009C3257"/>
    <w:rsid w:val="009C4CFA"/>
    <w:rsid w:val="009C5070"/>
    <w:rsid w:val="009D112C"/>
    <w:rsid w:val="009D1385"/>
    <w:rsid w:val="009D242F"/>
    <w:rsid w:val="009D47FA"/>
    <w:rsid w:val="009D4C5B"/>
    <w:rsid w:val="009D50D2"/>
    <w:rsid w:val="009D6BCA"/>
    <w:rsid w:val="009E0F62"/>
    <w:rsid w:val="009E4A58"/>
    <w:rsid w:val="009E5A2D"/>
    <w:rsid w:val="009E5AB2"/>
    <w:rsid w:val="009E6219"/>
    <w:rsid w:val="009F03B3"/>
    <w:rsid w:val="009F246E"/>
    <w:rsid w:val="009F7C51"/>
    <w:rsid w:val="00A0096C"/>
    <w:rsid w:val="00A01757"/>
    <w:rsid w:val="00A028C0"/>
    <w:rsid w:val="00A02BAE"/>
    <w:rsid w:val="00A06A6B"/>
    <w:rsid w:val="00A07E47"/>
    <w:rsid w:val="00A11E2F"/>
    <w:rsid w:val="00A129D0"/>
    <w:rsid w:val="00A12C33"/>
    <w:rsid w:val="00A138BA"/>
    <w:rsid w:val="00A14C8E"/>
    <w:rsid w:val="00A153D9"/>
    <w:rsid w:val="00A15E0F"/>
    <w:rsid w:val="00A15F09"/>
    <w:rsid w:val="00A169B6"/>
    <w:rsid w:val="00A20FDA"/>
    <w:rsid w:val="00A2271D"/>
    <w:rsid w:val="00A237D5"/>
    <w:rsid w:val="00A30EFC"/>
    <w:rsid w:val="00A31984"/>
    <w:rsid w:val="00A32D73"/>
    <w:rsid w:val="00A3367B"/>
    <w:rsid w:val="00A3597D"/>
    <w:rsid w:val="00A36DD1"/>
    <w:rsid w:val="00A4006C"/>
    <w:rsid w:val="00A40091"/>
    <w:rsid w:val="00A4030F"/>
    <w:rsid w:val="00A41C79"/>
    <w:rsid w:val="00A41CB5"/>
    <w:rsid w:val="00A42CDF"/>
    <w:rsid w:val="00A43555"/>
    <w:rsid w:val="00A4452E"/>
    <w:rsid w:val="00A4472C"/>
    <w:rsid w:val="00A44E69"/>
    <w:rsid w:val="00A4661E"/>
    <w:rsid w:val="00A55BD6"/>
    <w:rsid w:val="00A55D50"/>
    <w:rsid w:val="00A57142"/>
    <w:rsid w:val="00A6044E"/>
    <w:rsid w:val="00A6300E"/>
    <w:rsid w:val="00A63A15"/>
    <w:rsid w:val="00A648CD"/>
    <w:rsid w:val="00A6537A"/>
    <w:rsid w:val="00A665AC"/>
    <w:rsid w:val="00A66C0A"/>
    <w:rsid w:val="00A67866"/>
    <w:rsid w:val="00A70B07"/>
    <w:rsid w:val="00A723F8"/>
    <w:rsid w:val="00A77CCB"/>
    <w:rsid w:val="00A83D8D"/>
    <w:rsid w:val="00A8446B"/>
    <w:rsid w:val="00A8473F"/>
    <w:rsid w:val="00A862D6"/>
    <w:rsid w:val="00A8715E"/>
    <w:rsid w:val="00A91D59"/>
    <w:rsid w:val="00A9295B"/>
    <w:rsid w:val="00A93B09"/>
    <w:rsid w:val="00A952D7"/>
    <w:rsid w:val="00A963F7"/>
    <w:rsid w:val="00A96AD8"/>
    <w:rsid w:val="00AA052C"/>
    <w:rsid w:val="00AA1E45"/>
    <w:rsid w:val="00AA4286"/>
    <w:rsid w:val="00AA456B"/>
    <w:rsid w:val="00AA57F5"/>
    <w:rsid w:val="00AA5D29"/>
    <w:rsid w:val="00AA672E"/>
    <w:rsid w:val="00AA6EC9"/>
    <w:rsid w:val="00AB12AF"/>
    <w:rsid w:val="00AB5F5A"/>
    <w:rsid w:val="00AB6309"/>
    <w:rsid w:val="00AB663D"/>
    <w:rsid w:val="00AB6C5F"/>
    <w:rsid w:val="00AB7129"/>
    <w:rsid w:val="00AC09BA"/>
    <w:rsid w:val="00AC27A6"/>
    <w:rsid w:val="00AC30F7"/>
    <w:rsid w:val="00AC3A5A"/>
    <w:rsid w:val="00AC4D95"/>
    <w:rsid w:val="00AC5DF4"/>
    <w:rsid w:val="00AD0AEF"/>
    <w:rsid w:val="00AD11B7"/>
    <w:rsid w:val="00AD1A94"/>
    <w:rsid w:val="00AD1C05"/>
    <w:rsid w:val="00AD2651"/>
    <w:rsid w:val="00AD27B4"/>
    <w:rsid w:val="00AD4126"/>
    <w:rsid w:val="00AD421C"/>
    <w:rsid w:val="00AD44FA"/>
    <w:rsid w:val="00AE070A"/>
    <w:rsid w:val="00AE101C"/>
    <w:rsid w:val="00AE2A69"/>
    <w:rsid w:val="00AE37E5"/>
    <w:rsid w:val="00AE5E98"/>
    <w:rsid w:val="00AE5EB4"/>
    <w:rsid w:val="00AF0C18"/>
    <w:rsid w:val="00AF28B3"/>
    <w:rsid w:val="00AF47C5"/>
    <w:rsid w:val="00AF5398"/>
    <w:rsid w:val="00AF770B"/>
    <w:rsid w:val="00B00552"/>
    <w:rsid w:val="00B049AF"/>
    <w:rsid w:val="00B049B6"/>
    <w:rsid w:val="00B07242"/>
    <w:rsid w:val="00B10534"/>
    <w:rsid w:val="00B113DB"/>
    <w:rsid w:val="00B11D8A"/>
    <w:rsid w:val="00B12981"/>
    <w:rsid w:val="00B14564"/>
    <w:rsid w:val="00B147DD"/>
    <w:rsid w:val="00B156FD"/>
    <w:rsid w:val="00B21F61"/>
    <w:rsid w:val="00B231F0"/>
    <w:rsid w:val="00B24220"/>
    <w:rsid w:val="00B261F1"/>
    <w:rsid w:val="00B265BC"/>
    <w:rsid w:val="00B31FB1"/>
    <w:rsid w:val="00B33952"/>
    <w:rsid w:val="00B33C5E"/>
    <w:rsid w:val="00B342F4"/>
    <w:rsid w:val="00B34369"/>
    <w:rsid w:val="00B344F7"/>
    <w:rsid w:val="00B3465F"/>
    <w:rsid w:val="00B34DC2"/>
    <w:rsid w:val="00B378E5"/>
    <w:rsid w:val="00B4346D"/>
    <w:rsid w:val="00B440F4"/>
    <w:rsid w:val="00B447A5"/>
    <w:rsid w:val="00B4654C"/>
    <w:rsid w:val="00B46BE5"/>
    <w:rsid w:val="00B47293"/>
    <w:rsid w:val="00B50E50"/>
    <w:rsid w:val="00B52120"/>
    <w:rsid w:val="00B54ABC"/>
    <w:rsid w:val="00B551C8"/>
    <w:rsid w:val="00B56B79"/>
    <w:rsid w:val="00B56FBE"/>
    <w:rsid w:val="00B60ACF"/>
    <w:rsid w:val="00B62B58"/>
    <w:rsid w:val="00B65149"/>
    <w:rsid w:val="00B66567"/>
    <w:rsid w:val="00B66F52"/>
    <w:rsid w:val="00B66FE5"/>
    <w:rsid w:val="00B72880"/>
    <w:rsid w:val="00B758BF"/>
    <w:rsid w:val="00B77EC8"/>
    <w:rsid w:val="00B827A6"/>
    <w:rsid w:val="00B831CE"/>
    <w:rsid w:val="00B837A8"/>
    <w:rsid w:val="00B86677"/>
    <w:rsid w:val="00B87131"/>
    <w:rsid w:val="00B9259A"/>
    <w:rsid w:val="00B939B1"/>
    <w:rsid w:val="00B93EB7"/>
    <w:rsid w:val="00B96D40"/>
    <w:rsid w:val="00B97386"/>
    <w:rsid w:val="00BA18F1"/>
    <w:rsid w:val="00BA263B"/>
    <w:rsid w:val="00BA42B2"/>
    <w:rsid w:val="00BA58D4"/>
    <w:rsid w:val="00BA5B9E"/>
    <w:rsid w:val="00BA7650"/>
    <w:rsid w:val="00BA7C9A"/>
    <w:rsid w:val="00BB5F8F"/>
    <w:rsid w:val="00BB657A"/>
    <w:rsid w:val="00BC1A4E"/>
    <w:rsid w:val="00BC5DC7"/>
    <w:rsid w:val="00BC6B8B"/>
    <w:rsid w:val="00BC73D8"/>
    <w:rsid w:val="00BD0F80"/>
    <w:rsid w:val="00BD52D7"/>
    <w:rsid w:val="00BD5AD2"/>
    <w:rsid w:val="00BE22F3"/>
    <w:rsid w:val="00BE5B52"/>
    <w:rsid w:val="00BE734B"/>
    <w:rsid w:val="00BE7B8D"/>
    <w:rsid w:val="00BF0993"/>
    <w:rsid w:val="00BF10A9"/>
    <w:rsid w:val="00BF1703"/>
    <w:rsid w:val="00BF231C"/>
    <w:rsid w:val="00BF51E5"/>
    <w:rsid w:val="00BF682D"/>
    <w:rsid w:val="00BF74A6"/>
    <w:rsid w:val="00BF7844"/>
    <w:rsid w:val="00C01222"/>
    <w:rsid w:val="00C013AD"/>
    <w:rsid w:val="00C04904"/>
    <w:rsid w:val="00C056B3"/>
    <w:rsid w:val="00C103E5"/>
    <w:rsid w:val="00C11EE8"/>
    <w:rsid w:val="00C13319"/>
    <w:rsid w:val="00C13EE9"/>
    <w:rsid w:val="00C21540"/>
    <w:rsid w:val="00C21906"/>
    <w:rsid w:val="00C21BFA"/>
    <w:rsid w:val="00C24C8D"/>
    <w:rsid w:val="00C25FE2"/>
    <w:rsid w:val="00C26B53"/>
    <w:rsid w:val="00C279B2"/>
    <w:rsid w:val="00C33E50"/>
    <w:rsid w:val="00C34C20"/>
    <w:rsid w:val="00C35A3E"/>
    <w:rsid w:val="00C42130"/>
    <w:rsid w:val="00C423A4"/>
    <w:rsid w:val="00C423E3"/>
    <w:rsid w:val="00C44BF5"/>
    <w:rsid w:val="00C45DCF"/>
    <w:rsid w:val="00C50EE2"/>
    <w:rsid w:val="00C521D6"/>
    <w:rsid w:val="00C52EEA"/>
    <w:rsid w:val="00C55232"/>
    <w:rsid w:val="00C553A4"/>
    <w:rsid w:val="00C55A06"/>
    <w:rsid w:val="00C55D03"/>
    <w:rsid w:val="00C578B4"/>
    <w:rsid w:val="00C601BC"/>
    <w:rsid w:val="00C616F3"/>
    <w:rsid w:val="00C6329F"/>
    <w:rsid w:val="00C63340"/>
    <w:rsid w:val="00C643F9"/>
    <w:rsid w:val="00C64E95"/>
    <w:rsid w:val="00C71372"/>
    <w:rsid w:val="00C72410"/>
    <w:rsid w:val="00C7287F"/>
    <w:rsid w:val="00C76427"/>
    <w:rsid w:val="00C776BD"/>
    <w:rsid w:val="00C80CB8"/>
    <w:rsid w:val="00C819F8"/>
    <w:rsid w:val="00C8248C"/>
    <w:rsid w:val="00C84E33"/>
    <w:rsid w:val="00C86D6F"/>
    <w:rsid w:val="00C87891"/>
    <w:rsid w:val="00C905FC"/>
    <w:rsid w:val="00C92D03"/>
    <w:rsid w:val="00C9319C"/>
    <w:rsid w:val="00C9435D"/>
    <w:rsid w:val="00C94DF2"/>
    <w:rsid w:val="00C96741"/>
    <w:rsid w:val="00CA2D1B"/>
    <w:rsid w:val="00CA375D"/>
    <w:rsid w:val="00CA662A"/>
    <w:rsid w:val="00CA73DC"/>
    <w:rsid w:val="00CA7AFD"/>
    <w:rsid w:val="00CA7C3C"/>
    <w:rsid w:val="00CB0189"/>
    <w:rsid w:val="00CB0BA2"/>
    <w:rsid w:val="00CB1A42"/>
    <w:rsid w:val="00CB1B0C"/>
    <w:rsid w:val="00CB2C0B"/>
    <w:rsid w:val="00CB4D9E"/>
    <w:rsid w:val="00CB517D"/>
    <w:rsid w:val="00CB6987"/>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E598A"/>
    <w:rsid w:val="00CF048A"/>
    <w:rsid w:val="00CF155A"/>
    <w:rsid w:val="00CF2225"/>
    <w:rsid w:val="00CF2947"/>
    <w:rsid w:val="00CF4F76"/>
    <w:rsid w:val="00CF686F"/>
    <w:rsid w:val="00CF6E60"/>
    <w:rsid w:val="00CF7BCA"/>
    <w:rsid w:val="00D008FD"/>
    <w:rsid w:val="00D010A1"/>
    <w:rsid w:val="00D0321C"/>
    <w:rsid w:val="00D035EC"/>
    <w:rsid w:val="00D04577"/>
    <w:rsid w:val="00D06AB1"/>
    <w:rsid w:val="00D06FC1"/>
    <w:rsid w:val="00D072ED"/>
    <w:rsid w:val="00D07A16"/>
    <w:rsid w:val="00D1067E"/>
    <w:rsid w:val="00D10F50"/>
    <w:rsid w:val="00D11272"/>
    <w:rsid w:val="00D126F5"/>
    <w:rsid w:val="00D12BDB"/>
    <w:rsid w:val="00D1489E"/>
    <w:rsid w:val="00D201CE"/>
    <w:rsid w:val="00D20737"/>
    <w:rsid w:val="00D21BDF"/>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53748"/>
    <w:rsid w:val="00D547D2"/>
    <w:rsid w:val="00D63647"/>
    <w:rsid w:val="00D65BDE"/>
    <w:rsid w:val="00D66846"/>
    <w:rsid w:val="00D675FB"/>
    <w:rsid w:val="00D71F25"/>
    <w:rsid w:val="00D724B9"/>
    <w:rsid w:val="00D72A9C"/>
    <w:rsid w:val="00D76B47"/>
    <w:rsid w:val="00D77031"/>
    <w:rsid w:val="00D84941"/>
    <w:rsid w:val="00D84FA1"/>
    <w:rsid w:val="00D85094"/>
    <w:rsid w:val="00D851F0"/>
    <w:rsid w:val="00D85934"/>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A22"/>
    <w:rsid w:val="00DB6BCA"/>
    <w:rsid w:val="00DB6F54"/>
    <w:rsid w:val="00DB73F7"/>
    <w:rsid w:val="00DC0321"/>
    <w:rsid w:val="00DC3067"/>
    <w:rsid w:val="00DC370B"/>
    <w:rsid w:val="00DC5037"/>
    <w:rsid w:val="00DC5B90"/>
    <w:rsid w:val="00DD00FF"/>
    <w:rsid w:val="00DD0619"/>
    <w:rsid w:val="00DD07FB"/>
    <w:rsid w:val="00DD20A8"/>
    <w:rsid w:val="00DD25C6"/>
    <w:rsid w:val="00DD4FE5"/>
    <w:rsid w:val="00DD54B0"/>
    <w:rsid w:val="00DD57EE"/>
    <w:rsid w:val="00DD6BCC"/>
    <w:rsid w:val="00DE052D"/>
    <w:rsid w:val="00DE0A4B"/>
    <w:rsid w:val="00DE2410"/>
    <w:rsid w:val="00DE2939"/>
    <w:rsid w:val="00DE6E81"/>
    <w:rsid w:val="00DE703F"/>
    <w:rsid w:val="00DE7595"/>
    <w:rsid w:val="00DF1961"/>
    <w:rsid w:val="00DF44DE"/>
    <w:rsid w:val="00DF6347"/>
    <w:rsid w:val="00E01138"/>
    <w:rsid w:val="00E01F26"/>
    <w:rsid w:val="00E02DFB"/>
    <w:rsid w:val="00E030F9"/>
    <w:rsid w:val="00E0311A"/>
    <w:rsid w:val="00E03138"/>
    <w:rsid w:val="00E06404"/>
    <w:rsid w:val="00E11A85"/>
    <w:rsid w:val="00E12495"/>
    <w:rsid w:val="00E14642"/>
    <w:rsid w:val="00E15CCD"/>
    <w:rsid w:val="00E202EF"/>
    <w:rsid w:val="00E210B5"/>
    <w:rsid w:val="00E2552F"/>
    <w:rsid w:val="00E3137A"/>
    <w:rsid w:val="00E32CCF"/>
    <w:rsid w:val="00E34A98"/>
    <w:rsid w:val="00E35D1E"/>
    <w:rsid w:val="00E364F9"/>
    <w:rsid w:val="00E365FA"/>
    <w:rsid w:val="00E36789"/>
    <w:rsid w:val="00E4111C"/>
    <w:rsid w:val="00E42ED1"/>
    <w:rsid w:val="00E44A83"/>
    <w:rsid w:val="00E502C1"/>
    <w:rsid w:val="00E502DD"/>
    <w:rsid w:val="00E50D3A"/>
    <w:rsid w:val="00E51387"/>
    <w:rsid w:val="00E51E68"/>
    <w:rsid w:val="00E52EFD"/>
    <w:rsid w:val="00E5408A"/>
    <w:rsid w:val="00E55B88"/>
    <w:rsid w:val="00E56800"/>
    <w:rsid w:val="00E60C63"/>
    <w:rsid w:val="00E60F87"/>
    <w:rsid w:val="00E62FF9"/>
    <w:rsid w:val="00E635D6"/>
    <w:rsid w:val="00E639BC"/>
    <w:rsid w:val="00E64A51"/>
    <w:rsid w:val="00E64A8A"/>
    <w:rsid w:val="00E664CC"/>
    <w:rsid w:val="00E70388"/>
    <w:rsid w:val="00E70F92"/>
    <w:rsid w:val="00E729F4"/>
    <w:rsid w:val="00E73C2A"/>
    <w:rsid w:val="00E74313"/>
    <w:rsid w:val="00E74C54"/>
    <w:rsid w:val="00E77A03"/>
    <w:rsid w:val="00E77A4D"/>
    <w:rsid w:val="00E805B1"/>
    <w:rsid w:val="00E81F51"/>
    <w:rsid w:val="00E822E8"/>
    <w:rsid w:val="00E82554"/>
    <w:rsid w:val="00E82606"/>
    <w:rsid w:val="00E82AE7"/>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1BFF"/>
    <w:rsid w:val="00EC5359"/>
    <w:rsid w:val="00EC562A"/>
    <w:rsid w:val="00ED067A"/>
    <w:rsid w:val="00ED2B50"/>
    <w:rsid w:val="00EE0350"/>
    <w:rsid w:val="00EE0719"/>
    <w:rsid w:val="00EE0E80"/>
    <w:rsid w:val="00EE0ED7"/>
    <w:rsid w:val="00EE613F"/>
    <w:rsid w:val="00EE7295"/>
    <w:rsid w:val="00EE7869"/>
    <w:rsid w:val="00EF054A"/>
    <w:rsid w:val="00EF272F"/>
    <w:rsid w:val="00EF3235"/>
    <w:rsid w:val="00EF7E72"/>
    <w:rsid w:val="00F014AF"/>
    <w:rsid w:val="00F037D9"/>
    <w:rsid w:val="00F06D37"/>
    <w:rsid w:val="00F07310"/>
    <w:rsid w:val="00F07B9D"/>
    <w:rsid w:val="00F11586"/>
    <w:rsid w:val="00F1183B"/>
    <w:rsid w:val="00F11C9F"/>
    <w:rsid w:val="00F12263"/>
    <w:rsid w:val="00F1409D"/>
    <w:rsid w:val="00F14214"/>
    <w:rsid w:val="00F157A9"/>
    <w:rsid w:val="00F16F00"/>
    <w:rsid w:val="00F171BE"/>
    <w:rsid w:val="00F25BB6"/>
    <w:rsid w:val="00F26B7E"/>
    <w:rsid w:val="00F27A3B"/>
    <w:rsid w:val="00F33817"/>
    <w:rsid w:val="00F41CA7"/>
    <w:rsid w:val="00F420D5"/>
    <w:rsid w:val="00F43801"/>
    <w:rsid w:val="00F443A5"/>
    <w:rsid w:val="00F443B0"/>
    <w:rsid w:val="00F451EA"/>
    <w:rsid w:val="00F45447"/>
    <w:rsid w:val="00F456C6"/>
    <w:rsid w:val="00F4577B"/>
    <w:rsid w:val="00F46496"/>
    <w:rsid w:val="00F474D0"/>
    <w:rsid w:val="00F50179"/>
    <w:rsid w:val="00F515EE"/>
    <w:rsid w:val="00F51B77"/>
    <w:rsid w:val="00F54231"/>
    <w:rsid w:val="00F5572B"/>
    <w:rsid w:val="00F5582D"/>
    <w:rsid w:val="00F56511"/>
    <w:rsid w:val="00F60E4F"/>
    <w:rsid w:val="00F6194E"/>
    <w:rsid w:val="00F623AC"/>
    <w:rsid w:val="00F6412A"/>
    <w:rsid w:val="00F648F2"/>
    <w:rsid w:val="00F65893"/>
    <w:rsid w:val="00F66A4A"/>
    <w:rsid w:val="00F71E22"/>
    <w:rsid w:val="00F72142"/>
    <w:rsid w:val="00F72AE7"/>
    <w:rsid w:val="00F74FBB"/>
    <w:rsid w:val="00F769BF"/>
    <w:rsid w:val="00F82989"/>
    <w:rsid w:val="00F833BA"/>
    <w:rsid w:val="00F84FD0"/>
    <w:rsid w:val="00F859A8"/>
    <w:rsid w:val="00F86B94"/>
    <w:rsid w:val="00F86D87"/>
    <w:rsid w:val="00F9108B"/>
    <w:rsid w:val="00F91349"/>
    <w:rsid w:val="00F93A8A"/>
    <w:rsid w:val="00F95248"/>
    <w:rsid w:val="00F956A9"/>
    <w:rsid w:val="00F963ED"/>
    <w:rsid w:val="00F966CF"/>
    <w:rsid w:val="00F96CAE"/>
    <w:rsid w:val="00F97C99"/>
    <w:rsid w:val="00FA0CE1"/>
    <w:rsid w:val="00FA4A9C"/>
    <w:rsid w:val="00FA4F5B"/>
    <w:rsid w:val="00FA63B3"/>
    <w:rsid w:val="00FA662D"/>
    <w:rsid w:val="00FA73B1"/>
    <w:rsid w:val="00FB0CB9"/>
    <w:rsid w:val="00FB231D"/>
    <w:rsid w:val="00FB45F1"/>
    <w:rsid w:val="00FB4A72"/>
    <w:rsid w:val="00FB54E8"/>
    <w:rsid w:val="00FB7054"/>
    <w:rsid w:val="00FC11DF"/>
    <w:rsid w:val="00FC17B7"/>
    <w:rsid w:val="00FC23D8"/>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08EB0303"/>
    <w:rsid w:val="09FA6BBA"/>
    <w:rsid w:val="14A62BE1"/>
    <w:rsid w:val="1DAC7A38"/>
    <w:rsid w:val="77F46855"/>
    <w:rsid w:val="77F71B38"/>
    <w:rsid w:val="79D512E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qFormat="1"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unhideWhenUsed/>
    <w:qFormat/>
    <w:uiPriority w:val="39"/>
    <w:pPr>
      <w:ind w:left="839"/>
    </w:pPr>
    <w:rPr>
      <w:rFonts w:ascii="宋体"/>
    </w:rPr>
  </w:style>
  <w:style w:type="paragraph" w:styleId="15">
    <w:name w:val="toc 3"/>
    <w:basedOn w:val="1"/>
    <w:next w:val="1"/>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unhideWhenUsed/>
    <w:qFormat/>
    <w:uiPriority w:val="39"/>
    <w:rPr>
      <w:rFonts w:ascii="宋体"/>
    </w:rPr>
  </w:style>
  <w:style w:type="paragraph" w:styleId="20">
    <w:name w:val="toc 4"/>
    <w:basedOn w:val="1"/>
    <w:next w:val="1"/>
    <w:unhideWhenUsed/>
    <w:qFormat/>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unhideWhenUsed/>
    <w:qFormat/>
    <w:uiPriority w:val="39"/>
    <w:pPr>
      <w:spacing w:line="300" w:lineRule="exact"/>
      <w:ind w:left="1049"/>
    </w:pPr>
    <w:rPr>
      <w:rFonts w:ascii="宋体"/>
    </w:rPr>
  </w:style>
  <w:style w:type="paragraph" w:styleId="23">
    <w:name w:val="table of figures"/>
    <w:basedOn w:val="1"/>
    <w:next w:val="1"/>
    <w:semiHidden/>
    <w:qFormat/>
    <w:uiPriority w:val="0"/>
    <w:pPr>
      <w:adjustRightInd/>
      <w:spacing w:line="240" w:lineRule="auto"/>
      <w:jc w:val="left"/>
    </w:pPr>
    <w:rPr>
      <w:szCs w:val="24"/>
    </w:rPr>
  </w:style>
  <w:style w:type="paragraph" w:styleId="24">
    <w:name w:val="toc 2"/>
    <w:basedOn w:val="1"/>
    <w:next w:val="1"/>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qFormat/>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rFonts w:ascii="Times New Roman" w:hAnsi="Times New Roman" w:eastAsia="宋体" w:cs="Times New Roman"/>
      <w:b/>
      <w:bCs/>
      <w:kern w:val="44"/>
      <w:sz w:val="44"/>
      <w:szCs w:val="44"/>
    </w:rPr>
  </w:style>
  <w:style w:type="character" w:customStyle="1" w:styleId="35">
    <w:name w:val="标题 2 字符"/>
    <w:link w:val="3"/>
    <w:qFormat/>
    <w:uiPriority w:val="0"/>
    <w:rPr>
      <w:rFonts w:ascii="Arial" w:hAnsi="Arial" w:eastAsia="黑体" w:cs="Times New Roman"/>
      <w:b/>
      <w:bCs/>
      <w:sz w:val="32"/>
      <w:szCs w:val="32"/>
    </w:rPr>
  </w:style>
  <w:style w:type="character" w:customStyle="1" w:styleId="36">
    <w:name w:val="标题 3 字符"/>
    <w:link w:val="4"/>
    <w:qFormat/>
    <w:uiPriority w:val="0"/>
    <w:rPr>
      <w:rFonts w:ascii="Times New Roman" w:hAnsi="Times New Roman" w:eastAsia="宋体" w:cs="Times New Roman"/>
      <w:b/>
      <w:bCs/>
      <w:sz w:val="32"/>
      <w:szCs w:val="32"/>
    </w:rPr>
  </w:style>
  <w:style w:type="character" w:customStyle="1" w:styleId="37">
    <w:name w:val="标题 4 字符"/>
    <w:link w:val="5"/>
    <w:qFormat/>
    <w:uiPriority w:val="0"/>
    <w:rPr>
      <w:rFonts w:ascii="Arial" w:hAnsi="Arial" w:eastAsia="黑体" w:cs="Times New Roman"/>
      <w:b/>
      <w:bCs/>
      <w:sz w:val="28"/>
      <w:szCs w:val="28"/>
    </w:rPr>
  </w:style>
  <w:style w:type="character" w:customStyle="1" w:styleId="38">
    <w:name w:val="标题 5 字符"/>
    <w:link w:val="6"/>
    <w:qFormat/>
    <w:uiPriority w:val="0"/>
    <w:rPr>
      <w:rFonts w:ascii="Times New Roman" w:hAnsi="Times New Roman" w:eastAsia="宋体" w:cs="Times New Roman"/>
      <w:b/>
      <w:bCs/>
      <w:sz w:val="28"/>
      <w:szCs w:val="28"/>
    </w:rPr>
  </w:style>
  <w:style w:type="character" w:customStyle="1" w:styleId="39">
    <w:name w:val="标题 6 字符"/>
    <w:link w:val="7"/>
    <w:qFormat/>
    <w:uiPriority w:val="0"/>
    <w:rPr>
      <w:rFonts w:ascii="Arial" w:hAnsi="Arial" w:eastAsia="黑体" w:cs="Times New Roman"/>
      <w:b/>
      <w:bCs/>
      <w:sz w:val="24"/>
      <w:szCs w:val="24"/>
    </w:rPr>
  </w:style>
  <w:style w:type="character" w:customStyle="1" w:styleId="40">
    <w:name w:val="标题 7 字符"/>
    <w:link w:val="8"/>
    <w:qFormat/>
    <w:uiPriority w:val="0"/>
    <w:rPr>
      <w:rFonts w:ascii="Times New Roman" w:hAnsi="Times New Roman" w:eastAsia="宋体" w:cs="Times New Roman"/>
      <w:b/>
      <w:bCs/>
      <w:sz w:val="24"/>
      <w:szCs w:val="24"/>
    </w:rPr>
  </w:style>
  <w:style w:type="character" w:customStyle="1" w:styleId="41">
    <w:name w:val="标题 8 字符"/>
    <w:link w:val="9"/>
    <w:qFormat/>
    <w:uiPriority w:val="0"/>
    <w:rPr>
      <w:rFonts w:ascii="Arial" w:hAnsi="Arial" w:eastAsia="黑体" w:cs="Times New Roman"/>
      <w:sz w:val="24"/>
      <w:szCs w:val="24"/>
    </w:rPr>
  </w:style>
  <w:style w:type="character" w:customStyle="1" w:styleId="42">
    <w:name w:val="标题 9 字符"/>
    <w:link w:val="10"/>
    <w:qFormat/>
    <w:uiPriority w:val="0"/>
    <w:rPr>
      <w:rFonts w:ascii="Arial" w:hAnsi="Arial" w:eastAsia="黑体" w:cs="Times New Roman"/>
      <w:szCs w:val="21"/>
    </w:rPr>
  </w:style>
  <w:style w:type="character" w:customStyle="1" w:styleId="43">
    <w:name w:val="页眉 字符"/>
    <w:link w:val="18"/>
    <w:qFormat/>
    <w:uiPriority w:val="99"/>
    <w:rPr>
      <w:rFonts w:ascii="Times New Roman" w:hAnsi="Times New Roman" w:eastAsia="宋体" w:cs="Times New Roman"/>
      <w:sz w:val="18"/>
      <w:szCs w:val="18"/>
    </w:rPr>
  </w:style>
  <w:style w:type="character" w:customStyle="1" w:styleId="44">
    <w:name w:val="页脚 字符"/>
    <w:link w:val="17"/>
    <w:qFormat/>
    <w:uiPriority w:val="99"/>
    <w:rPr>
      <w:rFonts w:ascii="宋体" w:hAnsi="Times New Roman" w:eastAsia="宋体" w:cs="Times New Roman"/>
      <w:sz w:val="18"/>
      <w:szCs w:val="18"/>
    </w:rPr>
  </w:style>
  <w:style w:type="character" w:customStyle="1" w:styleId="45">
    <w:name w:val="批注框文本 字符"/>
    <w:link w:val="16"/>
    <w:semiHidden/>
    <w:qFormat/>
    <w:uiPriority w:val="99"/>
    <w:rPr>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rPr>
  </w:style>
  <w:style w:type="character" w:customStyle="1" w:styleId="48">
    <w:name w:val="标题 字符"/>
    <w:link w:val="25"/>
    <w:qFormat/>
    <w:uiPriority w:val="0"/>
    <w:rPr>
      <w:rFonts w:ascii="Arial" w:hAnsi="Arial" w:eastAsia="宋体" w:cs="Arial"/>
      <w:b/>
      <w:bCs/>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40" w:beforeLines="4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25" w:beforeLines="25"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ind w:firstLine="42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ind w:left="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ind w:firstLine="42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rFonts w:ascii="Times New Roman" w:hAnsi="Times New Roman" w:eastAsia="宋体" w:cs="Times New Roman"/>
      <w:szCs w:val="20"/>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after="150" w:afterLines="150"/>
      <w:ind w:left="0" w:firstLine="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pPr>
  </w:style>
  <w:style w:type="paragraph" w:customStyle="1" w:styleId="91">
    <w:name w:val="标准文件_目录标题"/>
    <w:basedOn w:val="1"/>
    <w:qFormat/>
    <w:uiPriority w:val="0"/>
    <w:pPr>
      <w:spacing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left="0"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ind w:left="0" w:firstLine="200"/>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不明显参考1"/>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hAnsi="Times New Roman" w:eastAsia="宋体" w:cs="Times New Roman"/>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qFormat/>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qFormat/>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qFormat/>
    <w:uiPriority w:val="0"/>
    <w:pPr>
      <w:outlineLvl w:val="4"/>
    </w:pPr>
  </w:style>
  <w:style w:type="paragraph" w:customStyle="1" w:styleId="130">
    <w:name w:val="附录四级无标题条"/>
    <w:basedOn w:val="129"/>
    <w:next w:val="56"/>
    <w:qFormat/>
    <w:uiPriority w:val="0"/>
    <w:pPr>
      <w:outlineLvl w:val="5"/>
    </w:pPr>
  </w:style>
  <w:style w:type="paragraph" w:customStyle="1" w:styleId="131">
    <w:name w:val="附录图"/>
    <w:next w:val="56"/>
    <w:qFormat/>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qFormat/>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qFormat/>
    <w:uiPriority w:val="0"/>
    <w:pPr>
      <w:outlineLvl w:val="6"/>
    </w:pPr>
  </w:style>
  <w:style w:type="paragraph" w:customStyle="1" w:styleId="134">
    <w:name w:val="附录性质"/>
    <w:basedOn w:val="1"/>
    <w:qFormat/>
    <w:uiPriority w:val="0"/>
    <w:pPr>
      <w:widowControl/>
      <w:adjustRightInd/>
      <w:jc w:val="center"/>
    </w:pPr>
    <w:rPr>
      <w:rFonts w:ascii="黑体" w:eastAsia="黑体"/>
    </w:rPr>
  </w:style>
  <w:style w:type="paragraph" w:customStyle="1" w:styleId="135">
    <w:name w:val="附录一级无标题条"/>
    <w:basedOn w:val="87"/>
    <w:next w:val="56"/>
    <w:qFormat/>
    <w:uiPriority w:val="0"/>
    <w:pPr>
      <w:autoSpaceDN w:val="0"/>
      <w:outlineLvl w:val="2"/>
    </w:pPr>
    <w:rPr>
      <w:rFonts w:ascii="宋体" w:hAnsi="宋体" w:eastAsia="宋体"/>
    </w:rPr>
  </w:style>
  <w:style w:type="character" w:customStyle="1" w:styleId="136">
    <w:name w:val="个人答复风格"/>
    <w:qFormat/>
    <w:uiPriority w:val="0"/>
    <w:rPr>
      <w:rFonts w:ascii="Arial" w:hAnsi="Arial" w:eastAsia="宋体" w:cs="Arial"/>
      <w:color w:val="auto"/>
      <w:spacing w:val="0"/>
      <w:sz w:val="20"/>
    </w:rPr>
  </w:style>
  <w:style w:type="character" w:customStyle="1" w:styleId="137">
    <w:name w:val="个人撰写风格"/>
    <w:qFormat/>
    <w:uiPriority w:val="0"/>
    <w:rPr>
      <w:rFonts w:ascii="Arial" w:hAnsi="Arial" w:eastAsia="宋体" w:cs="Arial"/>
      <w:color w:val="auto"/>
      <w:spacing w:val="0"/>
      <w:sz w:val="20"/>
    </w:rPr>
  </w:style>
  <w:style w:type="paragraph" w:customStyle="1" w:styleId="138">
    <w:name w:val="脚注后续"/>
    <w:qFormat/>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qFormat/>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qFormat/>
    <w:uiPriority w:val="0"/>
    <w:pPr>
      <w:tabs>
        <w:tab w:val="left" w:pos="840"/>
      </w:tabs>
    </w:pPr>
  </w:style>
  <w:style w:type="paragraph" w:customStyle="1" w:styleId="141">
    <w:name w:val="目次、索引正文"/>
    <w:qFormat/>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semiHidden/>
    <w:qFormat/>
    <w:uiPriority w:val="0"/>
    <w:pPr>
      <w:adjustRightInd/>
      <w:spacing w:line="240" w:lineRule="auto"/>
      <w:jc w:val="left"/>
    </w:pPr>
    <w:rPr>
      <w:bCs/>
      <w:iCs/>
    </w:rPr>
  </w:style>
  <w:style w:type="paragraph" w:customStyle="1" w:styleId="143">
    <w:name w:val="目录 31"/>
    <w:basedOn w:val="1"/>
    <w:next w:val="1"/>
    <w:semiHidden/>
    <w:qFormat/>
    <w:uiPriority w:val="0"/>
    <w:pPr>
      <w:spacing w:line="240" w:lineRule="auto"/>
    </w:pPr>
    <w:rPr>
      <w:rFonts w:ascii="宋体" w:hAnsi="宋体"/>
      <w:iCs/>
    </w:rPr>
  </w:style>
  <w:style w:type="paragraph" w:customStyle="1" w:styleId="144">
    <w:name w:val="目录 41"/>
    <w:basedOn w:val="1"/>
    <w:next w:val="1"/>
    <w:semiHidden/>
    <w:qFormat/>
    <w:uiPriority w:val="0"/>
    <w:pPr>
      <w:adjustRightInd/>
      <w:spacing w:line="240" w:lineRule="auto"/>
      <w:jc w:val="left"/>
    </w:pPr>
  </w:style>
  <w:style w:type="paragraph" w:customStyle="1" w:styleId="145">
    <w:name w:val="目录 51"/>
    <w:basedOn w:val="1"/>
    <w:next w:val="1"/>
    <w:semiHidden/>
    <w:qFormat/>
    <w:uiPriority w:val="0"/>
    <w:pPr>
      <w:spacing w:line="240" w:lineRule="auto"/>
    </w:pPr>
    <w:rPr>
      <w:rFonts w:ascii="宋体" w:hAnsi="宋体"/>
    </w:rPr>
  </w:style>
  <w:style w:type="paragraph" w:customStyle="1" w:styleId="146">
    <w:name w:val="目录 61"/>
    <w:basedOn w:val="1"/>
    <w:next w:val="1"/>
    <w:semiHidden/>
    <w:qFormat/>
    <w:uiPriority w:val="0"/>
    <w:pPr>
      <w:adjustRightInd/>
      <w:spacing w:line="240" w:lineRule="auto"/>
      <w:jc w:val="left"/>
    </w:pPr>
  </w:style>
  <w:style w:type="paragraph" w:customStyle="1" w:styleId="147">
    <w:name w:val="目录 71"/>
    <w:basedOn w:val="146"/>
    <w:semiHidden/>
    <w:qFormat/>
    <w:uiPriority w:val="0"/>
    <w:pPr>
      <w:ind w:left="1260"/>
    </w:pPr>
  </w:style>
  <w:style w:type="paragraph" w:customStyle="1" w:styleId="148">
    <w:name w:val="目录 81"/>
    <w:basedOn w:val="147"/>
    <w:semiHidden/>
    <w:qFormat/>
    <w:uiPriority w:val="0"/>
    <w:pPr>
      <w:ind w:left="1470"/>
    </w:pPr>
  </w:style>
  <w:style w:type="paragraph" w:customStyle="1" w:styleId="149">
    <w:name w:val="目录 91"/>
    <w:basedOn w:val="148"/>
    <w:semiHidden/>
    <w:qFormat/>
    <w:uiPriority w:val="0"/>
    <w:pPr>
      <w:ind w:left="1680"/>
    </w:pPr>
  </w:style>
  <w:style w:type="paragraph" w:customStyle="1" w:styleId="150">
    <w:name w:val="其他标准称谓"/>
    <w:qFormat/>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qFormat/>
    <w:uiPriority w:val="0"/>
    <w:pPr>
      <w:framePr w:wrap="around"/>
      <w:spacing w:line="0" w:lineRule="atLeast"/>
    </w:pPr>
    <w:rPr>
      <w:rFonts w:ascii="黑体" w:eastAsia="黑体"/>
      <w:b w:val="0"/>
    </w:rPr>
  </w:style>
  <w:style w:type="paragraph" w:customStyle="1" w:styleId="152">
    <w:name w:val="前言标题"/>
    <w:next w:val="1"/>
    <w:qFormat/>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qFormat/>
    <w:uiPriority w:val="0"/>
    <w:pPr>
      <w:numPr>
        <w:ilvl w:val="4"/>
        <w:numId w:val="20"/>
      </w:numPr>
      <w:adjustRightInd/>
      <w:spacing w:line="240" w:lineRule="auto"/>
    </w:pPr>
    <w:rPr>
      <w:rFonts w:ascii="宋体" w:hAnsi="宋体"/>
      <w:szCs w:val="24"/>
    </w:rPr>
  </w:style>
  <w:style w:type="paragraph" w:customStyle="1" w:styleId="154">
    <w:name w:val="实施日期"/>
    <w:basedOn w:val="120"/>
    <w:qFormat/>
    <w:uiPriority w:val="0"/>
    <w:pPr>
      <w:framePr w:hSpace="0" w:wrap="around" w:xAlign="right"/>
      <w:jc w:val="right"/>
    </w:pPr>
  </w:style>
  <w:style w:type="paragraph" w:customStyle="1" w:styleId="155">
    <w:name w:val="四级无标题条"/>
    <w:basedOn w:val="1"/>
    <w:qFormat/>
    <w:uiPriority w:val="0"/>
    <w:pPr>
      <w:numPr>
        <w:ilvl w:val="5"/>
        <w:numId w:val="20"/>
      </w:numPr>
      <w:adjustRightInd/>
      <w:spacing w:line="240" w:lineRule="auto"/>
    </w:pPr>
    <w:rPr>
      <w:rFonts w:ascii="宋体" w:hAnsi="宋体"/>
      <w:szCs w:val="24"/>
    </w:rPr>
  </w:style>
  <w:style w:type="paragraph" w:customStyle="1" w:styleId="156">
    <w:name w:val="文献分类号"/>
    <w:qFormat/>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qFormat/>
    <w:uiPriority w:val="0"/>
    <w:pPr>
      <w:jc w:val="both"/>
    </w:pPr>
    <w:rPr>
      <w:rFonts w:ascii="宋体" w:hAnsi="宋体" w:eastAsia="宋体" w:cs="Times New Roman"/>
      <w:sz w:val="21"/>
      <w:lang w:val="en-US" w:eastAsia="zh-CN" w:bidi="ar-SA"/>
    </w:rPr>
  </w:style>
  <w:style w:type="paragraph" w:customStyle="1" w:styleId="158">
    <w:name w:val="五级无标题条"/>
    <w:basedOn w:val="1"/>
    <w:qFormat/>
    <w:uiPriority w:val="0"/>
    <w:pPr>
      <w:numPr>
        <w:ilvl w:val="6"/>
        <w:numId w:val="20"/>
      </w:numPr>
      <w:adjustRightInd/>
    </w:pPr>
    <w:rPr>
      <w:szCs w:val="24"/>
    </w:rPr>
  </w:style>
  <w:style w:type="paragraph" w:customStyle="1" w:styleId="159">
    <w:name w:val="一级无标题条"/>
    <w:basedOn w:val="1"/>
    <w:qFormat/>
    <w:uiPriority w:val="0"/>
    <w:pPr>
      <w:numPr>
        <w:ilvl w:val="2"/>
        <w:numId w:val="20"/>
      </w:numPr>
      <w:adjustRightInd/>
      <w:spacing w:before="10" w:after="10" w:line="240" w:lineRule="auto"/>
    </w:pPr>
    <w:rPr>
      <w:rFonts w:ascii="宋体" w:hAnsi="宋体"/>
      <w:szCs w:val="24"/>
    </w:rPr>
  </w:style>
  <w:style w:type="paragraph" w:customStyle="1" w:styleId="160">
    <w:name w:val="注:后续"/>
    <w:qFormat/>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qFormat/>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qFormat/>
    <w:uiPriority w:val="0"/>
    <w:pPr>
      <w:numPr>
        <w:ilvl w:val="0"/>
        <w:numId w:val="23"/>
      </w:numPr>
      <w:ind w:firstLine="0" w:firstLineChars="0"/>
    </w:pPr>
    <w:rPr>
      <w:rFonts w:ascii="Times New Roman" w:cs="Arial"/>
      <w:szCs w:val="28"/>
    </w:rPr>
  </w:style>
  <w:style w:type="paragraph" w:customStyle="1" w:styleId="169">
    <w:name w:val="标准文件_小写罗马数字编号列项"/>
    <w:basedOn w:val="56"/>
    <w:qFormat/>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qFormat/>
    <w:uiPriority w:val="0"/>
    <w:rPr>
      <w:rFonts w:ascii="宋体" w:hAnsi="Times New Roman" w:eastAsia="宋体" w:cs="Times New Roman"/>
      <w:sz w:val="21"/>
      <w:lang w:val="en-US" w:eastAsia="zh-CN" w:bidi="ar-SA"/>
    </w:rPr>
  </w:style>
  <w:style w:type="paragraph" w:customStyle="1" w:styleId="172">
    <w:name w:val="标准文件_三级项"/>
    <w:basedOn w:val="1"/>
    <w:qFormat/>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qFormat/>
    <w:uiPriority w:val="0"/>
    <w:pPr>
      <w:numPr>
        <w:ilvl w:val="0"/>
        <w:numId w:val="25"/>
      </w:numPr>
      <w:adjustRightInd/>
      <w:spacing w:line="240" w:lineRule="auto"/>
      <w:ind w:left="783"/>
    </w:pPr>
    <w:rPr>
      <w:rFonts w:ascii="宋体" w:hAnsi="Times New Roman"/>
      <w:sz w:val="18"/>
      <w:szCs w:val="18"/>
    </w:rPr>
  </w:style>
  <w:style w:type="paragraph" w:customStyle="1" w:styleId="174">
    <w:name w:val="标准文件_字母编号列项（一级）"/>
    <w:qFormat/>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qFormat/>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qFormat/>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qFormat/>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qFormat/>
    <w:uiPriority w:val="0"/>
    <w:rPr>
      <w:rFonts w:ascii="宋体"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qFormat/>
    <w:uiPriority w:val="99"/>
    <w:rPr>
      <w:color w:val="808080"/>
    </w:rPr>
  </w:style>
  <w:style w:type="paragraph" w:customStyle="1" w:styleId="187">
    <w:name w:val="标准文件_二级项2"/>
    <w:basedOn w:val="56"/>
    <w:qFormat/>
    <w:uiPriority w:val="0"/>
    <w:pPr>
      <w:numPr>
        <w:ilvl w:val="1"/>
        <w:numId w:val="21"/>
      </w:numPr>
      <w:ind w:left="1271" w:hanging="420" w:firstLineChars="0"/>
    </w:pPr>
  </w:style>
  <w:style w:type="paragraph" w:customStyle="1" w:styleId="188">
    <w:name w:val="标准文件_三级项2"/>
    <w:basedOn w:val="56"/>
    <w:qFormat/>
    <w:uiPriority w:val="0"/>
    <w:pPr>
      <w:numPr>
        <w:ilvl w:val="0"/>
        <w:numId w:val="30"/>
      </w:numPr>
      <w:spacing w:line="300" w:lineRule="exact"/>
      <w:ind w:left="1276" w:hanging="425" w:firstLineChars="0"/>
    </w:pPr>
    <w:rPr>
      <w:rFonts w:ascii="Times New Roman"/>
    </w:rPr>
  </w:style>
  <w:style w:type="paragraph" w:customStyle="1" w:styleId="189">
    <w:name w:val="标准文件_一级项2"/>
    <w:basedOn w:val="56"/>
    <w:qFormat/>
    <w:uiPriority w:val="0"/>
    <w:pPr>
      <w:numPr>
        <w:ilvl w:val="0"/>
        <w:numId w:val="31"/>
      </w:numPr>
      <w:spacing w:line="300" w:lineRule="exact"/>
      <w:ind w:left="1271" w:hanging="420" w:firstLineChars="0"/>
    </w:pPr>
    <w:rPr>
      <w:rFonts w:ascii="Times New Roman"/>
    </w:r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qFormat/>
    <w:uiPriority w:val="0"/>
    <w:pPr>
      <w:framePr w:w="3997" w:h="471" w:hRule="exact" w:hSpace="0" w:vSpace="181" w:wrap="around" w:vAnchor="page" w:hAnchor="page" w:x="1419" w:y="14097"/>
    </w:pPr>
  </w:style>
  <w:style w:type="paragraph" w:customStyle="1" w:styleId="194">
    <w:name w:val="其他实施日期"/>
    <w:basedOn w:val="154"/>
    <w:qFormat/>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qFormat/>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qFormat/>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next w:val="56"/>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qForma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qFormat/>
    <w:uiPriority w:val="0"/>
    <w:rPr>
      <w:rFonts w:ascii="黑体" w:eastAsia="黑体"/>
      <w:spacing w:val="85"/>
      <w:w w:val="100"/>
      <w:position w:val="3"/>
      <w:sz w:val="28"/>
      <w:szCs w:val="28"/>
    </w:rPr>
  </w:style>
  <w:style w:type="paragraph" w:customStyle="1" w:styleId="230">
    <w:name w:val="段"/>
    <w:link w:val="231"/>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character" w:customStyle="1" w:styleId="231">
    <w:name w:val="段 Char Char"/>
    <w:link w:val="230"/>
    <w:qFormat/>
    <w:locked/>
    <w:uiPriority w:val="0"/>
    <w:rPr>
      <w:rFonts w:ascii="宋体" w:hAnsi="Times New Roman"/>
      <w:sz w:val="21"/>
    </w:rPr>
  </w:style>
  <w:style w:type="character" w:customStyle="1" w:styleId="232">
    <w:name w:val="font61"/>
    <w:qFormat/>
    <w:uiPriority w:val="0"/>
    <w:rPr>
      <w:rFonts w:hint="eastAsia" w:ascii="宋体" w:hAnsi="宋体" w:eastAsia="宋体" w:cs="宋体"/>
      <w:color w:val="auto"/>
      <w:sz w:val="21"/>
      <w:szCs w:val="21"/>
      <w:u w:val="none"/>
    </w:rPr>
  </w:style>
  <w:style w:type="character" w:customStyle="1" w:styleId="233">
    <w:name w:val="font51"/>
    <w:qFormat/>
    <w:uiPriority w:val="0"/>
    <w:rPr>
      <w:rFonts w:hint="default" w:ascii="Times New Roman" w:hAnsi="Times New Roman" w:eastAsia="宋体" w:cs="Times New Roman"/>
      <w:color w:val="auto"/>
      <w:sz w:val="21"/>
      <w:szCs w:val="21"/>
      <w:u w:val="none"/>
    </w:rPr>
  </w:style>
  <w:style w:type="paragraph" w:customStyle="1" w:styleId="234">
    <w:name w:val="修订1"/>
    <w:hidden/>
    <w:semiHidden/>
    <w:qFormat/>
    <w:uiPriority w:val="99"/>
    <w:rPr>
      <w:rFonts w:ascii="Calibri" w:hAnsi="Calibri" w:eastAsia="宋体" w:cs="Times New Roman"/>
      <w:kern w:val="2"/>
      <w:sz w:val="21"/>
      <w:szCs w:val="21"/>
      <w:lang w:val="en-US" w:eastAsia="zh-CN" w:bidi="ar-SA"/>
    </w:rPr>
  </w:style>
  <w:style w:type="paragraph" w:customStyle="1" w:styleId="235">
    <w:name w:val="修订2"/>
    <w:hidden/>
    <w:semiHidden/>
    <w:qFormat/>
    <w:uiPriority w:val="99"/>
    <w:rPr>
      <w:rFonts w:ascii="Calibri" w:hAnsi="Calibri" w:eastAsia="宋体" w:cs="Times New Roman"/>
      <w:kern w:val="2"/>
      <w:sz w:val="21"/>
      <w:szCs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9" Type="http://schemas.openxmlformats.org/officeDocument/2006/relationships/glossaryDocument" Target="glossary/document.xml"/><Relationship Id="rId28" Type="http://schemas.openxmlformats.org/officeDocument/2006/relationships/fontTable" Target="fontTable.xml"/><Relationship Id="rId27" Type="http://schemas.openxmlformats.org/officeDocument/2006/relationships/customXml" Target="../customXml/item2.xml"/><Relationship Id="rId26" Type="http://schemas.openxmlformats.org/officeDocument/2006/relationships/numbering" Target="numbering.xml"/><Relationship Id="rId25" Type="http://schemas.openxmlformats.org/officeDocument/2006/relationships/customXml" Target="../customXml/item1.xml"/><Relationship Id="rId24" Type="http://schemas.openxmlformats.org/officeDocument/2006/relationships/image" Target="media/image3.jpeg"/><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8.xml"/><Relationship Id="rId17" Type="http://schemas.openxmlformats.org/officeDocument/2006/relationships/header" Target="header7.xml"/><Relationship Id="rId16" Type="http://schemas.openxmlformats.org/officeDocument/2006/relationships/footer" Target="footer6.xml"/><Relationship Id="rId15" Type="http://schemas.openxmlformats.org/officeDocument/2006/relationships/footer" Target="footer5.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4.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317736968F4F426A88893EE247E262FC"/>
        <w:style w:val=""/>
        <w:category>
          <w:name w:val="常规"/>
          <w:gallery w:val="placeholder"/>
        </w:category>
        <w:types>
          <w:type w:val="bbPlcHdr"/>
        </w:types>
        <w:behaviors>
          <w:behavior w:val="content"/>
        </w:behaviors>
        <w:description w:val=""/>
        <w:guid w:val="{67CF06F6-DF95-4B03-9206-9B75F1CE1BA9}"/>
      </w:docPartPr>
      <w:docPartBody>
        <w:p w14:paraId="10D83BEA">
          <w:pPr>
            <w:pStyle w:val="5"/>
            <w:rPr>
              <w:rFonts w:hint="eastAsia"/>
            </w:rPr>
          </w:pPr>
          <w:r>
            <w:rPr>
              <w:rStyle w:val="4"/>
              <w:rFonts w:hint="eastAsia"/>
            </w:rPr>
            <w:t>单击或点击此处输入文字。</w:t>
          </w:r>
        </w:p>
      </w:docPartBody>
    </w:docPart>
    <w:docPart>
      <w:docPartPr>
        <w:name w:val="9D51CC710A094DCD81438F55C1305777"/>
        <w:style w:val=""/>
        <w:category>
          <w:name w:val="常规"/>
          <w:gallery w:val="placeholder"/>
        </w:category>
        <w:types>
          <w:type w:val="bbPlcHdr"/>
        </w:types>
        <w:behaviors>
          <w:behavior w:val="content"/>
        </w:behaviors>
        <w:description w:val=""/>
        <w:guid w:val="{4317F293-CAEA-43BA-810F-1F10111794B1}"/>
      </w:docPartPr>
      <w:docPartBody>
        <w:p w14:paraId="35568283">
          <w:pPr>
            <w:pStyle w:val="6"/>
            <w:rPr>
              <w:rFonts w:hint="eastAsia"/>
            </w:rPr>
          </w:pPr>
          <w:r>
            <w:rPr>
              <w:rStyle w:val="4"/>
              <w:rFonts w:hint="eastAsia"/>
            </w:rPr>
            <w:t>选择一项。</w:t>
          </w:r>
        </w:p>
      </w:docPartBody>
    </w:docPart>
    <w:docPart>
      <w:docPartPr>
        <w:name w:val="C37928D5372C4128A9889AB2CEFEB649"/>
        <w:style w:val=""/>
        <w:category>
          <w:name w:val="常规"/>
          <w:gallery w:val="placeholder"/>
        </w:category>
        <w:types>
          <w:type w:val="bbPlcHdr"/>
        </w:types>
        <w:behaviors>
          <w:behavior w:val="content"/>
        </w:behaviors>
        <w:description w:val=""/>
        <w:guid w:val="{2289F415-CD16-4A98-8893-5ACBF8C61C07}"/>
      </w:docPartPr>
      <w:docPartBody>
        <w:p w14:paraId="1923FC9F">
          <w:pPr>
            <w:pStyle w:val="7"/>
            <w:rPr>
              <w:rFonts w:hint="eastAsia"/>
            </w:rPr>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515C"/>
    <w:rsid w:val="0000420F"/>
    <w:rsid w:val="00006FDF"/>
    <w:rsid w:val="00007502"/>
    <w:rsid w:val="00017574"/>
    <w:rsid w:val="00033A14"/>
    <w:rsid w:val="000846CE"/>
    <w:rsid w:val="000A0A92"/>
    <w:rsid w:val="000F71A7"/>
    <w:rsid w:val="0016727F"/>
    <w:rsid w:val="00174AB5"/>
    <w:rsid w:val="001A2414"/>
    <w:rsid w:val="001B277C"/>
    <w:rsid w:val="001E5235"/>
    <w:rsid w:val="002454CB"/>
    <w:rsid w:val="002511C8"/>
    <w:rsid w:val="0029791D"/>
    <w:rsid w:val="00306F9F"/>
    <w:rsid w:val="00351D9F"/>
    <w:rsid w:val="003B5AD8"/>
    <w:rsid w:val="003E5491"/>
    <w:rsid w:val="003E7664"/>
    <w:rsid w:val="00413CCD"/>
    <w:rsid w:val="00420D93"/>
    <w:rsid w:val="00424E4C"/>
    <w:rsid w:val="00461E4A"/>
    <w:rsid w:val="00510BD2"/>
    <w:rsid w:val="00575376"/>
    <w:rsid w:val="00590D76"/>
    <w:rsid w:val="00603795"/>
    <w:rsid w:val="00603A7D"/>
    <w:rsid w:val="00623516"/>
    <w:rsid w:val="0065217A"/>
    <w:rsid w:val="006752EF"/>
    <w:rsid w:val="006B0C5C"/>
    <w:rsid w:val="006C4133"/>
    <w:rsid w:val="0070665C"/>
    <w:rsid w:val="00721E27"/>
    <w:rsid w:val="00725EE3"/>
    <w:rsid w:val="00767336"/>
    <w:rsid w:val="0077311D"/>
    <w:rsid w:val="0078639D"/>
    <w:rsid w:val="007944E1"/>
    <w:rsid w:val="007C1A2C"/>
    <w:rsid w:val="007D2821"/>
    <w:rsid w:val="00811090"/>
    <w:rsid w:val="008119F6"/>
    <w:rsid w:val="00812898"/>
    <w:rsid w:val="00820F2C"/>
    <w:rsid w:val="008639C6"/>
    <w:rsid w:val="008714C1"/>
    <w:rsid w:val="00897D16"/>
    <w:rsid w:val="008C5E74"/>
    <w:rsid w:val="00915096"/>
    <w:rsid w:val="00925D35"/>
    <w:rsid w:val="00972F2C"/>
    <w:rsid w:val="0099515C"/>
    <w:rsid w:val="00A27AB9"/>
    <w:rsid w:val="00A52558"/>
    <w:rsid w:val="00AA634A"/>
    <w:rsid w:val="00AB7DF2"/>
    <w:rsid w:val="00AF4DA8"/>
    <w:rsid w:val="00B542D6"/>
    <w:rsid w:val="00B56824"/>
    <w:rsid w:val="00B9644F"/>
    <w:rsid w:val="00C34799"/>
    <w:rsid w:val="00C430F2"/>
    <w:rsid w:val="00C51312"/>
    <w:rsid w:val="00C732B0"/>
    <w:rsid w:val="00C826DA"/>
    <w:rsid w:val="00CC154B"/>
    <w:rsid w:val="00D03C2F"/>
    <w:rsid w:val="00D507B3"/>
    <w:rsid w:val="00DE68BE"/>
    <w:rsid w:val="00E1077F"/>
    <w:rsid w:val="00E23EB8"/>
    <w:rsid w:val="00E43129"/>
    <w:rsid w:val="00E616A7"/>
    <w:rsid w:val="00E711D5"/>
    <w:rsid w:val="00EB604B"/>
    <w:rsid w:val="00EC4ED5"/>
    <w:rsid w:val="00EC7B56"/>
    <w:rsid w:val="00ED5526"/>
    <w:rsid w:val="00F31F0B"/>
    <w:rsid w:val="00F619B1"/>
    <w:rsid w:val="00F86EC9"/>
    <w:rsid w:val="00FA0CE1"/>
    <w:rsid w:val="00FA7A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uiPriority="1" w:name="Default Paragraph Font"/>
    <w:lsdException w:qFormat="1" w:uiPriority="99" w:name="Normal Table"/>
    <w:lsdException w:qFormat="1"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character" w:styleId="4">
    <w:name w:val="Placeholder Text"/>
    <w:basedOn w:val="2"/>
    <w:semiHidden/>
    <w:qFormat/>
    <w:uiPriority w:val="99"/>
    <w:rPr>
      <w:color w:val="808080"/>
    </w:rPr>
  </w:style>
  <w:style w:type="paragraph" w:customStyle="1" w:styleId="5">
    <w:name w:val="317736968F4F426A88893EE247E262FC"/>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9D51CC710A094DCD81438F55C1305777"/>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C37928D5372C4128A9889AB2CEFEB649"/>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676C72A-90FF-49B5-BD27-1F6591FAFB8E}">
  <ds:schemaRefs/>
</ds:datastoreItem>
</file>

<file path=docProps/app.xml><?xml version="1.0" encoding="utf-8"?>
<Properties xmlns="http://schemas.openxmlformats.org/officeDocument/2006/extended-properties" xmlns:vt="http://schemas.openxmlformats.org/officeDocument/2006/docPropsVTypes">
  <Template>团体标准</Template>
  <Company>PCMI</Company>
  <Pages>11</Pages>
  <Words>3376</Words>
  <Characters>3936</Characters>
  <Lines>33</Lines>
  <Paragraphs>9</Paragraphs>
  <TotalTime>3</TotalTime>
  <ScaleCrop>false</ScaleCrop>
  <LinksUpToDate>false</LinksUpToDate>
  <CharactersWithSpaces>4047</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2026-04-21T03:08:00Z</dcterms:created>
  <dc:creator>LH</dc:creator>
  <dc:description>&lt;config cover="true" show_menu="true" version="1.0.0" doctype="SDKXY"&gt;_x000d_
&lt;/config&gt;</dc:description>
  <cp:lastModifiedBy>一笑而过</cp:lastModifiedBy>
  <cp:lastPrinted>2021-11-08T14:53:00Z</cp:lastPrinted>
  <dcterms:modified xsi:type="dcterms:W3CDTF">2026-05-09T08:53:35Z</dcterms:modified>
  <dc:title>团体标准</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y fmtid="{D5CDD505-2E9C-101B-9397-08002B2CF9AE}" pid="15" name="KSOProductBuildVer">
    <vt:lpwstr>2052-12.1.0.25865</vt:lpwstr>
  </property>
  <property fmtid="{D5CDD505-2E9C-101B-9397-08002B2CF9AE}" pid="16" name="ICV">
    <vt:lpwstr>6B85B1BCD0F144BE952EAB4E6C2402BB</vt:lpwstr>
  </property>
  <property fmtid="{D5CDD505-2E9C-101B-9397-08002B2CF9AE}" pid="17" name="KSOTemplateDocerSaveRecord">
    <vt:lpwstr>eyJoZGlkIjoiOGE3MGIxMjYyMDVkOTdmNDBjMDhhNTE5NTE1ZTdmOGUiLCJ1c2VySWQiOiIzNTA0ODA4MzEifQ==</vt:lpwstr>
  </property>
</Properties>
</file>