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CCDBAE">
      <w:pPr>
        <w:pStyle w:val="6"/>
        <w:spacing w:before="1440" w:beforeLines="600" w:after="480" w:afterLines="200"/>
        <w:jc w:val="center"/>
        <w:rPr>
          <w:rFonts w:ascii="黑体" w:hAnsi="黑体" w:eastAsia="黑体" w:cs="黑体"/>
          <w:b/>
          <w:bCs/>
          <w:sz w:val="52"/>
          <w:szCs w:val="52"/>
        </w:rPr>
      </w:pPr>
      <w:r>
        <w:rPr>
          <w:rFonts w:hint="eastAsia" w:ascii="黑体" w:hAnsi="黑体" w:eastAsia="黑体" w:cs="黑体"/>
          <w:b/>
          <w:bCs/>
          <w:sz w:val="52"/>
          <w:szCs w:val="52"/>
        </w:rPr>
        <w:t>中国食品土畜进出口商会团体标准</w:t>
      </w:r>
    </w:p>
    <w:p w14:paraId="09669244">
      <w:pPr>
        <w:pStyle w:val="6"/>
        <w:spacing w:before="120" w:after="120"/>
        <w:ind w:left="425" w:right="660"/>
        <w:jc w:val="right"/>
        <w:rPr>
          <w:rFonts w:ascii="Arial Unicode MS" w:hAnsi="Arial Unicode MS" w:eastAsia="Arial Unicode MS" w:cs="Arial Unicode MS"/>
          <w:sz w:val="28"/>
          <w:szCs w:val="28"/>
        </w:rPr>
      </w:pPr>
      <w:r>
        <w:rPr>
          <w:rFonts w:ascii="宋体" w:hAnsi="宋体" w:cs="宋体"/>
          <w:b/>
          <w:bCs/>
        </w:rPr>
        <mc:AlternateContent>
          <mc:Choice Requires="wps">
            <w:drawing>
              <wp:anchor distT="0" distB="0" distL="114300" distR="114300" simplePos="0" relativeHeight="251660288" behindDoc="0" locked="0" layoutInCell="1" allowOverlap="1">
                <wp:simplePos x="0" y="0"/>
                <wp:positionH relativeFrom="page">
                  <wp:posOffset>739140</wp:posOffset>
                </wp:positionH>
                <wp:positionV relativeFrom="paragraph">
                  <wp:posOffset>313690</wp:posOffset>
                </wp:positionV>
                <wp:extent cx="6120130" cy="0"/>
                <wp:effectExtent l="0" t="0" r="0" b="0"/>
                <wp:wrapNone/>
                <wp:docPr id="1" name="Line 2"/>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Line 2" o:spid="_x0000_s1026" o:spt="20" style="position:absolute;left:0pt;margin-left:58.2pt;margin-top:24.7pt;height:0pt;width:481.9pt;mso-position-horizontal-relative:page;z-index:251660288;mso-width-relative:page;mso-height-relative:page;" filled="f" stroked="t" coordsize="21600,21600" o:gfxdata="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ZUyWB1wAAAAoBAAAPAAAAAAAAAAEAIAAAACIAAABkcnMvZG93&#10;bnJldi54bWxQSwECFAAUAAAACACHTuJAXDtjQsgBAACfAwAADgAAAAAAAAABACAAAAAmAQAAZHJz&#10;L2Uyb0RvYy54bWxQSwUGAAAAAAYABgBZAQAAYAUAAAAA&#10;">
                <v:fill on="f" focussize="0,0"/>
                <v:stroke color="#000000" joinstyle="round"/>
                <v:imagedata o:title=""/>
                <o:lock v:ext="edit" aspectratio="f"/>
              </v:line>
            </w:pict>
          </mc:Fallback>
        </mc:AlternateContent>
      </w:r>
      <w:r>
        <w:rPr>
          <w:rFonts w:ascii="Arial Unicode MS" w:hAnsi="Arial Unicode MS" w:eastAsia="Arial Unicode MS" w:cs="Arial Unicode MS"/>
          <w:b/>
          <w:bCs/>
          <w:sz w:val="28"/>
          <w:szCs w:val="28"/>
        </w:rPr>
        <w:t>T</w:t>
      </w:r>
      <w:r>
        <w:rPr>
          <w:rFonts w:hint="eastAsia" w:ascii="Arial Unicode MS" w:hAnsi="Arial Unicode MS" w:eastAsia="Arial Unicode MS" w:cs="Arial Unicode MS"/>
          <w:b/>
          <w:bCs/>
          <w:sz w:val="28"/>
          <w:szCs w:val="28"/>
        </w:rPr>
        <w:t>/CFNA</w:t>
      </w:r>
      <w:r>
        <w:rPr>
          <w:rFonts w:ascii="Arial Unicode MS" w:hAnsi="Arial Unicode MS" w:eastAsia="Arial Unicode MS" w:cs="Arial Unicode MS"/>
          <w:b/>
          <w:bCs/>
          <w:sz w:val="28"/>
          <w:szCs w:val="28"/>
        </w:rPr>
        <w:t xml:space="preserve">   168</w:t>
      </w:r>
      <w:r>
        <w:rPr>
          <w:rFonts w:hint="eastAsia" w:ascii="Arial Unicode MS" w:hAnsi="Arial Unicode MS" w:eastAsia="Arial Unicode MS" w:cs="Arial Unicode MS"/>
          <w:b/>
          <w:bCs/>
          <w:sz w:val="28"/>
          <w:szCs w:val="28"/>
          <w:lang w:val="en-US" w:eastAsia="zh-CN"/>
        </w:rPr>
        <w:t>7</w:t>
      </w:r>
      <w:r>
        <w:rPr>
          <w:rFonts w:ascii="Arial Unicode MS" w:hAnsi="Arial Unicode MS" w:eastAsia="Arial Unicode MS" w:cs="Arial Unicode MS"/>
          <w:b/>
          <w:bCs/>
          <w:sz w:val="28"/>
          <w:szCs w:val="28"/>
        </w:rPr>
        <w:t>-2025</w:t>
      </w:r>
    </w:p>
    <w:p w14:paraId="7B199A13">
      <w:pPr>
        <w:spacing w:before="2880" w:beforeLines="1200" w:after="240" w:afterLines="100"/>
        <w:jc w:val="center"/>
        <w:rPr>
          <w:rFonts w:ascii="黑体" w:hAnsi="黑体" w:eastAsia="黑体"/>
          <w:b/>
          <w:bCs/>
          <w:sz w:val="44"/>
          <w:szCs w:val="44"/>
        </w:rPr>
      </w:pPr>
      <w:r>
        <w:rPr>
          <w:rFonts w:hint="eastAsia" w:ascii="黑体" w:hAnsi="黑体" w:eastAsia="黑体"/>
          <w:b/>
          <w:bCs/>
          <w:sz w:val="44"/>
          <w:szCs w:val="44"/>
        </w:rPr>
        <w:t>食用黄粉虫干生产技术标准</w:t>
      </w:r>
    </w:p>
    <w:p w14:paraId="14C3041D">
      <w:pPr>
        <w:spacing w:before="240" w:beforeLines="100" w:after="120"/>
        <w:ind w:right="-1"/>
        <w:jc w:val="center"/>
        <w:rPr>
          <w:rFonts w:ascii="黑体" w:hAnsi="黑体" w:eastAsia="黑体"/>
          <w:b/>
          <w:bCs/>
          <w:sz w:val="44"/>
          <w:szCs w:val="44"/>
        </w:rPr>
      </w:pPr>
      <w:r>
        <w:rPr>
          <w:rFonts w:ascii="黑体" w:hAnsi="黑体" w:eastAsia="黑体"/>
          <w:b/>
          <w:bCs/>
          <w:sz w:val="44"/>
          <w:szCs w:val="44"/>
        </w:rPr>
        <w:t xml:space="preserve">Technical Standard for Production of Edible Dried Yellow Mealworms </w:t>
      </w:r>
    </w:p>
    <w:p w14:paraId="0DD8313D">
      <w:pPr>
        <w:spacing w:before="240" w:beforeLines="100" w:after="120"/>
        <w:ind w:right="-1"/>
        <w:jc w:val="center"/>
        <w:rPr>
          <w:rFonts w:ascii="黑体" w:hAnsi="黑体" w:eastAsia="黑体"/>
          <w:b/>
          <w:bCs/>
          <w:sz w:val="28"/>
          <w:szCs w:val="28"/>
        </w:rPr>
      </w:pPr>
      <w:r>
        <w:rPr>
          <w:rFonts w:hint="eastAsia" w:ascii="黑体" w:hAnsi="黑体" w:eastAsia="黑体"/>
          <w:b/>
          <w:bCs/>
          <w:sz w:val="28"/>
          <w:szCs w:val="28"/>
        </w:rPr>
        <w:t>（征求意见稿）</w:t>
      </w:r>
    </w:p>
    <w:p w14:paraId="39E5BBCA">
      <w:pPr>
        <w:spacing w:before="4320" w:beforeLines="1800"/>
        <w:jc w:val="center"/>
        <w:rPr>
          <w:rStyle w:val="17"/>
          <w:rFonts w:ascii="黑体" w:hAnsi="黑体" w:eastAsia="黑体"/>
          <w:sz w:val="28"/>
          <w:szCs w:val="28"/>
        </w:rPr>
      </w:pPr>
      <w:r>
        <w:rPr>
          <w:rStyle w:val="17"/>
          <w:rFonts w:ascii="宋体" w:hAnsi="宋体"/>
          <w:sz w:val="22"/>
          <w:szCs w:val="22"/>
        </w:rPr>
        <mc:AlternateContent>
          <mc:Choice Requires="wps">
            <w:drawing>
              <wp:anchor distT="0" distB="0" distL="114300" distR="114300" simplePos="0" relativeHeight="251659264" behindDoc="0" locked="0" layoutInCell="1" allowOverlap="1">
                <wp:simplePos x="0" y="0"/>
                <wp:positionH relativeFrom="page">
                  <wp:posOffset>655320</wp:posOffset>
                </wp:positionH>
                <wp:positionV relativeFrom="paragraph">
                  <wp:posOffset>2942590</wp:posOffset>
                </wp:positionV>
                <wp:extent cx="6120130" cy="0"/>
                <wp:effectExtent l="0" t="0" r="0" b="0"/>
                <wp:wrapNone/>
                <wp:docPr id="7" name="Line 2"/>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Line 2" o:spid="_x0000_s1026" o:spt="20" style="position:absolute;left:0pt;margin-left:51.6pt;margin-top:231.7pt;height:0pt;width:481.9pt;mso-position-horizontal-relative:page;z-index:251659264;mso-width-relative:page;mso-height-relative:page;" filled="f" stroked="t" coordsize="21600,21600" o:gfxdata="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2IG2w1wAAAAwBAAAPAAAAAAAAAAEAIAAAACIAAABkcnMvZG93&#10;bnJldi54bWxQSwECFAAUAAAACACHTuJAVgw/4MgBAACfAwAADgAAAAAAAAABACAAAAAmAQAAZHJz&#10;L2Uyb0RvYy54bWxQSwUGAAAAAAYABgBZAQAAYAUAAAAA&#10;">
                <v:fill on="f" focussize="0,0"/>
                <v:stroke color="#000000" joinstyle="round"/>
                <v:imagedata o:title=""/>
                <o:lock v:ext="edit" aspectratio="f"/>
              </v:line>
            </w:pict>
          </mc:Fallback>
        </mc:AlternateContent>
      </w:r>
      <w:r>
        <w:rPr>
          <w:rFonts w:ascii="黑体" w:hAnsi="黑体" w:eastAsia="黑体" w:cs="黑体"/>
          <w:b/>
          <w:bCs/>
          <w:spacing w:val="-1"/>
          <w:sz w:val="28"/>
          <w:szCs w:val="28"/>
        </w:rPr>
        <w:t>202</w:t>
      </w:r>
      <w:r>
        <w:rPr>
          <w:rFonts w:hint="eastAsia" w:ascii="黑体" w:hAnsi="黑体" w:eastAsia="黑体" w:cs="黑体"/>
          <w:b/>
          <w:bCs/>
          <w:spacing w:val="-1"/>
          <w:sz w:val="28"/>
          <w:szCs w:val="28"/>
          <w:lang w:val="en-US" w:eastAsia="zh-CN"/>
        </w:rPr>
        <w:t>5</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Style w:val="17"/>
          <w:rFonts w:ascii="黑体" w:hAnsi="黑体" w:eastAsia="黑体"/>
          <w:sz w:val="28"/>
          <w:szCs w:val="28"/>
        </w:rPr>
        <w:t xml:space="preserve">发布                       </w:t>
      </w:r>
      <w:bookmarkStart w:id="19" w:name="_GoBack"/>
      <w:bookmarkEnd w:id="19"/>
      <w:r>
        <w:rPr>
          <w:rStyle w:val="17"/>
          <w:rFonts w:ascii="黑体" w:hAnsi="黑体" w:eastAsia="黑体"/>
          <w:sz w:val="28"/>
          <w:szCs w:val="28"/>
        </w:rPr>
        <w:t xml:space="preserve">   </w:t>
      </w:r>
      <w:r>
        <w:rPr>
          <w:rFonts w:ascii="黑体" w:hAnsi="黑体" w:eastAsia="黑体" w:cs="黑体"/>
          <w:b/>
          <w:bCs/>
          <w:spacing w:val="-2"/>
          <w:sz w:val="28"/>
          <w:szCs w:val="28"/>
        </w:rPr>
        <w:t>202</w:t>
      </w:r>
      <w:r>
        <w:rPr>
          <w:rFonts w:hint="eastAsia" w:ascii="黑体" w:hAnsi="黑体" w:eastAsia="黑体" w:cs="黑体"/>
          <w:b/>
          <w:bCs/>
          <w:spacing w:val="-2"/>
          <w:sz w:val="28"/>
          <w:szCs w:val="28"/>
          <w:lang w:val="en-US" w:eastAsia="zh-CN"/>
        </w:rPr>
        <w:t>6</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spacing w:val="-53"/>
          <w:sz w:val="28"/>
          <w:szCs w:val="28"/>
        </w:rPr>
        <w:t xml:space="preserve"> </w:t>
      </w:r>
      <w:r>
        <w:rPr>
          <w:rStyle w:val="17"/>
          <w:rFonts w:ascii="黑体" w:hAnsi="黑体" w:eastAsia="黑体"/>
          <w:sz w:val="28"/>
          <w:szCs w:val="28"/>
        </w:rPr>
        <w:t>实施</w:t>
      </w:r>
    </w:p>
    <w:p w14:paraId="7549F811">
      <w:pPr>
        <w:spacing w:before="120" w:after="120"/>
        <w:ind w:right="-1"/>
        <w:jc w:val="center"/>
        <w:rPr>
          <w:rFonts w:ascii="黑体" w:eastAsia="黑体"/>
          <w:sz w:val="32"/>
        </w:rPr>
        <w:sectPr>
          <w:headerReference r:id="rId5" w:type="first"/>
          <w:headerReference r:id="rId3" w:type="default"/>
          <w:footerReference r:id="rId6" w:type="default"/>
          <w:headerReference r:id="rId4" w:type="even"/>
          <w:pgSz w:w="11910" w:h="16840"/>
          <w:pgMar w:top="1440" w:right="1080" w:bottom="1440" w:left="1080" w:header="1134" w:footer="850" w:gutter="0"/>
          <w:cols w:space="720" w:num="1"/>
          <w:titlePg/>
          <w:docGrid w:linePitch="299" w:charSpace="0"/>
        </w:sectPr>
      </w:pPr>
      <w:bookmarkStart w:id="0" w:name="_Hlk51960914"/>
      <w:r>
        <w:rPr>
          <w:rFonts w:hint="eastAsia" w:ascii="黑体" w:hAnsi="黑体" w:eastAsia="黑体"/>
          <w:b/>
          <w:w w:val="130"/>
          <w:sz w:val="32"/>
          <w:szCs w:val="21"/>
        </w:rPr>
        <w:t>中国食品土畜进出口商会</w:t>
      </w:r>
      <w:r>
        <w:rPr>
          <w:rFonts w:ascii="黑体" w:hAnsi="黑体" w:eastAsia="黑体"/>
          <w:b/>
          <w:w w:val="130"/>
          <w:sz w:val="32"/>
          <w:szCs w:val="21"/>
        </w:rPr>
        <w:t xml:space="preserve">  </w:t>
      </w:r>
      <w:r>
        <w:rPr>
          <w:rFonts w:hint="eastAsia" w:ascii="黑体" w:hAnsi="黑体" w:eastAsia="黑体"/>
          <w:b/>
          <w:w w:val="130"/>
          <w:sz w:val="28"/>
          <w:szCs w:val="28"/>
        </w:rPr>
        <w:t>发布</w:t>
      </w:r>
      <w:bookmarkEnd w:id="0"/>
    </w:p>
    <w:sdt>
      <w:sdtPr>
        <w:rPr>
          <w:rFonts w:ascii="Calibri" w:hAnsi="Calibri" w:eastAsia="宋体" w:cs="Times New Roman"/>
          <w:color w:val="auto"/>
          <w:sz w:val="20"/>
          <w:szCs w:val="20"/>
          <w:lang w:val="zh-CN"/>
        </w:rPr>
        <w:id w:val="-2115352183"/>
        <w:docPartObj>
          <w:docPartGallery w:val="Table of Contents"/>
          <w:docPartUnique/>
        </w:docPartObj>
      </w:sdtPr>
      <w:sdtEndPr>
        <w:rPr>
          <w:rFonts w:ascii="宋体" w:hAnsi="宋体" w:eastAsia="宋体" w:cs="Times New Roman"/>
          <w:b/>
          <w:bCs/>
          <w:color w:val="auto"/>
          <w:sz w:val="24"/>
          <w:szCs w:val="24"/>
          <w:lang w:val="zh-CN"/>
        </w:rPr>
      </w:sdtEndPr>
      <w:sdtContent>
        <w:p w14:paraId="04B2322C">
          <w:pPr>
            <w:pStyle w:val="35"/>
            <w:jc w:val="center"/>
          </w:pPr>
          <w:r>
            <w:rPr>
              <w:lang w:val="zh-CN"/>
            </w:rPr>
            <w:t>目录</w:t>
          </w:r>
        </w:p>
        <w:p w14:paraId="7264C183">
          <w:pPr>
            <w:pStyle w:val="12"/>
            <w:ind w:left="800"/>
            <w:rPr>
              <w:rFonts w:asciiTheme="minorHAnsi" w:hAnsiTheme="minorHAnsi" w:eastAsiaTheme="minorEastAsia" w:cstheme="minorBidi"/>
              <w:kern w:val="2"/>
              <w:sz w:val="21"/>
              <w:szCs w:val="22"/>
            </w:rPr>
          </w:pPr>
          <w:r>
            <w:rPr>
              <w:rFonts w:ascii="宋体" w:hAnsi="宋体"/>
              <w:sz w:val="24"/>
              <w:szCs w:val="24"/>
            </w:rPr>
            <w:fldChar w:fldCharType="begin"/>
          </w:r>
          <w:r>
            <w:rPr>
              <w:rFonts w:ascii="宋体" w:hAnsi="宋体"/>
              <w:sz w:val="24"/>
              <w:szCs w:val="24"/>
            </w:rPr>
            <w:instrText xml:space="preserve"> TOC \o "1-3" \h \z \u </w:instrText>
          </w:r>
          <w:r>
            <w:rPr>
              <w:rFonts w:ascii="宋体" w:hAnsi="宋体"/>
              <w:sz w:val="24"/>
              <w:szCs w:val="24"/>
            </w:rPr>
            <w:fldChar w:fldCharType="separate"/>
          </w:r>
          <w:r>
            <w:fldChar w:fldCharType="begin"/>
          </w:r>
          <w:r>
            <w:instrText xml:space="preserve"> HYPERLINK \l "_Toc230153146" </w:instrText>
          </w:r>
          <w:r>
            <w:fldChar w:fldCharType="separate"/>
          </w:r>
          <w:r>
            <w:rPr>
              <w:rStyle w:val="19"/>
              <w:rFonts w:ascii="宋体" w:hAnsi="宋体"/>
              <w:b/>
              <w:bCs/>
            </w:rPr>
            <w:t>前言</w:t>
          </w:r>
          <w:r>
            <w:tab/>
          </w:r>
          <w:r>
            <w:fldChar w:fldCharType="begin"/>
          </w:r>
          <w:r>
            <w:instrText xml:space="preserve"> PAGEREF _Toc230153146 \h </w:instrText>
          </w:r>
          <w:r>
            <w:fldChar w:fldCharType="separate"/>
          </w:r>
          <w:r>
            <w:t>II</w:t>
          </w:r>
          <w:r>
            <w:fldChar w:fldCharType="end"/>
          </w:r>
          <w:r>
            <w:fldChar w:fldCharType="end"/>
          </w:r>
        </w:p>
        <w:p w14:paraId="1E60BF9E">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"_Toc230153147" </w:instrText>
          </w:r>
          <w:r>
            <w:fldChar w:fldCharType="separate"/>
          </w:r>
          <w:r>
            <w:rPr>
              <w:rStyle w:val="19"/>
              <w:rFonts w:ascii="宋体" w:hAnsi="宋体"/>
              <w:b/>
              <w:bCs/>
            </w:rPr>
            <w:t>1</w:t>
          </w:r>
          <w:r>
            <w:rPr>
              <w:rFonts w:asciiTheme="minorHAnsi" w:hAnsiTheme="minorHAnsi" w:eastAsiaTheme="minorEastAsia" w:cstheme="minorBidi"/>
              <w:kern w:val="2"/>
              <w:sz w:val="21"/>
              <w:szCs w:val="22"/>
            </w:rPr>
            <w:tab/>
          </w:r>
          <w:r>
            <w:rPr>
              <w:rStyle w:val="19"/>
              <w:rFonts w:ascii="宋体" w:hAnsi="宋体"/>
              <w:b/>
              <w:bCs/>
            </w:rPr>
            <w:t>范围</w:t>
          </w:r>
          <w:r>
            <w:tab/>
          </w:r>
          <w:r>
            <w:fldChar w:fldCharType="begin"/>
          </w:r>
          <w:r>
            <w:instrText xml:space="preserve"> PAGEREF _Toc230153147 \h </w:instrText>
          </w:r>
          <w:r>
            <w:fldChar w:fldCharType="separate"/>
          </w:r>
          <w:r>
            <w:t>1</w:t>
          </w:r>
          <w:r>
            <w:fldChar w:fldCharType="end"/>
          </w:r>
          <w:r>
            <w:fldChar w:fldCharType="end"/>
          </w:r>
        </w:p>
        <w:p w14:paraId="00A3E226">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"_Toc230153148" </w:instrText>
          </w:r>
          <w:r>
            <w:fldChar w:fldCharType="separate"/>
          </w:r>
          <w:r>
            <w:rPr>
              <w:rStyle w:val="19"/>
              <w:rFonts w:ascii="宋体" w:hAnsi="宋体"/>
              <w:b/>
              <w:bCs/>
            </w:rPr>
            <w:t>2</w:t>
          </w:r>
          <w:r>
            <w:rPr>
              <w:rFonts w:asciiTheme="minorHAnsi" w:hAnsiTheme="minorHAnsi" w:eastAsiaTheme="minorEastAsia" w:cstheme="minorBidi"/>
              <w:kern w:val="2"/>
              <w:sz w:val="21"/>
              <w:szCs w:val="22"/>
            </w:rPr>
            <w:tab/>
          </w:r>
          <w:r>
            <w:rPr>
              <w:rStyle w:val="19"/>
              <w:rFonts w:ascii="宋体" w:hAnsi="宋体"/>
              <w:b/>
              <w:bCs/>
            </w:rPr>
            <w:t>规范性引用文件</w:t>
          </w:r>
          <w:r>
            <w:tab/>
          </w:r>
          <w:r>
            <w:fldChar w:fldCharType="begin"/>
          </w:r>
          <w:r>
            <w:instrText xml:space="preserve"> PAGEREF _Toc230153148 \h </w:instrText>
          </w:r>
          <w:r>
            <w:fldChar w:fldCharType="separate"/>
          </w:r>
          <w:r>
            <w:t>1</w:t>
          </w:r>
          <w:r>
            <w:fldChar w:fldCharType="end"/>
          </w:r>
          <w:r>
            <w:fldChar w:fldCharType="end"/>
          </w:r>
        </w:p>
        <w:p w14:paraId="2A2785CD">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"_Toc230153149" </w:instrText>
          </w:r>
          <w:r>
            <w:fldChar w:fldCharType="separate"/>
          </w:r>
          <w:r>
            <w:rPr>
              <w:rStyle w:val="19"/>
              <w:rFonts w:ascii="宋体" w:hAnsi="宋体"/>
              <w:b/>
              <w:bCs/>
            </w:rPr>
            <w:t>3</w:t>
          </w:r>
          <w:r>
            <w:rPr>
              <w:rFonts w:asciiTheme="minorHAnsi" w:hAnsiTheme="minorHAnsi" w:eastAsiaTheme="minorEastAsia" w:cstheme="minorBidi"/>
              <w:kern w:val="2"/>
              <w:sz w:val="21"/>
              <w:szCs w:val="22"/>
            </w:rPr>
            <w:tab/>
          </w:r>
          <w:r>
            <w:rPr>
              <w:rStyle w:val="19"/>
              <w:rFonts w:ascii="宋体" w:hAnsi="宋体"/>
              <w:b/>
              <w:bCs/>
            </w:rPr>
            <w:t>术语和定义</w:t>
          </w:r>
          <w:r>
            <w:tab/>
          </w:r>
          <w:r>
            <w:fldChar w:fldCharType="begin"/>
          </w:r>
          <w:r>
            <w:instrText xml:space="preserve"> PAGEREF _Toc230153149 \h </w:instrText>
          </w:r>
          <w:r>
            <w:fldChar w:fldCharType="separate"/>
          </w:r>
          <w:r>
            <w:t>1</w:t>
          </w:r>
          <w:r>
            <w:fldChar w:fldCharType="end"/>
          </w:r>
          <w:r>
            <w:fldChar w:fldCharType="end"/>
          </w:r>
        </w:p>
        <w:p w14:paraId="4944D394">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"_Toc230153150" </w:instrText>
          </w:r>
          <w:r>
            <w:fldChar w:fldCharType="separate"/>
          </w:r>
          <w:r>
            <w:rPr>
              <w:rStyle w:val="19"/>
              <w:rFonts w:ascii="宋体" w:hAnsi="宋体"/>
              <w:b/>
              <w:bCs/>
            </w:rPr>
            <w:t>4</w:t>
          </w:r>
          <w:r>
            <w:rPr>
              <w:rFonts w:asciiTheme="minorHAnsi" w:hAnsiTheme="minorHAnsi" w:eastAsiaTheme="minorEastAsia" w:cstheme="minorBidi"/>
              <w:kern w:val="2"/>
              <w:sz w:val="21"/>
              <w:szCs w:val="22"/>
            </w:rPr>
            <w:tab/>
          </w:r>
          <w:r>
            <w:rPr>
              <w:rStyle w:val="19"/>
              <w:rFonts w:ascii="宋体" w:hAnsi="宋体"/>
              <w:b/>
              <w:bCs/>
            </w:rPr>
            <w:t>原料要求</w:t>
          </w:r>
          <w:r>
            <w:tab/>
          </w:r>
          <w:r>
            <w:fldChar w:fldCharType="begin"/>
          </w:r>
          <w:r>
            <w:instrText xml:space="preserve"> PAGEREF _Toc230153150 \h </w:instrText>
          </w:r>
          <w:r>
            <w:fldChar w:fldCharType="separate"/>
          </w:r>
          <w:r>
            <w:t>1</w:t>
          </w:r>
          <w:r>
            <w:fldChar w:fldCharType="end"/>
          </w:r>
          <w:r>
            <w:fldChar w:fldCharType="end"/>
          </w:r>
        </w:p>
        <w:p w14:paraId="7075AC64">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"_Toc230153151" </w:instrText>
          </w:r>
          <w:r>
            <w:fldChar w:fldCharType="separate"/>
          </w:r>
          <w:r>
            <w:rPr>
              <w:rStyle w:val="19"/>
              <w:rFonts w:ascii="宋体" w:hAnsi="宋体"/>
              <w:b/>
              <w:bCs/>
            </w:rPr>
            <w:t>5</w:t>
          </w:r>
          <w:r>
            <w:rPr>
              <w:rFonts w:asciiTheme="minorHAnsi" w:hAnsiTheme="minorHAnsi" w:eastAsiaTheme="minorEastAsia" w:cstheme="minorBidi"/>
              <w:kern w:val="2"/>
              <w:sz w:val="21"/>
              <w:szCs w:val="22"/>
            </w:rPr>
            <w:tab/>
          </w:r>
          <w:r>
            <w:rPr>
              <w:rStyle w:val="19"/>
              <w:rFonts w:ascii="宋体" w:hAnsi="宋体"/>
              <w:b/>
              <w:bCs/>
            </w:rPr>
            <w:t>加工工艺</w:t>
          </w:r>
          <w:r>
            <w:tab/>
          </w:r>
          <w:r>
            <w:fldChar w:fldCharType="begin"/>
          </w:r>
          <w:r>
            <w:instrText xml:space="preserve"> PAGEREF _Toc230153151 \h </w:instrText>
          </w:r>
          <w:r>
            <w:fldChar w:fldCharType="separate"/>
          </w:r>
          <w:r>
            <w:t>1</w:t>
          </w:r>
          <w:r>
            <w:fldChar w:fldCharType="end"/>
          </w:r>
          <w:r>
            <w:fldChar w:fldCharType="end"/>
          </w:r>
        </w:p>
        <w:p w14:paraId="6D6375C1">
          <w:pPr>
            <w:pStyle w:val="7"/>
            <w:tabs>
              <w:tab w:val="left" w:pos="1260"/>
            </w:tabs>
            <w:spacing w:line="360" w:lineRule="auto"/>
            <w:ind w:left="800"/>
            <w:rPr>
              <w:rFonts w:asciiTheme="minorHAnsi" w:hAnsiTheme="minorHAnsi" w:eastAsiaTheme="minorEastAsia" w:cstheme="minorBidi"/>
              <w:kern w:val="2"/>
              <w:sz w:val="21"/>
              <w:szCs w:val="22"/>
            </w:rPr>
          </w:pPr>
          <w:r>
            <w:fldChar w:fldCharType="begin"/>
          </w:r>
          <w:r>
            <w:instrText xml:space="preserve"> HYPERLINK \l "_Toc230153152" </w:instrText>
          </w:r>
          <w:r>
            <w:fldChar w:fldCharType="separate"/>
          </w:r>
          <w:r>
            <w:rPr>
              <w:rStyle w:val="19"/>
              <w:rFonts w:ascii="宋体" w:hAnsi="宋体"/>
              <w:b/>
              <w:bCs/>
            </w:rPr>
            <w:t>6</w:t>
          </w:r>
          <w:r>
            <w:rPr>
              <w:rFonts w:asciiTheme="minorHAnsi" w:hAnsiTheme="minorHAnsi" w:eastAsiaTheme="minorEastAsia" w:cstheme="minorBidi"/>
              <w:kern w:val="2"/>
              <w:sz w:val="21"/>
              <w:szCs w:val="22"/>
            </w:rPr>
            <w:tab/>
          </w:r>
          <w:r>
            <w:rPr>
              <w:rStyle w:val="19"/>
              <w:rFonts w:ascii="宋体" w:hAnsi="宋体"/>
              <w:b/>
              <w:bCs/>
            </w:rPr>
            <w:t>生产档案</w:t>
          </w:r>
          <w:r>
            <w:tab/>
          </w:r>
          <w:r>
            <w:fldChar w:fldCharType="begin"/>
          </w:r>
          <w:r>
            <w:instrText xml:space="preserve"> PAGEREF _Toc230153152 \h </w:instrText>
          </w:r>
          <w:r>
            <w:fldChar w:fldCharType="separate"/>
          </w:r>
          <w:r>
            <w:t>3</w:t>
          </w:r>
          <w:r>
            <w:fldChar w:fldCharType="end"/>
          </w:r>
          <w:r>
            <w:fldChar w:fldCharType="end"/>
          </w:r>
        </w:p>
        <w:p w14:paraId="433B7BFB">
          <w:pPr>
            <w:spacing w:before="120" w:beforeLines="50" w:after="240" w:afterLines="100" w:line="360" w:lineRule="auto"/>
            <w:rPr>
              <w:rFonts w:ascii="宋体" w:hAnsi="宋体"/>
              <w:sz w:val="24"/>
              <w:szCs w:val="24"/>
            </w:rPr>
          </w:pPr>
          <w:r>
            <w:rPr>
              <w:rFonts w:ascii="宋体" w:hAnsi="宋体"/>
              <w:b/>
              <w:bCs/>
              <w:sz w:val="24"/>
              <w:szCs w:val="24"/>
              <w:lang w:val="zh-CN"/>
            </w:rPr>
            <w:fldChar w:fldCharType="end"/>
          </w:r>
        </w:p>
      </w:sdtContent>
    </w:sdt>
    <w:p w14:paraId="0B1D5663">
      <w:pPr>
        <w:tabs>
          <w:tab w:val="right" w:leader="dot" w:pos="8364"/>
        </w:tabs>
        <w:spacing w:before="120" w:after="120" w:line="360" w:lineRule="auto"/>
        <w:ind w:left="386" w:leftChars="193" w:right="600" w:rightChars="300" w:firstLine="656" w:firstLineChars="205"/>
        <w:rPr>
          <w:rFonts w:ascii="黑体" w:eastAsia="黑体"/>
          <w:sz w:val="32"/>
        </w:rPr>
      </w:pPr>
    </w:p>
    <w:p w14:paraId="7F87C411">
      <w:pPr>
        <w:spacing w:before="120" w:after="120"/>
        <w:ind w:left="425" w:right="660"/>
        <w:sectPr>
          <w:pgSz w:w="11910" w:h="16840"/>
          <w:pgMar w:top="1440" w:right="1080" w:bottom="1440" w:left="1080" w:header="1134" w:footer="850" w:gutter="0"/>
          <w:pgNumType w:fmt="upperRoman" w:start="1"/>
          <w:cols w:space="720" w:num="1"/>
          <w:docGrid w:linePitch="299" w:charSpace="0"/>
        </w:sectPr>
      </w:pPr>
    </w:p>
    <w:p w14:paraId="1679B18C">
      <w:pPr>
        <w:pStyle w:val="3"/>
        <w:spacing w:before="960" w:beforeLines="400" w:after="960" w:afterLines="400"/>
        <w:ind w:left="128" w:leftChars="64"/>
        <w:rPr>
          <w:rFonts w:ascii="宋体" w:hAnsi="宋体" w:eastAsia="宋体"/>
          <w:b/>
          <w:bCs/>
        </w:rPr>
      </w:pPr>
      <w:bookmarkStart w:id="1" w:name="_bookmark0"/>
      <w:bookmarkEnd w:id="1"/>
      <w:bookmarkStart w:id="2" w:name="书签"/>
      <w:bookmarkEnd w:id="2"/>
      <w:bookmarkStart w:id="3" w:name="_Toc230153146"/>
      <w:r>
        <w:rPr>
          <w:rFonts w:hint="eastAsia" w:ascii="宋体" w:hAnsi="宋体" w:eastAsia="宋体"/>
          <w:b/>
          <w:bCs/>
        </w:rPr>
        <w:t>前言</w:t>
      </w:r>
      <w:bookmarkEnd w:id="3"/>
    </w:p>
    <w:p w14:paraId="00B138AA">
      <w:pPr>
        <w:spacing w:before="120" w:after="120"/>
        <w:ind w:left="425" w:right="-128" w:rightChars="-64" w:firstLine="424" w:firstLineChars="177"/>
        <w:rPr>
          <w:sz w:val="24"/>
          <w:szCs w:val="24"/>
        </w:rPr>
      </w:pPr>
      <w:r>
        <w:rPr>
          <w:rFonts w:hint="eastAsia"/>
          <w:sz w:val="24"/>
          <w:szCs w:val="24"/>
        </w:rPr>
        <w:t>本标准按GB/T 20001.10-2014《标准编写规则 第10部分：产品标准》和GB/T 1.1-2020《标准化工作导则 第1部分：标准化文件的结构和起草规则》给出的规则起草。</w:t>
      </w:r>
    </w:p>
    <w:p w14:paraId="29D78DDA">
      <w:pPr>
        <w:spacing w:before="120" w:after="120"/>
        <w:ind w:left="425" w:right="-128" w:rightChars="-64" w:firstLine="424" w:firstLineChars="177"/>
        <w:rPr>
          <w:sz w:val="24"/>
          <w:szCs w:val="24"/>
        </w:rPr>
      </w:pPr>
      <w:r>
        <w:rPr>
          <w:rFonts w:hint="eastAsia"/>
          <w:sz w:val="24"/>
          <w:szCs w:val="24"/>
        </w:rPr>
        <w:t>本标准由中国食品土畜进出口商会提出，委托商会昆虫蛋白产业分会制定。</w:t>
      </w:r>
    </w:p>
    <w:p w14:paraId="6ACF11E9">
      <w:pPr>
        <w:spacing w:before="120" w:after="120"/>
        <w:ind w:left="425" w:right="-128" w:rightChars="-64" w:firstLine="424" w:firstLineChars="177"/>
        <w:rPr>
          <w:sz w:val="24"/>
          <w:szCs w:val="24"/>
        </w:rPr>
      </w:pPr>
      <w:r>
        <w:rPr>
          <w:rFonts w:hint="eastAsia"/>
          <w:sz w:val="24"/>
          <w:szCs w:val="24"/>
        </w:rPr>
        <w:t>本标准主要起草单位：山西鼎欣生物科技有限公司、山东顺星辉生物科技有限公司、山西省乡宁县昱德新农业发展有限公司、中鲁盛源集团有限公司、广东泽和诚生物科有限公司、山西农业大学、山东农业工程学院、东北农业大学。</w:t>
      </w:r>
    </w:p>
    <w:p w14:paraId="7EDB068B">
      <w:pPr>
        <w:spacing w:before="120" w:after="120"/>
        <w:ind w:left="425" w:right="-128" w:rightChars="-64" w:firstLine="424" w:firstLineChars="177"/>
        <w:rPr>
          <w:sz w:val="24"/>
          <w:szCs w:val="24"/>
        </w:rPr>
      </w:pPr>
      <w:r>
        <w:rPr>
          <w:rFonts w:hint="eastAsia"/>
          <w:sz w:val="24"/>
          <w:szCs w:val="24"/>
        </w:rPr>
        <w:t>本标准主要起草人：张天宝、范固然、许宾宾、林勇、迟晓君、王永纲、张艺达、刘骞、李超、李端端、尉磊、武锦霞、任芸隆、刘博康、王鹏。</w:t>
      </w:r>
    </w:p>
    <w:p w14:paraId="44F5EBD7">
      <w:pPr>
        <w:spacing w:before="120" w:after="120"/>
        <w:ind w:left="425" w:right="-128" w:rightChars="-64" w:firstLine="424" w:firstLineChars="177"/>
        <w:rPr>
          <w:sz w:val="24"/>
          <w:szCs w:val="24"/>
        </w:rPr>
      </w:pPr>
      <w:r>
        <w:rPr>
          <w:rFonts w:hint="eastAsia"/>
          <w:sz w:val="24"/>
          <w:szCs w:val="24"/>
        </w:rPr>
        <w:t>本标准由中国食品土畜进出口商会解释。</w:t>
      </w:r>
    </w:p>
    <w:p w14:paraId="29656016">
      <w:pPr>
        <w:spacing w:before="120" w:after="120"/>
        <w:ind w:left="425" w:right="-128" w:rightChars="-64" w:firstLine="424" w:firstLineChars="177"/>
        <w:rPr>
          <w:sz w:val="24"/>
          <w:szCs w:val="24"/>
        </w:rPr>
      </w:pPr>
      <w:r>
        <w:rPr>
          <w:rFonts w:hint="eastAsia"/>
          <w:sz w:val="24"/>
          <w:szCs w:val="24"/>
        </w:rPr>
        <w:t>本标准由中国食品土畜进出口商会</w:t>
      </w:r>
      <w:r>
        <w:rPr>
          <w:sz w:val="24"/>
          <w:szCs w:val="24"/>
        </w:rPr>
        <w:t xml:space="preserve">   </w:t>
      </w:r>
      <w:r>
        <w:rPr>
          <w:rFonts w:hint="eastAsia"/>
          <w:sz w:val="24"/>
          <w:szCs w:val="24"/>
        </w:rPr>
        <w:t xml:space="preserve">年 </w:t>
      </w:r>
      <w:r>
        <w:rPr>
          <w:sz w:val="24"/>
          <w:szCs w:val="24"/>
        </w:rPr>
        <w:t xml:space="preserve">  </w:t>
      </w:r>
      <w:r>
        <w:rPr>
          <w:rFonts w:hint="eastAsia"/>
          <w:sz w:val="24"/>
          <w:szCs w:val="24"/>
        </w:rPr>
        <w:t xml:space="preserve">月 </w:t>
      </w:r>
      <w:r>
        <w:rPr>
          <w:sz w:val="24"/>
          <w:szCs w:val="24"/>
        </w:rPr>
        <w:t xml:space="preserve">  </w:t>
      </w:r>
      <w:r>
        <w:rPr>
          <w:rFonts w:hint="eastAsia"/>
          <w:sz w:val="24"/>
          <w:szCs w:val="24"/>
        </w:rPr>
        <w:t>日批准。</w:t>
      </w:r>
    </w:p>
    <w:p w14:paraId="7FA3678E">
      <w:pPr>
        <w:spacing w:before="120" w:after="120"/>
        <w:ind w:left="425" w:right="-128" w:rightChars="-64" w:firstLine="424" w:firstLineChars="177"/>
        <w:rPr>
          <w:sz w:val="24"/>
        </w:rPr>
      </w:pPr>
      <w:r>
        <w:rPr>
          <w:rFonts w:hint="eastAsia"/>
          <w:sz w:val="24"/>
          <w:szCs w:val="24"/>
        </w:rPr>
        <w:t>本标准自</w:t>
      </w:r>
      <w:r>
        <w:rPr>
          <w:sz w:val="24"/>
          <w:szCs w:val="24"/>
        </w:rPr>
        <w:t xml:space="preserve">  </w:t>
      </w:r>
      <w:r>
        <w:rPr>
          <w:rFonts w:hint="eastAsia"/>
          <w:sz w:val="24"/>
          <w:szCs w:val="24"/>
        </w:rPr>
        <w:t>年</w:t>
      </w:r>
      <w:r>
        <w:rPr>
          <w:sz w:val="24"/>
          <w:szCs w:val="24"/>
        </w:rPr>
        <w:t xml:space="preserve"> </w:t>
      </w:r>
      <w:r>
        <w:rPr>
          <w:rFonts w:hint="eastAsia"/>
          <w:sz w:val="24"/>
          <w:szCs w:val="24"/>
        </w:rPr>
        <w:t>月</w:t>
      </w:r>
      <w:r>
        <w:rPr>
          <w:sz w:val="24"/>
          <w:szCs w:val="24"/>
        </w:rPr>
        <w:t xml:space="preserve">  </w:t>
      </w:r>
      <w:r>
        <w:rPr>
          <w:rFonts w:hint="eastAsia"/>
          <w:sz w:val="24"/>
          <w:szCs w:val="24"/>
        </w:rPr>
        <w:t>日起实施。</w:t>
      </w:r>
      <w:r>
        <w:rPr>
          <w:sz w:val="24"/>
        </w:rPr>
        <w:br w:type="page"/>
      </w:r>
    </w:p>
    <w:p w14:paraId="3AC8AE5E">
      <w:pPr>
        <w:spacing w:before="120" w:after="120" w:line="360" w:lineRule="auto"/>
        <w:ind w:left="425" w:right="660"/>
        <w:jc w:val="both"/>
        <w:rPr>
          <w:sz w:val="24"/>
        </w:rPr>
        <w:sectPr>
          <w:pgSz w:w="11910" w:h="16840"/>
          <w:pgMar w:top="1440" w:right="1080" w:bottom="1440" w:left="1080" w:header="1134" w:footer="850" w:gutter="0"/>
          <w:pgNumType w:fmt="upperRoman"/>
          <w:cols w:space="720" w:num="1"/>
          <w:docGrid w:linePitch="299" w:charSpace="0"/>
        </w:sectPr>
      </w:pPr>
    </w:p>
    <w:p w14:paraId="14C85A8A">
      <w:pPr>
        <w:spacing w:before="240" w:beforeLines="100" w:after="240" w:afterLines="100"/>
        <w:ind w:left="425" w:right="-358" w:rightChars="-179"/>
        <w:jc w:val="center"/>
        <w:rPr>
          <w:sz w:val="32"/>
          <w:szCs w:val="32"/>
        </w:rPr>
      </w:pPr>
      <w:r>
        <w:rPr>
          <w:rFonts w:hint="eastAsia"/>
          <w:b/>
          <w:bCs/>
          <w:sz w:val="32"/>
          <w:szCs w:val="32"/>
        </w:rPr>
        <w:t>食用黄粉虫干生产技术标准</w:t>
      </w:r>
    </w:p>
    <w:p w14:paraId="3FD628AF">
      <w:pPr>
        <w:pStyle w:val="4"/>
        <w:numPr>
          <w:ilvl w:val="0"/>
          <w:numId w:val="1"/>
        </w:numPr>
        <w:spacing w:before="120" w:beforeLines="50" w:after="120" w:afterLines="50" w:line="360" w:lineRule="auto"/>
        <w:ind w:left="0" w:firstLine="0"/>
        <w:jc w:val="left"/>
        <w:rPr>
          <w:rFonts w:ascii="宋体" w:hAnsi="宋体" w:eastAsia="宋体"/>
          <w:b/>
          <w:bCs/>
        </w:rPr>
      </w:pPr>
      <w:bookmarkStart w:id="4" w:name="_Toc230153147"/>
      <w:r>
        <w:rPr>
          <w:rFonts w:hint="eastAsia" w:ascii="宋体" w:hAnsi="宋体" w:eastAsia="宋体"/>
          <w:b/>
          <w:bCs/>
        </w:rPr>
        <w:t>范围</w:t>
      </w:r>
      <w:bookmarkEnd w:id="4"/>
    </w:p>
    <w:p w14:paraId="2F5FC13C">
      <w:pPr>
        <w:spacing w:before="120" w:after="120" w:line="360" w:lineRule="auto"/>
        <w:ind w:right="-128" w:rightChars="-64" w:firstLine="480" w:firstLineChars="200"/>
        <w:rPr>
          <w:sz w:val="24"/>
          <w:szCs w:val="24"/>
        </w:rPr>
      </w:pPr>
      <w:r>
        <w:rPr>
          <w:rFonts w:hint="eastAsia"/>
          <w:sz w:val="24"/>
          <w:szCs w:val="24"/>
        </w:rPr>
        <w:t>本标准规定了食用黄粉虫干的术语和定义、原料要求、加工工艺、质量要求及生产档案。</w:t>
      </w:r>
    </w:p>
    <w:p w14:paraId="59AE0D95">
      <w:pPr>
        <w:spacing w:before="120" w:after="120" w:line="360" w:lineRule="auto"/>
        <w:ind w:right="-128" w:rightChars="-64" w:firstLine="480" w:firstLineChars="200"/>
        <w:rPr>
          <w:sz w:val="24"/>
          <w:szCs w:val="24"/>
        </w:rPr>
      </w:pPr>
      <w:r>
        <w:rPr>
          <w:rFonts w:hint="eastAsia"/>
          <w:sz w:val="24"/>
          <w:szCs w:val="24"/>
        </w:rPr>
        <w:t>本标准适用于食用黄粉虫干的生产。</w:t>
      </w:r>
    </w:p>
    <w:p w14:paraId="054BE8D8">
      <w:pPr>
        <w:pStyle w:val="4"/>
        <w:numPr>
          <w:ilvl w:val="0"/>
          <w:numId w:val="1"/>
        </w:numPr>
        <w:spacing w:before="120" w:beforeLines="50" w:after="120" w:afterLines="50" w:line="360" w:lineRule="auto"/>
        <w:ind w:left="0" w:firstLine="0"/>
        <w:jc w:val="left"/>
        <w:rPr>
          <w:rFonts w:ascii="宋体" w:hAnsi="宋体" w:eastAsia="宋体"/>
          <w:b/>
          <w:bCs/>
        </w:rPr>
      </w:pPr>
      <w:bookmarkStart w:id="5" w:name="规范性引用文件"/>
      <w:bookmarkEnd w:id="5"/>
      <w:bookmarkStart w:id="6" w:name="_Toc230153148"/>
      <w:bookmarkStart w:id="7" w:name="OLE_LINK1"/>
      <w:r>
        <w:rPr>
          <w:rFonts w:hint="eastAsia" w:ascii="宋体" w:hAnsi="宋体" w:eastAsia="宋体"/>
          <w:b/>
          <w:bCs/>
        </w:rPr>
        <w:t>规范性引用文件</w:t>
      </w:r>
      <w:bookmarkEnd w:id="6"/>
      <w:bookmarkStart w:id="8" w:name="_Hlk43645698"/>
    </w:p>
    <w:bookmarkEnd w:id="7"/>
    <w:bookmarkEnd w:id="8"/>
    <w:p w14:paraId="18EB3BE8">
      <w:pPr>
        <w:spacing w:before="120" w:after="120" w:line="360" w:lineRule="auto"/>
        <w:ind w:right="-128" w:rightChars="-64" w:firstLine="480" w:firstLineChars="200"/>
        <w:rPr>
          <w:sz w:val="24"/>
          <w:szCs w:val="24"/>
        </w:rPr>
      </w:pPr>
      <w:bookmarkStart w:id="9" w:name="_Hlk43645707"/>
      <w:r>
        <w:rPr>
          <w:rFonts w:hint="eastAsia"/>
          <w:sz w:val="24"/>
          <w:szCs w:val="24"/>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37ED3208">
      <w:pPr>
        <w:spacing w:before="120" w:after="120" w:line="360" w:lineRule="auto"/>
        <w:ind w:right="-128" w:rightChars="-64" w:firstLine="480" w:firstLineChars="200"/>
        <w:rPr>
          <w:sz w:val="24"/>
          <w:szCs w:val="24"/>
        </w:rPr>
      </w:pPr>
      <w:r>
        <w:rPr>
          <w:rFonts w:hint="eastAsia"/>
          <w:sz w:val="24"/>
          <w:szCs w:val="24"/>
        </w:rPr>
        <w:t>GB 5009.3  食品安全国家标准 食品中水分的测定</w:t>
      </w:r>
    </w:p>
    <w:p w14:paraId="644C3BA0">
      <w:pPr>
        <w:spacing w:before="120" w:after="120" w:line="360" w:lineRule="auto"/>
        <w:ind w:right="-128" w:rightChars="-64" w:firstLine="480" w:firstLineChars="200"/>
        <w:rPr>
          <w:sz w:val="24"/>
          <w:szCs w:val="24"/>
        </w:rPr>
      </w:pPr>
      <w:r>
        <w:rPr>
          <w:rFonts w:hint="eastAsia"/>
          <w:sz w:val="24"/>
          <w:szCs w:val="24"/>
        </w:rPr>
        <w:t>NY 5027  无公害食品 畜禽饮用水水质</w:t>
      </w:r>
    </w:p>
    <w:bookmarkEnd w:id="9"/>
    <w:p w14:paraId="6B9FC13C">
      <w:pPr>
        <w:pStyle w:val="4"/>
        <w:numPr>
          <w:ilvl w:val="0"/>
          <w:numId w:val="1"/>
        </w:numPr>
        <w:spacing w:before="120" w:beforeLines="50" w:after="120" w:afterLines="50" w:line="360" w:lineRule="auto"/>
        <w:ind w:left="0" w:firstLine="0"/>
        <w:jc w:val="left"/>
        <w:rPr>
          <w:rFonts w:ascii="宋体" w:hAnsi="宋体" w:eastAsia="宋体"/>
          <w:b/>
          <w:bCs/>
        </w:rPr>
      </w:pPr>
      <w:bookmarkStart w:id="10" w:name="术语和定义"/>
      <w:bookmarkEnd w:id="10"/>
      <w:bookmarkStart w:id="11" w:name="_Toc230153149"/>
      <w:r>
        <w:rPr>
          <w:rFonts w:ascii="宋体" w:hAnsi="宋体" w:eastAsia="宋体"/>
          <w:b/>
          <w:bCs/>
        </w:rPr>
        <w:t>术语和定义</w:t>
      </w:r>
      <w:bookmarkEnd w:id="11"/>
    </w:p>
    <w:p w14:paraId="48C24979">
      <w:pPr>
        <w:spacing w:before="120" w:after="120" w:line="360" w:lineRule="auto"/>
        <w:ind w:right="-128" w:rightChars="-64" w:firstLine="480" w:firstLineChars="200"/>
        <w:rPr>
          <w:sz w:val="24"/>
          <w:szCs w:val="24"/>
        </w:rPr>
      </w:pPr>
      <w:bookmarkStart w:id="12" w:name="_Hlk43646096"/>
      <w:r>
        <w:rPr>
          <w:rFonts w:hint="eastAsia"/>
          <w:sz w:val="24"/>
          <w:szCs w:val="24"/>
        </w:rPr>
        <w:t>下列术语和定义适用于本标准。</w:t>
      </w:r>
    </w:p>
    <w:p w14:paraId="5452C538">
      <w:pPr>
        <w:pStyle w:val="22"/>
        <w:numPr>
          <w:ilvl w:val="1"/>
          <w:numId w:val="1"/>
        </w:numPr>
        <w:spacing w:before="120" w:after="120" w:line="360" w:lineRule="auto"/>
        <w:ind w:left="-500" w:leftChars="-250" w:right="660" w:firstLine="567"/>
        <w:jc w:val="both"/>
        <w:rPr>
          <w:sz w:val="24"/>
        </w:rPr>
      </w:pPr>
      <w:r>
        <w:rPr>
          <w:rFonts w:hint="eastAsia"/>
          <w:sz w:val="24"/>
        </w:rPr>
        <w:t>食用黄粉虫干</w:t>
      </w:r>
    </w:p>
    <w:p w14:paraId="0664D422">
      <w:pPr>
        <w:spacing w:before="120" w:after="120" w:line="360" w:lineRule="auto"/>
        <w:ind w:right="-128" w:rightChars="-64" w:firstLine="480" w:firstLineChars="200"/>
        <w:rPr>
          <w:sz w:val="24"/>
          <w:szCs w:val="24"/>
        </w:rPr>
      </w:pPr>
      <w:r>
        <w:rPr>
          <w:rFonts w:hint="eastAsia"/>
          <w:sz w:val="24"/>
          <w:szCs w:val="24"/>
        </w:rPr>
        <w:t>以食用黄粉虫幼虫为原料，经禁食、除杂、清洗、微波烘干和灭菌获得的产品。</w:t>
      </w:r>
    </w:p>
    <w:bookmarkEnd w:id="12"/>
    <w:p w14:paraId="7D93F40C">
      <w:pPr>
        <w:pStyle w:val="4"/>
        <w:numPr>
          <w:ilvl w:val="0"/>
          <w:numId w:val="1"/>
        </w:numPr>
        <w:spacing w:before="120" w:beforeLines="50" w:after="120" w:afterLines="50" w:line="360" w:lineRule="auto"/>
        <w:ind w:left="0" w:firstLine="0"/>
        <w:jc w:val="left"/>
        <w:rPr>
          <w:rFonts w:ascii="宋体" w:hAnsi="宋体" w:eastAsia="宋体"/>
          <w:b/>
          <w:bCs/>
        </w:rPr>
      </w:pPr>
      <w:bookmarkStart w:id="13" w:name="_Toc230153150"/>
      <w:bookmarkStart w:id="14" w:name="_Hlk229811561"/>
      <w:bookmarkStart w:id="15" w:name="质量指标"/>
      <w:r>
        <w:rPr>
          <w:rFonts w:hint="eastAsia" w:ascii="宋体" w:hAnsi="宋体" w:eastAsia="宋体"/>
          <w:b/>
          <w:bCs/>
        </w:rPr>
        <w:t>原料要求</w:t>
      </w:r>
      <w:bookmarkEnd w:id="13"/>
    </w:p>
    <w:bookmarkEnd w:id="14"/>
    <w:p w14:paraId="1A766071">
      <w:pPr>
        <w:spacing w:before="120" w:after="120" w:line="360" w:lineRule="auto"/>
        <w:ind w:right="-128" w:rightChars="-64" w:firstLine="480" w:firstLineChars="200"/>
        <w:rPr>
          <w:sz w:val="24"/>
          <w:szCs w:val="24"/>
        </w:rPr>
      </w:pPr>
      <w:r>
        <w:rPr>
          <w:rFonts w:hint="eastAsia"/>
          <w:sz w:val="24"/>
          <w:szCs w:val="24"/>
        </w:rPr>
        <w:t>采用麦麸、胡萝 卜为饲料原料饲养所得的食用黄粉虫幼虫，大小均匀，虫体长度均不小于2cm，宽度均不小于0.2cm。</w:t>
      </w:r>
    </w:p>
    <w:p w14:paraId="1CEDAFA2">
      <w:pPr>
        <w:pStyle w:val="4"/>
        <w:numPr>
          <w:ilvl w:val="0"/>
          <w:numId w:val="1"/>
        </w:numPr>
        <w:spacing w:before="120" w:beforeLines="50" w:after="120" w:afterLines="50" w:line="360" w:lineRule="auto"/>
        <w:ind w:left="0" w:firstLine="0"/>
        <w:jc w:val="left"/>
        <w:rPr>
          <w:rFonts w:ascii="宋体" w:hAnsi="宋体" w:eastAsia="宋体"/>
          <w:b/>
          <w:bCs/>
        </w:rPr>
      </w:pPr>
      <w:bookmarkStart w:id="16" w:name="_Toc230153151"/>
      <w:r>
        <w:rPr>
          <w:rFonts w:hint="eastAsia" w:ascii="宋体" w:hAnsi="宋体" w:eastAsia="宋体"/>
          <w:b/>
          <w:bCs/>
        </w:rPr>
        <w:t>加工工艺</w:t>
      </w:r>
      <w:bookmarkEnd w:id="16"/>
    </w:p>
    <w:p w14:paraId="10E2AADB">
      <w:pPr>
        <w:pStyle w:val="22"/>
        <w:numPr>
          <w:ilvl w:val="1"/>
          <w:numId w:val="1"/>
        </w:numPr>
        <w:spacing w:before="120" w:after="120" w:line="360" w:lineRule="auto"/>
        <w:ind w:left="-500" w:leftChars="-250" w:right="660" w:firstLine="567"/>
        <w:jc w:val="both"/>
        <w:rPr>
          <w:sz w:val="24"/>
        </w:rPr>
      </w:pPr>
      <w:r>
        <w:rPr>
          <w:rFonts w:hint="eastAsia"/>
          <w:sz w:val="24"/>
        </w:rPr>
        <w:t>禁食</w:t>
      </w:r>
    </w:p>
    <w:p w14:paraId="62C160BC">
      <w:pPr>
        <w:spacing w:before="120" w:after="120" w:line="360" w:lineRule="auto"/>
        <w:ind w:right="-128" w:rightChars="-64" w:firstLine="480" w:firstLineChars="200"/>
        <w:rPr>
          <w:sz w:val="24"/>
          <w:szCs w:val="24"/>
        </w:rPr>
      </w:pPr>
      <w:r>
        <w:rPr>
          <w:rFonts w:hint="eastAsia"/>
          <w:sz w:val="24"/>
          <w:szCs w:val="24"/>
        </w:rPr>
        <w:t>将待加工的幼虫禁食2天。</w:t>
      </w:r>
    </w:p>
    <w:p w14:paraId="2FA8E995">
      <w:pPr>
        <w:pStyle w:val="22"/>
        <w:numPr>
          <w:ilvl w:val="1"/>
          <w:numId w:val="1"/>
        </w:numPr>
        <w:spacing w:before="120" w:after="120" w:line="360" w:lineRule="auto"/>
        <w:ind w:left="-500" w:leftChars="-250" w:right="660" w:firstLine="567"/>
        <w:jc w:val="both"/>
        <w:rPr>
          <w:sz w:val="24"/>
        </w:rPr>
      </w:pPr>
      <w:r>
        <w:rPr>
          <w:rFonts w:hint="eastAsia"/>
          <w:sz w:val="24"/>
        </w:rPr>
        <w:t>除杂</w:t>
      </w:r>
    </w:p>
    <w:p w14:paraId="4A6E7904">
      <w:pPr>
        <w:pStyle w:val="22"/>
        <w:numPr>
          <w:ilvl w:val="2"/>
          <w:numId w:val="1"/>
        </w:numPr>
        <w:spacing w:before="120" w:after="120" w:line="360" w:lineRule="auto"/>
        <w:ind w:right="-128" w:rightChars="-64"/>
        <w:rPr>
          <w:sz w:val="24"/>
          <w:szCs w:val="24"/>
        </w:rPr>
      </w:pPr>
      <w:bookmarkStart w:id="17" w:name="_Hlk229811765"/>
      <w:r>
        <w:rPr>
          <w:rFonts w:hint="eastAsia"/>
          <w:sz w:val="24"/>
          <w:szCs w:val="24"/>
        </w:rPr>
        <w:t>去除虫沙</w:t>
      </w:r>
    </w:p>
    <w:p w14:paraId="4E9B621F">
      <w:pPr>
        <w:spacing w:before="120" w:after="120" w:line="360" w:lineRule="auto"/>
        <w:ind w:right="-128" w:rightChars="-64" w:firstLine="480" w:firstLineChars="200"/>
        <w:rPr>
          <w:sz w:val="24"/>
          <w:szCs w:val="24"/>
        </w:rPr>
      </w:pPr>
      <w:r>
        <w:rPr>
          <w:rFonts w:hint="eastAsia"/>
          <w:sz w:val="24"/>
          <w:szCs w:val="24"/>
        </w:rPr>
        <w:t>过 20 目筛筛去所有虫沙。</w:t>
      </w:r>
    </w:p>
    <w:p w14:paraId="2C8457F8">
      <w:pPr>
        <w:pStyle w:val="22"/>
        <w:numPr>
          <w:ilvl w:val="2"/>
          <w:numId w:val="1"/>
        </w:numPr>
        <w:spacing w:before="120" w:after="120" w:line="360" w:lineRule="auto"/>
        <w:ind w:right="-128" w:rightChars="-64"/>
        <w:rPr>
          <w:sz w:val="24"/>
          <w:szCs w:val="24"/>
        </w:rPr>
      </w:pPr>
      <w:r>
        <w:rPr>
          <w:rFonts w:hint="eastAsia"/>
          <w:sz w:val="24"/>
          <w:szCs w:val="24"/>
        </w:rPr>
        <w:t>去除虫蜕</w:t>
      </w:r>
    </w:p>
    <w:p w14:paraId="67AEEFB6">
      <w:pPr>
        <w:spacing w:before="120" w:after="120" w:line="360" w:lineRule="auto"/>
        <w:ind w:right="-128" w:rightChars="-64" w:firstLine="480" w:firstLineChars="200"/>
        <w:rPr>
          <w:sz w:val="24"/>
          <w:szCs w:val="24"/>
        </w:rPr>
      </w:pPr>
      <w:r>
        <w:rPr>
          <w:rFonts w:hint="eastAsia"/>
          <w:sz w:val="24"/>
          <w:szCs w:val="24"/>
        </w:rPr>
        <w:t>利用吸尘器或风选去除所有的虫蜕。</w:t>
      </w:r>
    </w:p>
    <w:p w14:paraId="1D1F60DB">
      <w:pPr>
        <w:pStyle w:val="22"/>
        <w:numPr>
          <w:ilvl w:val="2"/>
          <w:numId w:val="1"/>
        </w:numPr>
        <w:spacing w:before="120" w:after="120" w:line="360" w:lineRule="auto"/>
        <w:ind w:right="-128" w:rightChars="-64"/>
        <w:rPr>
          <w:sz w:val="24"/>
          <w:szCs w:val="24"/>
        </w:rPr>
      </w:pPr>
      <w:r>
        <w:rPr>
          <w:rFonts w:hint="eastAsia"/>
          <w:sz w:val="24"/>
          <w:szCs w:val="24"/>
        </w:rPr>
        <w:t>去除死虫</w:t>
      </w:r>
    </w:p>
    <w:p w14:paraId="7F1D6D55">
      <w:pPr>
        <w:spacing w:before="120" w:after="120" w:line="360" w:lineRule="auto"/>
        <w:ind w:right="-128" w:rightChars="-64" w:firstLine="480" w:firstLineChars="200"/>
        <w:rPr>
          <w:sz w:val="24"/>
          <w:szCs w:val="24"/>
        </w:rPr>
      </w:pPr>
      <w:r>
        <w:rPr>
          <w:rFonts w:hint="eastAsia"/>
          <w:sz w:val="24"/>
          <w:szCs w:val="24"/>
        </w:rPr>
        <w:t>分拣去除原料中所有的死虫，特别是变黑的死虫。</w:t>
      </w:r>
    </w:p>
    <w:p w14:paraId="5BB878FD">
      <w:pPr>
        <w:pStyle w:val="22"/>
        <w:numPr>
          <w:ilvl w:val="2"/>
          <w:numId w:val="1"/>
        </w:numPr>
        <w:spacing w:before="120" w:after="120" w:line="360" w:lineRule="auto"/>
        <w:ind w:right="-128" w:rightChars="-64"/>
        <w:rPr>
          <w:sz w:val="24"/>
          <w:szCs w:val="24"/>
        </w:rPr>
      </w:pPr>
      <w:r>
        <w:rPr>
          <w:rFonts w:hint="eastAsia"/>
          <w:sz w:val="24"/>
          <w:szCs w:val="24"/>
        </w:rPr>
        <w:t>去除蛹</w:t>
      </w:r>
    </w:p>
    <w:p w14:paraId="1DEEF6AE">
      <w:pPr>
        <w:spacing w:before="120" w:after="120" w:line="360" w:lineRule="auto"/>
        <w:ind w:right="-128" w:rightChars="-64" w:firstLine="480" w:firstLineChars="200"/>
        <w:rPr>
          <w:sz w:val="24"/>
          <w:szCs w:val="24"/>
        </w:rPr>
      </w:pPr>
      <w:r>
        <w:rPr>
          <w:rFonts w:hint="eastAsia"/>
          <w:sz w:val="24"/>
          <w:szCs w:val="24"/>
        </w:rPr>
        <w:t>分拣去除原料中大部分的蛹，蛹的残留率小于2%。</w:t>
      </w:r>
    </w:p>
    <w:p w14:paraId="76F7DD3A">
      <w:pPr>
        <w:pStyle w:val="22"/>
        <w:numPr>
          <w:ilvl w:val="2"/>
          <w:numId w:val="1"/>
        </w:numPr>
        <w:spacing w:before="120" w:after="120" w:line="360" w:lineRule="auto"/>
        <w:ind w:right="-128" w:rightChars="-64"/>
        <w:rPr>
          <w:sz w:val="24"/>
          <w:szCs w:val="24"/>
        </w:rPr>
      </w:pPr>
      <w:r>
        <w:rPr>
          <w:rFonts w:hint="eastAsia"/>
          <w:sz w:val="24"/>
          <w:szCs w:val="24"/>
        </w:rPr>
        <w:t>去除成虫</w:t>
      </w:r>
    </w:p>
    <w:p w14:paraId="1CE70EB6">
      <w:pPr>
        <w:spacing w:before="120" w:after="120" w:line="360" w:lineRule="auto"/>
        <w:ind w:right="-128" w:rightChars="-64" w:firstLine="480" w:firstLineChars="200"/>
        <w:rPr>
          <w:sz w:val="24"/>
          <w:szCs w:val="24"/>
        </w:rPr>
      </w:pPr>
      <w:r>
        <w:rPr>
          <w:rFonts w:hint="eastAsia"/>
          <w:sz w:val="24"/>
          <w:szCs w:val="24"/>
        </w:rPr>
        <w:t>分拣去除原料中所有的成虫。</w:t>
      </w:r>
    </w:p>
    <w:p w14:paraId="5B31B484">
      <w:pPr>
        <w:pStyle w:val="22"/>
        <w:numPr>
          <w:ilvl w:val="2"/>
          <w:numId w:val="1"/>
        </w:numPr>
        <w:spacing w:before="120" w:after="120" w:line="360" w:lineRule="auto"/>
        <w:ind w:right="-128" w:rightChars="-64"/>
        <w:rPr>
          <w:sz w:val="24"/>
          <w:szCs w:val="24"/>
        </w:rPr>
      </w:pPr>
      <w:r>
        <w:rPr>
          <w:rFonts w:hint="eastAsia"/>
          <w:sz w:val="24"/>
          <w:szCs w:val="24"/>
        </w:rPr>
        <w:t>去除铁杂质</w:t>
      </w:r>
    </w:p>
    <w:p w14:paraId="4F9A0810">
      <w:pPr>
        <w:spacing w:before="120" w:after="120" w:line="360" w:lineRule="auto"/>
        <w:ind w:right="-128" w:rightChars="-64" w:firstLine="480" w:firstLineChars="200"/>
        <w:rPr>
          <w:sz w:val="24"/>
          <w:szCs w:val="24"/>
        </w:rPr>
      </w:pPr>
      <w:r>
        <w:rPr>
          <w:rFonts w:hint="eastAsia"/>
          <w:sz w:val="24"/>
          <w:szCs w:val="24"/>
        </w:rPr>
        <w:t>去除原料中铁屑、铁钉等铁杂质。</w:t>
      </w:r>
    </w:p>
    <w:p w14:paraId="4B45CB6E">
      <w:pPr>
        <w:pStyle w:val="22"/>
        <w:numPr>
          <w:ilvl w:val="2"/>
          <w:numId w:val="1"/>
        </w:numPr>
        <w:spacing w:before="120" w:after="120" w:line="360" w:lineRule="auto"/>
        <w:ind w:right="-128" w:rightChars="-64"/>
        <w:rPr>
          <w:sz w:val="24"/>
          <w:szCs w:val="24"/>
        </w:rPr>
      </w:pPr>
      <w:r>
        <w:rPr>
          <w:rFonts w:hint="eastAsia"/>
          <w:sz w:val="24"/>
          <w:szCs w:val="24"/>
        </w:rPr>
        <w:t>去除其他杂质</w:t>
      </w:r>
    </w:p>
    <w:p w14:paraId="5679DA7A">
      <w:pPr>
        <w:spacing w:before="120" w:after="120" w:line="360" w:lineRule="auto"/>
        <w:ind w:right="-128" w:rightChars="-64" w:firstLine="480" w:firstLineChars="200"/>
        <w:rPr>
          <w:sz w:val="24"/>
          <w:szCs w:val="24"/>
        </w:rPr>
      </w:pPr>
      <w:r>
        <w:rPr>
          <w:rFonts w:hint="eastAsia"/>
          <w:sz w:val="24"/>
          <w:szCs w:val="24"/>
        </w:rPr>
        <w:t>去除原料中以上杂质外的残留麦麸、石子等其他杂质。</w:t>
      </w:r>
    </w:p>
    <w:bookmarkEnd w:id="17"/>
    <w:p w14:paraId="2D53BF43">
      <w:pPr>
        <w:pStyle w:val="22"/>
        <w:numPr>
          <w:ilvl w:val="1"/>
          <w:numId w:val="1"/>
        </w:numPr>
        <w:spacing w:before="120" w:after="120" w:line="360" w:lineRule="auto"/>
        <w:ind w:left="-500" w:leftChars="-250" w:right="660" w:firstLine="567"/>
        <w:jc w:val="both"/>
        <w:rPr>
          <w:sz w:val="24"/>
        </w:rPr>
      </w:pPr>
      <w:r>
        <w:rPr>
          <w:rFonts w:hint="eastAsia"/>
          <w:sz w:val="24"/>
        </w:rPr>
        <w:t>清洗</w:t>
      </w:r>
    </w:p>
    <w:p w14:paraId="6056D3BC">
      <w:pPr>
        <w:spacing w:before="120" w:after="120" w:line="360" w:lineRule="auto"/>
        <w:ind w:right="-128" w:rightChars="-64" w:firstLine="480" w:firstLineChars="200"/>
        <w:rPr>
          <w:sz w:val="24"/>
          <w:szCs w:val="24"/>
        </w:rPr>
      </w:pPr>
      <w:r>
        <w:rPr>
          <w:rFonts w:hint="eastAsia"/>
          <w:sz w:val="24"/>
          <w:szCs w:val="24"/>
        </w:rPr>
        <w:t>将去除杂质的原料用0.5%的淡盐水淋洗，控水后晾干。用水符合NY 5027的要求。</w:t>
      </w:r>
    </w:p>
    <w:p w14:paraId="52D3B1E4">
      <w:pPr>
        <w:pStyle w:val="22"/>
        <w:numPr>
          <w:ilvl w:val="1"/>
          <w:numId w:val="1"/>
        </w:numPr>
        <w:spacing w:before="120" w:after="120" w:line="360" w:lineRule="auto"/>
        <w:ind w:left="-500" w:leftChars="-250" w:right="660" w:firstLine="567"/>
        <w:jc w:val="both"/>
        <w:rPr>
          <w:sz w:val="24"/>
        </w:rPr>
      </w:pPr>
      <w:r>
        <w:rPr>
          <w:rFonts w:hint="eastAsia"/>
          <w:sz w:val="24"/>
        </w:rPr>
        <w:t>烘烤</w:t>
      </w:r>
    </w:p>
    <w:p w14:paraId="7586B937">
      <w:pPr>
        <w:spacing w:before="120" w:after="120" w:line="360" w:lineRule="auto"/>
        <w:ind w:right="-128" w:rightChars="-64" w:firstLine="480" w:firstLineChars="200"/>
        <w:rPr>
          <w:sz w:val="24"/>
          <w:szCs w:val="24"/>
        </w:rPr>
      </w:pPr>
      <w:r>
        <w:rPr>
          <w:rFonts w:hint="eastAsia"/>
          <w:sz w:val="24"/>
          <w:szCs w:val="24"/>
        </w:rPr>
        <w:t>将清洗的原料加入微波烘干炉，设定烘干参数，进行烘烤。烘干至水分含量小于6%。水分测定按 GB 5009.3 规定的方法进行。</w:t>
      </w:r>
    </w:p>
    <w:p w14:paraId="08999CBA">
      <w:pPr>
        <w:pStyle w:val="22"/>
        <w:numPr>
          <w:ilvl w:val="1"/>
          <w:numId w:val="1"/>
        </w:numPr>
        <w:spacing w:before="120" w:after="120" w:line="360" w:lineRule="auto"/>
        <w:ind w:left="-500" w:leftChars="-250" w:right="660" w:firstLine="567"/>
        <w:jc w:val="both"/>
        <w:rPr>
          <w:sz w:val="24"/>
        </w:rPr>
      </w:pPr>
      <w:r>
        <w:rPr>
          <w:rFonts w:hint="eastAsia"/>
          <w:sz w:val="24"/>
        </w:rPr>
        <w:t>再次去杂</w:t>
      </w:r>
    </w:p>
    <w:p w14:paraId="02CAEFAA">
      <w:pPr>
        <w:spacing w:before="120" w:after="120" w:line="360" w:lineRule="auto"/>
        <w:ind w:right="-128" w:rightChars="-64" w:firstLine="480" w:firstLineChars="200"/>
        <w:rPr>
          <w:sz w:val="24"/>
          <w:szCs w:val="24"/>
        </w:rPr>
      </w:pPr>
      <w:r>
        <w:rPr>
          <w:rFonts w:hint="eastAsia"/>
          <w:sz w:val="24"/>
          <w:szCs w:val="24"/>
        </w:rPr>
        <w:t>烘烤后的干虫用 8-10 目的筛子筛选，以去除烘烤过程中出现的虫皮、虫沙等杂质。</w:t>
      </w:r>
    </w:p>
    <w:p w14:paraId="5BE1B2A0">
      <w:pPr>
        <w:pStyle w:val="22"/>
        <w:numPr>
          <w:ilvl w:val="1"/>
          <w:numId w:val="1"/>
        </w:numPr>
        <w:spacing w:before="120" w:after="120" w:line="360" w:lineRule="auto"/>
        <w:ind w:left="-500" w:leftChars="-250" w:right="660" w:firstLine="567"/>
        <w:jc w:val="both"/>
        <w:rPr>
          <w:sz w:val="24"/>
        </w:rPr>
      </w:pPr>
      <w:r>
        <w:rPr>
          <w:rFonts w:hint="eastAsia"/>
          <w:sz w:val="24"/>
        </w:rPr>
        <w:t>冷却</w:t>
      </w:r>
    </w:p>
    <w:p w14:paraId="4745A542">
      <w:pPr>
        <w:spacing w:before="120" w:after="120" w:line="360" w:lineRule="auto"/>
        <w:ind w:right="-128" w:rightChars="-64" w:firstLine="480" w:firstLineChars="200"/>
        <w:rPr>
          <w:sz w:val="24"/>
          <w:szCs w:val="24"/>
        </w:rPr>
      </w:pPr>
      <w:r>
        <w:rPr>
          <w:rFonts w:hint="eastAsia"/>
          <w:sz w:val="24"/>
          <w:szCs w:val="24"/>
        </w:rPr>
        <w:t>烘烤好的虫干放置于干净的托盘或晾晒台上冷却。</w:t>
      </w:r>
    </w:p>
    <w:p w14:paraId="2CCA1C13">
      <w:pPr>
        <w:pStyle w:val="22"/>
        <w:numPr>
          <w:ilvl w:val="1"/>
          <w:numId w:val="1"/>
        </w:numPr>
        <w:spacing w:before="120" w:after="120" w:line="360" w:lineRule="auto"/>
        <w:ind w:left="-500" w:leftChars="-250" w:right="660" w:firstLine="567"/>
        <w:jc w:val="both"/>
        <w:rPr>
          <w:sz w:val="24"/>
        </w:rPr>
      </w:pPr>
      <w:r>
        <w:rPr>
          <w:rFonts w:hint="eastAsia"/>
          <w:sz w:val="24"/>
        </w:rPr>
        <w:t>包装储存</w:t>
      </w:r>
    </w:p>
    <w:p w14:paraId="1A76F279">
      <w:pPr>
        <w:spacing w:before="120" w:after="120" w:line="360" w:lineRule="auto"/>
        <w:ind w:right="-128" w:rightChars="-64" w:firstLine="480" w:firstLineChars="200"/>
        <w:rPr>
          <w:sz w:val="24"/>
          <w:szCs w:val="24"/>
        </w:rPr>
      </w:pPr>
      <w:r>
        <w:rPr>
          <w:rFonts w:hint="eastAsia"/>
          <w:sz w:val="24"/>
          <w:szCs w:val="24"/>
        </w:rPr>
        <w:t>将冷却好的黄粉虫干，装入专用包装袋，储存。</w:t>
      </w:r>
    </w:p>
    <w:p w14:paraId="1D84680D">
      <w:pPr>
        <w:pStyle w:val="22"/>
        <w:numPr>
          <w:ilvl w:val="1"/>
          <w:numId w:val="1"/>
        </w:numPr>
        <w:spacing w:before="120" w:after="120" w:line="360" w:lineRule="auto"/>
        <w:ind w:left="-500" w:leftChars="-250" w:right="660" w:firstLine="567"/>
        <w:jc w:val="both"/>
        <w:rPr>
          <w:sz w:val="24"/>
        </w:rPr>
      </w:pPr>
      <w:r>
        <w:rPr>
          <w:rFonts w:hint="eastAsia"/>
          <w:sz w:val="24"/>
        </w:rPr>
        <w:t>灭菌</w:t>
      </w:r>
    </w:p>
    <w:p w14:paraId="1C86CF4E">
      <w:pPr>
        <w:spacing w:before="120" w:after="120" w:line="360" w:lineRule="auto"/>
        <w:ind w:right="-128" w:rightChars="-64" w:firstLine="480" w:firstLineChars="200"/>
        <w:rPr>
          <w:sz w:val="24"/>
          <w:szCs w:val="24"/>
        </w:rPr>
      </w:pPr>
      <w:r>
        <w:rPr>
          <w:rFonts w:hint="eastAsia"/>
          <w:sz w:val="24"/>
          <w:szCs w:val="24"/>
        </w:rPr>
        <w:t>利用隧道式微波烘干将待出厂的虫干灭菌。</w:t>
      </w:r>
    </w:p>
    <w:p w14:paraId="2F480DD4">
      <w:pPr>
        <w:pStyle w:val="22"/>
        <w:numPr>
          <w:ilvl w:val="1"/>
          <w:numId w:val="1"/>
        </w:numPr>
        <w:spacing w:before="120" w:after="120" w:line="360" w:lineRule="auto"/>
        <w:ind w:left="-500" w:leftChars="-250" w:right="660" w:firstLine="567"/>
        <w:jc w:val="both"/>
        <w:rPr>
          <w:sz w:val="24"/>
        </w:rPr>
      </w:pPr>
      <w:r>
        <w:rPr>
          <w:rFonts w:hint="eastAsia"/>
          <w:sz w:val="24"/>
        </w:rPr>
        <w:t>成品包装</w:t>
      </w:r>
    </w:p>
    <w:p w14:paraId="633E57B7">
      <w:pPr>
        <w:spacing w:before="120" w:after="120" w:line="360" w:lineRule="auto"/>
        <w:ind w:right="-128" w:rightChars="-64" w:firstLine="480" w:firstLineChars="200"/>
        <w:rPr>
          <w:sz w:val="24"/>
          <w:szCs w:val="24"/>
        </w:rPr>
      </w:pPr>
      <w:r>
        <w:rPr>
          <w:rFonts w:hint="eastAsia"/>
          <w:sz w:val="24"/>
          <w:szCs w:val="24"/>
        </w:rPr>
        <w:t>根据产品需求，将灭菌虫干包装。</w:t>
      </w:r>
    </w:p>
    <w:p w14:paraId="5EBBD84D">
      <w:pPr>
        <w:pStyle w:val="4"/>
        <w:numPr>
          <w:ilvl w:val="0"/>
          <w:numId w:val="1"/>
        </w:numPr>
        <w:spacing w:before="120" w:beforeLines="50" w:after="120" w:afterLines="50" w:line="360" w:lineRule="auto"/>
        <w:ind w:left="0" w:firstLine="0"/>
        <w:jc w:val="left"/>
        <w:rPr>
          <w:rFonts w:ascii="宋体" w:hAnsi="宋体" w:eastAsia="宋体"/>
          <w:b/>
          <w:bCs/>
        </w:rPr>
      </w:pPr>
      <w:bookmarkStart w:id="18" w:name="_Toc230153152"/>
      <w:r>
        <w:rPr>
          <w:rFonts w:hint="eastAsia" w:ascii="宋体" w:hAnsi="宋体" w:eastAsia="宋体"/>
          <w:b/>
          <w:bCs/>
        </w:rPr>
        <w:t>生产档案</w:t>
      </w:r>
      <w:bookmarkEnd w:id="18"/>
    </w:p>
    <w:p w14:paraId="4B18BBF0">
      <w:pPr>
        <w:spacing w:before="120" w:after="120" w:line="360" w:lineRule="auto"/>
        <w:ind w:right="-128" w:rightChars="-64" w:firstLine="480" w:firstLineChars="200"/>
        <w:rPr>
          <w:sz w:val="24"/>
          <w:szCs w:val="24"/>
        </w:rPr>
      </w:pPr>
      <w:r>
        <w:rPr>
          <w:rFonts w:hint="eastAsia"/>
          <w:sz w:val="24"/>
          <w:szCs w:val="24"/>
        </w:rPr>
        <w:t>详细记录生产加工、包装运输等环节采取的主要措施，建立生产档案，并保留存档。</w:t>
      </w:r>
      <w:bookmarkEnd w:id="15"/>
    </w:p>
    <w:sectPr>
      <w:pgSz w:w="11910" w:h="16840"/>
      <w:pgMar w:top="1440" w:right="1080" w:bottom="1440" w:left="1080" w:header="1134" w:footer="850" w:gutter="0"/>
      <w:pgNumType w:start="1"/>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0337007"/>
      <w:docPartObj>
        <w:docPartGallery w:val="autotext"/>
      </w:docPartObj>
    </w:sdtPr>
    <w:sdtContent>
      <w:p w14:paraId="04BA0C39">
        <w:pPr>
          <w:pStyle w:val="9"/>
          <w:spacing w:before="120" w:after="120"/>
          <w:ind w:left="425" w:right="660"/>
          <w:jc w:val="right"/>
        </w:pPr>
        <w:r>
          <w:fldChar w:fldCharType="begin"/>
        </w:r>
        <w:r>
          <w:instrText xml:space="preserve">PAGE   \* MERGEFORMAT</w:instrText>
        </w:r>
        <w:r>
          <w:fldChar w:fldCharType="separate"/>
        </w:r>
        <w:r>
          <w:t>II</w:t>
        </w:r>
        <w:r>
          <w:fldChar w:fldCharType="end"/>
        </w:r>
      </w:p>
    </w:sdtContent>
  </w:sdt>
  <w:p w14:paraId="70739A2E">
    <w:pPr>
      <w:pStyle w:val="6"/>
      <w:spacing w:before="120" w:after="120" w:line="14" w:lineRule="auto"/>
      <w:ind w:left="425" w:right="660"/>
      <w:rPr>
        <w:sz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2072D">
    <w:pPr>
      <w:pStyle w:val="6"/>
      <w:spacing w:before="120" w:after="120" w:line="251" w:lineRule="exact"/>
      <w:ind w:left="425" w:right="142"/>
      <w:jc w:val="right"/>
      <w:rPr>
        <w:sz w:val="24"/>
        <w:szCs w:val="24"/>
      </w:rPr>
    </w:pPr>
    <w:r>
      <w:pict>
        <v:shape id="PowerPlusWaterMarkObject1813082361" o:spid="_x0000_s2051" o:spt="136" type="#_x0000_t136" style="position:absolute;left:0pt;height:184.4pt;width:502.95pt;mso-position-horizontal:center;mso-position-horizontal-relative:margin;mso-position-vertical:center;mso-position-vertical-relative:margin;rotation:20643840f;z-index:-251654144;mso-width-relative:page;mso-height-relative:page;" fillcolor="#C0C0C0" filled="t" stroked="f" coordsize="21600,21600" o:allowincell="f">
          <v:path/>
          <v:fill on="t" opacity="32768f" focussize="0,0"/>
          <v:stroke on="f"/>
          <v:imagedata o:title=""/>
          <o:lock v:ext="edit"/>
          <v:textpath on="t" fitpath="t" trim="f" xscale="f" string="CFNA" style="font-family:宋体;font-size:1pt;v-text-align:center;"/>
        </v:shape>
      </w:pict>
    </w:r>
    <w:r>
      <w:rPr>
        <w:sz w:val="24"/>
        <w:szCs w:val="24"/>
      </w:rPr>
      <w:t>T</w:t>
    </w:r>
    <w:r>
      <w:rPr>
        <w:rFonts w:hint="eastAsia"/>
        <w:sz w:val="24"/>
        <w:szCs w:val="24"/>
      </w:rPr>
      <w:t>/CFNA</w:t>
    </w:r>
    <w:r>
      <w:rPr>
        <w:sz w:val="24"/>
        <w:szCs w:val="24"/>
      </w:rPr>
      <w:t xml:space="preserve">    168</w:t>
    </w:r>
    <w:r>
      <w:rPr>
        <w:rFonts w:hint="eastAsia"/>
        <w:sz w:val="24"/>
        <w:szCs w:val="24"/>
        <w:lang w:val="en-US" w:eastAsia="zh-CN"/>
      </w:rPr>
      <w:t>7</w:t>
    </w:r>
    <w:r>
      <w:rPr>
        <w:sz w:val="24"/>
        <w:szCs w:val="24"/>
      </w:rPr>
      <w:t>-2025</w:t>
    </w:r>
  </w:p>
  <w:p w14:paraId="4C3B4D58">
    <w:pPr>
      <w:pStyle w:val="6"/>
      <w:spacing w:before="120" w:after="120" w:line="251" w:lineRule="exact"/>
      <w:ind w:left="425" w:right="660"/>
      <w:jc w:val="right"/>
      <w:rPr>
        <w:sz w:val="24"/>
        <w:szCs w:val="24"/>
      </w:rPr>
    </w:pPr>
  </w:p>
  <w:p w14:paraId="517A2CC9">
    <w:pPr>
      <w:pStyle w:val="6"/>
      <w:spacing w:before="120" w:after="120" w:line="14" w:lineRule="auto"/>
      <w:ind w:left="425" w:right="660"/>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5CAF9">
    <w:pPr>
      <w:pStyle w:val="10"/>
    </w:pPr>
    <w:r>
      <w:pict>
        <v:shape id="PowerPlusWaterMarkObject1813082360" o:spid="_x0000_s2050" o:spt="136" type="#_x0000_t136" style="position:absolute;left:0pt;height:184.4pt;width:502.95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path="t" trim="f" xscale="f" string="CFNA" style="font-family:宋体;font-size:1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16392">
    <w:pPr>
      <w:pStyle w:val="10"/>
    </w:pPr>
    <w:r>
      <w:pict>
        <v:shape id="PowerPlusWaterMarkObject1813082359" o:spid="_x0000_s2049" o:spt="136" type="#_x0000_t136" style="position:absolute;left:0pt;height:184.4pt;width:502.95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path="t" trim="f" xscale="f" string="CFNA" style="font-family:宋体;font-size:1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F07B2C"/>
    <w:multiLevelType w:val="multilevel"/>
    <w:tmpl w:val="40F07B2C"/>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6AD"/>
    <w:rsid w:val="0000296C"/>
    <w:rsid w:val="00002995"/>
    <w:rsid w:val="00014129"/>
    <w:rsid w:val="000147D2"/>
    <w:rsid w:val="00017B1C"/>
    <w:rsid w:val="00021916"/>
    <w:rsid w:val="00022D8A"/>
    <w:rsid w:val="00025F5D"/>
    <w:rsid w:val="00026294"/>
    <w:rsid w:val="000360F3"/>
    <w:rsid w:val="0004104D"/>
    <w:rsid w:val="000410EF"/>
    <w:rsid w:val="0005410A"/>
    <w:rsid w:val="00054555"/>
    <w:rsid w:val="0005641A"/>
    <w:rsid w:val="0006294C"/>
    <w:rsid w:val="00062B2C"/>
    <w:rsid w:val="000731BA"/>
    <w:rsid w:val="00074A29"/>
    <w:rsid w:val="0007742D"/>
    <w:rsid w:val="000774E7"/>
    <w:rsid w:val="00081C4F"/>
    <w:rsid w:val="00084856"/>
    <w:rsid w:val="000853AA"/>
    <w:rsid w:val="0009033E"/>
    <w:rsid w:val="00090D93"/>
    <w:rsid w:val="00096EDD"/>
    <w:rsid w:val="000A5018"/>
    <w:rsid w:val="000C00C8"/>
    <w:rsid w:val="000C1C7E"/>
    <w:rsid w:val="000C514A"/>
    <w:rsid w:val="000D0F6E"/>
    <w:rsid w:val="000D46F8"/>
    <w:rsid w:val="000D66C3"/>
    <w:rsid w:val="000E56B1"/>
    <w:rsid w:val="000F0C9D"/>
    <w:rsid w:val="000F39A3"/>
    <w:rsid w:val="001015B3"/>
    <w:rsid w:val="001100B5"/>
    <w:rsid w:val="00112FE6"/>
    <w:rsid w:val="00121DEA"/>
    <w:rsid w:val="00127A88"/>
    <w:rsid w:val="00127C3B"/>
    <w:rsid w:val="00131487"/>
    <w:rsid w:val="001365CC"/>
    <w:rsid w:val="0015348A"/>
    <w:rsid w:val="00157DC5"/>
    <w:rsid w:val="00162B1F"/>
    <w:rsid w:val="001638C6"/>
    <w:rsid w:val="00164A24"/>
    <w:rsid w:val="001679DB"/>
    <w:rsid w:val="00177749"/>
    <w:rsid w:val="00182AC1"/>
    <w:rsid w:val="00185CC4"/>
    <w:rsid w:val="00195418"/>
    <w:rsid w:val="0019756C"/>
    <w:rsid w:val="00197DCC"/>
    <w:rsid w:val="001C0560"/>
    <w:rsid w:val="001C2F0E"/>
    <w:rsid w:val="001C45A6"/>
    <w:rsid w:val="001C4795"/>
    <w:rsid w:val="001C6BCF"/>
    <w:rsid w:val="001F0798"/>
    <w:rsid w:val="001F6691"/>
    <w:rsid w:val="00211AEE"/>
    <w:rsid w:val="002123DE"/>
    <w:rsid w:val="002236B3"/>
    <w:rsid w:val="00223A2C"/>
    <w:rsid w:val="002272A5"/>
    <w:rsid w:val="00235D98"/>
    <w:rsid w:val="00241154"/>
    <w:rsid w:val="0024192E"/>
    <w:rsid w:val="00246604"/>
    <w:rsid w:val="00246F4E"/>
    <w:rsid w:val="002616B1"/>
    <w:rsid w:val="00262C4D"/>
    <w:rsid w:val="0027041D"/>
    <w:rsid w:val="00277B39"/>
    <w:rsid w:val="00277CB0"/>
    <w:rsid w:val="00280EDD"/>
    <w:rsid w:val="0028156C"/>
    <w:rsid w:val="002824DC"/>
    <w:rsid w:val="002826CF"/>
    <w:rsid w:val="002833E5"/>
    <w:rsid w:val="0029293A"/>
    <w:rsid w:val="00297987"/>
    <w:rsid w:val="002A1B39"/>
    <w:rsid w:val="002A434F"/>
    <w:rsid w:val="002C0D37"/>
    <w:rsid w:val="002C44F5"/>
    <w:rsid w:val="002D5B4C"/>
    <w:rsid w:val="002D68CF"/>
    <w:rsid w:val="002E6A94"/>
    <w:rsid w:val="00307358"/>
    <w:rsid w:val="00313808"/>
    <w:rsid w:val="00315DE7"/>
    <w:rsid w:val="00316DB8"/>
    <w:rsid w:val="00316FB3"/>
    <w:rsid w:val="003343D2"/>
    <w:rsid w:val="0034367A"/>
    <w:rsid w:val="00344CD5"/>
    <w:rsid w:val="00352A0C"/>
    <w:rsid w:val="00353CBF"/>
    <w:rsid w:val="00355C23"/>
    <w:rsid w:val="00362B34"/>
    <w:rsid w:val="00364F2A"/>
    <w:rsid w:val="003720FF"/>
    <w:rsid w:val="00372E90"/>
    <w:rsid w:val="0037413A"/>
    <w:rsid w:val="0037631B"/>
    <w:rsid w:val="00382BEC"/>
    <w:rsid w:val="003863F7"/>
    <w:rsid w:val="00393441"/>
    <w:rsid w:val="00395E06"/>
    <w:rsid w:val="00396EE2"/>
    <w:rsid w:val="003B6D5C"/>
    <w:rsid w:val="003C2F1F"/>
    <w:rsid w:val="003C3C21"/>
    <w:rsid w:val="003C484A"/>
    <w:rsid w:val="003C696E"/>
    <w:rsid w:val="003D06A9"/>
    <w:rsid w:val="003D564E"/>
    <w:rsid w:val="003D6E42"/>
    <w:rsid w:val="003E1C34"/>
    <w:rsid w:val="003E2854"/>
    <w:rsid w:val="003E3E1D"/>
    <w:rsid w:val="003E6F54"/>
    <w:rsid w:val="003F156E"/>
    <w:rsid w:val="003F20BF"/>
    <w:rsid w:val="003F28B8"/>
    <w:rsid w:val="003F3832"/>
    <w:rsid w:val="003F5118"/>
    <w:rsid w:val="003F7A2A"/>
    <w:rsid w:val="00401457"/>
    <w:rsid w:val="00404B9A"/>
    <w:rsid w:val="00405AFC"/>
    <w:rsid w:val="00407706"/>
    <w:rsid w:val="004103C0"/>
    <w:rsid w:val="0041159F"/>
    <w:rsid w:val="00413611"/>
    <w:rsid w:val="00420170"/>
    <w:rsid w:val="00421BEB"/>
    <w:rsid w:val="00421F2D"/>
    <w:rsid w:val="0042228D"/>
    <w:rsid w:val="00424ACA"/>
    <w:rsid w:val="0042652E"/>
    <w:rsid w:val="00426797"/>
    <w:rsid w:val="0042784F"/>
    <w:rsid w:val="00434ECC"/>
    <w:rsid w:val="0043775C"/>
    <w:rsid w:val="00442155"/>
    <w:rsid w:val="004440AB"/>
    <w:rsid w:val="00444FD2"/>
    <w:rsid w:val="00445E13"/>
    <w:rsid w:val="00447D7A"/>
    <w:rsid w:val="00451194"/>
    <w:rsid w:val="00451395"/>
    <w:rsid w:val="00452F16"/>
    <w:rsid w:val="004557E3"/>
    <w:rsid w:val="00456469"/>
    <w:rsid w:val="00463D54"/>
    <w:rsid w:val="00474B64"/>
    <w:rsid w:val="00481086"/>
    <w:rsid w:val="0048175E"/>
    <w:rsid w:val="004837F3"/>
    <w:rsid w:val="00484609"/>
    <w:rsid w:val="00484896"/>
    <w:rsid w:val="00491E14"/>
    <w:rsid w:val="004943B6"/>
    <w:rsid w:val="004945AC"/>
    <w:rsid w:val="00494AAB"/>
    <w:rsid w:val="00496B01"/>
    <w:rsid w:val="004B0009"/>
    <w:rsid w:val="004C0D9D"/>
    <w:rsid w:val="004D43DF"/>
    <w:rsid w:val="004D7D1A"/>
    <w:rsid w:val="004F041A"/>
    <w:rsid w:val="004F35E3"/>
    <w:rsid w:val="004F47D7"/>
    <w:rsid w:val="004F508A"/>
    <w:rsid w:val="005030CD"/>
    <w:rsid w:val="00517C7C"/>
    <w:rsid w:val="00525D3B"/>
    <w:rsid w:val="005318D1"/>
    <w:rsid w:val="005338DB"/>
    <w:rsid w:val="00543161"/>
    <w:rsid w:val="005434A7"/>
    <w:rsid w:val="0054471D"/>
    <w:rsid w:val="00546BE6"/>
    <w:rsid w:val="0055077C"/>
    <w:rsid w:val="00557F0A"/>
    <w:rsid w:val="005828DB"/>
    <w:rsid w:val="005848AA"/>
    <w:rsid w:val="0059049C"/>
    <w:rsid w:val="005A17B4"/>
    <w:rsid w:val="005A4939"/>
    <w:rsid w:val="005A60E9"/>
    <w:rsid w:val="005A76DE"/>
    <w:rsid w:val="005B56C8"/>
    <w:rsid w:val="005B621E"/>
    <w:rsid w:val="005B6D50"/>
    <w:rsid w:val="005C3BF3"/>
    <w:rsid w:val="005C3DF8"/>
    <w:rsid w:val="005E6B61"/>
    <w:rsid w:val="005E6CED"/>
    <w:rsid w:val="005F0F40"/>
    <w:rsid w:val="005F17D4"/>
    <w:rsid w:val="00617142"/>
    <w:rsid w:val="00621AE8"/>
    <w:rsid w:val="00623613"/>
    <w:rsid w:val="00625AD6"/>
    <w:rsid w:val="00630EF6"/>
    <w:rsid w:val="00631462"/>
    <w:rsid w:val="00631A2E"/>
    <w:rsid w:val="00632831"/>
    <w:rsid w:val="00636804"/>
    <w:rsid w:val="006411B4"/>
    <w:rsid w:val="006502CE"/>
    <w:rsid w:val="00653310"/>
    <w:rsid w:val="00657AA3"/>
    <w:rsid w:val="0066193B"/>
    <w:rsid w:val="00665598"/>
    <w:rsid w:val="00667CB5"/>
    <w:rsid w:val="006746F8"/>
    <w:rsid w:val="006747ED"/>
    <w:rsid w:val="00674F0D"/>
    <w:rsid w:val="0068208D"/>
    <w:rsid w:val="006932E1"/>
    <w:rsid w:val="006964EF"/>
    <w:rsid w:val="006976EC"/>
    <w:rsid w:val="0069784D"/>
    <w:rsid w:val="006A4890"/>
    <w:rsid w:val="006A4C52"/>
    <w:rsid w:val="006B0DAE"/>
    <w:rsid w:val="006C186D"/>
    <w:rsid w:val="006C6FFF"/>
    <w:rsid w:val="006E5568"/>
    <w:rsid w:val="006E6A7B"/>
    <w:rsid w:val="006F0EF4"/>
    <w:rsid w:val="006F1109"/>
    <w:rsid w:val="006F7100"/>
    <w:rsid w:val="006F7DE5"/>
    <w:rsid w:val="00702206"/>
    <w:rsid w:val="00706379"/>
    <w:rsid w:val="00707675"/>
    <w:rsid w:val="00710BDF"/>
    <w:rsid w:val="00720AC1"/>
    <w:rsid w:val="007241D7"/>
    <w:rsid w:val="007344DD"/>
    <w:rsid w:val="00742166"/>
    <w:rsid w:val="00744E30"/>
    <w:rsid w:val="0075147C"/>
    <w:rsid w:val="00752ACD"/>
    <w:rsid w:val="00757DE0"/>
    <w:rsid w:val="00760C61"/>
    <w:rsid w:val="00766121"/>
    <w:rsid w:val="007665C3"/>
    <w:rsid w:val="00767C7C"/>
    <w:rsid w:val="00772253"/>
    <w:rsid w:val="007727AC"/>
    <w:rsid w:val="00776FA9"/>
    <w:rsid w:val="00780A0D"/>
    <w:rsid w:val="00783BA0"/>
    <w:rsid w:val="00787C76"/>
    <w:rsid w:val="00790D6F"/>
    <w:rsid w:val="00793BE9"/>
    <w:rsid w:val="007B03B8"/>
    <w:rsid w:val="007B233A"/>
    <w:rsid w:val="007B346E"/>
    <w:rsid w:val="007B5668"/>
    <w:rsid w:val="007B5725"/>
    <w:rsid w:val="007D1A99"/>
    <w:rsid w:val="007D1B62"/>
    <w:rsid w:val="007D39AD"/>
    <w:rsid w:val="007D4F31"/>
    <w:rsid w:val="007D6EBC"/>
    <w:rsid w:val="007E4A69"/>
    <w:rsid w:val="007E7C81"/>
    <w:rsid w:val="007E7ED8"/>
    <w:rsid w:val="007F1612"/>
    <w:rsid w:val="007F202A"/>
    <w:rsid w:val="007F434B"/>
    <w:rsid w:val="007F5D86"/>
    <w:rsid w:val="007F6ED6"/>
    <w:rsid w:val="00800665"/>
    <w:rsid w:val="00804270"/>
    <w:rsid w:val="00805BC5"/>
    <w:rsid w:val="00815267"/>
    <w:rsid w:val="0082256E"/>
    <w:rsid w:val="0082578B"/>
    <w:rsid w:val="00830CB4"/>
    <w:rsid w:val="008359F6"/>
    <w:rsid w:val="00836127"/>
    <w:rsid w:val="00837669"/>
    <w:rsid w:val="0084115B"/>
    <w:rsid w:val="00841334"/>
    <w:rsid w:val="00850D88"/>
    <w:rsid w:val="00857537"/>
    <w:rsid w:val="00860FAA"/>
    <w:rsid w:val="008643F5"/>
    <w:rsid w:val="00867997"/>
    <w:rsid w:val="00870C99"/>
    <w:rsid w:val="0087311C"/>
    <w:rsid w:val="00874979"/>
    <w:rsid w:val="00877E48"/>
    <w:rsid w:val="00881A1A"/>
    <w:rsid w:val="00883D0A"/>
    <w:rsid w:val="00885AF2"/>
    <w:rsid w:val="008868E8"/>
    <w:rsid w:val="0088744F"/>
    <w:rsid w:val="00890AAB"/>
    <w:rsid w:val="008A2924"/>
    <w:rsid w:val="008A679E"/>
    <w:rsid w:val="008A6FEB"/>
    <w:rsid w:val="008A70A1"/>
    <w:rsid w:val="008B448D"/>
    <w:rsid w:val="008C7D21"/>
    <w:rsid w:val="008D4592"/>
    <w:rsid w:val="008E3765"/>
    <w:rsid w:val="008F5E81"/>
    <w:rsid w:val="00902110"/>
    <w:rsid w:val="00905088"/>
    <w:rsid w:val="00910B71"/>
    <w:rsid w:val="0091217A"/>
    <w:rsid w:val="00916234"/>
    <w:rsid w:val="00926006"/>
    <w:rsid w:val="00932A0C"/>
    <w:rsid w:val="00933B23"/>
    <w:rsid w:val="009362E5"/>
    <w:rsid w:val="0094112A"/>
    <w:rsid w:val="00951C5F"/>
    <w:rsid w:val="0095209F"/>
    <w:rsid w:val="0095480D"/>
    <w:rsid w:val="00955D42"/>
    <w:rsid w:val="0095759D"/>
    <w:rsid w:val="0096120A"/>
    <w:rsid w:val="00963C4E"/>
    <w:rsid w:val="00967029"/>
    <w:rsid w:val="00970F89"/>
    <w:rsid w:val="009777EC"/>
    <w:rsid w:val="00977C01"/>
    <w:rsid w:val="00977D7F"/>
    <w:rsid w:val="00981FDE"/>
    <w:rsid w:val="0098583C"/>
    <w:rsid w:val="00986AA3"/>
    <w:rsid w:val="0099246A"/>
    <w:rsid w:val="009942CE"/>
    <w:rsid w:val="00996013"/>
    <w:rsid w:val="009968BB"/>
    <w:rsid w:val="00997A6E"/>
    <w:rsid w:val="009A2544"/>
    <w:rsid w:val="009A59C0"/>
    <w:rsid w:val="009A6731"/>
    <w:rsid w:val="009B001F"/>
    <w:rsid w:val="009B7C61"/>
    <w:rsid w:val="009C5E18"/>
    <w:rsid w:val="009D6DB4"/>
    <w:rsid w:val="009E2C51"/>
    <w:rsid w:val="009F7BA6"/>
    <w:rsid w:val="00A02F62"/>
    <w:rsid w:val="00A048E1"/>
    <w:rsid w:val="00A04AC0"/>
    <w:rsid w:val="00A241EB"/>
    <w:rsid w:val="00A24FF6"/>
    <w:rsid w:val="00A26C98"/>
    <w:rsid w:val="00A32076"/>
    <w:rsid w:val="00A356EF"/>
    <w:rsid w:val="00A40EE1"/>
    <w:rsid w:val="00A54FA2"/>
    <w:rsid w:val="00A55ADA"/>
    <w:rsid w:val="00A56192"/>
    <w:rsid w:val="00A56466"/>
    <w:rsid w:val="00A630D7"/>
    <w:rsid w:val="00A666EE"/>
    <w:rsid w:val="00A679B5"/>
    <w:rsid w:val="00A82771"/>
    <w:rsid w:val="00A82DFA"/>
    <w:rsid w:val="00A83E43"/>
    <w:rsid w:val="00A93451"/>
    <w:rsid w:val="00A93E05"/>
    <w:rsid w:val="00A93ECB"/>
    <w:rsid w:val="00A94A61"/>
    <w:rsid w:val="00A9585F"/>
    <w:rsid w:val="00A9746F"/>
    <w:rsid w:val="00AA3239"/>
    <w:rsid w:val="00AB2B3B"/>
    <w:rsid w:val="00AB3A3D"/>
    <w:rsid w:val="00AB4961"/>
    <w:rsid w:val="00AC0C42"/>
    <w:rsid w:val="00AD365E"/>
    <w:rsid w:val="00AD3B7C"/>
    <w:rsid w:val="00AD6AB8"/>
    <w:rsid w:val="00AE0FDA"/>
    <w:rsid w:val="00AE23C5"/>
    <w:rsid w:val="00AE2AB4"/>
    <w:rsid w:val="00AF0073"/>
    <w:rsid w:val="00AF1E96"/>
    <w:rsid w:val="00B06D96"/>
    <w:rsid w:val="00B14700"/>
    <w:rsid w:val="00B20F15"/>
    <w:rsid w:val="00B21E9B"/>
    <w:rsid w:val="00B2500A"/>
    <w:rsid w:val="00B2773A"/>
    <w:rsid w:val="00B30AFB"/>
    <w:rsid w:val="00B36E2F"/>
    <w:rsid w:val="00B568EB"/>
    <w:rsid w:val="00B56F02"/>
    <w:rsid w:val="00B573CB"/>
    <w:rsid w:val="00B63BF0"/>
    <w:rsid w:val="00B64B0C"/>
    <w:rsid w:val="00B704D9"/>
    <w:rsid w:val="00B75530"/>
    <w:rsid w:val="00B75DB6"/>
    <w:rsid w:val="00B90F7B"/>
    <w:rsid w:val="00B92132"/>
    <w:rsid w:val="00B9245B"/>
    <w:rsid w:val="00B94E5D"/>
    <w:rsid w:val="00B956AC"/>
    <w:rsid w:val="00B96AFE"/>
    <w:rsid w:val="00BA33AC"/>
    <w:rsid w:val="00BC0E95"/>
    <w:rsid w:val="00BC47BB"/>
    <w:rsid w:val="00BC5615"/>
    <w:rsid w:val="00BC6B0F"/>
    <w:rsid w:val="00BC79A1"/>
    <w:rsid w:val="00BD1598"/>
    <w:rsid w:val="00BD479E"/>
    <w:rsid w:val="00BD6689"/>
    <w:rsid w:val="00BD70C0"/>
    <w:rsid w:val="00BE0B3C"/>
    <w:rsid w:val="00BE3190"/>
    <w:rsid w:val="00BE7E88"/>
    <w:rsid w:val="00BF7609"/>
    <w:rsid w:val="00BF791F"/>
    <w:rsid w:val="00C0734F"/>
    <w:rsid w:val="00C11539"/>
    <w:rsid w:val="00C125D3"/>
    <w:rsid w:val="00C147EB"/>
    <w:rsid w:val="00C15911"/>
    <w:rsid w:val="00C17463"/>
    <w:rsid w:val="00C24DF2"/>
    <w:rsid w:val="00C24E83"/>
    <w:rsid w:val="00C250E7"/>
    <w:rsid w:val="00C33103"/>
    <w:rsid w:val="00C347B2"/>
    <w:rsid w:val="00C37DE5"/>
    <w:rsid w:val="00C40265"/>
    <w:rsid w:val="00C51BE0"/>
    <w:rsid w:val="00C536D2"/>
    <w:rsid w:val="00C5400A"/>
    <w:rsid w:val="00C61942"/>
    <w:rsid w:val="00C6247A"/>
    <w:rsid w:val="00C655D8"/>
    <w:rsid w:val="00C77058"/>
    <w:rsid w:val="00C77D04"/>
    <w:rsid w:val="00C80FF2"/>
    <w:rsid w:val="00C85E8D"/>
    <w:rsid w:val="00C8646C"/>
    <w:rsid w:val="00C87D0A"/>
    <w:rsid w:val="00C93AE9"/>
    <w:rsid w:val="00C96065"/>
    <w:rsid w:val="00CA100B"/>
    <w:rsid w:val="00CA2A8C"/>
    <w:rsid w:val="00CA5850"/>
    <w:rsid w:val="00CB0FDB"/>
    <w:rsid w:val="00CB38A4"/>
    <w:rsid w:val="00CB5A45"/>
    <w:rsid w:val="00CB74F9"/>
    <w:rsid w:val="00CC1122"/>
    <w:rsid w:val="00CC73EE"/>
    <w:rsid w:val="00CD3128"/>
    <w:rsid w:val="00CD3FF2"/>
    <w:rsid w:val="00CD6B43"/>
    <w:rsid w:val="00CE6AD7"/>
    <w:rsid w:val="00CF043B"/>
    <w:rsid w:val="00CF7A6A"/>
    <w:rsid w:val="00D0218A"/>
    <w:rsid w:val="00D02F2B"/>
    <w:rsid w:val="00D03B1F"/>
    <w:rsid w:val="00D1145F"/>
    <w:rsid w:val="00D23D18"/>
    <w:rsid w:val="00D24800"/>
    <w:rsid w:val="00D253EC"/>
    <w:rsid w:val="00D46E3F"/>
    <w:rsid w:val="00D53B05"/>
    <w:rsid w:val="00D57085"/>
    <w:rsid w:val="00D5753B"/>
    <w:rsid w:val="00D61622"/>
    <w:rsid w:val="00D61E94"/>
    <w:rsid w:val="00D6309D"/>
    <w:rsid w:val="00D75B36"/>
    <w:rsid w:val="00D85FEE"/>
    <w:rsid w:val="00D86DC6"/>
    <w:rsid w:val="00D9040C"/>
    <w:rsid w:val="00D9507C"/>
    <w:rsid w:val="00D95A96"/>
    <w:rsid w:val="00D97883"/>
    <w:rsid w:val="00DA684E"/>
    <w:rsid w:val="00DB1311"/>
    <w:rsid w:val="00DB3753"/>
    <w:rsid w:val="00DC33B9"/>
    <w:rsid w:val="00DC6999"/>
    <w:rsid w:val="00DC74ED"/>
    <w:rsid w:val="00DD139E"/>
    <w:rsid w:val="00DE5346"/>
    <w:rsid w:val="00DE5AB9"/>
    <w:rsid w:val="00DF0E11"/>
    <w:rsid w:val="00DF39EB"/>
    <w:rsid w:val="00DF6665"/>
    <w:rsid w:val="00DF730B"/>
    <w:rsid w:val="00E062D0"/>
    <w:rsid w:val="00E11CA5"/>
    <w:rsid w:val="00E11CC6"/>
    <w:rsid w:val="00E12389"/>
    <w:rsid w:val="00E206C0"/>
    <w:rsid w:val="00E21C5E"/>
    <w:rsid w:val="00E23AF6"/>
    <w:rsid w:val="00E30A4C"/>
    <w:rsid w:val="00E50FEC"/>
    <w:rsid w:val="00E550A2"/>
    <w:rsid w:val="00E57B37"/>
    <w:rsid w:val="00E57F28"/>
    <w:rsid w:val="00E659B5"/>
    <w:rsid w:val="00E65E43"/>
    <w:rsid w:val="00E6695D"/>
    <w:rsid w:val="00E779D4"/>
    <w:rsid w:val="00E80251"/>
    <w:rsid w:val="00E84AB6"/>
    <w:rsid w:val="00E85F5F"/>
    <w:rsid w:val="00E863B7"/>
    <w:rsid w:val="00E87536"/>
    <w:rsid w:val="00E911C1"/>
    <w:rsid w:val="00E93F74"/>
    <w:rsid w:val="00E944ED"/>
    <w:rsid w:val="00E9480D"/>
    <w:rsid w:val="00EA1277"/>
    <w:rsid w:val="00EA2118"/>
    <w:rsid w:val="00EA76ED"/>
    <w:rsid w:val="00EC0A13"/>
    <w:rsid w:val="00ED1426"/>
    <w:rsid w:val="00ED556E"/>
    <w:rsid w:val="00EE0006"/>
    <w:rsid w:val="00EE2B74"/>
    <w:rsid w:val="00EF1285"/>
    <w:rsid w:val="00EF4FA9"/>
    <w:rsid w:val="00EF71C9"/>
    <w:rsid w:val="00F01FA0"/>
    <w:rsid w:val="00F24834"/>
    <w:rsid w:val="00F268A3"/>
    <w:rsid w:val="00F26CAD"/>
    <w:rsid w:val="00F27B14"/>
    <w:rsid w:val="00F30103"/>
    <w:rsid w:val="00F50CB2"/>
    <w:rsid w:val="00F511C3"/>
    <w:rsid w:val="00F522B3"/>
    <w:rsid w:val="00F528CE"/>
    <w:rsid w:val="00F57EBD"/>
    <w:rsid w:val="00F6354E"/>
    <w:rsid w:val="00F63B65"/>
    <w:rsid w:val="00F65C7D"/>
    <w:rsid w:val="00F71690"/>
    <w:rsid w:val="00F71FEC"/>
    <w:rsid w:val="00F762D8"/>
    <w:rsid w:val="00F768F8"/>
    <w:rsid w:val="00F82804"/>
    <w:rsid w:val="00F87674"/>
    <w:rsid w:val="00F87F94"/>
    <w:rsid w:val="00F95F0A"/>
    <w:rsid w:val="00FA2F04"/>
    <w:rsid w:val="00FA33FB"/>
    <w:rsid w:val="00FA4CC9"/>
    <w:rsid w:val="00FB16AD"/>
    <w:rsid w:val="00FB2F65"/>
    <w:rsid w:val="00FB45D6"/>
    <w:rsid w:val="00FB5974"/>
    <w:rsid w:val="00FB670F"/>
    <w:rsid w:val="00FC2013"/>
    <w:rsid w:val="00FC251B"/>
    <w:rsid w:val="00FC28EC"/>
    <w:rsid w:val="00FC6B1D"/>
    <w:rsid w:val="00FD3CE1"/>
    <w:rsid w:val="00FD4532"/>
    <w:rsid w:val="00FD58D2"/>
    <w:rsid w:val="00FE399F"/>
    <w:rsid w:val="00FE53FC"/>
    <w:rsid w:val="00FE6EB5"/>
    <w:rsid w:val="00FE75C5"/>
    <w:rsid w:val="15C21FD9"/>
    <w:rsid w:val="1C3F4D6F"/>
    <w:rsid w:val="21051E8A"/>
    <w:rsid w:val="2645183F"/>
    <w:rsid w:val="2B7E0BE5"/>
    <w:rsid w:val="489446C9"/>
    <w:rsid w:val="50901F06"/>
    <w:rsid w:val="70FF0E3B"/>
    <w:rsid w:val="78BD432C"/>
    <w:rsid w:val="7A4171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uiPriority="39" w:semiHidden="0" w:name="toc 2"/>
    <w:lsdException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qFormat="1" w:uiPriority="99" w:semiHidden="0" w:name="line number"/>
    <w:lsdException w:uiPriority="0" w:name="page number"/>
    <w:lsdException w:uiPriority="0" w:name="endnote reference"/>
    <w:lsdException w:unhideWhenUsed="0" w:uiPriority="0" w:semiHidden="0" w:name="endnote text"/>
    <w:lsdException w:uiPriority="0" w:name="table of authorities"/>
    <w:lsdException w:uiPriority="0" w:name="macro"/>
    <w:lsdException w:unhideWhenUsed="0" w:uiPriority="0" w:semiHidden="0" w:name="toa heading"/>
    <w:lsdException w:unhideWhenUsed="0" w:uiPriority="0" w:semiHidden="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qFormat="1" w:unhideWhenUsed="0" w:uiPriority="1" w:semiHidden="0" w:name="Body Text"/>
    <w:lsdException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iPriority="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rPr>
      <w:rFonts w:ascii="Calibri" w:hAnsi="Calibri" w:eastAsia="宋体" w:cs="Times New Roman"/>
      <w:lang w:val="en-US" w:eastAsia="zh-CN" w:bidi="ar-SA"/>
    </w:rPr>
  </w:style>
  <w:style w:type="paragraph" w:styleId="2">
    <w:name w:val="heading 1"/>
    <w:basedOn w:val="1"/>
    <w:next w:val="1"/>
    <w:link w:val="26"/>
    <w:qFormat/>
    <w:uiPriority w:val="1"/>
    <w:pPr>
      <w:ind w:left="400"/>
      <w:outlineLvl w:val="0"/>
    </w:pPr>
    <w:rPr>
      <w:rFonts w:ascii="黑体" w:hAnsi="黑体" w:eastAsia="黑体" w:cs="黑体"/>
      <w:sz w:val="52"/>
      <w:szCs w:val="52"/>
    </w:rPr>
  </w:style>
  <w:style w:type="paragraph" w:styleId="3">
    <w:name w:val="heading 2"/>
    <w:basedOn w:val="1"/>
    <w:next w:val="1"/>
    <w:qFormat/>
    <w:uiPriority w:val="1"/>
    <w:pPr>
      <w:spacing w:before="54"/>
      <w:ind w:left="80"/>
      <w:jc w:val="center"/>
      <w:outlineLvl w:val="1"/>
    </w:pPr>
    <w:rPr>
      <w:rFonts w:ascii="黑体" w:hAnsi="黑体" w:eastAsia="黑体" w:cs="黑体"/>
      <w:sz w:val="32"/>
      <w:szCs w:val="32"/>
    </w:rPr>
  </w:style>
  <w:style w:type="paragraph" w:styleId="4">
    <w:name w:val="heading 3"/>
    <w:basedOn w:val="1"/>
    <w:next w:val="1"/>
    <w:link w:val="27"/>
    <w:qFormat/>
    <w:uiPriority w:val="1"/>
    <w:pPr>
      <w:spacing w:before="62" w:after="100" w:afterLines="100"/>
      <w:jc w:val="center"/>
      <w:outlineLvl w:val="2"/>
    </w:pPr>
    <w:rPr>
      <w:rFonts w:ascii="黑体" w:hAnsi="黑体" w:eastAsia="黑体" w:cs="黑体"/>
      <w:sz w:val="28"/>
      <w:szCs w:val="28"/>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1"/>
    <w:semiHidden/>
    <w:unhideWhenUsed/>
    <w:uiPriority w:val="0"/>
  </w:style>
  <w:style w:type="paragraph" w:styleId="6">
    <w:name w:val="Body Text"/>
    <w:basedOn w:val="1"/>
    <w:link w:val="28"/>
    <w:qFormat/>
    <w:uiPriority w:val="1"/>
    <w:rPr>
      <w:sz w:val="21"/>
      <w:szCs w:val="21"/>
    </w:rPr>
  </w:style>
  <w:style w:type="paragraph" w:styleId="7">
    <w:name w:val="toc 3"/>
    <w:basedOn w:val="1"/>
    <w:next w:val="1"/>
    <w:unhideWhenUsed/>
    <w:uiPriority w:val="39"/>
    <w:pPr>
      <w:tabs>
        <w:tab w:val="right" w:leader="dot" w:pos="9802"/>
      </w:tabs>
      <w:ind w:left="880" w:leftChars="400"/>
    </w:pPr>
  </w:style>
  <w:style w:type="paragraph" w:styleId="8">
    <w:name w:val="Balloon Text"/>
    <w:basedOn w:val="1"/>
    <w:link w:val="33"/>
    <w:uiPriority w:val="0"/>
    <w:rPr>
      <w:sz w:val="18"/>
      <w:szCs w:val="18"/>
    </w:rPr>
  </w:style>
  <w:style w:type="paragraph" w:styleId="9">
    <w:name w:val="footer"/>
    <w:basedOn w:val="1"/>
    <w:link w:val="25"/>
    <w:qFormat/>
    <w:uiPriority w:val="99"/>
    <w:pPr>
      <w:tabs>
        <w:tab w:val="center" w:pos="4153"/>
        <w:tab w:val="right" w:pos="8306"/>
      </w:tabs>
      <w:snapToGrid w:val="0"/>
    </w:pPr>
    <w:rPr>
      <w:sz w:val="18"/>
    </w:rPr>
  </w:style>
  <w:style w:type="paragraph" w:styleId="10">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spacing w:line="360" w:lineRule="auto"/>
    </w:pPr>
    <w:rPr>
      <w:sz w:val="24"/>
    </w:rPr>
  </w:style>
  <w:style w:type="paragraph" w:styleId="12">
    <w:name w:val="toc 2"/>
    <w:basedOn w:val="1"/>
    <w:next w:val="1"/>
    <w:unhideWhenUsed/>
    <w:uiPriority w:val="39"/>
    <w:pPr>
      <w:tabs>
        <w:tab w:val="right" w:leader="dot" w:pos="9802"/>
      </w:tabs>
      <w:spacing w:line="360" w:lineRule="auto"/>
      <w:ind w:left="880" w:leftChars="400"/>
    </w:pPr>
  </w:style>
  <w:style w:type="paragraph" w:styleId="13">
    <w:name w:val="annotation subject"/>
    <w:basedOn w:val="5"/>
    <w:next w:val="5"/>
    <w:link w:val="32"/>
    <w:semiHidden/>
    <w:unhideWhenUsed/>
    <w:uiPriority w:val="0"/>
    <w:rPr>
      <w:b/>
      <w:bCs/>
    </w:rPr>
  </w:style>
  <w:style w:type="table" w:styleId="15">
    <w:name w:val="Table Grid"/>
    <w:basedOn w:val="14"/>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bCs/>
    </w:rPr>
  </w:style>
  <w:style w:type="character" w:styleId="18">
    <w:name w:val="line number"/>
    <w:basedOn w:val="16"/>
    <w:unhideWhenUsed/>
    <w:qFormat/>
    <w:uiPriority w:val="99"/>
  </w:style>
  <w:style w:type="character" w:styleId="19">
    <w:name w:val="Hyperlink"/>
    <w:basedOn w:val="16"/>
    <w:unhideWhenUsed/>
    <w:qFormat/>
    <w:uiPriority w:val="99"/>
    <w:rPr>
      <w:color w:val="0000FF" w:themeColor="hyperlink"/>
      <w:u w:val="single"/>
      <w14:textFill>
        <w14:solidFill>
          <w14:schemeClr w14:val="hlink"/>
        </w14:solidFill>
      </w14:textFill>
    </w:rPr>
  </w:style>
  <w:style w:type="character" w:styleId="20">
    <w:name w:val="annotation reference"/>
    <w:basedOn w:val="16"/>
    <w:semiHidden/>
    <w:unhideWhenUsed/>
    <w:qFormat/>
    <w:uiPriority w:val="0"/>
    <w:rPr>
      <w:sz w:val="21"/>
      <w:szCs w:val="21"/>
    </w:rPr>
  </w:style>
  <w:style w:type="table" w:customStyle="1" w:styleId="21">
    <w:name w:val="Table Normal"/>
    <w:semiHidden/>
    <w:unhideWhenUsed/>
    <w:qFormat/>
    <w:uiPriority w:val="2"/>
    <w:tblPr>
      <w:tblCellMar>
        <w:top w:w="0" w:type="dxa"/>
        <w:left w:w="0" w:type="dxa"/>
        <w:bottom w:w="0" w:type="dxa"/>
        <w:right w:w="0" w:type="dxa"/>
      </w:tblCellMar>
    </w:tblPr>
  </w:style>
  <w:style w:type="paragraph" w:styleId="22">
    <w:name w:val="List Paragraph"/>
    <w:basedOn w:val="1"/>
    <w:qFormat/>
    <w:uiPriority w:val="99"/>
    <w:pPr>
      <w:spacing w:before="43"/>
      <w:ind w:left="1071" w:hanging="526"/>
    </w:pPr>
  </w:style>
  <w:style w:type="paragraph" w:customStyle="1" w:styleId="23">
    <w:name w:val="Table Paragraph"/>
    <w:basedOn w:val="1"/>
    <w:qFormat/>
    <w:uiPriority w:val="1"/>
    <w:pPr>
      <w:spacing w:before="38"/>
      <w:ind w:left="107"/>
    </w:pPr>
  </w:style>
  <w:style w:type="character" w:customStyle="1" w:styleId="24">
    <w:name w:val="页眉 字符"/>
    <w:basedOn w:val="16"/>
    <w:link w:val="10"/>
    <w:qFormat/>
    <w:uiPriority w:val="99"/>
    <w:rPr>
      <w:rFonts w:ascii="宋体" w:hAnsi="宋体" w:cs="宋体"/>
      <w:sz w:val="18"/>
      <w:szCs w:val="18"/>
      <w:lang w:val="zh-CN" w:bidi="zh-CN"/>
    </w:rPr>
  </w:style>
  <w:style w:type="character" w:customStyle="1" w:styleId="25">
    <w:name w:val="页脚 字符"/>
    <w:basedOn w:val="16"/>
    <w:link w:val="9"/>
    <w:qFormat/>
    <w:uiPriority w:val="99"/>
    <w:rPr>
      <w:rFonts w:ascii="宋体" w:hAnsi="宋体" w:cs="宋体"/>
      <w:sz w:val="18"/>
      <w:szCs w:val="22"/>
      <w:lang w:val="zh-CN" w:bidi="zh-CN"/>
    </w:rPr>
  </w:style>
  <w:style w:type="character" w:customStyle="1" w:styleId="26">
    <w:name w:val="标题 1 字符"/>
    <w:basedOn w:val="16"/>
    <w:link w:val="2"/>
    <w:qFormat/>
    <w:uiPriority w:val="1"/>
    <w:rPr>
      <w:rFonts w:ascii="黑体" w:hAnsi="黑体" w:eastAsia="黑体" w:cs="黑体"/>
      <w:sz w:val="52"/>
      <w:szCs w:val="52"/>
      <w:lang w:val="zh-CN" w:bidi="zh-CN"/>
    </w:rPr>
  </w:style>
  <w:style w:type="character" w:customStyle="1" w:styleId="27">
    <w:name w:val="标题 3 字符"/>
    <w:basedOn w:val="16"/>
    <w:link w:val="4"/>
    <w:qFormat/>
    <w:uiPriority w:val="1"/>
    <w:rPr>
      <w:rFonts w:ascii="黑体" w:hAnsi="黑体" w:eastAsia="黑体" w:cs="黑体"/>
      <w:sz w:val="28"/>
      <w:szCs w:val="28"/>
      <w:lang w:val="zh-CN" w:bidi="zh-CN"/>
    </w:rPr>
  </w:style>
  <w:style w:type="character" w:customStyle="1" w:styleId="28">
    <w:name w:val="正文文本 字符"/>
    <w:basedOn w:val="16"/>
    <w:link w:val="6"/>
    <w:uiPriority w:val="1"/>
    <w:rPr>
      <w:rFonts w:ascii="宋体" w:hAnsi="宋体" w:cs="宋体"/>
      <w:sz w:val="21"/>
      <w:szCs w:val="21"/>
      <w:lang w:val="zh-CN" w:bidi="zh-CN"/>
    </w:rPr>
  </w:style>
  <w:style w:type="character" w:customStyle="1" w:styleId="29">
    <w:name w:val="未处理的提及1"/>
    <w:basedOn w:val="16"/>
    <w:semiHidden/>
    <w:unhideWhenUsed/>
    <w:uiPriority w:val="99"/>
    <w:rPr>
      <w:color w:val="605E5C"/>
      <w:shd w:val="clear" w:color="auto" w:fill="E1DFDD"/>
    </w:rPr>
  </w:style>
  <w:style w:type="paragraph" w:customStyle="1" w:styleId="30">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31">
    <w:name w:val="批注文字 字符"/>
    <w:basedOn w:val="16"/>
    <w:link w:val="5"/>
    <w:semiHidden/>
    <w:uiPriority w:val="0"/>
    <w:rPr>
      <w:rFonts w:ascii="宋体" w:hAnsi="宋体" w:cs="宋体"/>
      <w:sz w:val="22"/>
      <w:szCs w:val="22"/>
      <w:lang w:val="zh-CN" w:bidi="zh-CN"/>
    </w:rPr>
  </w:style>
  <w:style w:type="character" w:customStyle="1" w:styleId="32">
    <w:name w:val="批注主题 字符"/>
    <w:basedOn w:val="31"/>
    <w:link w:val="13"/>
    <w:semiHidden/>
    <w:uiPriority w:val="0"/>
    <w:rPr>
      <w:rFonts w:ascii="宋体" w:hAnsi="宋体" w:cs="宋体"/>
      <w:b/>
      <w:bCs/>
      <w:sz w:val="22"/>
      <w:szCs w:val="22"/>
      <w:lang w:val="zh-CN" w:bidi="zh-CN"/>
    </w:rPr>
  </w:style>
  <w:style w:type="character" w:customStyle="1" w:styleId="33">
    <w:name w:val="批注框文本 字符"/>
    <w:basedOn w:val="16"/>
    <w:link w:val="8"/>
    <w:uiPriority w:val="0"/>
    <w:rPr>
      <w:rFonts w:ascii="宋体" w:hAnsi="宋体" w:cs="宋体"/>
      <w:sz w:val="18"/>
      <w:szCs w:val="18"/>
      <w:lang w:val="zh-CN" w:bidi="zh-CN"/>
    </w:rPr>
  </w:style>
  <w:style w:type="paragraph" w:customStyle="1" w:styleId="34">
    <w:name w:val="TOC 标题1"/>
    <w:basedOn w:val="2"/>
    <w:next w:val="1"/>
    <w:unhideWhenUsed/>
    <w:qFormat/>
    <w:uiPriority w:val="39"/>
    <w:pPr>
      <w:keepNext/>
      <w:keepLines/>
      <w:spacing w:before="240" w:line="259" w:lineRule="auto"/>
      <w:ind w:left="0"/>
      <w:outlineLvl w:val="9"/>
    </w:pPr>
    <w:rPr>
      <w:rFonts w:asciiTheme="majorHAnsi" w:hAnsiTheme="majorHAnsi" w:eastAsiaTheme="majorEastAsia" w:cstheme="majorBidi"/>
      <w:color w:val="376092" w:themeColor="accent1" w:themeShade="BF"/>
      <w:sz w:val="32"/>
      <w:szCs w:val="32"/>
    </w:rPr>
  </w:style>
  <w:style w:type="paragraph" w:customStyle="1" w:styleId="35">
    <w:name w:val="TOC Heading"/>
    <w:basedOn w:val="2"/>
    <w:next w:val="1"/>
    <w:unhideWhenUsed/>
    <w:qFormat/>
    <w:uiPriority w:val="39"/>
    <w:pPr>
      <w:keepNext/>
      <w:keepLines/>
      <w:spacing w:before="240" w:line="259" w:lineRule="auto"/>
      <w:ind w:left="0"/>
      <w:outlineLvl w:val="9"/>
    </w:pPr>
    <w:rPr>
      <w:rFonts w:asciiTheme="majorHAnsi" w:hAnsiTheme="majorHAnsi" w:eastAsiaTheme="majorEastAsia" w:cstheme="majorBidi"/>
      <w:color w:val="376092" w:themeColor="accent1" w:themeShade="BF"/>
      <w:sz w:val="32"/>
      <w:szCs w:val="32"/>
    </w:rPr>
  </w:style>
  <w:style w:type="table" w:customStyle="1" w:styleId="36">
    <w:name w:val="网格型1"/>
    <w:basedOn w:val="14"/>
    <w:qFormat/>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7">
    <w:name w:val="网格型2"/>
    <w:basedOn w:val="14"/>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8">
    <w:name w:val="网格型3"/>
    <w:basedOn w:val="14"/>
    <w:uiPriority w:val="0"/>
    <w:rPr>
      <w:rFonts w:ascii="宋体" w:hAnsi="Times New Roman"/>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1"/>
    <customShpInfo spid="_x0000_s2050"/>
    <customShpInfo spid="_x0000_s2049"/>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FB2632-E6D7-425A-9B20-E6A92D0D79D8}">
  <ds:schemaRefs/>
</ds:datastoreItem>
</file>

<file path=docProps/app.xml><?xml version="1.0" encoding="utf-8"?>
<Properties xmlns="http://schemas.openxmlformats.org/officeDocument/2006/extended-properties" xmlns:vt="http://schemas.openxmlformats.org/officeDocument/2006/docPropsVTypes">
  <Template>Normal</Template>
  <Pages>6</Pages>
  <Words>1161</Words>
  <Characters>1285</Characters>
  <Lines>13</Lines>
  <Paragraphs>3</Paragraphs>
  <TotalTime>0</TotalTime>
  <ScaleCrop>false</ScaleCrop>
  <LinksUpToDate>false</LinksUpToDate>
  <CharactersWithSpaces>1410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2021-10-08T01:36:00Z</dcterms:created>
  <dc:creator>DELL</dc:creator>
  <cp:lastModifiedBy>Mincy^</cp:lastModifiedBy>
  <cp:lastPrinted>2026-06-24T08:58:06Z</cp:lastPrinted>
  <dcterms:modified xsi:type="dcterms:W3CDTF">2026-06-24T09:02:09Z</dcterms:modified>
  <dc:title>标准名称</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2018-11-03T00:00:00Z</vt:filetime>
  </property>
  <property fmtid="{D5CDD505-2E9C-101B-9397-08002B2CF9AE}" pid="3" name="Creator">
    <vt:lpwstr>Microsoft® Word 2010</vt:lpwstr>
  </property>
  <property fmtid="{D5CDD505-2E9C-101B-9397-08002B2CF9AE}" pid="4" name="LastSaved">
    <vt:filetime>2019-02-27T00:00:00Z</vt:filetime>
  </property>
  <property fmtid="{D5CDD505-2E9C-101B-9397-08002B2CF9AE}" pid="5" name="KSOProductBuildVer">
    <vt:lpwstr>2052-12.1.0.26895</vt:lpwstr>
  </property>
  <property fmtid="{D5CDD505-2E9C-101B-9397-08002B2CF9AE}" pid="6" name="KSOTemplateDocerSaveRecord">
    <vt:lpwstr>eyJoZGlkIjoiZWYxMjBhZTcyZWMxODM4YjA3MmQ3ZDE5YTQ4NTBkYzQiLCJ1c2VySWQiOiI0MjA1NTI2NTUifQ==</vt:lpwstr>
  </property>
  <property fmtid="{D5CDD505-2E9C-101B-9397-08002B2CF9AE}" pid="7" name="ICV">
    <vt:lpwstr>7A984741ED2C476182BDC95548133DD3_12</vt:lpwstr>
  </property>
</Properties>
</file>