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CCDBAE">
      <w:pPr>
        <w:pStyle w:val="6"/>
        <w:spacing w:before="1440" w:beforeLines="600" w:after="480" w:afterLines="200"/>
        <w:jc w:val="center"/>
        <w:rPr>
          <w:rFonts w:ascii="黑体" w:hAnsi="黑体" w:eastAsia="黑体" w:cs="黑体"/>
          <w:b/>
          <w:bCs/>
          <w:sz w:val="52"/>
          <w:szCs w:val="52"/>
        </w:rPr>
      </w:pPr>
      <w:r>
        <w:rPr>
          <w:rFonts w:hint="eastAsia" w:ascii="黑体" w:hAnsi="黑体" w:eastAsia="黑体" w:cs="黑体"/>
          <w:b/>
          <w:bCs/>
          <w:sz w:val="52"/>
          <w:szCs w:val="52"/>
        </w:rPr>
        <w:t>中国食品土畜进出口商会团体标准</w:t>
      </w:r>
    </w:p>
    <w:p w14:paraId="09669244">
      <w:pPr>
        <w:pStyle w:val="6"/>
        <w:spacing w:before="120" w:after="120"/>
        <w:ind w:left="425" w:right="660"/>
        <w:jc w:val="right"/>
        <w:rPr>
          <w:rFonts w:ascii="Arial Unicode MS" w:hAnsi="Arial Unicode MS" w:eastAsia="Arial Unicode MS" w:cs="Arial Unicode MS"/>
          <w:sz w:val="28"/>
          <w:szCs w:val="28"/>
        </w:rPr>
      </w:pPr>
      <w:r>
        <w:rPr>
          <w:rFonts w:ascii="宋体" w:hAnsi="宋体" w:cs="宋体"/>
          <w:b/>
          <w:bCs/>
        </w:rPr>
        <mc:AlternateContent>
          <mc:Choice Requires="wps">
            <w:drawing>
              <wp:anchor distT="0" distB="0" distL="114300" distR="114300" simplePos="0" relativeHeight="251660288" behindDoc="0" locked="0" layoutInCell="1" allowOverlap="1">
                <wp:simplePos x="0" y="0"/>
                <wp:positionH relativeFrom="page">
                  <wp:posOffset>739140</wp:posOffset>
                </wp:positionH>
                <wp:positionV relativeFrom="paragraph">
                  <wp:posOffset>313690</wp:posOffset>
                </wp:positionV>
                <wp:extent cx="6120130" cy="0"/>
                <wp:effectExtent l="0" t="0" r="0" b="0"/>
                <wp:wrapNone/>
                <wp:docPr id="1" name="Line 2"/>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wps:spPr>
                      <wps:bodyPr/>
                    </wps:wsp>
                  </a:graphicData>
                </a:graphic>
              </wp:anchor>
            </w:drawing>
          </mc:Choice>
          <mc:Fallback>
            <w:pict>
              <v:line id="Line 2" o:spid="_x0000_s1026" o:spt="20" style="position:absolute;left:0pt;margin-left:58.2pt;margin-top:24.7pt;height:0pt;width:481.9pt;mso-position-horizontal-relative:page;z-index:251660288;mso-width-relative:page;mso-height-relative:page;" filled="f" stroked="t" coordsize="21600,21600" o:gfxdata="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DZUyWB1wAAAAoBAAAPAAAAAAAAAAEAIAAAACIAAABkcnMvZG93&#10;bnJldi54bWxQSwECFAAUAAAACACHTuJAXDtjQsgBAACfAwAADgAAAAAAAAABACAAAAAmAQAAZHJz&#10;L2Uyb0RvYy54bWxQSwUGAAAAAAYABgBZAQAAYAUAAAAA&#10;">
                <v:fill on="f" focussize="0,0"/>
                <v:stroke color="#000000" joinstyle="round"/>
                <v:imagedata o:title=""/>
                <o:lock v:ext="edit" aspectratio="f"/>
              </v:line>
            </w:pict>
          </mc:Fallback>
        </mc:AlternateContent>
      </w:r>
      <w:r>
        <w:rPr>
          <w:rFonts w:ascii="Arial Unicode MS" w:hAnsi="Arial Unicode MS" w:eastAsia="Arial Unicode MS" w:cs="Arial Unicode MS"/>
          <w:b/>
          <w:bCs/>
          <w:sz w:val="28"/>
          <w:szCs w:val="28"/>
        </w:rPr>
        <w:t>T</w:t>
      </w:r>
      <w:r>
        <w:rPr>
          <w:rFonts w:hint="eastAsia" w:ascii="Arial Unicode MS" w:hAnsi="Arial Unicode MS" w:eastAsia="Arial Unicode MS" w:cs="Arial Unicode MS"/>
          <w:b/>
          <w:bCs/>
          <w:sz w:val="28"/>
          <w:szCs w:val="28"/>
        </w:rPr>
        <w:t>/CFNA</w:t>
      </w:r>
      <w:r>
        <w:rPr>
          <w:rFonts w:ascii="Arial Unicode MS" w:hAnsi="Arial Unicode MS" w:eastAsia="Arial Unicode MS" w:cs="Arial Unicode MS"/>
          <w:b/>
          <w:bCs/>
          <w:sz w:val="28"/>
          <w:szCs w:val="28"/>
        </w:rPr>
        <w:t xml:space="preserve">   16</w:t>
      </w:r>
      <w:r>
        <w:rPr>
          <w:rFonts w:hint="eastAsia" w:ascii="Arial Unicode MS" w:hAnsi="Arial Unicode MS" w:eastAsia="Arial Unicode MS" w:cs="Arial Unicode MS"/>
          <w:b/>
          <w:bCs/>
          <w:sz w:val="28"/>
          <w:szCs w:val="28"/>
          <w:lang w:val="en-US" w:eastAsia="zh-CN"/>
        </w:rPr>
        <w:t>86</w:t>
      </w:r>
      <w:r>
        <w:rPr>
          <w:rFonts w:ascii="Arial Unicode MS" w:hAnsi="Arial Unicode MS" w:eastAsia="Arial Unicode MS" w:cs="Arial Unicode MS"/>
          <w:b/>
          <w:bCs/>
          <w:sz w:val="28"/>
          <w:szCs w:val="28"/>
        </w:rPr>
        <w:t>-2025</w:t>
      </w:r>
    </w:p>
    <w:p w14:paraId="7B199A13">
      <w:pPr>
        <w:spacing w:before="2880" w:beforeLines="1200" w:after="240" w:afterLines="100"/>
        <w:jc w:val="center"/>
        <w:rPr>
          <w:rFonts w:ascii="黑体" w:hAnsi="黑体" w:eastAsia="黑体"/>
          <w:b/>
          <w:bCs/>
          <w:sz w:val="44"/>
          <w:szCs w:val="44"/>
        </w:rPr>
      </w:pPr>
      <w:r>
        <w:rPr>
          <w:rFonts w:hint="eastAsia" w:ascii="黑体" w:hAnsi="黑体" w:eastAsia="黑体"/>
          <w:b/>
          <w:bCs/>
          <w:sz w:val="44"/>
          <w:szCs w:val="44"/>
        </w:rPr>
        <w:t>食用黄粉虫干流通分级技术标准</w:t>
      </w:r>
    </w:p>
    <w:p w14:paraId="14C3041D">
      <w:pPr>
        <w:spacing w:before="240" w:beforeLines="100" w:after="120"/>
        <w:ind w:right="-1"/>
        <w:jc w:val="center"/>
        <w:rPr>
          <w:rFonts w:ascii="黑体" w:hAnsi="黑体" w:eastAsia="黑体"/>
          <w:b/>
          <w:bCs/>
          <w:sz w:val="44"/>
          <w:szCs w:val="44"/>
        </w:rPr>
      </w:pPr>
      <w:r>
        <w:t xml:space="preserve"> </w:t>
      </w:r>
      <w:r>
        <w:rPr>
          <w:rFonts w:ascii="黑体" w:hAnsi="黑体" w:eastAsia="黑体"/>
          <w:b/>
          <w:bCs/>
          <w:sz w:val="44"/>
          <w:szCs w:val="44"/>
        </w:rPr>
        <w:t xml:space="preserve">Technical Standard for Circulation Grading of Edible Dried Yellow Mealworms </w:t>
      </w:r>
    </w:p>
    <w:p w14:paraId="0DD8313D">
      <w:pPr>
        <w:spacing w:before="240" w:beforeLines="100" w:after="120"/>
        <w:ind w:right="-1"/>
        <w:jc w:val="center"/>
        <w:rPr>
          <w:rFonts w:ascii="黑体" w:hAnsi="黑体" w:eastAsia="黑体"/>
          <w:b/>
          <w:bCs/>
          <w:sz w:val="28"/>
          <w:szCs w:val="28"/>
        </w:rPr>
      </w:pPr>
      <w:r>
        <w:rPr>
          <w:rFonts w:hint="eastAsia" w:ascii="黑体" w:hAnsi="黑体" w:eastAsia="黑体"/>
          <w:b/>
          <w:bCs/>
          <w:sz w:val="28"/>
          <w:szCs w:val="28"/>
        </w:rPr>
        <w:t>（征求意见稿）</w:t>
      </w:r>
    </w:p>
    <w:p w14:paraId="39E5BBCA">
      <w:pPr>
        <w:spacing w:before="4320" w:beforeLines="1800"/>
        <w:jc w:val="center"/>
        <w:rPr>
          <w:rStyle w:val="17"/>
          <w:rFonts w:ascii="黑体" w:hAnsi="黑体" w:eastAsia="黑体"/>
          <w:sz w:val="28"/>
          <w:szCs w:val="28"/>
        </w:rPr>
      </w:pPr>
      <w:r>
        <w:rPr>
          <w:rStyle w:val="17"/>
          <w:rFonts w:ascii="宋体" w:hAnsi="宋体"/>
          <w:sz w:val="22"/>
          <w:szCs w:val="22"/>
        </w:rPr>
        <mc:AlternateContent>
          <mc:Choice Requires="wps">
            <w:drawing>
              <wp:anchor distT="0" distB="0" distL="114300" distR="114300" simplePos="0" relativeHeight="251659264" behindDoc="0" locked="0" layoutInCell="1" allowOverlap="1">
                <wp:simplePos x="0" y="0"/>
                <wp:positionH relativeFrom="page">
                  <wp:posOffset>655320</wp:posOffset>
                </wp:positionH>
                <wp:positionV relativeFrom="paragraph">
                  <wp:posOffset>2942590</wp:posOffset>
                </wp:positionV>
                <wp:extent cx="6120130" cy="0"/>
                <wp:effectExtent l="0" t="0" r="0" b="0"/>
                <wp:wrapNone/>
                <wp:docPr id="7" name="Line 2"/>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wps:spPr>
                      <wps:bodyPr/>
                    </wps:wsp>
                  </a:graphicData>
                </a:graphic>
              </wp:anchor>
            </w:drawing>
          </mc:Choice>
          <mc:Fallback>
            <w:pict>
              <v:line id="Line 2" o:spid="_x0000_s1026" o:spt="20" style="position:absolute;left:0pt;margin-left:51.6pt;margin-top:231.7pt;height:0pt;width:481.9pt;mso-position-horizontal-relative:page;z-index:251659264;mso-width-relative:page;mso-height-relative:page;" filled="f" stroked="t" coordsize="21600,21600" o:gfxdata="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D2IG2w1wAAAAwBAAAPAAAAAAAAAAEAIAAAACIAAABkcnMvZG93&#10;bnJldi54bWxQSwECFAAUAAAACACHTuJAVgw/4MgBAACfAwAADgAAAAAAAAABACAAAAAmAQAAZHJz&#10;L2Uyb0RvYy54bWxQSwUGAAAAAAYABgBZAQAAYAUAAAAA&#10;">
                <v:fill on="f" focussize="0,0"/>
                <v:stroke color="#000000" joinstyle="round"/>
                <v:imagedata o:title=""/>
                <o:lock v:ext="edit" aspectratio="f"/>
              </v:line>
            </w:pict>
          </mc:Fallback>
        </mc:AlternateContent>
      </w:r>
      <w:r>
        <w:rPr>
          <w:rFonts w:ascii="黑体" w:hAnsi="黑体" w:eastAsia="黑体" w:cs="黑体"/>
          <w:b/>
          <w:bCs/>
          <w:spacing w:val="-1"/>
          <w:sz w:val="28"/>
          <w:szCs w:val="28"/>
        </w:rPr>
        <w:t>202</w:t>
      </w:r>
      <w:r>
        <w:rPr>
          <w:rFonts w:hint="eastAsia" w:ascii="黑体" w:hAnsi="黑体" w:eastAsia="黑体" w:cs="黑体"/>
          <w:b/>
          <w:bCs/>
          <w:spacing w:val="-1"/>
          <w:sz w:val="28"/>
          <w:szCs w:val="28"/>
          <w:lang w:val="en-US" w:eastAsia="zh-CN"/>
        </w:rPr>
        <w:t>5</w:t>
      </w:r>
      <w:r>
        <w:rPr>
          <w:rFonts w:ascii="黑体" w:hAnsi="黑体" w:eastAsia="黑体" w:cs="黑体"/>
          <w:b/>
          <w:bCs/>
          <w:spacing w:val="-1"/>
          <w:sz w:val="28"/>
          <w:szCs w:val="28"/>
        </w:rPr>
        <w:t>-</w:t>
      </w:r>
      <w:r>
        <w:rPr>
          <w:rFonts w:hint="eastAsia" w:ascii="黑体" w:hAnsi="黑体" w:eastAsia="黑体" w:cs="黑体"/>
          <w:b/>
          <w:bCs/>
          <w:spacing w:val="-1"/>
          <w:sz w:val="28"/>
          <w:szCs w:val="28"/>
          <w:lang w:val="en-US" w:eastAsia="zh-CN"/>
        </w:rPr>
        <w:t>**</w:t>
      </w:r>
      <w:r>
        <w:rPr>
          <w:rFonts w:ascii="黑体" w:hAnsi="黑体" w:eastAsia="黑体" w:cs="黑体"/>
          <w:b/>
          <w:bCs/>
          <w:spacing w:val="-1"/>
          <w:sz w:val="28"/>
          <w:szCs w:val="28"/>
        </w:rPr>
        <w:t>-</w:t>
      </w:r>
      <w:r>
        <w:rPr>
          <w:rFonts w:hint="eastAsia" w:ascii="黑体" w:hAnsi="黑体" w:eastAsia="黑体" w:cs="黑体"/>
          <w:b/>
          <w:bCs/>
          <w:spacing w:val="-1"/>
          <w:sz w:val="28"/>
          <w:szCs w:val="28"/>
          <w:lang w:val="en-US" w:eastAsia="zh-CN"/>
        </w:rPr>
        <w:t>*</w:t>
      </w:r>
      <w:r>
        <w:rPr>
          <w:rStyle w:val="17"/>
          <w:rFonts w:ascii="黑体" w:hAnsi="黑体" w:eastAsia="黑体"/>
          <w:sz w:val="28"/>
          <w:szCs w:val="28"/>
        </w:rPr>
        <w:t xml:space="preserve">发布                      </w:t>
      </w:r>
      <w:bookmarkStart w:id="25" w:name="_GoBack"/>
      <w:bookmarkEnd w:id="25"/>
      <w:r>
        <w:rPr>
          <w:rStyle w:val="17"/>
          <w:rFonts w:ascii="黑体" w:hAnsi="黑体" w:eastAsia="黑体"/>
          <w:sz w:val="28"/>
          <w:szCs w:val="28"/>
        </w:rPr>
        <w:t xml:space="preserve">      </w:t>
      </w:r>
      <w:r>
        <w:rPr>
          <w:rFonts w:ascii="黑体" w:hAnsi="黑体" w:eastAsia="黑体" w:cs="黑体"/>
          <w:b/>
          <w:bCs/>
          <w:spacing w:val="-2"/>
          <w:sz w:val="28"/>
          <w:szCs w:val="28"/>
        </w:rPr>
        <w:t>202</w:t>
      </w:r>
      <w:r>
        <w:rPr>
          <w:rFonts w:hint="eastAsia" w:ascii="黑体" w:hAnsi="黑体" w:eastAsia="黑体" w:cs="黑体"/>
          <w:b/>
          <w:bCs/>
          <w:spacing w:val="-2"/>
          <w:sz w:val="28"/>
          <w:szCs w:val="28"/>
          <w:lang w:val="en-US" w:eastAsia="zh-CN"/>
        </w:rPr>
        <w:t>6</w:t>
      </w:r>
      <w:r>
        <w:rPr>
          <w:rFonts w:ascii="黑体" w:hAnsi="黑体" w:eastAsia="黑体" w:cs="黑体"/>
          <w:b/>
          <w:bCs/>
          <w:spacing w:val="-2"/>
          <w:sz w:val="28"/>
          <w:szCs w:val="28"/>
        </w:rPr>
        <w:t>-</w:t>
      </w:r>
      <w:r>
        <w:rPr>
          <w:rFonts w:hint="eastAsia" w:ascii="黑体" w:hAnsi="黑体" w:eastAsia="黑体" w:cs="黑体"/>
          <w:b/>
          <w:bCs/>
          <w:spacing w:val="-2"/>
          <w:sz w:val="28"/>
          <w:szCs w:val="28"/>
          <w:lang w:val="en-US" w:eastAsia="zh-CN"/>
        </w:rPr>
        <w:t>*</w:t>
      </w:r>
      <w:r>
        <w:rPr>
          <w:rFonts w:ascii="黑体" w:hAnsi="黑体" w:eastAsia="黑体" w:cs="黑体"/>
          <w:b/>
          <w:bCs/>
          <w:spacing w:val="-2"/>
          <w:sz w:val="28"/>
          <w:szCs w:val="28"/>
        </w:rPr>
        <w:t>-</w:t>
      </w:r>
      <w:r>
        <w:rPr>
          <w:rFonts w:hint="eastAsia" w:ascii="黑体" w:hAnsi="黑体" w:eastAsia="黑体" w:cs="黑体"/>
          <w:b/>
          <w:bCs/>
          <w:spacing w:val="-2"/>
          <w:sz w:val="28"/>
          <w:szCs w:val="28"/>
          <w:lang w:val="en-US" w:eastAsia="zh-CN"/>
        </w:rPr>
        <w:t>*</w:t>
      </w:r>
      <w:r>
        <w:rPr>
          <w:rFonts w:ascii="黑体" w:hAnsi="黑体" w:eastAsia="黑体" w:cs="黑体"/>
          <w:spacing w:val="-53"/>
          <w:sz w:val="28"/>
          <w:szCs w:val="28"/>
        </w:rPr>
        <w:t xml:space="preserve"> </w:t>
      </w:r>
      <w:r>
        <w:rPr>
          <w:rStyle w:val="17"/>
          <w:rFonts w:ascii="黑体" w:hAnsi="黑体" w:eastAsia="黑体"/>
          <w:sz w:val="28"/>
          <w:szCs w:val="28"/>
        </w:rPr>
        <w:t>实施</w:t>
      </w:r>
    </w:p>
    <w:p w14:paraId="7549F811">
      <w:pPr>
        <w:spacing w:before="120" w:after="120"/>
        <w:ind w:right="-1"/>
        <w:jc w:val="center"/>
        <w:rPr>
          <w:rFonts w:ascii="黑体" w:eastAsia="黑体"/>
          <w:sz w:val="32"/>
        </w:rPr>
        <w:sectPr>
          <w:headerReference r:id="rId5" w:type="first"/>
          <w:headerReference r:id="rId3" w:type="default"/>
          <w:footerReference r:id="rId6" w:type="default"/>
          <w:headerReference r:id="rId4" w:type="even"/>
          <w:pgSz w:w="11910" w:h="16840"/>
          <w:pgMar w:top="1440" w:right="1080" w:bottom="1440" w:left="1080" w:header="1134" w:footer="850" w:gutter="0"/>
          <w:cols w:space="720" w:num="1"/>
          <w:titlePg/>
          <w:docGrid w:linePitch="299" w:charSpace="0"/>
        </w:sectPr>
      </w:pPr>
      <w:bookmarkStart w:id="0" w:name="_Hlk51960914"/>
      <w:r>
        <w:rPr>
          <w:rFonts w:hint="eastAsia" w:ascii="黑体" w:hAnsi="黑体" w:eastAsia="黑体"/>
          <w:b/>
          <w:w w:val="130"/>
          <w:sz w:val="32"/>
          <w:szCs w:val="21"/>
        </w:rPr>
        <w:t>中国食品土畜进出口商会</w:t>
      </w:r>
      <w:r>
        <w:rPr>
          <w:rFonts w:ascii="黑体" w:hAnsi="黑体" w:eastAsia="黑体"/>
          <w:b/>
          <w:w w:val="130"/>
          <w:sz w:val="32"/>
          <w:szCs w:val="21"/>
        </w:rPr>
        <w:t xml:space="preserve">  </w:t>
      </w:r>
      <w:r>
        <w:rPr>
          <w:rFonts w:hint="eastAsia" w:ascii="黑体" w:hAnsi="黑体" w:eastAsia="黑体"/>
          <w:b/>
          <w:w w:val="130"/>
          <w:sz w:val="28"/>
          <w:szCs w:val="28"/>
        </w:rPr>
        <w:t>发布</w:t>
      </w:r>
      <w:bookmarkEnd w:id="0"/>
    </w:p>
    <w:sdt>
      <w:sdtPr>
        <w:rPr>
          <w:rFonts w:ascii="Calibri" w:hAnsi="Calibri" w:eastAsia="宋体" w:cs="Times New Roman"/>
          <w:color w:val="auto"/>
          <w:sz w:val="20"/>
          <w:szCs w:val="20"/>
          <w:lang w:val="zh-CN"/>
        </w:rPr>
        <w:id w:val="-2115352183"/>
        <w:docPartObj>
          <w:docPartGallery w:val="Table of Contents"/>
          <w:docPartUnique/>
        </w:docPartObj>
      </w:sdtPr>
      <w:sdtEndPr>
        <w:rPr>
          <w:rFonts w:ascii="宋体" w:hAnsi="宋体" w:eastAsia="宋体" w:cs="Times New Roman"/>
          <w:b/>
          <w:bCs/>
          <w:color w:val="auto"/>
          <w:sz w:val="24"/>
          <w:szCs w:val="24"/>
          <w:lang w:val="zh-CN"/>
        </w:rPr>
      </w:sdtEndPr>
      <w:sdtContent>
        <w:p w14:paraId="04B2322C">
          <w:pPr>
            <w:pStyle w:val="35"/>
            <w:jc w:val="center"/>
          </w:pPr>
          <w:r>
            <w:rPr>
              <w:lang w:val="zh-CN"/>
            </w:rPr>
            <w:t>目录</w:t>
          </w:r>
        </w:p>
        <w:p w14:paraId="6333D4CE">
          <w:pPr>
            <w:pStyle w:val="12"/>
            <w:ind w:left="800"/>
            <w:rPr>
              <w:rFonts w:asciiTheme="minorHAnsi" w:hAnsiTheme="minorHAnsi" w:eastAsiaTheme="minorEastAsia" w:cstheme="minorBidi"/>
              <w:kern w:val="2"/>
              <w:sz w:val="21"/>
              <w:szCs w:val="22"/>
            </w:rPr>
          </w:pPr>
          <w:r>
            <w:rPr>
              <w:rFonts w:ascii="宋体" w:hAnsi="宋体"/>
              <w:sz w:val="24"/>
              <w:szCs w:val="24"/>
            </w:rPr>
            <w:fldChar w:fldCharType="begin"/>
          </w:r>
          <w:r>
            <w:rPr>
              <w:rFonts w:ascii="宋体" w:hAnsi="宋体"/>
              <w:sz w:val="24"/>
              <w:szCs w:val="24"/>
            </w:rPr>
            <w:instrText xml:space="preserve"> TOC \o "1-3" \h \z \u </w:instrText>
          </w:r>
          <w:r>
            <w:rPr>
              <w:rFonts w:ascii="宋体" w:hAnsi="宋体"/>
              <w:sz w:val="24"/>
              <w:szCs w:val="24"/>
            </w:rPr>
            <w:fldChar w:fldCharType="separate"/>
          </w:r>
          <w:r>
            <w:fldChar w:fldCharType="begin"/>
          </w:r>
          <w:r>
            <w:instrText xml:space="preserve"> HYPERLINK \l "_Toc230153044" </w:instrText>
          </w:r>
          <w:r>
            <w:fldChar w:fldCharType="separate"/>
          </w:r>
          <w:r>
            <w:rPr>
              <w:rStyle w:val="19"/>
              <w:rFonts w:ascii="宋体" w:hAnsi="宋体"/>
              <w:b/>
              <w:bCs/>
            </w:rPr>
            <w:t>前言</w:t>
          </w:r>
          <w:r>
            <w:tab/>
          </w:r>
          <w:r>
            <w:fldChar w:fldCharType="begin"/>
          </w:r>
          <w:r>
            <w:instrText xml:space="preserve"> PAGEREF _Toc230153044 \h </w:instrText>
          </w:r>
          <w:r>
            <w:fldChar w:fldCharType="separate"/>
          </w:r>
          <w:r>
            <w:t>II</w:t>
          </w:r>
          <w:r>
            <w:fldChar w:fldCharType="end"/>
          </w:r>
          <w:r>
            <w:fldChar w:fldCharType="end"/>
          </w:r>
        </w:p>
        <w:p w14:paraId="5677CE5B">
          <w:pPr>
            <w:pStyle w:val="7"/>
            <w:tabs>
              <w:tab w:val="left" w:pos="1260"/>
            </w:tabs>
            <w:spacing w:line="360" w:lineRule="auto"/>
            <w:ind w:left="800"/>
            <w:rPr>
              <w:rFonts w:asciiTheme="minorHAnsi" w:hAnsiTheme="minorHAnsi" w:eastAsiaTheme="minorEastAsia" w:cstheme="minorBidi"/>
              <w:kern w:val="2"/>
              <w:sz w:val="21"/>
              <w:szCs w:val="22"/>
            </w:rPr>
          </w:pPr>
          <w:r>
            <w:fldChar w:fldCharType="begin"/>
          </w:r>
          <w:r>
            <w:instrText xml:space="preserve"> HYPERLINK \l "_Toc230153045" </w:instrText>
          </w:r>
          <w:r>
            <w:fldChar w:fldCharType="separate"/>
          </w:r>
          <w:r>
            <w:rPr>
              <w:rStyle w:val="19"/>
              <w:rFonts w:ascii="宋体" w:hAnsi="宋体"/>
              <w:b/>
              <w:bCs/>
            </w:rPr>
            <w:t>1</w:t>
          </w:r>
          <w:r>
            <w:rPr>
              <w:rFonts w:asciiTheme="minorHAnsi" w:hAnsiTheme="minorHAnsi" w:eastAsiaTheme="minorEastAsia" w:cstheme="minorBidi"/>
              <w:kern w:val="2"/>
              <w:sz w:val="21"/>
              <w:szCs w:val="22"/>
            </w:rPr>
            <w:tab/>
          </w:r>
          <w:r>
            <w:rPr>
              <w:rStyle w:val="19"/>
              <w:rFonts w:ascii="宋体" w:hAnsi="宋体"/>
              <w:b/>
              <w:bCs/>
            </w:rPr>
            <w:t>范围</w:t>
          </w:r>
          <w:r>
            <w:tab/>
          </w:r>
          <w:r>
            <w:fldChar w:fldCharType="begin"/>
          </w:r>
          <w:r>
            <w:instrText xml:space="preserve"> PAGEREF _Toc230153045 \h </w:instrText>
          </w:r>
          <w:r>
            <w:fldChar w:fldCharType="separate"/>
          </w:r>
          <w:r>
            <w:t>1</w:t>
          </w:r>
          <w:r>
            <w:fldChar w:fldCharType="end"/>
          </w:r>
          <w:r>
            <w:fldChar w:fldCharType="end"/>
          </w:r>
        </w:p>
        <w:p w14:paraId="4D346C00">
          <w:pPr>
            <w:pStyle w:val="7"/>
            <w:tabs>
              <w:tab w:val="left" w:pos="1260"/>
            </w:tabs>
            <w:spacing w:line="360" w:lineRule="auto"/>
            <w:ind w:left="800"/>
            <w:rPr>
              <w:rFonts w:asciiTheme="minorHAnsi" w:hAnsiTheme="minorHAnsi" w:eastAsiaTheme="minorEastAsia" w:cstheme="minorBidi"/>
              <w:kern w:val="2"/>
              <w:sz w:val="21"/>
              <w:szCs w:val="22"/>
            </w:rPr>
          </w:pPr>
          <w:r>
            <w:fldChar w:fldCharType="begin"/>
          </w:r>
          <w:r>
            <w:instrText xml:space="preserve"> HYPERLINK \l "_Toc230153046" </w:instrText>
          </w:r>
          <w:r>
            <w:fldChar w:fldCharType="separate"/>
          </w:r>
          <w:r>
            <w:rPr>
              <w:rStyle w:val="19"/>
              <w:rFonts w:ascii="宋体" w:hAnsi="宋体"/>
              <w:b/>
              <w:bCs/>
            </w:rPr>
            <w:t>2</w:t>
          </w:r>
          <w:r>
            <w:rPr>
              <w:rFonts w:asciiTheme="minorHAnsi" w:hAnsiTheme="minorHAnsi" w:eastAsiaTheme="minorEastAsia" w:cstheme="minorBidi"/>
              <w:kern w:val="2"/>
              <w:sz w:val="21"/>
              <w:szCs w:val="22"/>
            </w:rPr>
            <w:tab/>
          </w:r>
          <w:r>
            <w:rPr>
              <w:rStyle w:val="19"/>
              <w:rFonts w:ascii="宋体" w:hAnsi="宋体"/>
              <w:b/>
              <w:bCs/>
            </w:rPr>
            <w:t>规范性引用文件</w:t>
          </w:r>
          <w:r>
            <w:tab/>
          </w:r>
          <w:r>
            <w:fldChar w:fldCharType="begin"/>
          </w:r>
          <w:r>
            <w:instrText xml:space="preserve"> PAGEREF _Toc230153046 \h </w:instrText>
          </w:r>
          <w:r>
            <w:fldChar w:fldCharType="separate"/>
          </w:r>
          <w:r>
            <w:t>1</w:t>
          </w:r>
          <w:r>
            <w:fldChar w:fldCharType="end"/>
          </w:r>
          <w:r>
            <w:fldChar w:fldCharType="end"/>
          </w:r>
        </w:p>
        <w:p w14:paraId="6F2007E6">
          <w:pPr>
            <w:pStyle w:val="7"/>
            <w:tabs>
              <w:tab w:val="left" w:pos="1260"/>
            </w:tabs>
            <w:spacing w:line="360" w:lineRule="auto"/>
            <w:ind w:left="800"/>
            <w:rPr>
              <w:rFonts w:asciiTheme="minorHAnsi" w:hAnsiTheme="minorHAnsi" w:eastAsiaTheme="minorEastAsia" w:cstheme="minorBidi"/>
              <w:kern w:val="2"/>
              <w:sz w:val="21"/>
              <w:szCs w:val="22"/>
            </w:rPr>
          </w:pPr>
          <w:r>
            <w:fldChar w:fldCharType="begin"/>
          </w:r>
          <w:r>
            <w:instrText xml:space="preserve"> HYPERLINK \l "_Toc230153047" </w:instrText>
          </w:r>
          <w:r>
            <w:fldChar w:fldCharType="separate"/>
          </w:r>
          <w:r>
            <w:rPr>
              <w:rStyle w:val="19"/>
              <w:rFonts w:ascii="宋体" w:hAnsi="宋体"/>
              <w:b/>
              <w:bCs/>
            </w:rPr>
            <w:t>3</w:t>
          </w:r>
          <w:r>
            <w:rPr>
              <w:rFonts w:asciiTheme="minorHAnsi" w:hAnsiTheme="minorHAnsi" w:eastAsiaTheme="minorEastAsia" w:cstheme="minorBidi"/>
              <w:kern w:val="2"/>
              <w:sz w:val="21"/>
              <w:szCs w:val="22"/>
            </w:rPr>
            <w:tab/>
          </w:r>
          <w:r>
            <w:rPr>
              <w:rStyle w:val="19"/>
              <w:rFonts w:ascii="宋体" w:hAnsi="宋体"/>
              <w:b/>
              <w:bCs/>
            </w:rPr>
            <w:t>术语和定义</w:t>
          </w:r>
          <w:r>
            <w:tab/>
          </w:r>
          <w:r>
            <w:fldChar w:fldCharType="begin"/>
          </w:r>
          <w:r>
            <w:instrText xml:space="preserve"> PAGEREF _Toc230153047 \h </w:instrText>
          </w:r>
          <w:r>
            <w:fldChar w:fldCharType="separate"/>
          </w:r>
          <w:r>
            <w:t>2</w:t>
          </w:r>
          <w:r>
            <w:fldChar w:fldCharType="end"/>
          </w:r>
          <w:r>
            <w:fldChar w:fldCharType="end"/>
          </w:r>
        </w:p>
        <w:p w14:paraId="3ADC02D5">
          <w:pPr>
            <w:pStyle w:val="7"/>
            <w:tabs>
              <w:tab w:val="left" w:pos="1260"/>
            </w:tabs>
            <w:spacing w:line="360" w:lineRule="auto"/>
            <w:ind w:left="800"/>
            <w:rPr>
              <w:rFonts w:asciiTheme="minorHAnsi" w:hAnsiTheme="minorHAnsi" w:eastAsiaTheme="minorEastAsia" w:cstheme="minorBidi"/>
              <w:kern w:val="2"/>
              <w:sz w:val="21"/>
              <w:szCs w:val="22"/>
            </w:rPr>
          </w:pPr>
          <w:r>
            <w:fldChar w:fldCharType="begin"/>
          </w:r>
          <w:r>
            <w:instrText xml:space="preserve"> HYPERLINK \l "_Toc230153048" </w:instrText>
          </w:r>
          <w:r>
            <w:fldChar w:fldCharType="separate"/>
          </w:r>
          <w:r>
            <w:rPr>
              <w:rStyle w:val="19"/>
              <w:rFonts w:ascii="宋体" w:hAnsi="宋体"/>
              <w:b/>
              <w:bCs/>
            </w:rPr>
            <w:t>5</w:t>
          </w:r>
          <w:r>
            <w:rPr>
              <w:rFonts w:asciiTheme="minorHAnsi" w:hAnsiTheme="minorHAnsi" w:eastAsiaTheme="minorEastAsia" w:cstheme="minorBidi"/>
              <w:kern w:val="2"/>
              <w:sz w:val="21"/>
              <w:szCs w:val="22"/>
            </w:rPr>
            <w:tab/>
          </w:r>
          <w:r>
            <w:rPr>
              <w:rStyle w:val="19"/>
              <w:rFonts w:ascii="宋体" w:hAnsi="宋体"/>
              <w:b/>
              <w:bCs/>
            </w:rPr>
            <w:t>试验方法</w:t>
          </w:r>
          <w:r>
            <w:tab/>
          </w:r>
          <w:r>
            <w:fldChar w:fldCharType="begin"/>
          </w:r>
          <w:r>
            <w:instrText xml:space="preserve"> PAGEREF _Toc230153048 \h </w:instrText>
          </w:r>
          <w:r>
            <w:fldChar w:fldCharType="separate"/>
          </w:r>
          <w:r>
            <w:t>3</w:t>
          </w:r>
          <w:r>
            <w:fldChar w:fldCharType="end"/>
          </w:r>
          <w:r>
            <w:fldChar w:fldCharType="end"/>
          </w:r>
        </w:p>
        <w:p w14:paraId="25657E05">
          <w:pPr>
            <w:pStyle w:val="7"/>
            <w:tabs>
              <w:tab w:val="left" w:pos="1260"/>
            </w:tabs>
            <w:spacing w:line="360" w:lineRule="auto"/>
            <w:ind w:left="800"/>
            <w:rPr>
              <w:rFonts w:asciiTheme="minorHAnsi" w:hAnsiTheme="minorHAnsi" w:eastAsiaTheme="minorEastAsia" w:cstheme="minorBidi"/>
              <w:kern w:val="2"/>
              <w:sz w:val="21"/>
              <w:szCs w:val="22"/>
            </w:rPr>
          </w:pPr>
          <w:r>
            <w:fldChar w:fldCharType="begin"/>
          </w:r>
          <w:r>
            <w:instrText xml:space="preserve"> HYPERLINK \l "_Toc230153049" </w:instrText>
          </w:r>
          <w:r>
            <w:fldChar w:fldCharType="separate"/>
          </w:r>
          <w:r>
            <w:rPr>
              <w:rStyle w:val="19"/>
              <w:rFonts w:ascii="宋体" w:hAnsi="宋体"/>
              <w:b/>
              <w:bCs/>
            </w:rPr>
            <w:t>6</w:t>
          </w:r>
          <w:r>
            <w:rPr>
              <w:rFonts w:asciiTheme="minorHAnsi" w:hAnsiTheme="minorHAnsi" w:eastAsiaTheme="minorEastAsia" w:cstheme="minorBidi"/>
              <w:kern w:val="2"/>
              <w:sz w:val="21"/>
              <w:szCs w:val="22"/>
            </w:rPr>
            <w:tab/>
          </w:r>
          <w:r>
            <w:rPr>
              <w:rStyle w:val="19"/>
              <w:rFonts w:ascii="宋体" w:hAnsi="宋体"/>
              <w:b/>
              <w:bCs/>
            </w:rPr>
            <w:t>检验规则</w:t>
          </w:r>
          <w:r>
            <w:tab/>
          </w:r>
          <w:r>
            <w:fldChar w:fldCharType="begin"/>
          </w:r>
          <w:r>
            <w:instrText xml:space="preserve"> PAGEREF _Toc230153049 \h </w:instrText>
          </w:r>
          <w:r>
            <w:fldChar w:fldCharType="separate"/>
          </w:r>
          <w:r>
            <w:t>5</w:t>
          </w:r>
          <w:r>
            <w:fldChar w:fldCharType="end"/>
          </w:r>
          <w:r>
            <w:fldChar w:fldCharType="end"/>
          </w:r>
        </w:p>
        <w:p w14:paraId="41A05B16">
          <w:pPr>
            <w:pStyle w:val="7"/>
            <w:tabs>
              <w:tab w:val="left" w:pos="1260"/>
            </w:tabs>
            <w:spacing w:line="360" w:lineRule="auto"/>
            <w:ind w:left="800"/>
            <w:rPr>
              <w:rFonts w:asciiTheme="minorHAnsi" w:hAnsiTheme="minorHAnsi" w:eastAsiaTheme="minorEastAsia" w:cstheme="minorBidi"/>
              <w:kern w:val="2"/>
              <w:sz w:val="21"/>
              <w:szCs w:val="22"/>
            </w:rPr>
          </w:pPr>
          <w:r>
            <w:fldChar w:fldCharType="begin"/>
          </w:r>
          <w:r>
            <w:instrText xml:space="preserve"> HYPERLINK \l "_Toc230153050" </w:instrText>
          </w:r>
          <w:r>
            <w:fldChar w:fldCharType="separate"/>
          </w:r>
          <w:r>
            <w:rPr>
              <w:rStyle w:val="19"/>
              <w:rFonts w:ascii="宋体" w:hAnsi="宋体"/>
              <w:b/>
              <w:bCs/>
            </w:rPr>
            <w:t>7</w:t>
          </w:r>
          <w:r>
            <w:rPr>
              <w:rFonts w:asciiTheme="minorHAnsi" w:hAnsiTheme="minorHAnsi" w:eastAsiaTheme="minorEastAsia" w:cstheme="minorBidi"/>
              <w:kern w:val="2"/>
              <w:sz w:val="21"/>
              <w:szCs w:val="22"/>
            </w:rPr>
            <w:tab/>
          </w:r>
          <w:r>
            <w:rPr>
              <w:rStyle w:val="19"/>
              <w:rFonts w:ascii="宋体" w:hAnsi="宋体"/>
              <w:b/>
              <w:bCs/>
            </w:rPr>
            <w:t>标志、标签、包装、运输和储存</w:t>
          </w:r>
          <w:r>
            <w:tab/>
          </w:r>
          <w:r>
            <w:fldChar w:fldCharType="begin"/>
          </w:r>
          <w:r>
            <w:instrText xml:space="preserve"> PAGEREF _Toc230153050 \h </w:instrText>
          </w:r>
          <w:r>
            <w:fldChar w:fldCharType="separate"/>
          </w:r>
          <w:r>
            <w:t>6</w:t>
          </w:r>
          <w:r>
            <w:fldChar w:fldCharType="end"/>
          </w:r>
          <w:r>
            <w:fldChar w:fldCharType="end"/>
          </w:r>
        </w:p>
        <w:p w14:paraId="3FD32998">
          <w:pPr>
            <w:pStyle w:val="7"/>
            <w:tabs>
              <w:tab w:val="left" w:pos="1260"/>
            </w:tabs>
            <w:spacing w:line="360" w:lineRule="auto"/>
            <w:ind w:left="800"/>
            <w:rPr>
              <w:rFonts w:asciiTheme="minorHAnsi" w:hAnsiTheme="minorHAnsi" w:eastAsiaTheme="minorEastAsia" w:cstheme="minorBidi"/>
              <w:kern w:val="2"/>
              <w:sz w:val="21"/>
              <w:szCs w:val="22"/>
            </w:rPr>
          </w:pPr>
          <w:r>
            <w:fldChar w:fldCharType="begin"/>
          </w:r>
          <w:r>
            <w:instrText xml:space="preserve"> HYPERLINK \l "_Toc230153051" </w:instrText>
          </w:r>
          <w:r>
            <w:fldChar w:fldCharType="separate"/>
          </w:r>
          <w:r>
            <w:rPr>
              <w:rStyle w:val="19"/>
              <w:rFonts w:ascii="宋体" w:hAnsi="宋体"/>
              <w:b/>
              <w:bCs/>
            </w:rPr>
            <w:t>8</w:t>
          </w:r>
          <w:r>
            <w:rPr>
              <w:rFonts w:asciiTheme="minorHAnsi" w:hAnsiTheme="minorHAnsi" w:eastAsiaTheme="minorEastAsia" w:cstheme="minorBidi"/>
              <w:kern w:val="2"/>
              <w:sz w:val="21"/>
              <w:szCs w:val="22"/>
            </w:rPr>
            <w:tab/>
          </w:r>
          <w:r>
            <w:rPr>
              <w:rStyle w:val="19"/>
              <w:rFonts w:ascii="宋体" w:hAnsi="宋体"/>
              <w:b/>
              <w:bCs/>
            </w:rPr>
            <w:t>保质期</w:t>
          </w:r>
          <w:r>
            <w:tab/>
          </w:r>
          <w:r>
            <w:fldChar w:fldCharType="begin"/>
          </w:r>
          <w:r>
            <w:instrText xml:space="preserve"> PAGEREF _Toc230153051 \h </w:instrText>
          </w:r>
          <w:r>
            <w:fldChar w:fldCharType="separate"/>
          </w:r>
          <w:r>
            <w:t>7</w:t>
          </w:r>
          <w:r>
            <w:fldChar w:fldCharType="end"/>
          </w:r>
          <w:r>
            <w:fldChar w:fldCharType="end"/>
          </w:r>
        </w:p>
        <w:p w14:paraId="433B7BFB">
          <w:pPr>
            <w:spacing w:before="120" w:beforeLines="50" w:after="240" w:afterLines="100" w:line="360" w:lineRule="auto"/>
            <w:rPr>
              <w:rFonts w:ascii="宋体" w:hAnsi="宋体"/>
              <w:sz w:val="24"/>
              <w:szCs w:val="24"/>
            </w:rPr>
          </w:pPr>
          <w:r>
            <w:rPr>
              <w:rFonts w:ascii="宋体" w:hAnsi="宋体"/>
              <w:b/>
              <w:bCs/>
              <w:sz w:val="24"/>
              <w:szCs w:val="24"/>
              <w:lang w:val="zh-CN"/>
            </w:rPr>
            <w:fldChar w:fldCharType="end"/>
          </w:r>
        </w:p>
      </w:sdtContent>
    </w:sdt>
    <w:p w14:paraId="0B1D5663">
      <w:pPr>
        <w:tabs>
          <w:tab w:val="right" w:leader="dot" w:pos="8364"/>
        </w:tabs>
        <w:spacing w:before="120" w:after="120" w:line="360" w:lineRule="auto"/>
        <w:ind w:left="386" w:leftChars="193" w:right="600" w:rightChars="300" w:firstLine="656" w:firstLineChars="205"/>
        <w:rPr>
          <w:rFonts w:ascii="黑体" w:eastAsia="黑体"/>
          <w:sz w:val="32"/>
        </w:rPr>
      </w:pPr>
    </w:p>
    <w:p w14:paraId="7F87C411">
      <w:pPr>
        <w:spacing w:before="120" w:after="120"/>
        <w:ind w:left="425" w:right="660"/>
        <w:sectPr>
          <w:pgSz w:w="11910" w:h="16840"/>
          <w:pgMar w:top="1440" w:right="1080" w:bottom="1440" w:left="1080" w:header="1134" w:footer="850" w:gutter="0"/>
          <w:pgNumType w:fmt="upperRoman" w:start="1"/>
          <w:cols w:space="720" w:num="1"/>
          <w:docGrid w:linePitch="299" w:charSpace="0"/>
        </w:sectPr>
      </w:pPr>
    </w:p>
    <w:p w14:paraId="1679B18C">
      <w:pPr>
        <w:pStyle w:val="3"/>
        <w:spacing w:before="960" w:beforeLines="400" w:after="960" w:afterLines="400"/>
        <w:ind w:left="128" w:leftChars="64"/>
        <w:rPr>
          <w:rFonts w:ascii="宋体" w:hAnsi="宋体" w:eastAsia="宋体"/>
          <w:b/>
          <w:bCs/>
        </w:rPr>
      </w:pPr>
      <w:bookmarkStart w:id="1" w:name="书签"/>
      <w:bookmarkEnd w:id="1"/>
      <w:bookmarkStart w:id="2" w:name="_bookmark0"/>
      <w:bookmarkEnd w:id="2"/>
      <w:bookmarkStart w:id="3" w:name="_Toc230153044"/>
      <w:r>
        <w:rPr>
          <w:rFonts w:hint="eastAsia" w:ascii="宋体" w:hAnsi="宋体" w:eastAsia="宋体"/>
          <w:b/>
          <w:bCs/>
        </w:rPr>
        <w:t>前言</w:t>
      </w:r>
      <w:bookmarkEnd w:id="3"/>
    </w:p>
    <w:p w14:paraId="00B138AA">
      <w:pPr>
        <w:spacing w:before="120" w:after="120"/>
        <w:ind w:left="425" w:right="-128" w:rightChars="-64" w:firstLine="424" w:firstLineChars="177"/>
        <w:rPr>
          <w:sz w:val="24"/>
          <w:szCs w:val="24"/>
        </w:rPr>
      </w:pPr>
      <w:r>
        <w:rPr>
          <w:rFonts w:hint="eastAsia"/>
          <w:sz w:val="24"/>
          <w:szCs w:val="24"/>
        </w:rPr>
        <w:t>本标准按GB/T 20001.10-2014《标准编写规则 第10部分：产品标准》和GB/T 1.1-2020《标准化工作导则 第1部分：标准化文件的结构和起草规则》给出的规则起草。</w:t>
      </w:r>
    </w:p>
    <w:p w14:paraId="7CC0656F">
      <w:pPr>
        <w:spacing w:before="120" w:after="120"/>
        <w:ind w:left="425" w:right="-128" w:rightChars="-64" w:firstLine="424" w:firstLineChars="177"/>
        <w:rPr>
          <w:sz w:val="24"/>
          <w:szCs w:val="24"/>
        </w:rPr>
      </w:pPr>
      <w:r>
        <w:rPr>
          <w:rFonts w:hint="eastAsia"/>
          <w:sz w:val="24"/>
          <w:szCs w:val="24"/>
        </w:rPr>
        <w:t>本标准由中国食品土畜进出口商会提出，委托商会昆虫蛋白产业分会制定。</w:t>
      </w:r>
    </w:p>
    <w:p w14:paraId="7C005EC3">
      <w:pPr>
        <w:spacing w:before="120" w:after="120"/>
        <w:ind w:left="425" w:right="-128" w:rightChars="-64" w:firstLine="424" w:firstLineChars="177"/>
        <w:rPr>
          <w:sz w:val="24"/>
          <w:szCs w:val="24"/>
        </w:rPr>
      </w:pPr>
      <w:r>
        <w:rPr>
          <w:rFonts w:hint="eastAsia"/>
          <w:sz w:val="24"/>
          <w:szCs w:val="24"/>
        </w:rPr>
        <w:t>本标准主要起草单位：山西鼎欣生物科技有限公司、山东顺星辉生物科技有限公司、山西省乡宁县昱德新农业发展有限公司、中鲁盛源集团有限公司、广东泽和诚生物科有限公司、山西农业大学、山东农业工程学院、东北农业大学。</w:t>
      </w:r>
    </w:p>
    <w:p w14:paraId="699ADF84">
      <w:pPr>
        <w:spacing w:before="120" w:after="120"/>
        <w:ind w:left="425" w:right="-128" w:rightChars="-64" w:firstLine="424" w:firstLineChars="177"/>
        <w:rPr>
          <w:sz w:val="24"/>
          <w:szCs w:val="24"/>
        </w:rPr>
      </w:pPr>
      <w:r>
        <w:rPr>
          <w:rFonts w:hint="eastAsia"/>
          <w:sz w:val="24"/>
          <w:szCs w:val="24"/>
        </w:rPr>
        <w:t>本标准主要起草人：张天宝、范固然、许宾宾、林勇、迟晓君、王永纲、张艺达、刘骞、李超、李端端、尉磊、武锦霞、任芸隆、刘博康、王鹏。</w:t>
      </w:r>
    </w:p>
    <w:p w14:paraId="44F5EBD7">
      <w:pPr>
        <w:spacing w:before="120" w:after="120"/>
        <w:ind w:left="425" w:right="-128" w:rightChars="-64" w:firstLine="424" w:firstLineChars="177"/>
        <w:rPr>
          <w:sz w:val="24"/>
          <w:szCs w:val="24"/>
        </w:rPr>
      </w:pPr>
      <w:r>
        <w:rPr>
          <w:rFonts w:hint="eastAsia"/>
          <w:sz w:val="24"/>
          <w:szCs w:val="24"/>
        </w:rPr>
        <w:t>本标准由中国食品土畜进出口商会解释。</w:t>
      </w:r>
    </w:p>
    <w:p w14:paraId="29656016">
      <w:pPr>
        <w:spacing w:before="120" w:after="120"/>
        <w:ind w:left="425" w:right="-128" w:rightChars="-64" w:firstLine="424" w:firstLineChars="177"/>
        <w:rPr>
          <w:sz w:val="24"/>
          <w:szCs w:val="24"/>
        </w:rPr>
      </w:pPr>
      <w:r>
        <w:rPr>
          <w:rFonts w:hint="eastAsia"/>
          <w:sz w:val="24"/>
          <w:szCs w:val="24"/>
        </w:rPr>
        <w:t>本标准由中国食品土畜进出口商会</w:t>
      </w:r>
      <w:r>
        <w:rPr>
          <w:sz w:val="24"/>
          <w:szCs w:val="24"/>
        </w:rPr>
        <w:t xml:space="preserve">   </w:t>
      </w:r>
      <w:r>
        <w:rPr>
          <w:rFonts w:hint="eastAsia"/>
          <w:sz w:val="24"/>
          <w:szCs w:val="24"/>
        </w:rPr>
        <w:t xml:space="preserve">年 </w:t>
      </w:r>
      <w:r>
        <w:rPr>
          <w:sz w:val="24"/>
          <w:szCs w:val="24"/>
        </w:rPr>
        <w:t xml:space="preserve">  </w:t>
      </w:r>
      <w:r>
        <w:rPr>
          <w:rFonts w:hint="eastAsia"/>
          <w:sz w:val="24"/>
          <w:szCs w:val="24"/>
        </w:rPr>
        <w:t xml:space="preserve">月 </w:t>
      </w:r>
      <w:r>
        <w:rPr>
          <w:sz w:val="24"/>
          <w:szCs w:val="24"/>
        </w:rPr>
        <w:t xml:space="preserve">  </w:t>
      </w:r>
      <w:r>
        <w:rPr>
          <w:rFonts w:hint="eastAsia"/>
          <w:sz w:val="24"/>
          <w:szCs w:val="24"/>
        </w:rPr>
        <w:t>日批准。</w:t>
      </w:r>
    </w:p>
    <w:p w14:paraId="0CB59D6B">
      <w:pPr>
        <w:spacing w:before="120" w:after="120"/>
        <w:ind w:left="425" w:right="-128" w:rightChars="-64" w:firstLine="424" w:firstLineChars="177"/>
        <w:rPr>
          <w:sz w:val="24"/>
          <w:szCs w:val="24"/>
        </w:rPr>
      </w:pPr>
      <w:r>
        <w:rPr>
          <w:rFonts w:hint="eastAsia"/>
          <w:sz w:val="24"/>
          <w:szCs w:val="24"/>
        </w:rPr>
        <w:t>本标准自</w:t>
      </w:r>
      <w:r>
        <w:rPr>
          <w:sz w:val="24"/>
          <w:szCs w:val="24"/>
        </w:rPr>
        <w:t xml:space="preserve">  </w:t>
      </w:r>
      <w:r>
        <w:rPr>
          <w:rFonts w:hint="eastAsia"/>
          <w:sz w:val="24"/>
          <w:szCs w:val="24"/>
        </w:rPr>
        <w:t>年</w:t>
      </w:r>
      <w:r>
        <w:rPr>
          <w:sz w:val="24"/>
          <w:szCs w:val="24"/>
        </w:rPr>
        <w:t xml:space="preserve"> </w:t>
      </w:r>
      <w:r>
        <w:rPr>
          <w:rFonts w:hint="eastAsia"/>
          <w:sz w:val="24"/>
          <w:szCs w:val="24"/>
        </w:rPr>
        <w:t>月</w:t>
      </w:r>
      <w:r>
        <w:rPr>
          <w:sz w:val="24"/>
          <w:szCs w:val="24"/>
        </w:rPr>
        <w:t xml:space="preserve">  </w:t>
      </w:r>
      <w:r>
        <w:rPr>
          <w:rFonts w:hint="eastAsia"/>
          <w:sz w:val="24"/>
          <w:szCs w:val="24"/>
        </w:rPr>
        <w:t>日起实施。</w:t>
      </w:r>
    </w:p>
    <w:p w14:paraId="7FA3678E">
      <w:pPr>
        <w:spacing w:before="120" w:after="120"/>
        <w:ind w:left="425" w:right="-128" w:rightChars="-64" w:firstLine="424" w:firstLineChars="177"/>
        <w:rPr>
          <w:sz w:val="24"/>
        </w:rPr>
      </w:pPr>
      <w:r>
        <w:rPr>
          <w:sz w:val="24"/>
        </w:rPr>
        <w:br w:type="page"/>
      </w:r>
    </w:p>
    <w:p w14:paraId="3AC8AE5E">
      <w:pPr>
        <w:spacing w:before="120" w:after="120" w:line="360" w:lineRule="auto"/>
        <w:ind w:left="425" w:right="660"/>
        <w:jc w:val="both"/>
        <w:rPr>
          <w:sz w:val="24"/>
        </w:rPr>
        <w:sectPr>
          <w:pgSz w:w="11910" w:h="16840"/>
          <w:pgMar w:top="1440" w:right="1080" w:bottom="1440" w:left="1080" w:header="1134" w:footer="850" w:gutter="0"/>
          <w:pgNumType w:fmt="upperRoman"/>
          <w:cols w:space="720" w:num="1"/>
          <w:docGrid w:linePitch="299" w:charSpace="0"/>
        </w:sectPr>
      </w:pPr>
    </w:p>
    <w:p w14:paraId="14C85A8A">
      <w:pPr>
        <w:spacing w:before="240" w:beforeLines="100" w:after="240" w:afterLines="100"/>
        <w:ind w:left="425" w:right="-358" w:rightChars="-179"/>
        <w:jc w:val="center"/>
        <w:rPr>
          <w:sz w:val="32"/>
          <w:szCs w:val="32"/>
        </w:rPr>
      </w:pPr>
      <w:r>
        <w:rPr>
          <w:rFonts w:hint="eastAsia"/>
          <w:b/>
          <w:bCs/>
          <w:sz w:val="32"/>
          <w:szCs w:val="32"/>
        </w:rPr>
        <w:t>食用黄粉虫干流通分级技术标准</w:t>
      </w:r>
    </w:p>
    <w:p w14:paraId="3FD628AF">
      <w:pPr>
        <w:pStyle w:val="4"/>
        <w:numPr>
          <w:ilvl w:val="0"/>
          <w:numId w:val="1"/>
        </w:numPr>
        <w:spacing w:before="120" w:beforeLines="50" w:after="120" w:afterLines="50" w:line="360" w:lineRule="auto"/>
        <w:ind w:left="0" w:firstLine="0"/>
        <w:jc w:val="left"/>
        <w:rPr>
          <w:rFonts w:ascii="宋体" w:hAnsi="宋体" w:eastAsia="宋体"/>
          <w:b/>
          <w:bCs/>
        </w:rPr>
      </w:pPr>
      <w:bookmarkStart w:id="4" w:name="_Toc230153045"/>
      <w:r>
        <w:rPr>
          <w:rFonts w:hint="eastAsia" w:ascii="宋体" w:hAnsi="宋体" w:eastAsia="宋体"/>
          <w:b/>
          <w:bCs/>
        </w:rPr>
        <w:t>范围</w:t>
      </w:r>
      <w:bookmarkEnd w:id="4"/>
    </w:p>
    <w:p w14:paraId="02BBCB1C">
      <w:pPr>
        <w:spacing w:before="120" w:after="120" w:line="360" w:lineRule="auto"/>
        <w:ind w:right="-128" w:rightChars="-64" w:firstLine="480" w:firstLineChars="200"/>
        <w:rPr>
          <w:sz w:val="24"/>
          <w:szCs w:val="24"/>
        </w:rPr>
      </w:pPr>
      <w:r>
        <w:rPr>
          <w:rFonts w:hint="eastAsia"/>
          <w:sz w:val="24"/>
          <w:szCs w:val="24"/>
        </w:rPr>
        <w:t>本标准规定了食用黄粉虫干的术语和定义、质量要求、试验方法、检验规则、标识、标签、   包装、运输、储存和保质期。</w:t>
      </w:r>
    </w:p>
    <w:p w14:paraId="59AE0D95">
      <w:pPr>
        <w:spacing w:before="120" w:after="120" w:line="360" w:lineRule="auto"/>
        <w:ind w:right="-128" w:rightChars="-64" w:firstLine="480" w:firstLineChars="200"/>
        <w:rPr>
          <w:sz w:val="24"/>
          <w:szCs w:val="24"/>
        </w:rPr>
      </w:pPr>
      <w:r>
        <w:rPr>
          <w:rFonts w:hint="eastAsia"/>
          <w:sz w:val="24"/>
          <w:szCs w:val="24"/>
        </w:rPr>
        <w:t>本标准适用于食用黄粉虫干的质量评定及其贸易。</w:t>
      </w:r>
    </w:p>
    <w:p w14:paraId="054BE8D8">
      <w:pPr>
        <w:pStyle w:val="4"/>
        <w:numPr>
          <w:ilvl w:val="0"/>
          <w:numId w:val="1"/>
        </w:numPr>
        <w:spacing w:before="120" w:beforeLines="50" w:after="120" w:afterLines="50" w:line="360" w:lineRule="auto"/>
        <w:ind w:left="0" w:firstLine="0"/>
        <w:jc w:val="left"/>
        <w:rPr>
          <w:rFonts w:ascii="宋体" w:hAnsi="宋体" w:eastAsia="宋体"/>
          <w:b/>
          <w:bCs/>
        </w:rPr>
      </w:pPr>
      <w:bookmarkStart w:id="5" w:name="规范性引用文件"/>
      <w:bookmarkEnd w:id="5"/>
      <w:bookmarkStart w:id="6" w:name="_Toc230153046"/>
      <w:bookmarkStart w:id="7" w:name="OLE_LINK1"/>
      <w:r>
        <w:rPr>
          <w:rFonts w:hint="eastAsia" w:ascii="宋体" w:hAnsi="宋体" w:eastAsia="宋体"/>
          <w:b/>
          <w:bCs/>
        </w:rPr>
        <w:t>规范性引用文件</w:t>
      </w:r>
      <w:bookmarkEnd w:id="6"/>
      <w:bookmarkStart w:id="8" w:name="_Hlk43645698"/>
    </w:p>
    <w:bookmarkEnd w:id="7"/>
    <w:bookmarkEnd w:id="8"/>
    <w:p w14:paraId="18EB3BE8">
      <w:pPr>
        <w:spacing w:before="120" w:after="120" w:line="360" w:lineRule="auto"/>
        <w:ind w:right="-128" w:rightChars="-64" w:firstLine="480" w:firstLineChars="200"/>
        <w:rPr>
          <w:sz w:val="24"/>
          <w:szCs w:val="24"/>
        </w:rPr>
      </w:pPr>
      <w:bookmarkStart w:id="9" w:name="_Hlk43645707"/>
      <w:r>
        <w:rPr>
          <w:rFonts w:hint="eastAsia"/>
          <w:sz w:val="24"/>
          <w:szCs w:val="24"/>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5680F381">
      <w:pPr>
        <w:spacing w:before="120" w:after="120" w:line="360" w:lineRule="auto"/>
        <w:ind w:right="-128" w:rightChars="-64" w:firstLine="480" w:firstLineChars="200"/>
        <w:rPr>
          <w:sz w:val="24"/>
          <w:szCs w:val="24"/>
        </w:rPr>
      </w:pPr>
      <w:r>
        <w:rPr>
          <w:rFonts w:hint="eastAsia"/>
          <w:sz w:val="24"/>
          <w:szCs w:val="24"/>
        </w:rPr>
        <w:t>GB 4789.2 食品安全国家标准 食品微生物学检验 菌落总数测定</w:t>
      </w:r>
    </w:p>
    <w:p w14:paraId="2C0A7627">
      <w:pPr>
        <w:spacing w:before="120" w:after="120" w:line="360" w:lineRule="auto"/>
        <w:ind w:right="-128" w:rightChars="-64" w:firstLine="480" w:firstLineChars="200"/>
        <w:rPr>
          <w:sz w:val="24"/>
          <w:szCs w:val="24"/>
        </w:rPr>
      </w:pPr>
      <w:r>
        <w:rPr>
          <w:rFonts w:hint="eastAsia"/>
          <w:sz w:val="24"/>
          <w:szCs w:val="24"/>
        </w:rPr>
        <w:t>GB 4789.3 食品卫生微生物学检验 大肠菌群测定</w:t>
      </w:r>
    </w:p>
    <w:p w14:paraId="28638B4A">
      <w:pPr>
        <w:spacing w:before="120" w:after="120" w:line="360" w:lineRule="auto"/>
        <w:ind w:right="-128" w:rightChars="-64" w:firstLine="480" w:firstLineChars="200"/>
        <w:rPr>
          <w:sz w:val="24"/>
          <w:szCs w:val="24"/>
        </w:rPr>
      </w:pPr>
      <w:r>
        <w:rPr>
          <w:rFonts w:hint="eastAsia"/>
          <w:sz w:val="24"/>
          <w:szCs w:val="24"/>
        </w:rPr>
        <w:t>GB 4789.4 食品卫生微生物学检验 沙门氏菌检验</w:t>
      </w:r>
    </w:p>
    <w:p w14:paraId="0DE3568D">
      <w:pPr>
        <w:spacing w:before="120" w:after="120" w:line="360" w:lineRule="auto"/>
        <w:ind w:right="-128" w:rightChars="-64" w:firstLine="480" w:firstLineChars="200"/>
        <w:rPr>
          <w:sz w:val="24"/>
          <w:szCs w:val="24"/>
        </w:rPr>
      </w:pPr>
      <w:r>
        <w:rPr>
          <w:rFonts w:hint="eastAsia"/>
          <w:sz w:val="24"/>
          <w:szCs w:val="24"/>
        </w:rPr>
        <w:t>GB 4789.10 食品卫生微生物学检验 金黄色葡萄球菌检验</w:t>
      </w:r>
    </w:p>
    <w:p w14:paraId="657C0955">
      <w:pPr>
        <w:spacing w:before="120" w:after="120" w:line="360" w:lineRule="auto"/>
        <w:ind w:right="-128" w:rightChars="-64" w:firstLine="480" w:firstLineChars="200"/>
        <w:rPr>
          <w:sz w:val="24"/>
          <w:szCs w:val="24"/>
        </w:rPr>
      </w:pPr>
      <w:r>
        <w:rPr>
          <w:rFonts w:hint="eastAsia"/>
          <w:sz w:val="24"/>
          <w:szCs w:val="24"/>
        </w:rPr>
        <w:t>GB 4789.15  食品卫生微生物学检验  霉菌和酵母菌计数</w:t>
      </w:r>
    </w:p>
    <w:p w14:paraId="627EDEDD">
      <w:pPr>
        <w:spacing w:before="120" w:after="120" w:line="360" w:lineRule="auto"/>
        <w:ind w:right="-128" w:rightChars="-64" w:firstLine="480" w:firstLineChars="200"/>
        <w:rPr>
          <w:sz w:val="24"/>
          <w:szCs w:val="24"/>
        </w:rPr>
      </w:pPr>
      <w:r>
        <w:rPr>
          <w:rFonts w:hint="eastAsia"/>
          <w:sz w:val="24"/>
          <w:szCs w:val="24"/>
        </w:rPr>
        <w:t>GB 5009.3 食品安全国家标准食品中水分的测定</w:t>
      </w:r>
    </w:p>
    <w:p w14:paraId="3838AE16">
      <w:pPr>
        <w:spacing w:before="120" w:after="120" w:line="360" w:lineRule="auto"/>
        <w:ind w:right="-128" w:rightChars="-64" w:firstLine="480" w:firstLineChars="200"/>
        <w:rPr>
          <w:sz w:val="24"/>
          <w:szCs w:val="24"/>
        </w:rPr>
      </w:pPr>
      <w:r>
        <w:rPr>
          <w:rFonts w:hint="eastAsia"/>
          <w:sz w:val="24"/>
          <w:szCs w:val="24"/>
        </w:rPr>
        <w:t>GB 5009.4  食品安全国家标准 食品中灰分的测定</w:t>
      </w:r>
    </w:p>
    <w:p w14:paraId="717B47BF">
      <w:pPr>
        <w:spacing w:before="120" w:after="120" w:line="360" w:lineRule="auto"/>
        <w:ind w:right="-128" w:rightChars="-64" w:firstLine="480" w:firstLineChars="200"/>
        <w:rPr>
          <w:sz w:val="24"/>
          <w:szCs w:val="24"/>
        </w:rPr>
      </w:pPr>
      <w:r>
        <w:rPr>
          <w:rFonts w:hint="eastAsia"/>
          <w:sz w:val="24"/>
          <w:szCs w:val="24"/>
        </w:rPr>
        <w:t>GB 5009.5 食品安全国家标准 食品中蛋白质的测定</w:t>
      </w:r>
    </w:p>
    <w:p w14:paraId="217C6EB6">
      <w:pPr>
        <w:spacing w:before="120" w:after="120" w:line="360" w:lineRule="auto"/>
        <w:ind w:right="-128" w:rightChars="-64" w:firstLine="480" w:firstLineChars="200"/>
        <w:rPr>
          <w:sz w:val="24"/>
          <w:szCs w:val="24"/>
        </w:rPr>
      </w:pPr>
      <w:r>
        <w:rPr>
          <w:rFonts w:hint="eastAsia"/>
          <w:sz w:val="24"/>
          <w:szCs w:val="24"/>
        </w:rPr>
        <w:t>GB 5009.6  食品安全国家标准 食品中脂肪的测定</w:t>
      </w:r>
    </w:p>
    <w:p w14:paraId="3DB00D91">
      <w:pPr>
        <w:spacing w:before="120" w:after="120" w:line="360" w:lineRule="auto"/>
        <w:ind w:right="-128" w:rightChars="-64" w:firstLine="480" w:firstLineChars="200"/>
        <w:rPr>
          <w:sz w:val="24"/>
          <w:szCs w:val="24"/>
        </w:rPr>
      </w:pPr>
      <w:r>
        <w:rPr>
          <w:rFonts w:hint="eastAsia"/>
          <w:sz w:val="24"/>
          <w:szCs w:val="24"/>
        </w:rPr>
        <w:t>GB 5009.11 食品安全国家标准 食品中总砷及无机砷的测定</w:t>
      </w:r>
    </w:p>
    <w:p w14:paraId="2605382A">
      <w:pPr>
        <w:spacing w:before="120" w:after="120" w:line="360" w:lineRule="auto"/>
        <w:ind w:right="-128" w:rightChars="-64" w:firstLine="480" w:firstLineChars="200"/>
        <w:rPr>
          <w:sz w:val="24"/>
          <w:szCs w:val="24"/>
        </w:rPr>
      </w:pPr>
      <w:r>
        <w:rPr>
          <w:rFonts w:hint="eastAsia"/>
          <w:sz w:val="24"/>
          <w:szCs w:val="24"/>
        </w:rPr>
        <w:t>GB 5009.12 食品安全国家标准 食品中铅的测定</w:t>
      </w:r>
    </w:p>
    <w:p w14:paraId="3148577C">
      <w:pPr>
        <w:spacing w:before="120" w:after="120" w:line="360" w:lineRule="auto"/>
        <w:ind w:right="-128" w:rightChars="-64" w:firstLine="480" w:firstLineChars="200"/>
        <w:rPr>
          <w:sz w:val="24"/>
          <w:szCs w:val="24"/>
        </w:rPr>
      </w:pPr>
      <w:r>
        <w:rPr>
          <w:rFonts w:hint="eastAsia"/>
          <w:sz w:val="24"/>
          <w:szCs w:val="24"/>
        </w:rPr>
        <w:t>GB 5009.15 食品安全国家标准 食品中镉的测定</w:t>
      </w:r>
    </w:p>
    <w:p w14:paraId="3F50FAAD">
      <w:pPr>
        <w:spacing w:before="120" w:after="120" w:line="360" w:lineRule="auto"/>
        <w:ind w:right="-128" w:rightChars="-64" w:firstLine="480" w:firstLineChars="200"/>
        <w:rPr>
          <w:sz w:val="24"/>
          <w:szCs w:val="24"/>
        </w:rPr>
      </w:pPr>
      <w:r>
        <w:rPr>
          <w:rFonts w:hint="eastAsia"/>
          <w:sz w:val="24"/>
          <w:szCs w:val="24"/>
        </w:rPr>
        <w:t>GB 5009.17 食品安全国家标准 食品中总汞及有机汞的测定</w:t>
      </w:r>
    </w:p>
    <w:p w14:paraId="20AD9564">
      <w:pPr>
        <w:spacing w:before="120" w:after="120" w:line="360" w:lineRule="auto"/>
        <w:ind w:right="-128" w:rightChars="-64" w:firstLine="480" w:firstLineChars="200"/>
        <w:rPr>
          <w:sz w:val="24"/>
          <w:szCs w:val="24"/>
        </w:rPr>
      </w:pPr>
      <w:r>
        <w:rPr>
          <w:rFonts w:hint="eastAsia"/>
          <w:sz w:val="24"/>
          <w:szCs w:val="24"/>
        </w:rPr>
        <w:t>GB 5009.22 食品安全国家标准 食品中黄曲霉毒素B族和G族的测定</w:t>
      </w:r>
    </w:p>
    <w:p w14:paraId="3E48EF4D">
      <w:pPr>
        <w:spacing w:before="120" w:after="120" w:line="360" w:lineRule="auto"/>
        <w:ind w:right="-128" w:rightChars="-64" w:firstLine="480" w:firstLineChars="200"/>
        <w:rPr>
          <w:sz w:val="24"/>
          <w:szCs w:val="24"/>
        </w:rPr>
      </w:pPr>
      <w:r>
        <w:rPr>
          <w:rFonts w:hint="eastAsia"/>
          <w:sz w:val="24"/>
          <w:szCs w:val="24"/>
        </w:rPr>
        <w:t>GB 5009.88 食品安全国家标准 食品中膳食纤维的测定</w:t>
      </w:r>
    </w:p>
    <w:p w14:paraId="0F112BE0">
      <w:pPr>
        <w:spacing w:before="120" w:after="120" w:line="360" w:lineRule="auto"/>
        <w:ind w:right="-128" w:rightChars="-64" w:firstLine="480" w:firstLineChars="200"/>
        <w:rPr>
          <w:sz w:val="24"/>
          <w:szCs w:val="24"/>
        </w:rPr>
      </w:pPr>
      <w:r>
        <w:rPr>
          <w:rFonts w:hint="eastAsia"/>
          <w:sz w:val="24"/>
          <w:szCs w:val="24"/>
        </w:rPr>
        <w:t>GB 5009.96 食品安全国家标准 食品中赭曲霉毒素 A测定</w:t>
      </w:r>
    </w:p>
    <w:p w14:paraId="20CCEE1E">
      <w:pPr>
        <w:spacing w:before="120" w:after="120" w:line="360" w:lineRule="auto"/>
        <w:ind w:right="-128" w:rightChars="-64" w:firstLine="480" w:firstLineChars="200"/>
        <w:rPr>
          <w:sz w:val="24"/>
          <w:szCs w:val="24"/>
        </w:rPr>
      </w:pPr>
      <w:r>
        <w:rPr>
          <w:rFonts w:hint="eastAsia"/>
          <w:sz w:val="24"/>
          <w:szCs w:val="24"/>
        </w:rPr>
        <w:t xml:space="preserve">GB 5009.123 食品安全国家标准 食品中铬的测定 </w:t>
      </w:r>
    </w:p>
    <w:p w14:paraId="00ED09D0">
      <w:pPr>
        <w:spacing w:before="120" w:after="120" w:line="360" w:lineRule="auto"/>
        <w:ind w:right="-128" w:rightChars="-64" w:firstLine="480" w:firstLineChars="200"/>
        <w:rPr>
          <w:sz w:val="24"/>
          <w:szCs w:val="24"/>
        </w:rPr>
      </w:pPr>
      <w:r>
        <w:rPr>
          <w:rFonts w:hint="eastAsia"/>
          <w:sz w:val="24"/>
          <w:szCs w:val="24"/>
        </w:rPr>
        <w:t xml:space="preserve">GB 5009.227 食品安全国家标准 食品中过氧化值的测定 </w:t>
      </w:r>
    </w:p>
    <w:p w14:paraId="70D7C226">
      <w:pPr>
        <w:spacing w:before="120" w:after="120" w:line="360" w:lineRule="auto"/>
        <w:ind w:right="-128" w:rightChars="-64" w:firstLine="480" w:firstLineChars="200"/>
        <w:rPr>
          <w:sz w:val="24"/>
          <w:szCs w:val="24"/>
        </w:rPr>
      </w:pPr>
      <w:r>
        <w:rPr>
          <w:rFonts w:hint="eastAsia"/>
          <w:sz w:val="24"/>
          <w:szCs w:val="24"/>
        </w:rPr>
        <w:t>GB 7718 食品安全国家标准 预包装食品标签通则</w:t>
      </w:r>
    </w:p>
    <w:p w14:paraId="20401010">
      <w:pPr>
        <w:spacing w:before="120" w:after="120" w:line="360" w:lineRule="auto"/>
        <w:ind w:right="-128" w:rightChars="-64" w:firstLine="480" w:firstLineChars="200"/>
        <w:rPr>
          <w:sz w:val="24"/>
          <w:szCs w:val="24"/>
        </w:rPr>
      </w:pPr>
      <w:r>
        <w:rPr>
          <w:rFonts w:hint="eastAsia"/>
          <w:sz w:val="24"/>
          <w:szCs w:val="24"/>
        </w:rPr>
        <w:t>GB 14881 食用生产通用卫生规范</w:t>
      </w:r>
    </w:p>
    <w:p w14:paraId="54B4EAC9">
      <w:pPr>
        <w:spacing w:before="120" w:after="120" w:line="360" w:lineRule="auto"/>
        <w:ind w:right="-128" w:rightChars="-64" w:firstLine="480" w:firstLineChars="200"/>
        <w:rPr>
          <w:sz w:val="24"/>
          <w:szCs w:val="24"/>
        </w:rPr>
      </w:pPr>
      <w:r>
        <w:rPr>
          <w:rFonts w:hint="eastAsia"/>
          <w:sz w:val="24"/>
          <w:szCs w:val="24"/>
        </w:rPr>
        <w:t>GB 28050 食品安全国家标准 预包装食品营养标签通则</w:t>
      </w:r>
    </w:p>
    <w:p w14:paraId="3BA00AF8">
      <w:pPr>
        <w:spacing w:before="120" w:after="120" w:line="360" w:lineRule="auto"/>
        <w:ind w:right="-128" w:rightChars="-64" w:firstLine="480" w:firstLineChars="200"/>
        <w:rPr>
          <w:sz w:val="24"/>
          <w:szCs w:val="24"/>
        </w:rPr>
      </w:pPr>
      <w:r>
        <w:rPr>
          <w:rFonts w:hint="eastAsia"/>
          <w:sz w:val="24"/>
          <w:szCs w:val="24"/>
        </w:rPr>
        <w:t>GB/T 5009.1 食品卫生检验方法 理化部分 总则</w:t>
      </w:r>
    </w:p>
    <w:p w14:paraId="05D19FCB">
      <w:pPr>
        <w:spacing w:before="120" w:after="120" w:line="360" w:lineRule="auto"/>
        <w:ind w:right="-128" w:rightChars="-64" w:firstLine="480" w:firstLineChars="200"/>
        <w:rPr>
          <w:sz w:val="24"/>
          <w:szCs w:val="24"/>
        </w:rPr>
      </w:pPr>
      <w:r>
        <w:rPr>
          <w:rFonts w:hint="eastAsia"/>
          <w:sz w:val="24"/>
          <w:szCs w:val="24"/>
        </w:rPr>
        <w:t>GB/T 6682 分析实验室用水规格和试验方法</w:t>
      </w:r>
    </w:p>
    <w:p w14:paraId="17C9D903">
      <w:pPr>
        <w:spacing w:before="120" w:after="120" w:line="360" w:lineRule="auto"/>
        <w:ind w:right="-128" w:rightChars="-64" w:firstLine="480" w:firstLineChars="200"/>
        <w:rPr>
          <w:sz w:val="24"/>
          <w:szCs w:val="24"/>
        </w:rPr>
      </w:pPr>
      <w:r>
        <w:rPr>
          <w:rFonts w:hint="eastAsia"/>
          <w:sz w:val="24"/>
          <w:szCs w:val="24"/>
        </w:rPr>
        <w:t>GB/T 29890 粮油储藏技术规范</w:t>
      </w:r>
    </w:p>
    <w:bookmarkEnd w:id="9"/>
    <w:p w14:paraId="6B9FC13C">
      <w:pPr>
        <w:pStyle w:val="4"/>
        <w:numPr>
          <w:ilvl w:val="0"/>
          <w:numId w:val="1"/>
        </w:numPr>
        <w:spacing w:before="120" w:beforeLines="50" w:after="120" w:afterLines="50" w:line="360" w:lineRule="auto"/>
        <w:ind w:left="0" w:firstLine="0"/>
        <w:jc w:val="left"/>
        <w:rPr>
          <w:rFonts w:ascii="宋体" w:hAnsi="宋体" w:eastAsia="宋体"/>
          <w:b/>
          <w:bCs/>
        </w:rPr>
      </w:pPr>
      <w:bookmarkStart w:id="10" w:name="术语和定义"/>
      <w:bookmarkEnd w:id="10"/>
      <w:bookmarkStart w:id="11" w:name="_Toc230153047"/>
      <w:r>
        <w:rPr>
          <w:rFonts w:ascii="宋体" w:hAnsi="宋体" w:eastAsia="宋体"/>
          <w:b/>
          <w:bCs/>
        </w:rPr>
        <w:t>术语和定义</w:t>
      </w:r>
      <w:bookmarkEnd w:id="11"/>
    </w:p>
    <w:p w14:paraId="48C24979">
      <w:pPr>
        <w:spacing w:before="120" w:after="120" w:line="360" w:lineRule="auto"/>
        <w:ind w:right="-128" w:rightChars="-64" w:firstLine="480" w:firstLineChars="200"/>
        <w:rPr>
          <w:sz w:val="24"/>
          <w:szCs w:val="24"/>
        </w:rPr>
      </w:pPr>
      <w:bookmarkStart w:id="12" w:name="_Hlk43646096"/>
      <w:r>
        <w:rPr>
          <w:rFonts w:hint="eastAsia"/>
          <w:sz w:val="24"/>
          <w:szCs w:val="24"/>
        </w:rPr>
        <w:t>下列术语和定义适用于本标准。</w:t>
      </w:r>
    </w:p>
    <w:p w14:paraId="5452C538">
      <w:pPr>
        <w:pStyle w:val="22"/>
        <w:numPr>
          <w:ilvl w:val="1"/>
          <w:numId w:val="1"/>
        </w:numPr>
        <w:spacing w:before="120" w:after="120" w:line="360" w:lineRule="auto"/>
        <w:ind w:left="-500" w:leftChars="-250" w:right="660" w:firstLine="567"/>
        <w:jc w:val="both"/>
        <w:rPr>
          <w:sz w:val="24"/>
        </w:rPr>
      </w:pPr>
      <w:r>
        <w:rPr>
          <w:rFonts w:hint="eastAsia"/>
          <w:sz w:val="24"/>
        </w:rPr>
        <w:t>食用黄粉虫干</w:t>
      </w:r>
    </w:p>
    <w:p w14:paraId="0664D422">
      <w:pPr>
        <w:spacing w:before="120" w:after="120" w:line="360" w:lineRule="auto"/>
        <w:ind w:right="-128" w:rightChars="-64" w:firstLine="480" w:firstLineChars="200"/>
        <w:rPr>
          <w:sz w:val="24"/>
          <w:szCs w:val="24"/>
        </w:rPr>
      </w:pPr>
      <w:r>
        <w:rPr>
          <w:rFonts w:hint="eastAsia"/>
          <w:sz w:val="24"/>
          <w:szCs w:val="24"/>
        </w:rPr>
        <w:t>依照食用黄粉虫养殖规程养殖的黄粉虫老熟幼虫，经分拣、微波烘干、灭菌后所得的干黄粉虫。</w:t>
      </w:r>
    </w:p>
    <w:bookmarkEnd w:id="12"/>
    <w:p w14:paraId="2CE9DE15">
      <w:pPr>
        <w:pStyle w:val="22"/>
        <w:numPr>
          <w:ilvl w:val="0"/>
          <w:numId w:val="1"/>
        </w:numPr>
        <w:rPr>
          <w:rFonts w:ascii="宋体" w:hAnsi="宋体" w:cs="黑体"/>
          <w:b/>
          <w:bCs/>
          <w:sz w:val="28"/>
          <w:szCs w:val="28"/>
        </w:rPr>
      </w:pPr>
      <w:bookmarkStart w:id="13" w:name="质量指标"/>
      <w:r>
        <w:rPr>
          <w:rFonts w:hint="eastAsia" w:ascii="宋体" w:hAnsi="宋体" w:cs="黑体"/>
          <w:b/>
          <w:bCs/>
          <w:sz w:val="28"/>
          <w:szCs w:val="28"/>
        </w:rPr>
        <w:t>质量要求</w:t>
      </w:r>
    </w:p>
    <w:p w14:paraId="22F983AD">
      <w:pPr>
        <w:pStyle w:val="22"/>
        <w:numPr>
          <w:ilvl w:val="1"/>
          <w:numId w:val="1"/>
        </w:numPr>
        <w:spacing w:before="120" w:after="120" w:line="360" w:lineRule="auto"/>
        <w:ind w:left="-500" w:leftChars="-250" w:right="660" w:firstLine="567"/>
        <w:jc w:val="both"/>
        <w:rPr>
          <w:sz w:val="24"/>
        </w:rPr>
      </w:pPr>
      <w:r>
        <w:rPr>
          <w:rFonts w:hint="eastAsia"/>
          <w:sz w:val="24"/>
        </w:rPr>
        <w:t>感官指标</w:t>
      </w:r>
    </w:p>
    <w:p w14:paraId="3E92AB28">
      <w:pPr>
        <w:spacing w:before="120" w:after="120" w:line="360" w:lineRule="auto"/>
        <w:ind w:right="-128" w:rightChars="-64" w:firstLine="480" w:firstLineChars="200"/>
        <w:rPr>
          <w:sz w:val="24"/>
          <w:szCs w:val="24"/>
        </w:rPr>
      </w:pPr>
      <w:r>
        <w:rPr>
          <w:rFonts w:hint="eastAsia"/>
          <w:sz w:val="24"/>
          <w:szCs w:val="24"/>
        </w:rPr>
        <w:t>食用黄粉虫干感官指标如表 1 所示。</w:t>
      </w:r>
    </w:p>
    <w:p w14:paraId="1BBCE803">
      <w:pPr>
        <w:jc w:val="center"/>
        <w:rPr>
          <w:sz w:val="24"/>
        </w:rPr>
      </w:pPr>
      <w:r>
        <w:rPr>
          <w:rFonts w:hint="eastAsia"/>
          <w:sz w:val="24"/>
        </w:rPr>
        <w:t>表 1  感官指标</w:t>
      </w:r>
    </w:p>
    <w:tbl>
      <w:tblPr>
        <w:tblStyle w:val="39"/>
        <w:tblW w:w="0" w:type="auto"/>
        <w:tblInd w:w="12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384"/>
        <w:gridCol w:w="8186"/>
      </w:tblGrid>
      <w:tr w14:paraId="62498E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 w:hRule="atLeast"/>
        </w:trPr>
        <w:tc>
          <w:tcPr>
            <w:tcW w:w="1384" w:type="dxa"/>
            <w:tcBorders>
              <w:right w:val="single" w:color="000000" w:sz="4" w:space="0"/>
            </w:tcBorders>
          </w:tcPr>
          <w:p w14:paraId="197765CB">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指标名称</w:t>
            </w:r>
          </w:p>
        </w:tc>
        <w:tc>
          <w:tcPr>
            <w:tcW w:w="8186" w:type="dxa"/>
            <w:tcBorders>
              <w:left w:val="single" w:color="000000" w:sz="4" w:space="0"/>
            </w:tcBorders>
          </w:tcPr>
          <w:p w14:paraId="1488E1C2">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指标要求</w:t>
            </w:r>
          </w:p>
        </w:tc>
      </w:tr>
      <w:tr w14:paraId="7A7218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 w:hRule="atLeast"/>
        </w:trPr>
        <w:tc>
          <w:tcPr>
            <w:tcW w:w="1384" w:type="dxa"/>
            <w:tcBorders>
              <w:bottom w:val="single" w:color="000000" w:sz="4" w:space="0"/>
              <w:right w:val="single" w:color="000000" w:sz="4" w:space="0"/>
            </w:tcBorders>
          </w:tcPr>
          <w:p w14:paraId="3ADDE90B">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形 态</w:t>
            </w:r>
          </w:p>
        </w:tc>
        <w:tc>
          <w:tcPr>
            <w:tcW w:w="8186" w:type="dxa"/>
            <w:tcBorders>
              <w:left w:val="single" w:color="000000" w:sz="4" w:space="0"/>
              <w:bottom w:val="single" w:color="000000" w:sz="4" w:space="0"/>
            </w:tcBorders>
          </w:tcPr>
          <w:p w14:paraId="6E422429">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zh-CN"/>
              </w:rPr>
              <w:t xml:space="preserve">保持黄粉虫幼虫的完整形态，平均体长在 </w:t>
            </w:r>
            <w:r>
              <w:rPr>
                <w:rFonts w:ascii="宋体" w:hAnsi="Times New Roman" w:eastAsia="宋体" w:cstheme="minorBidi"/>
                <w:sz w:val="18"/>
                <w:szCs w:val="18"/>
                <w:lang w:eastAsia="zh-CN"/>
              </w:rPr>
              <w:t xml:space="preserve">2.5cm </w:t>
            </w:r>
            <w:r>
              <w:rPr>
                <w:rFonts w:ascii="宋体" w:hAnsi="Times New Roman" w:eastAsiaTheme="minorEastAsia" w:cstheme="minorBidi"/>
                <w:sz w:val="18"/>
                <w:szCs w:val="18"/>
                <w:lang w:eastAsia="zh-CN"/>
              </w:rPr>
              <w:t>以上。</w:t>
            </w:r>
            <w:r>
              <w:rPr>
                <w:rFonts w:ascii="宋体" w:hAnsi="Times New Roman" w:eastAsiaTheme="minorEastAsia" w:cstheme="minorBidi"/>
                <w:sz w:val="18"/>
                <w:szCs w:val="18"/>
                <w:lang w:eastAsia="en-US"/>
              </w:rPr>
              <w:t>破碎率﹤</w:t>
            </w:r>
            <w:r>
              <w:rPr>
                <w:rFonts w:ascii="宋体" w:hAnsi="Times New Roman" w:eastAsia="宋体" w:cstheme="minorBidi"/>
                <w:sz w:val="18"/>
                <w:szCs w:val="18"/>
                <w:lang w:eastAsia="en-US"/>
              </w:rPr>
              <w:t>3%</w:t>
            </w:r>
            <w:r>
              <w:rPr>
                <w:rFonts w:ascii="宋体" w:hAnsi="Times New Roman" w:eastAsiaTheme="minorEastAsia" w:cstheme="minorBidi"/>
                <w:sz w:val="18"/>
                <w:szCs w:val="18"/>
                <w:lang w:eastAsia="en-US"/>
              </w:rPr>
              <w:t>。</w:t>
            </w:r>
          </w:p>
        </w:tc>
      </w:tr>
      <w:tr w14:paraId="098832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1" w:hRule="atLeast"/>
        </w:trPr>
        <w:tc>
          <w:tcPr>
            <w:tcW w:w="1384" w:type="dxa"/>
            <w:tcBorders>
              <w:top w:val="single" w:color="000000" w:sz="4" w:space="0"/>
              <w:bottom w:val="single" w:color="000000" w:sz="4" w:space="0"/>
              <w:right w:val="single" w:color="000000" w:sz="4" w:space="0"/>
            </w:tcBorders>
          </w:tcPr>
          <w:p w14:paraId="0625BDF6">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色 泽</w:t>
            </w:r>
          </w:p>
        </w:tc>
        <w:tc>
          <w:tcPr>
            <w:tcW w:w="8186" w:type="dxa"/>
            <w:tcBorders>
              <w:top w:val="single" w:color="000000" w:sz="4" w:space="0"/>
              <w:left w:val="single" w:color="000000" w:sz="4" w:space="0"/>
              <w:bottom w:val="single" w:color="000000" w:sz="4" w:space="0"/>
            </w:tcBorders>
          </w:tcPr>
          <w:p w14:paraId="70F531E6">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整体呈黄褐色。</w:t>
            </w:r>
          </w:p>
        </w:tc>
      </w:tr>
      <w:tr w14:paraId="2B3542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 w:hRule="atLeast"/>
        </w:trPr>
        <w:tc>
          <w:tcPr>
            <w:tcW w:w="1384" w:type="dxa"/>
            <w:tcBorders>
              <w:top w:val="single" w:color="000000" w:sz="4" w:space="0"/>
              <w:bottom w:val="single" w:color="000000" w:sz="4" w:space="0"/>
              <w:right w:val="single" w:color="000000" w:sz="4" w:space="0"/>
            </w:tcBorders>
          </w:tcPr>
          <w:p w14:paraId="4913970F">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气 味</w:t>
            </w:r>
          </w:p>
        </w:tc>
        <w:tc>
          <w:tcPr>
            <w:tcW w:w="8186" w:type="dxa"/>
            <w:tcBorders>
              <w:top w:val="single" w:color="000000" w:sz="4" w:space="0"/>
              <w:left w:val="single" w:color="000000" w:sz="4" w:space="0"/>
              <w:bottom w:val="single" w:color="000000" w:sz="4" w:space="0"/>
            </w:tcBorders>
          </w:tcPr>
          <w:p w14:paraId="0F96E754">
            <w:pPr>
              <w:widowControl/>
              <w:tabs>
                <w:tab w:val="center" w:pos="4201"/>
                <w:tab w:val="right" w:leader="dot" w:pos="9298"/>
              </w:tabs>
              <w:autoSpaceDE w:val="0"/>
              <w:autoSpaceDN w:val="0"/>
              <w:jc w:val="center"/>
              <w:rPr>
                <w:rFonts w:ascii="宋体" w:hAnsi="Times New Roman" w:eastAsiaTheme="minorEastAsia" w:cstheme="minorBidi"/>
                <w:sz w:val="18"/>
                <w:szCs w:val="18"/>
                <w:lang w:eastAsia="zh-CN"/>
              </w:rPr>
            </w:pPr>
            <w:r>
              <w:rPr>
                <w:rFonts w:ascii="宋体" w:hAnsi="Times New Roman" w:eastAsiaTheme="minorEastAsia" w:cstheme="minorBidi"/>
                <w:sz w:val="18"/>
                <w:szCs w:val="18"/>
                <w:lang w:eastAsia="zh-CN"/>
              </w:rPr>
              <w:t>具有黄粉虫固有的气味或淡淡的香味，无异味。</w:t>
            </w:r>
          </w:p>
        </w:tc>
      </w:tr>
      <w:tr w14:paraId="3A69FA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1" w:hRule="atLeast"/>
        </w:trPr>
        <w:tc>
          <w:tcPr>
            <w:tcW w:w="1384" w:type="dxa"/>
            <w:tcBorders>
              <w:top w:val="single" w:color="000000" w:sz="4" w:space="0"/>
              <w:right w:val="single" w:color="000000" w:sz="4" w:space="0"/>
            </w:tcBorders>
          </w:tcPr>
          <w:p w14:paraId="35556DE4">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杂 质</w:t>
            </w:r>
          </w:p>
        </w:tc>
        <w:tc>
          <w:tcPr>
            <w:tcW w:w="8186" w:type="dxa"/>
            <w:tcBorders>
              <w:top w:val="single" w:color="000000" w:sz="4" w:space="0"/>
              <w:left w:val="single" w:color="000000" w:sz="4" w:space="0"/>
            </w:tcBorders>
          </w:tcPr>
          <w:p w14:paraId="29659DF8">
            <w:pPr>
              <w:widowControl/>
              <w:tabs>
                <w:tab w:val="center" w:pos="4201"/>
                <w:tab w:val="right" w:leader="dot" w:pos="9298"/>
              </w:tabs>
              <w:autoSpaceDE w:val="0"/>
              <w:autoSpaceDN w:val="0"/>
              <w:jc w:val="center"/>
              <w:rPr>
                <w:rFonts w:ascii="宋体" w:hAnsi="Times New Roman" w:eastAsiaTheme="minorEastAsia" w:cstheme="minorBidi"/>
                <w:sz w:val="18"/>
                <w:szCs w:val="18"/>
                <w:lang w:eastAsia="zh-CN"/>
              </w:rPr>
            </w:pPr>
            <w:r>
              <w:rPr>
                <w:rFonts w:ascii="宋体" w:hAnsi="Times New Roman" w:eastAsiaTheme="minorEastAsia" w:cstheme="minorBidi"/>
                <w:sz w:val="18"/>
                <w:szCs w:val="18"/>
                <w:lang w:eastAsia="zh-CN"/>
              </w:rPr>
              <w:t>无肉眼可见的外来物质；无黑虫，无未干燥的虫子，虫蛹含量﹤</w:t>
            </w:r>
            <w:r>
              <w:rPr>
                <w:rFonts w:ascii="宋体" w:hAnsi="Times New Roman" w:eastAsia="宋体" w:cstheme="minorBidi"/>
                <w:sz w:val="18"/>
                <w:szCs w:val="18"/>
                <w:lang w:eastAsia="zh-CN"/>
              </w:rPr>
              <w:t>3%</w:t>
            </w:r>
            <w:r>
              <w:rPr>
                <w:rFonts w:ascii="宋体" w:hAnsi="Times New Roman" w:eastAsiaTheme="minorEastAsia" w:cstheme="minorBidi"/>
                <w:sz w:val="18"/>
                <w:szCs w:val="18"/>
                <w:lang w:eastAsia="zh-CN"/>
              </w:rPr>
              <w:t>。</w:t>
            </w:r>
          </w:p>
        </w:tc>
      </w:tr>
    </w:tbl>
    <w:p w14:paraId="52AFF2E9">
      <w:pPr>
        <w:spacing w:before="120" w:after="120" w:line="360" w:lineRule="auto"/>
        <w:ind w:right="-128" w:rightChars="-64" w:firstLine="480" w:firstLineChars="200"/>
        <w:rPr>
          <w:sz w:val="24"/>
          <w:szCs w:val="24"/>
        </w:rPr>
      </w:pPr>
    </w:p>
    <w:p w14:paraId="217C8368">
      <w:pPr>
        <w:pStyle w:val="22"/>
        <w:numPr>
          <w:ilvl w:val="1"/>
          <w:numId w:val="1"/>
        </w:numPr>
        <w:spacing w:before="120" w:after="120" w:line="360" w:lineRule="auto"/>
        <w:ind w:left="-500" w:leftChars="-250" w:right="660" w:firstLine="567"/>
        <w:jc w:val="both"/>
        <w:rPr>
          <w:sz w:val="24"/>
        </w:rPr>
      </w:pPr>
      <w:r>
        <w:rPr>
          <w:rFonts w:hint="eastAsia"/>
          <w:sz w:val="24"/>
        </w:rPr>
        <w:t>质量指标</w:t>
      </w:r>
    </w:p>
    <w:p w14:paraId="6DB1E553">
      <w:pPr>
        <w:spacing w:before="120" w:after="120" w:line="360" w:lineRule="auto"/>
        <w:ind w:right="-128" w:rightChars="-64" w:firstLine="480" w:firstLineChars="200"/>
        <w:rPr>
          <w:sz w:val="24"/>
          <w:szCs w:val="24"/>
        </w:rPr>
      </w:pPr>
      <w:r>
        <w:rPr>
          <w:rFonts w:hint="eastAsia"/>
          <w:sz w:val="24"/>
          <w:szCs w:val="24"/>
        </w:rPr>
        <w:t>食用黄粉虫干质量指标如表 2  所示。</w:t>
      </w:r>
    </w:p>
    <w:p w14:paraId="40C9EB7F">
      <w:pPr>
        <w:jc w:val="center"/>
        <w:rPr>
          <w:sz w:val="24"/>
        </w:rPr>
      </w:pPr>
      <w:r>
        <w:rPr>
          <w:rFonts w:hint="eastAsia"/>
          <w:sz w:val="24"/>
        </w:rPr>
        <w:t>表 2 质量指标</w:t>
      </w:r>
    </w:p>
    <w:tbl>
      <w:tblPr>
        <w:tblStyle w:val="14"/>
        <w:tblW w:w="9497" w:type="dxa"/>
        <w:tblInd w:w="13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520"/>
        <w:gridCol w:w="2929"/>
        <w:gridCol w:w="3048"/>
      </w:tblGrid>
      <w:tr w14:paraId="72C0CC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3520" w:type="dxa"/>
            <w:vMerge w:val="restart"/>
            <w:tcBorders>
              <w:top w:val="single" w:color="auto" w:sz="8" w:space="0"/>
            </w:tcBorders>
            <w:vAlign w:val="center"/>
          </w:tcPr>
          <w:p w14:paraId="1E546C28">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指标名称</w:t>
            </w:r>
          </w:p>
        </w:tc>
        <w:tc>
          <w:tcPr>
            <w:tcW w:w="5977" w:type="dxa"/>
            <w:gridSpan w:val="2"/>
            <w:tcBorders>
              <w:top w:val="single" w:color="auto" w:sz="8" w:space="0"/>
              <w:bottom w:val="single" w:color="auto" w:sz="8" w:space="0"/>
            </w:tcBorders>
            <w:vAlign w:val="center"/>
          </w:tcPr>
          <w:p w14:paraId="27C60529">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指标要求</w:t>
            </w:r>
          </w:p>
        </w:tc>
      </w:tr>
      <w:tr w14:paraId="11BA5A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3520" w:type="dxa"/>
            <w:vMerge w:val="continue"/>
          </w:tcPr>
          <w:p w14:paraId="696FB6A8">
            <w:pPr>
              <w:tabs>
                <w:tab w:val="center" w:pos="4201"/>
                <w:tab w:val="right" w:leader="dot" w:pos="9298"/>
              </w:tabs>
              <w:autoSpaceDE w:val="0"/>
              <w:autoSpaceDN w:val="0"/>
              <w:jc w:val="center"/>
              <w:rPr>
                <w:rFonts w:ascii="宋体" w:hAnsi="Times New Roman"/>
                <w:sz w:val="18"/>
                <w:szCs w:val="18"/>
              </w:rPr>
            </w:pPr>
          </w:p>
        </w:tc>
        <w:tc>
          <w:tcPr>
            <w:tcW w:w="2929" w:type="dxa"/>
            <w:tcBorders>
              <w:top w:val="single" w:color="auto" w:sz="8" w:space="0"/>
            </w:tcBorders>
          </w:tcPr>
          <w:p w14:paraId="7DBF4071">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一级</w:t>
            </w:r>
          </w:p>
        </w:tc>
        <w:tc>
          <w:tcPr>
            <w:tcW w:w="3048" w:type="dxa"/>
          </w:tcPr>
          <w:p w14:paraId="2D182118">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二级</w:t>
            </w:r>
          </w:p>
        </w:tc>
      </w:tr>
      <w:tr w14:paraId="1863B9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3520" w:type="dxa"/>
          </w:tcPr>
          <w:p w14:paraId="353D3651">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蛋白质（g/100g）</w:t>
            </w:r>
          </w:p>
        </w:tc>
        <w:tc>
          <w:tcPr>
            <w:tcW w:w="2929" w:type="dxa"/>
          </w:tcPr>
          <w:p w14:paraId="08598D55">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≥50.0</w:t>
            </w:r>
          </w:p>
        </w:tc>
        <w:tc>
          <w:tcPr>
            <w:tcW w:w="3048" w:type="dxa"/>
          </w:tcPr>
          <w:p w14:paraId="6E8FA96D">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≥45.0</w:t>
            </w:r>
          </w:p>
        </w:tc>
      </w:tr>
      <w:tr w14:paraId="3B4725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3520" w:type="dxa"/>
          </w:tcPr>
          <w:p w14:paraId="44D41E4A">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脂肪（g/100g）</w:t>
            </w:r>
          </w:p>
        </w:tc>
        <w:tc>
          <w:tcPr>
            <w:tcW w:w="2929" w:type="dxa"/>
          </w:tcPr>
          <w:p w14:paraId="189AD274">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≤30.0</w:t>
            </w:r>
          </w:p>
        </w:tc>
        <w:tc>
          <w:tcPr>
            <w:tcW w:w="3048" w:type="dxa"/>
          </w:tcPr>
          <w:p w14:paraId="06887041">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≤35.0</w:t>
            </w:r>
          </w:p>
        </w:tc>
      </w:tr>
      <w:tr w14:paraId="73E687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3520" w:type="dxa"/>
          </w:tcPr>
          <w:p w14:paraId="337119A8">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膳食纤维（甲壳素）（g/100g）</w:t>
            </w:r>
          </w:p>
        </w:tc>
        <w:tc>
          <w:tcPr>
            <w:tcW w:w="2929" w:type="dxa"/>
          </w:tcPr>
          <w:p w14:paraId="14F216B4">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≤8.0</w:t>
            </w:r>
          </w:p>
        </w:tc>
        <w:tc>
          <w:tcPr>
            <w:tcW w:w="3048" w:type="dxa"/>
          </w:tcPr>
          <w:p w14:paraId="265DB49C">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≤15.0</w:t>
            </w:r>
          </w:p>
        </w:tc>
      </w:tr>
      <w:tr w14:paraId="5EA970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3520" w:type="dxa"/>
          </w:tcPr>
          <w:p w14:paraId="6DE960F6">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水分（g/100g）</w:t>
            </w:r>
          </w:p>
        </w:tc>
        <w:tc>
          <w:tcPr>
            <w:tcW w:w="2929" w:type="dxa"/>
          </w:tcPr>
          <w:p w14:paraId="2D39BC5F">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≤8.0</w:t>
            </w:r>
          </w:p>
        </w:tc>
        <w:tc>
          <w:tcPr>
            <w:tcW w:w="3048" w:type="dxa"/>
          </w:tcPr>
          <w:p w14:paraId="1AFC5DDC">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≤10.0</w:t>
            </w:r>
          </w:p>
        </w:tc>
      </w:tr>
      <w:tr w14:paraId="6C716B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3520" w:type="dxa"/>
          </w:tcPr>
          <w:p w14:paraId="253F661A">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灰分（g/100g）</w:t>
            </w:r>
          </w:p>
        </w:tc>
        <w:tc>
          <w:tcPr>
            <w:tcW w:w="2929" w:type="dxa"/>
          </w:tcPr>
          <w:p w14:paraId="0C3CAB32">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≤4.0</w:t>
            </w:r>
          </w:p>
        </w:tc>
        <w:tc>
          <w:tcPr>
            <w:tcW w:w="3048" w:type="dxa"/>
          </w:tcPr>
          <w:p w14:paraId="0E80560A">
            <w:pPr>
              <w:tabs>
                <w:tab w:val="center" w:pos="4201"/>
                <w:tab w:val="right" w:leader="dot" w:pos="9298"/>
              </w:tabs>
              <w:autoSpaceDE w:val="0"/>
              <w:autoSpaceDN w:val="0"/>
              <w:jc w:val="center"/>
              <w:rPr>
                <w:rFonts w:ascii="宋体" w:hAnsi="Times New Roman"/>
                <w:sz w:val="18"/>
                <w:szCs w:val="18"/>
              </w:rPr>
            </w:pPr>
            <w:r>
              <w:rPr>
                <w:rFonts w:ascii="宋体" w:hAnsi="Times New Roman"/>
                <w:sz w:val="18"/>
                <w:szCs w:val="18"/>
              </w:rPr>
              <w:t>≤6.0</w:t>
            </w:r>
          </w:p>
        </w:tc>
      </w:tr>
      <w:tr w14:paraId="7B7120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3520" w:type="dxa"/>
          </w:tcPr>
          <w:p w14:paraId="315EAE9F">
            <w:pPr>
              <w:tabs>
                <w:tab w:val="center" w:pos="4201"/>
                <w:tab w:val="right" w:leader="dot" w:pos="9298"/>
              </w:tabs>
              <w:autoSpaceDE w:val="0"/>
              <w:autoSpaceDN w:val="0"/>
              <w:jc w:val="center"/>
              <w:rPr>
                <w:rFonts w:ascii="宋体" w:hAnsi="Times New Roman"/>
                <w:sz w:val="18"/>
                <w:szCs w:val="18"/>
              </w:rPr>
            </w:pPr>
            <w:r>
              <w:rPr>
                <w:rFonts w:hint="eastAsia" w:ascii="宋体" w:hAnsi="Times New Roman"/>
                <w:sz w:val="18"/>
                <w:szCs w:val="18"/>
              </w:rPr>
              <w:t>过氧化值（g/100g）</w:t>
            </w:r>
          </w:p>
        </w:tc>
        <w:tc>
          <w:tcPr>
            <w:tcW w:w="2929" w:type="dxa"/>
          </w:tcPr>
          <w:p w14:paraId="185DD0CC">
            <w:pPr>
              <w:tabs>
                <w:tab w:val="center" w:pos="4201"/>
                <w:tab w:val="right" w:leader="dot" w:pos="9298"/>
              </w:tabs>
              <w:autoSpaceDE w:val="0"/>
              <w:autoSpaceDN w:val="0"/>
              <w:jc w:val="center"/>
              <w:rPr>
                <w:rFonts w:ascii="宋体" w:hAnsi="Times New Roman"/>
                <w:sz w:val="18"/>
                <w:szCs w:val="18"/>
              </w:rPr>
            </w:pPr>
            <w:r>
              <w:rPr>
                <w:rFonts w:hint="eastAsia" w:ascii="宋体" w:hAnsi="Times New Roman"/>
                <w:sz w:val="18"/>
                <w:szCs w:val="18"/>
              </w:rPr>
              <w:t>≤</w:t>
            </w:r>
            <w:r>
              <w:rPr>
                <w:rFonts w:ascii="宋体" w:hAnsi="Times New Roman"/>
                <w:sz w:val="18"/>
                <w:szCs w:val="18"/>
              </w:rPr>
              <w:t>0.25</w:t>
            </w:r>
          </w:p>
        </w:tc>
        <w:tc>
          <w:tcPr>
            <w:tcW w:w="3048" w:type="dxa"/>
          </w:tcPr>
          <w:p w14:paraId="621FDD14">
            <w:pPr>
              <w:tabs>
                <w:tab w:val="center" w:pos="4201"/>
                <w:tab w:val="right" w:leader="dot" w:pos="9298"/>
              </w:tabs>
              <w:autoSpaceDE w:val="0"/>
              <w:autoSpaceDN w:val="0"/>
              <w:jc w:val="center"/>
              <w:rPr>
                <w:rFonts w:ascii="宋体" w:hAnsi="Times New Roman"/>
                <w:sz w:val="18"/>
                <w:szCs w:val="18"/>
              </w:rPr>
            </w:pPr>
            <w:r>
              <w:rPr>
                <w:rFonts w:hint="eastAsia" w:ascii="宋体" w:hAnsi="Times New Roman"/>
                <w:sz w:val="18"/>
                <w:szCs w:val="18"/>
              </w:rPr>
              <w:t>≤</w:t>
            </w:r>
            <w:r>
              <w:rPr>
                <w:rFonts w:ascii="宋体" w:hAnsi="Times New Roman"/>
                <w:sz w:val="18"/>
                <w:szCs w:val="18"/>
              </w:rPr>
              <w:t>0.50</w:t>
            </w:r>
          </w:p>
        </w:tc>
      </w:tr>
    </w:tbl>
    <w:p w14:paraId="05DF6456">
      <w:pPr>
        <w:pStyle w:val="22"/>
        <w:spacing w:before="120" w:after="120" w:line="360" w:lineRule="auto"/>
        <w:ind w:left="67" w:right="660" w:firstLine="0"/>
        <w:jc w:val="both"/>
        <w:rPr>
          <w:sz w:val="24"/>
        </w:rPr>
      </w:pPr>
    </w:p>
    <w:p w14:paraId="33BDFDD1">
      <w:pPr>
        <w:pStyle w:val="22"/>
        <w:numPr>
          <w:ilvl w:val="1"/>
          <w:numId w:val="1"/>
        </w:numPr>
        <w:spacing w:before="120" w:after="120" w:line="360" w:lineRule="auto"/>
        <w:ind w:left="-500" w:leftChars="-250" w:right="660" w:firstLine="567"/>
        <w:jc w:val="both"/>
        <w:rPr>
          <w:sz w:val="24"/>
        </w:rPr>
      </w:pPr>
      <w:r>
        <w:rPr>
          <w:rFonts w:hint="eastAsia"/>
          <w:sz w:val="24"/>
        </w:rPr>
        <w:t>卫生指标</w:t>
      </w:r>
    </w:p>
    <w:p w14:paraId="1ABEF9CB">
      <w:pPr>
        <w:spacing w:before="120" w:after="120" w:line="360" w:lineRule="auto"/>
        <w:ind w:right="-128" w:rightChars="-64" w:firstLine="480" w:firstLineChars="200"/>
        <w:rPr>
          <w:sz w:val="24"/>
          <w:szCs w:val="24"/>
        </w:rPr>
      </w:pPr>
      <w:r>
        <w:rPr>
          <w:rFonts w:hint="eastAsia"/>
          <w:sz w:val="24"/>
          <w:szCs w:val="24"/>
        </w:rPr>
        <w:t>食用黄粉虫干卫生指标如表 3 所示。</w:t>
      </w:r>
    </w:p>
    <w:p w14:paraId="2B81A36F">
      <w:pPr>
        <w:jc w:val="center"/>
        <w:rPr>
          <w:sz w:val="24"/>
        </w:rPr>
      </w:pPr>
      <w:r>
        <w:rPr>
          <w:rFonts w:hint="eastAsia"/>
          <w:sz w:val="24"/>
        </w:rPr>
        <w:t>表 3 卫生指标</w:t>
      </w:r>
    </w:p>
    <w:tbl>
      <w:tblPr>
        <w:tblStyle w:val="40"/>
        <w:tblW w:w="0" w:type="auto"/>
        <w:tblInd w:w="132"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773"/>
        <w:gridCol w:w="4724"/>
      </w:tblGrid>
      <w:tr w14:paraId="7BAF60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 w:hRule="atLeast"/>
        </w:trPr>
        <w:tc>
          <w:tcPr>
            <w:tcW w:w="4773" w:type="dxa"/>
            <w:tcBorders>
              <w:right w:val="single" w:color="000000" w:sz="4" w:space="0"/>
            </w:tcBorders>
          </w:tcPr>
          <w:p w14:paraId="135FFD51">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指标名称</w:t>
            </w:r>
          </w:p>
        </w:tc>
        <w:tc>
          <w:tcPr>
            <w:tcW w:w="4724" w:type="dxa"/>
            <w:tcBorders>
              <w:left w:val="single" w:color="000000" w:sz="4" w:space="0"/>
            </w:tcBorders>
          </w:tcPr>
          <w:p w14:paraId="6485CA51">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指标要求</w:t>
            </w:r>
          </w:p>
        </w:tc>
      </w:tr>
      <w:tr w14:paraId="3370DB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 w:hRule="atLeast"/>
        </w:trPr>
        <w:tc>
          <w:tcPr>
            <w:tcW w:w="4773" w:type="dxa"/>
            <w:tcBorders>
              <w:bottom w:val="single" w:color="000000" w:sz="4" w:space="0"/>
              <w:right w:val="single" w:color="000000" w:sz="4" w:space="0"/>
            </w:tcBorders>
          </w:tcPr>
          <w:p w14:paraId="121A430D">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菌落总数/(CFU/g)</w:t>
            </w:r>
          </w:p>
        </w:tc>
        <w:tc>
          <w:tcPr>
            <w:tcW w:w="4724" w:type="dxa"/>
            <w:tcBorders>
              <w:left w:val="single" w:color="000000" w:sz="4" w:space="0"/>
              <w:bottom w:val="single" w:color="000000" w:sz="4" w:space="0"/>
            </w:tcBorders>
          </w:tcPr>
          <w:p w14:paraId="148AFF4D">
            <w:pPr>
              <w:widowControl/>
              <w:tabs>
                <w:tab w:val="center" w:pos="4201"/>
                <w:tab w:val="right" w:leader="dot" w:pos="9298"/>
              </w:tabs>
              <w:autoSpaceDE w:val="0"/>
              <w:autoSpaceDN w:val="0"/>
              <w:ind w:right="1638"/>
              <w:jc w:val="center"/>
              <w:rPr>
                <w:rFonts w:ascii="宋体" w:hAnsi="Times New Roman" w:eastAsiaTheme="minorEastAsia" w:cstheme="minorBidi"/>
                <w:sz w:val="18"/>
                <w:szCs w:val="18"/>
                <w:lang w:eastAsia="en-US"/>
              </w:rPr>
            </w:pPr>
            <w:r>
              <w:rPr>
                <w:rFonts w:hint="eastAsia" w:ascii="宋体" w:hAnsi="Times New Roman" w:eastAsiaTheme="minorEastAsia" w:cstheme="minorBidi"/>
                <w:sz w:val="18"/>
                <w:szCs w:val="18"/>
                <w:lang w:eastAsia="zh-CN"/>
              </w:rPr>
              <w:t xml:space="preserve"> </w:t>
            </w:r>
            <w:r>
              <w:rPr>
                <w:rFonts w:ascii="宋体" w:hAnsi="Times New Roman" w:eastAsiaTheme="minorEastAsia" w:cstheme="minorBidi"/>
                <w:sz w:val="18"/>
                <w:szCs w:val="18"/>
                <w:lang w:eastAsia="zh-CN"/>
              </w:rPr>
              <w:t xml:space="preserve">                 </w:t>
            </w:r>
            <w:r>
              <w:rPr>
                <w:rFonts w:ascii="宋体" w:hAnsi="Times New Roman" w:eastAsiaTheme="minorEastAsia" w:cstheme="minorBidi"/>
                <w:sz w:val="18"/>
                <w:szCs w:val="18"/>
                <w:lang w:eastAsia="en-US"/>
              </w:rPr>
              <w:t>＜1.0×10</w:t>
            </w:r>
            <w:r>
              <w:rPr>
                <w:rFonts w:ascii="宋体" w:hAnsi="Times New Roman" w:eastAsiaTheme="minorEastAsia" w:cstheme="minorBidi"/>
                <w:sz w:val="18"/>
                <w:szCs w:val="18"/>
                <w:vertAlign w:val="superscript"/>
                <w:lang w:eastAsia="en-US"/>
              </w:rPr>
              <w:t>4</w:t>
            </w:r>
          </w:p>
        </w:tc>
      </w:tr>
      <w:tr w14:paraId="132418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 w:hRule="atLeast"/>
        </w:trPr>
        <w:tc>
          <w:tcPr>
            <w:tcW w:w="4773" w:type="dxa"/>
            <w:tcBorders>
              <w:top w:val="single" w:color="000000" w:sz="4" w:space="0"/>
              <w:bottom w:val="single" w:color="000000" w:sz="4" w:space="0"/>
              <w:right w:val="single" w:color="000000" w:sz="4" w:space="0"/>
            </w:tcBorders>
          </w:tcPr>
          <w:p w14:paraId="0BA495DC">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大肠菌群/(MPN/g)</w:t>
            </w:r>
          </w:p>
        </w:tc>
        <w:tc>
          <w:tcPr>
            <w:tcW w:w="4724" w:type="dxa"/>
            <w:tcBorders>
              <w:top w:val="single" w:color="000000" w:sz="4" w:space="0"/>
              <w:left w:val="single" w:color="000000" w:sz="4" w:space="0"/>
              <w:bottom w:val="single" w:color="000000" w:sz="4" w:space="0"/>
            </w:tcBorders>
          </w:tcPr>
          <w:p w14:paraId="4415CB46">
            <w:pPr>
              <w:widowControl/>
              <w:tabs>
                <w:tab w:val="center" w:pos="4201"/>
                <w:tab w:val="right" w:leader="dot" w:pos="9298"/>
              </w:tabs>
              <w:autoSpaceDE w:val="0"/>
              <w:autoSpaceDN w:val="0"/>
              <w:ind w:right="1638"/>
              <w:jc w:val="center"/>
              <w:rPr>
                <w:rFonts w:ascii="宋体" w:hAnsi="Times New Roman" w:eastAsiaTheme="minorEastAsia" w:cstheme="minorBidi"/>
                <w:sz w:val="18"/>
                <w:szCs w:val="18"/>
                <w:lang w:eastAsia="zh-CN"/>
              </w:rPr>
            </w:pPr>
            <w:r>
              <w:rPr>
                <w:rFonts w:hint="eastAsia" w:ascii="宋体" w:hAnsi="Times New Roman" w:eastAsiaTheme="minorEastAsia" w:cstheme="minorBidi"/>
                <w:sz w:val="18"/>
                <w:szCs w:val="18"/>
                <w:lang w:eastAsia="zh-CN"/>
              </w:rPr>
              <w:t xml:space="preserve"> </w:t>
            </w:r>
            <w:r>
              <w:rPr>
                <w:rFonts w:ascii="宋体" w:hAnsi="Times New Roman" w:eastAsiaTheme="minorEastAsia" w:cstheme="minorBidi"/>
                <w:sz w:val="18"/>
                <w:szCs w:val="18"/>
                <w:lang w:eastAsia="zh-CN"/>
              </w:rPr>
              <w:t xml:space="preserve">                 ＜3.0</w:t>
            </w:r>
          </w:p>
        </w:tc>
      </w:tr>
      <w:tr w14:paraId="67B099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 w:hRule="atLeast"/>
        </w:trPr>
        <w:tc>
          <w:tcPr>
            <w:tcW w:w="4773" w:type="dxa"/>
            <w:tcBorders>
              <w:top w:val="single" w:color="000000" w:sz="4" w:space="0"/>
              <w:bottom w:val="single" w:color="000000" w:sz="4" w:space="0"/>
              <w:right w:val="single" w:color="000000" w:sz="4" w:space="0"/>
            </w:tcBorders>
          </w:tcPr>
          <w:p w14:paraId="6AD32299">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霉菌总数/(CFU/g)</w:t>
            </w:r>
          </w:p>
        </w:tc>
        <w:tc>
          <w:tcPr>
            <w:tcW w:w="4724" w:type="dxa"/>
            <w:tcBorders>
              <w:top w:val="single" w:color="000000" w:sz="4" w:space="0"/>
              <w:left w:val="single" w:color="000000" w:sz="4" w:space="0"/>
              <w:bottom w:val="single" w:color="000000" w:sz="4" w:space="0"/>
            </w:tcBorders>
          </w:tcPr>
          <w:p w14:paraId="40E3368D">
            <w:pPr>
              <w:widowControl/>
              <w:tabs>
                <w:tab w:val="center" w:pos="4201"/>
                <w:tab w:val="right" w:leader="dot" w:pos="9298"/>
              </w:tabs>
              <w:autoSpaceDE w:val="0"/>
              <w:autoSpaceDN w:val="0"/>
              <w:ind w:right="1638"/>
              <w:jc w:val="center"/>
              <w:rPr>
                <w:rFonts w:ascii="宋体" w:hAnsi="Times New Roman" w:eastAsiaTheme="minorEastAsia" w:cstheme="minorBidi"/>
                <w:sz w:val="18"/>
                <w:szCs w:val="18"/>
                <w:lang w:eastAsia="zh-CN"/>
              </w:rPr>
            </w:pPr>
            <w:r>
              <w:rPr>
                <w:rFonts w:hint="eastAsia" w:ascii="宋体" w:hAnsi="Times New Roman" w:eastAsiaTheme="minorEastAsia" w:cstheme="minorBidi"/>
                <w:sz w:val="18"/>
                <w:szCs w:val="18"/>
                <w:lang w:eastAsia="zh-CN"/>
              </w:rPr>
              <w:t xml:space="preserve"> </w:t>
            </w:r>
            <w:r>
              <w:rPr>
                <w:rFonts w:ascii="宋体" w:hAnsi="Times New Roman" w:eastAsiaTheme="minorEastAsia" w:cstheme="minorBidi"/>
                <w:sz w:val="18"/>
                <w:szCs w:val="18"/>
                <w:lang w:eastAsia="zh-CN"/>
              </w:rPr>
              <w:t xml:space="preserve">                 ＜100</w:t>
            </w:r>
          </w:p>
        </w:tc>
      </w:tr>
      <w:tr w14:paraId="502E9A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1" w:hRule="atLeast"/>
        </w:trPr>
        <w:tc>
          <w:tcPr>
            <w:tcW w:w="4773" w:type="dxa"/>
            <w:tcBorders>
              <w:top w:val="single" w:color="000000" w:sz="4" w:space="0"/>
              <w:bottom w:val="single" w:color="000000" w:sz="4" w:space="0"/>
              <w:right w:val="single" w:color="000000" w:sz="4" w:space="0"/>
            </w:tcBorders>
          </w:tcPr>
          <w:p w14:paraId="7CFE0BB4">
            <w:pPr>
              <w:widowControl/>
              <w:tabs>
                <w:tab w:val="center" w:pos="4201"/>
                <w:tab w:val="right" w:leader="dot" w:pos="9298"/>
              </w:tabs>
              <w:autoSpaceDE w:val="0"/>
              <w:autoSpaceDN w:val="0"/>
              <w:jc w:val="center"/>
              <w:rPr>
                <w:rFonts w:ascii="宋体" w:hAnsi="Times New Roman" w:eastAsiaTheme="minorEastAsia" w:cstheme="minorBidi"/>
                <w:sz w:val="18"/>
                <w:szCs w:val="18"/>
                <w:lang w:eastAsia="zh-CN"/>
              </w:rPr>
            </w:pPr>
            <w:r>
              <w:rPr>
                <w:rFonts w:ascii="宋体" w:hAnsi="Times New Roman" w:eastAsiaTheme="minorEastAsia" w:cstheme="minorBidi"/>
                <w:sz w:val="18"/>
                <w:szCs w:val="18"/>
                <w:lang w:eastAsia="zh-CN"/>
              </w:rPr>
              <w:t>酵母菌总数/（CFU/g）</w:t>
            </w:r>
          </w:p>
        </w:tc>
        <w:tc>
          <w:tcPr>
            <w:tcW w:w="4724" w:type="dxa"/>
            <w:tcBorders>
              <w:top w:val="single" w:color="000000" w:sz="4" w:space="0"/>
              <w:left w:val="single" w:color="000000" w:sz="4" w:space="0"/>
              <w:bottom w:val="single" w:color="000000" w:sz="4" w:space="0"/>
            </w:tcBorders>
          </w:tcPr>
          <w:p w14:paraId="391405C8">
            <w:pPr>
              <w:widowControl/>
              <w:tabs>
                <w:tab w:val="center" w:pos="4201"/>
                <w:tab w:val="right" w:leader="dot" w:pos="9298"/>
              </w:tabs>
              <w:autoSpaceDE w:val="0"/>
              <w:autoSpaceDN w:val="0"/>
              <w:ind w:right="1638"/>
              <w:jc w:val="center"/>
              <w:rPr>
                <w:rFonts w:ascii="宋体" w:hAnsi="Times New Roman" w:eastAsiaTheme="minorEastAsia" w:cstheme="minorBidi"/>
                <w:sz w:val="18"/>
                <w:szCs w:val="18"/>
                <w:lang w:eastAsia="zh-CN"/>
              </w:rPr>
            </w:pPr>
            <w:r>
              <w:rPr>
                <w:rFonts w:hint="eastAsia" w:ascii="宋体" w:hAnsi="Times New Roman" w:eastAsiaTheme="minorEastAsia" w:cstheme="minorBidi"/>
                <w:sz w:val="18"/>
                <w:szCs w:val="18"/>
                <w:lang w:eastAsia="zh-CN"/>
              </w:rPr>
              <w:t xml:space="preserve"> </w:t>
            </w:r>
            <w:r>
              <w:rPr>
                <w:rFonts w:ascii="宋体" w:hAnsi="Times New Roman" w:eastAsiaTheme="minorEastAsia" w:cstheme="minorBidi"/>
                <w:sz w:val="18"/>
                <w:szCs w:val="18"/>
                <w:lang w:eastAsia="zh-CN"/>
              </w:rPr>
              <w:t xml:space="preserve">                 ＜100</w:t>
            </w:r>
          </w:p>
        </w:tc>
      </w:tr>
      <w:tr w14:paraId="7387CB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 w:hRule="atLeast"/>
        </w:trPr>
        <w:tc>
          <w:tcPr>
            <w:tcW w:w="4773" w:type="dxa"/>
            <w:tcBorders>
              <w:top w:val="single" w:color="000000" w:sz="4" w:space="0"/>
              <w:bottom w:val="single" w:color="000000" w:sz="4" w:space="0"/>
              <w:right w:val="single" w:color="000000" w:sz="4" w:space="0"/>
            </w:tcBorders>
          </w:tcPr>
          <w:p w14:paraId="26DEA0D9">
            <w:pPr>
              <w:widowControl/>
              <w:tabs>
                <w:tab w:val="center" w:pos="4201"/>
                <w:tab w:val="right" w:leader="dot" w:pos="9298"/>
              </w:tabs>
              <w:autoSpaceDE w:val="0"/>
              <w:autoSpaceDN w:val="0"/>
              <w:jc w:val="center"/>
              <w:rPr>
                <w:rFonts w:ascii="宋体" w:hAnsi="Times New Roman" w:eastAsiaTheme="minorEastAsia" w:cstheme="minorBidi"/>
                <w:sz w:val="18"/>
                <w:szCs w:val="18"/>
                <w:lang w:eastAsia="zh-CN"/>
              </w:rPr>
            </w:pPr>
            <w:r>
              <w:rPr>
                <w:rFonts w:ascii="宋体" w:hAnsi="Times New Roman" w:eastAsiaTheme="minorEastAsia" w:cstheme="minorBidi"/>
                <w:sz w:val="18"/>
                <w:szCs w:val="18"/>
                <w:lang w:eastAsia="zh-CN"/>
              </w:rPr>
              <w:t>致病菌（沙门氏菌、金黄色葡萄球菌）</w:t>
            </w:r>
          </w:p>
        </w:tc>
        <w:tc>
          <w:tcPr>
            <w:tcW w:w="4724" w:type="dxa"/>
            <w:tcBorders>
              <w:top w:val="single" w:color="000000" w:sz="4" w:space="0"/>
              <w:left w:val="single" w:color="000000" w:sz="4" w:space="0"/>
              <w:bottom w:val="single" w:color="000000" w:sz="4" w:space="0"/>
            </w:tcBorders>
          </w:tcPr>
          <w:p w14:paraId="45CD6425">
            <w:pPr>
              <w:widowControl/>
              <w:tabs>
                <w:tab w:val="center" w:pos="4201"/>
                <w:tab w:val="right" w:leader="dot" w:pos="9298"/>
              </w:tabs>
              <w:autoSpaceDE w:val="0"/>
              <w:autoSpaceDN w:val="0"/>
              <w:ind w:right="1638"/>
              <w:jc w:val="center"/>
              <w:rPr>
                <w:rFonts w:ascii="宋体" w:hAnsi="Times New Roman" w:eastAsiaTheme="minorEastAsia" w:cstheme="minorBidi"/>
                <w:sz w:val="18"/>
                <w:szCs w:val="18"/>
                <w:lang w:eastAsia="zh-CN"/>
              </w:rPr>
            </w:pPr>
            <w:r>
              <w:rPr>
                <w:rFonts w:hint="eastAsia" w:ascii="宋体" w:hAnsi="Times New Roman" w:eastAsiaTheme="minorEastAsia" w:cstheme="minorBidi"/>
                <w:sz w:val="18"/>
                <w:szCs w:val="18"/>
                <w:lang w:eastAsia="zh-CN"/>
              </w:rPr>
              <w:t xml:space="preserve"> </w:t>
            </w:r>
            <w:r>
              <w:rPr>
                <w:rFonts w:ascii="宋体" w:hAnsi="Times New Roman" w:eastAsiaTheme="minorEastAsia" w:cstheme="minorBidi"/>
                <w:sz w:val="18"/>
                <w:szCs w:val="18"/>
                <w:lang w:eastAsia="zh-CN"/>
              </w:rPr>
              <w:t xml:space="preserve">                  不得检出</w:t>
            </w:r>
          </w:p>
        </w:tc>
      </w:tr>
    </w:tbl>
    <w:p w14:paraId="3E4BEFFB">
      <w:pPr>
        <w:ind w:firstLine="400" w:firstLineChars="200"/>
        <w:jc w:val="center"/>
      </w:pPr>
    </w:p>
    <w:p w14:paraId="02423E57">
      <w:pPr>
        <w:ind w:firstLine="400" w:firstLineChars="200"/>
      </w:pPr>
    </w:p>
    <w:p w14:paraId="425E2E07">
      <w:pPr>
        <w:pStyle w:val="22"/>
        <w:numPr>
          <w:ilvl w:val="1"/>
          <w:numId w:val="1"/>
        </w:numPr>
        <w:spacing w:before="120" w:after="120" w:line="360" w:lineRule="auto"/>
        <w:ind w:left="-500" w:leftChars="-250" w:right="660" w:firstLine="567"/>
        <w:jc w:val="both"/>
        <w:rPr>
          <w:sz w:val="24"/>
        </w:rPr>
      </w:pPr>
      <w:r>
        <w:rPr>
          <w:rFonts w:hint="eastAsia"/>
          <w:sz w:val="24"/>
        </w:rPr>
        <w:t>污染物指标</w:t>
      </w:r>
    </w:p>
    <w:p w14:paraId="73BE9516">
      <w:pPr>
        <w:spacing w:before="120" w:after="120" w:line="360" w:lineRule="auto"/>
        <w:ind w:right="-128" w:rightChars="-64" w:firstLine="480" w:firstLineChars="200"/>
        <w:rPr>
          <w:sz w:val="24"/>
          <w:szCs w:val="24"/>
        </w:rPr>
      </w:pPr>
      <w:r>
        <w:rPr>
          <w:rFonts w:hint="eastAsia"/>
          <w:sz w:val="24"/>
          <w:szCs w:val="24"/>
        </w:rPr>
        <w:t>食用黄粉虫干污染物指标如表 4 所示。</w:t>
      </w:r>
    </w:p>
    <w:p w14:paraId="716A6254">
      <w:pPr>
        <w:jc w:val="center"/>
        <w:rPr>
          <w:sz w:val="24"/>
        </w:rPr>
      </w:pPr>
      <w:r>
        <w:rPr>
          <w:rFonts w:hint="eastAsia"/>
          <w:sz w:val="24"/>
        </w:rPr>
        <w:t>表 4 污染物指标</w:t>
      </w:r>
    </w:p>
    <w:tbl>
      <w:tblPr>
        <w:tblStyle w:val="41"/>
        <w:tblW w:w="0" w:type="auto"/>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53"/>
        <w:gridCol w:w="4544"/>
      </w:tblGrid>
      <w:tr w14:paraId="3D83A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3" w:type="dxa"/>
          </w:tcPr>
          <w:p w14:paraId="60880157">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指标名称</w:t>
            </w:r>
          </w:p>
        </w:tc>
        <w:tc>
          <w:tcPr>
            <w:tcW w:w="4544" w:type="dxa"/>
            <w:vAlign w:val="center"/>
          </w:tcPr>
          <w:p w14:paraId="5CA83EF2">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指标要求</w:t>
            </w:r>
          </w:p>
        </w:tc>
      </w:tr>
      <w:tr w14:paraId="6A4DF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3" w:type="dxa"/>
          </w:tcPr>
          <w:p w14:paraId="7F110A91">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铅（mg/kg）</w:t>
            </w:r>
          </w:p>
        </w:tc>
        <w:tc>
          <w:tcPr>
            <w:tcW w:w="4544" w:type="dxa"/>
          </w:tcPr>
          <w:p w14:paraId="4BCF49C5">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≤0.1</w:t>
            </w:r>
          </w:p>
        </w:tc>
      </w:tr>
      <w:tr w14:paraId="7D672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3" w:type="dxa"/>
          </w:tcPr>
          <w:p w14:paraId="4BF21C6A">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砷（mg/kg）</w:t>
            </w:r>
          </w:p>
        </w:tc>
        <w:tc>
          <w:tcPr>
            <w:tcW w:w="4544" w:type="dxa"/>
          </w:tcPr>
          <w:p w14:paraId="2238F04B">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≤0.3</w:t>
            </w:r>
          </w:p>
        </w:tc>
      </w:tr>
      <w:tr w14:paraId="4481D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3" w:type="dxa"/>
          </w:tcPr>
          <w:p w14:paraId="789B8829">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镉（mg/kg）</w:t>
            </w:r>
          </w:p>
        </w:tc>
        <w:tc>
          <w:tcPr>
            <w:tcW w:w="4544" w:type="dxa"/>
          </w:tcPr>
          <w:p w14:paraId="01C382E9">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≤0.1</w:t>
            </w:r>
          </w:p>
        </w:tc>
      </w:tr>
      <w:tr w14:paraId="47ABE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3" w:type="dxa"/>
          </w:tcPr>
          <w:p w14:paraId="44CB693F">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汞（mg/kg）</w:t>
            </w:r>
          </w:p>
        </w:tc>
        <w:tc>
          <w:tcPr>
            <w:tcW w:w="4544" w:type="dxa"/>
          </w:tcPr>
          <w:p w14:paraId="4A916A68">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≤0.1</w:t>
            </w:r>
          </w:p>
        </w:tc>
      </w:tr>
      <w:tr w14:paraId="72A8A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3" w:type="dxa"/>
          </w:tcPr>
          <w:p w14:paraId="29C039AD">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铬（mg/kg）</w:t>
            </w:r>
          </w:p>
        </w:tc>
        <w:tc>
          <w:tcPr>
            <w:tcW w:w="4544" w:type="dxa"/>
          </w:tcPr>
          <w:p w14:paraId="4E717BD6">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≤1.0</w:t>
            </w:r>
          </w:p>
        </w:tc>
      </w:tr>
      <w:tr w14:paraId="2F02A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3" w:type="dxa"/>
          </w:tcPr>
          <w:p w14:paraId="4A1C6DD8">
            <w:pPr>
              <w:widowControl/>
              <w:tabs>
                <w:tab w:val="center" w:pos="4201"/>
                <w:tab w:val="right" w:leader="dot" w:pos="9298"/>
              </w:tabs>
              <w:autoSpaceDE w:val="0"/>
              <w:autoSpaceDN w:val="0"/>
              <w:jc w:val="center"/>
              <w:rPr>
                <w:rFonts w:ascii="宋体" w:hAnsi="Times New Roman" w:eastAsiaTheme="minorEastAsia" w:cstheme="minorBidi"/>
                <w:sz w:val="18"/>
                <w:szCs w:val="18"/>
                <w:lang w:eastAsia="zh-CN"/>
              </w:rPr>
            </w:pPr>
            <w:r>
              <w:rPr>
                <w:rFonts w:ascii="宋体" w:hAnsi="Times New Roman" w:eastAsiaTheme="minorEastAsia" w:cstheme="minorBidi"/>
                <w:sz w:val="18"/>
                <w:szCs w:val="18"/>
                <w:lang w:eastAsia="zh-CN"/>
              </w:rPr>
              <w:t>黄曲霉毒素（B1、B2）</w:t>
            </w:r>
          </w:p>
        </w:tc>
        <w:tc>
          <w:tcPr>
            <w:tcW w:w="4544" w:type="dxa"/>
          </w:tcPr>
          <w:p w14:paraId="3FAEC685">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不得检出</w:t>
            </w:r>
          </w:p>
        </w:tc>
      </w:tr>
      <w:tr w14:paraId="732AD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3" w:type="dxa"/>
          </w:tcPr>
          <w:p w14:paraId="13F3A6A6">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赭曲霉毒素A</w:t>
            </w:r>
          </w:p>
        </w:tc>
        <w:tc>
          <w:tcPr>
            <w:tcW w:w="4544" w:type="dxa"/>
          </w:tcPr>
          <w:p w14:paraId="054CECF3">
            <w:pPr>
              <w:widowControl/>
              <w:tabs>
                <w:tab w:val="center" w:pos="4201"/>
                <w:tab w:val="right" w:leader="dot" w:pos="9298"/>
              </w:tabs>
              <w:autoSpaceDE w:val="0"/>
              <w:autoSpaceDN w:val="0"/>
              <w:jc w:val="center"/>
              <w:rPr>
                <w:rFonts w:ascii="宋体" w:hAnsi="Times New Roman" w:eastAsiaTheme="minorEastAsia" w:cstheme="minorBidi"/>
                <w:sz w:val="18"/>
                <w:szCs w:val="18"/>
                <w:lang w:eastAsia="en-US"/>
              </w:rPr>
            </w:pPr>
            <w:r>
              <w:rPr>
                <w:rFonts w:ascii="宋体" w:hAnsi="Times New Roman" w:eastAsiaTheme="minorEastAsia" w:cstheme="minorBidi"/>
                <w:sz w:val="18"/>
                <w:szCs w:val="18"/>
                <w:lang w:eastAsia="en-US"/>
              </w:rPr>
              <w:t>不得检出</w:t>
            </w:r>
          </w:p>
        </w:tc>
      </w:tr>
    </w:tbl>
    <w:p w14:paraId="7AB05A55">
      <w:pPr>
        <w:spacing w:before="120" w:after="120" w:line="360" w:lineRule="auto"/>
        <w:ind w:right="-128" w:rightChars="-64" w:firstLine="480" w:firstLineChars="200"/>
        <w:rPr>
          <w:sz w:val="24"/>
          <w:szCs w:val="24"/>
        </w:rPr>
      </w:pPr>
    </w:p>
    <w:p w14:paraId="1F911751">
      <w:pPr>
        <w:pStyle w:val="4"/>
        <w:numPr>
          <w:ilvl w:val="0"/>
          <w:numId w:val="1"/>
        </w:numPr>
        <w:spacing w:before="120" w:beforeLines="50" w:after="120" w:afterLines="50" w:line="360" w:lineRule="auto"/>
        <w:ind w:left="0" w:firstLine="0"/>
        <w:jc w:val="left"/>
        <w:rPr>
          <w:rFonts w:ascii="宋体" w:hAnsi="宋体" w:eastAsia="宋体"/>
          <w:b/>
          <w:bCs/>
        </w:rPr>
      </w:pPr>
      <w:bookmarkStart w:id="14" w:name="_Toc230153048"/>
      <w:r>
        <w:rPr>
          <w:rFonts w:hint="eastAsia" w:ascii="宋体" w:hAnsi="宋体" w:eastAsia="宋体"/>
          <w:b/>
          <w:bCs/>
        </w:rPr>
        <w:t>试验方法</w:t>
      </w:r>
      <w:bookmarkEnd w:id="14"/>
    </w:p>
    <w:p w14:paraId="1C3853FF">
      <w:pPr>
        <w:spacing w:before="120" w:after="120" w:line="360" w:lineRule="auto"/>
        <w:ind w:right="-128" w:rightChars="-64" w:firstLine="480" w:firstLineChars="200"/>
        <w:rPr>
          <w:sz w:val="24"/>
          <w:szCs w:val="24"/>
        </w:rPr>
      </w:pPr>
      <w:r>
        <w:rPr>
          <w:rFonts w:hint="eastAsia"/>
          <w:sz w:val="24"/>
          <w:szCs w:val="24"/>
        </w:rPr>
        <w:t>试验中所有试剂和试验用水，在未标明其他要求时，均使用分析纯试剂和 GB/T 6682 中规定的三级水。</w:t>
      </w:r>
    </w:p>
    <w:p w14:paraId="3E60E547">
      <w:pPr>
        <w:pStyle w:val="22"/>
        <w:numPr>
          <w:ilvl w:val="1"/>
          <w:numId w:val="1"/>
        </w:numPr>
        <w:spacing w:before="120" w:after="120" w:line="360" w:lineRule="auto"/>
        <w:ind w:left="-500" w:leftChars="-250" w:right="660" w:firstLine="567"/>
        <w:jc w:val="both"/>
        <w:rPr>
          <w:sz w:val="24"/>
        </w:rPr>
      </w:pPr>
      <w:r>
        <w:rPr>
          <w:rFonts w:hint="eastAsia"/>
          <w:sz w:val="24"/>
        </w:rPr>
        <w:t>抽样</w:t>
      </w:r>
    </w:p>
    <w:p w14:paraId="56F7BA97">
      <w:pPr>
        <w:spacing w:before="120" w:after="120" w:line="360" w:lineRule="auto"/>
        <w:ind w:right="-128" w:rightChars="-64" w:firstLine="480" w:firstLineChars="200"/>
        <w:rPr>
          <w:sz w:val="24"/>
          <w:szCs w:val="24"/>
        </w:rPr>
      </w:pPr>
      <w:r>
        <w:rPr>
          <w:sz w:val="24"/>
          <w:szCs w:val="24"/>
        </w:rPr>
        <w:t>按 GB/T 5009.1 规定执行。</w:t>
      </w:r>
    </w:p>
    <w:p w14:paraId="055A0706">
      <w:pPr>
        <w:pStyle w:val="22"/>
        <w:numPr>
          <w:ilvl w:val="1"/>
          <w:numId w:val="1"/>
        </w:numPr>
        <w:spacing w:before="120" w:after="120" w:line="360" w:lineRule="auto"/>
        <w:ind w:left="-500" w:leftChars="-250" w:right="660" w:firstLine="567"/>
        <w:jc w:val="both"/>
        <w:rPr>
          <w:sz w:val="24"/>
        </w:rPr>
      </w:pPr>
      <w:r>
        <w:rPr>
          <w:rFonts w:hint="eastAsia"/>
          <w:sz w:val="24"/>
        </w:rPr>
        <w:t>感官指标</w:t>
      </w:r>
    </w:p>
    <w:p w14:paraId="6D22FBF4">
      <w:pPr>
        <w:spacing w:before="120" w:after="120" w:line="360" w:lineRule="auto"/>
        <w:ind w:right="-128" w:rightChars="-64" w:firstLine="480" w:firstLineChars="200"/>
        <w:rPr>
          <w:sz w:val="24"/>
          <w:szCs w:val="24"/>
        </w:rPr>
      </w:pPr>
      <w:r>
        <w:rPr>
          <w:rFonts w:hint="eastAsia"/>
          <w:sz w:val="24"/>
          <w:szCs w:val="24"/>
        </w:rPr>
        <w:t>在光线充足，无异味的环境中，取 20</w:t>
      </w:r>
      <w:r>
        <w:rPr>
          <w:sz w:val="24"/>
          <w:szCs w:val="24"/>
        </w:rPr>
        <w:t>0</w:t>
      </w:r>
      <w:r>
        <w:rPr>
          <w:rFonts w:hint="eastAsia"/>
          <w:sz w:val="24"/>
          <w:szCs w:val="24"/>
        </w:rPr>
        <w:t>.0g的试样倒在白色的搪瓷盘中，逐项检查外观、色泽、气味、杂质等。</w:t>
      </w:r>
    </w:p>
    <w:p w14:paraId="7ED6D7F7">
      <w:pPr>
        <w:pStyle w:val="22"/>
        <w:numPr>
          <w:ilvl w:val="1"/>
          <w:numId w:val="1"/>
        </w:numPr>
        <w:spacing w:before="120" w:after="120" w:line="360" w:lineRule="auto"/>
        <w:ind w:left="-500" w:leftChars="-250" w:right="660" w:firstLine="567"/>
        <w:jc w:val="both"/>
        <w:rPr>
          <w:sz w:val="24"/>
        </w:rPr>
      </w:pPr>
      <w:r>
        <w:rPr>
          <w:rFonts w:hint="eastAsia"/>
          <w:sz w:val="24"/>
        </w:rPr>
        <w:t>蛋白质</w:t>
      </w:r>
    </w:p>
    <w:p w14:paraId="638F985F">
      <w:pPr>
        <w:spacing w:before="120" w:after="120" w:line="360" w:lineRule="auto"/>
        <w:ind w:right="-128" w:rightChars="-64" w:firstLine="480" w:firstLineChars="200"/>
        <w:rPr>
          <w:sz w:val="24"/>
          <w:szCs w:val="24"/>
        </w:rPr>
      </w:pPr>
      <w:r>
        <w:rPr>
          <w:sz w:val="24"/>
          <w:szCs w:val="24"/>
        </w:rPr>
        <w:t>按 GB 5009.5 中的方法测定。</w:t>
      </w:r>
    </w:p>
    <w:p w14:paraId="30B0E67A">
      <w:pPr>
        <w:pStyle w:val="22"/>
        <w:numPr>
          <w:ilvl w:val="1"/>
          <w:numId w:val="1"/>
        </w:numPr>
        <w:spacing w:before="120" w:after="120" w:line="360" w:lineRule="auto"/>
        <w:ind w:left="-500" w:leftChars="-250" w:right="660" w:firstLine="567"/>
        <w:jc w:val="both"/>
        <w:rPr>
          <w:sz w:val="24"/>
        </w:rPr>
      </w:pPr>
      <w:r>
        <w:rPr>
          <w:rFonts w:hint="eastAsia"/>
          <w:sz w:val="24"/>
        </w:rPr>
        <w:t>脂肪</w:t>
      </w:r>
    </w:p>
    <w:p w14:paraId="66C16877">
      <w:pPr>
        <w:spacing w:before="120" w:after="120" w:line="360" w:lineRule="auto"/>
        <w:ind w:right="-128" w:rightChars="-64" w:firstLine="480" w:firstLineChars="200"/>
        <w:rPr>
          <w:sz w:val="24"/>
          <w:szCs w:val="24"/>
        </w:rPr>
      </w:pPr>
      <w:r>
        <w:rPr>
          <w:rFonts w:hint="eastAsia"/>
          <w:sz w:val="24"/>
          <w:szCs w:val="24"/>
        </w:rPr>
        <w:t>按 GB 5009.6 中的方法测定。</w:t>
      </w:r>
    </w:p>
    <w:p w14:paraId="441DE1F2">
      <w:pPr>
        <w:pStyle w:val="22"/>
        <w:numPr>
          <w:ilvl w:val="1"/>
          <w:numId w:val="1"/>
        </w:numPr>
        <w:spacing w:before="120" w:after="120" w:line="360" w:lineRule="auto"/>
        <w:ind w:left="-500" w:leftChars="-250" w:right="660" w:firstLine="567"/>
        <w:jc w:val="both"/>
        <w:rPr>
          <w:sz w:val="24"/>
        </w:rPr>
      </w:pPr>
      <w:r>
        <w:rPr>
          <w:rFonts w:hint="eastAsia"/>
          <w:sz w:val="24"/>
        </w:rPr>
        <w:t>膳食纤维</w:t>
      </w:r>
    </w:p>
    <w:p w14:paraId="6DD2D1E8">
      <w:pPr>
        <w:spacing w:before="120" w:after="120" w:line="360" w:lineRule="auto"/>
        <w:ind w:right="-128" w:rightChars="-64" w:firstLine="480" w:firstLineChars="200"/>
        <w:rPr>
          <w:sz w:val="24"/>
          <w:szCs w:val="24"/>
        </w:rPr>
      </w:pPr>
      <w:r>
        <w:rPr>
          <w:rFonts w:hint="eastAsia"/>
          <w:sz w:val="24"/>
          <w:szCs w:val="24"/>
        </w:rPr>
        <w:t>按 GB 5009.88 中的方法测定。</w:t>
      </w:r>
    </w:p>
    <w:p w14:paraId="4C69226D">
      <w:pPr>
        <w:pStyle w:val="22"/>
        <w:numPr>
          <w:ilvl w:val="1"/>
          <w:numId w:val="1"/>
        </w:numPr>
        <w:spacing w:before="120" w:after="120" w:line="360" w:lineRule="auto"/>
        <w:ind w:left="-500" w:leftChars="-250" w:right="660" w:firstLine="567"/>
        <w:jc w:val="both"/>
        <w:rPr>
          <w:sz w:val="24"/>
        </w:rPr>
      </w:pPr>
      <w:r>
        <w:rPr>
          <w:rFonts w:hint="eastAsia"/>
          <w:sz w:val="24"/>
        </w:rPr>
        <w:t>水分</w:t>
      </w:r>
    </w:p>
    <w:p w14:paraId="1BB2D591">
      <w:pPr>
        <w:spacing w:before="120" w:after="120" w:line="360" w:lineRule="auto"/>
        <w:ind w:right="-128" w:rightChars="-64" w:firstLine="480" w:firstLineChars="200"/>
        <w:rPr>
          <w:sz w:val="24"/>
          <w:szCs w:val="24"/>
        </w:rPr>
      </w:pPr>
      <w:r>
        <w:rPr>
          <w:rFonts w:hint="eastAsia"/>
          <w:sz w:val="24"/>
          <w:szCs w:val="24"/>
        </w:rPr>
        <w:t>按 GB 5009.3 中的方法测定。</w:t>
      </w:r>
    </w:p>
    <w:p w14:paraId="69AE6656">
      <w:pPr>
        <w:pStyle w:val="22"/>
        <w:numPr>
          <w:ilvl w:val="1"/>
          <w:numId w:val="1"/>
        </w:numPr>
        <w:spacing w:before="120" w:after="120" w:line="360" w:lineRule="auto"/>
        <w:ind w:left="-500" w:leftChars="-250" w:right="660" w:firstLine="567"/>
        <w:jc w:val="both"/>
        <w:rPr>
          <w:sz w:val="24"/>
        </w:rPr>
      </w:pPr>
      <w:r>
        <w:rPr>
          <w:sz w:val="24"/>
        </w:rPr>
        <w:t>灰分</w:t>
      </w:r>
    </w:p>
    <w:p w14:paraId="55C66A00">
      <w:pPr>
        <w:spacing w:before="120" w:after="120" w:line="360" w:lineRule="auto"/>
        <w:ind w:right="-128" w:rightChars="-64" w:firstLine="480" w:firstLineChars="200"/>
        <w:rPr>
          <w:sz w:val="24"/>
          <w:szCs w:val="24"/>
        </w:rPr>
      </w:pPr>
      <w:r>
        <w:rPr>
          <w:rFonts w:hint="eastAsia"/>
          <w:sz w:val="24"/>
          <w:szCs w:val="24"/>
        </w:rPr>
        <w:t>按 GB 5009.4 中的方法测定。</w:t>
      </w:r>
    </w:p>
    <w:p w14:paraId="7E15613B">
      <w:pPr>
        <w:pStyle w:val="22"/>
        <w:numPr>
          <w:ilvl w:val="1"/>
          <w:numId w:val="1"/>
        </w:numPr>
        <w:spacing w:before="120" w:after="120" w:line="360" w:lineRule="auto"/>
        <w:ind w:left="-500" w:leftChars="-250" w:right="660" w:firstLine="567"/>
        <w:jc w:val="both"/>
        <w:rPr>
          <w:sz w:val="24"/>
        </w:rPr>
      </w:pPr>
      <w:r>
        <w:rPr>
          <w:rFonts w:hint="eastAsia"/>
          <w:sz w:val="24"/>
        </w:rPr>
        <w:t>过氧化值</w:t>
      </w:r>
    </w:p>
    <w:p w14:paraId="72A339B9">
      <w:pPr>
        <w:spacing w:before="120" w:after="120" w:line="360" w:lineRule="auto"/>
        <w:ind w:right="-128" w:rightChars="-64" w:firstLine="480" w:firstLineChars="200"/>
        <w:rPr>
          <w:sz w:val="24"/>
          <w:szCs w:val="24"/>
        </w:rPr>
      </w:pPr>
      <w:r>
        <w:rPr>
          <w:rFonts w:hint="eastAsia"/>
          <w:sz w:val="24"/>
          <w:szCs w:val="24"/>
        </w:rPr>
        <w:t>按 GB 5009.22</w:t>
      </w:r>
      <w:r>
        <w:rPr>
          <w:sz w:val="24"/>
          <w:szCs w:val="24"/>
        </w:rPr>
        <w:t>7</w:t>
      </w:r>
      <w:r>
        <w:rPr>
          <w:rFonts w:hint="eastAsia"/>
          <w:sz w:val="24"/>
          <w:szCs w:val="24"/>
        </w:rPr>
        <w:t>中的方法（第一法）测定。</w:t>
      </w:r>
    </w:p>
    <w:p w14:paraId="1586B789">
      <w:pPr>
        <w:pStyle w:val="22"/>
        <w:numPr>
          <w:ilvl w:val="1"/>
          <w:numId w:val="1"/>
        </w:numPr>
        <w:spacing w:before="120" w:after="120" w:line="360" w:lineRule="auto"/>
        <w:ind w:left="-500" w:leftChars="-250" w:right="660" w:firstLine="567"/>
        <w:jc w:val="both"/>
        <w:rPr>
          <w:sz w:val="24"/>
        </w:rPr>
      </w:pPr>
      <w:r>
        <w:rPr>
          <w:rFonts w:hint="eastAsia"/>
          <w:sz w:val="24"/>
        </w:rPr>
        <w:t>微生物指标</w:t>
      </w:r>
    </w:p>
    <w:p w14:paraId="2959C93A">
      <w:pPr>
        <w:spacing w:before="120" w:after="120" w:line="360" w:lineRule="auto"/>
        <w:ind w:right="-128" w:rightChars="-64" w:firstLine="480" w:firstLineChars="200"/>
        <w:rPr>
          <w:sz w:val="24"/>
          <w:szCs w:val="24"/>
        </w:rPr>
      </w:pPr>
      <w:r>
        <w:rPr>
          <w:rFonts w:hint="eastAsia"/>
          <w:sz w:val="24"/>
          <w:szCs w:val="24"/>
        </w:rPr>
        <w:t>菌落总数检测按 GB 4789.2 中的方法测定。</w:t>
      </w:r>
    </w:p>
    <w:p w14:paraId="74897A07">
      <w:pPr>
        <w:spacing w:before="120" w:after="120" w:line="360" w:lineRule="auto"/>
        <w:ind w:right="-128" w:rightChars="-64" w:firstLine="480" w:firstLineChars="200"/>
        <w:rPr>
          <w:sz w:val="24"/>
          <w:szCs w:val="24"/>
        </w:rPr>
      </w:pPr>
      <w:r>
        <w:rPr>
          <w:rFonts w:hint="eastAsia"/>
          <w:sz w:val="24"/>
          <w:szCs w:val="24"/>
        </w:rPr>
        <w:t>大肠菌群检测按 GB 4789.3 中的方法测定。</w:t>
      </w:r>
    </w:p>
    <w:p w14:paraId="591B5514">
      <w:pPr>
        <w:spacing w:before="120" w:after="120" w:line="360" w:lineRule="auto"/>
        <w:ind w:right="-128" w:rightChars="-64" w:firstLine="480" w:firstLineChars="200"/>
        <w:rPr>
          <w:sz w:val="24"/>
          <w:szCs w:val="24"/>
        </w:rPr>
      </w:pPr>
      <w:r>
        <w:rPr>
          <w:rFonts w:hint="eastAsia"/>
          <w:sz w:val="24"/>
          <w:szCs w:val="24"/>
        </w:rPr>
        <w:t>霉菌总数检测按 GB 4789.15 中的方法测定。</w:t>
      </w:r>
    </w:p>
    <w:p w14:paraId="089BC7E5">
      <w:pPr>
        <w:spacing w:before="120" w:after="120" w:line="360" w:lineRule="auto"/>
        <w:ind w:right="-128" w:rightChars="-64" w:firstLine="480" w:firstLineChars="200"/>
        <w:rPr>
          <w:sz w:val="24"/>
          <w:szCs w:val="24"/>
        </w:rPr>
      </w:pPr>
      <w:r>
        <w:rPr>
          <w:rFonts w:hint="eastAsia"/>
          <w:sz w:val="24"/>
          <w:szCs w:val="24"/>
        </w:rPr>
        <w:t>酵母菌总数检测按 GB 4789.15 中的方法测定。</w:t>
      </w:r>
    </w:p>
    <w:p w14:paraId="0D102521">
      <w:pPr>
        <w:spacing w:before="120" w:after="120" w:line="360" w:lineRule="auto"/>
        <w:ind w:right="-128" w:rightChars="-64" w:firstLine="480" w:firstLineChars="200"/>
        <w:rPr>
          <w:sz w:val="24"/>
          <w:szCs w:val="24"/>
        </w:rPr>
      </w:pPr>
      <w:r>
        <w:rPr>
          <w:rFonts w:hint="eastAsia"/>
          <w:sz w:val="24"/>
          <w:szCs w:val="24"/>
        </w:rPr>
        <w:t>致病菌检测分别按 GB 4789.4、GB 4789.10 中的方法测定。</w:t>
      </w:r>
    </w:p>
    <w:p w14:paraId="3E7B709C">
      <w:pPr>
        <w:pStyle w:val="22"/>
        <w:numPr>
          <w:ilvl w:val="1"/>
          <w:numId w:val="1"/>
        </w:numPr>
        <w:spacing w:before="120" w:after="120" w:line="360" w:lineRule="auto"/>
        <w:ind w:left="-500" w:leftChars="-250" w:right="660" w:firstLine="567"/>
        <w:jc w:val="both"/>
        <w:rPr>
          <w:sz w:val="24"/>
        </w:rPr>
      </w:pPr>
      <w:r>
        <w:rPr>
          <w:rFonts w:hint="eastAsia"/>
          <w:sz w:val="24"/>
        </w:rPr>
        <w:t>铅</w:t>
      </w:r>
    </w:p>
    <w:p w14:paraId="39469296">
      <w:pPr>
        <w:spacing w:before="120" w:after="120" w:line="360" w:lineRule="auto"/>
        <w:ind w:right="-128" w:rightChars="-64" w:firstLine="480" w:firstLineChars="200"/>
        <w:rPr>
          <w:sz w:val="24"/>
          <w:szCs w:val="24"/>
        </w:rPr>
      </w:pPr>
      <w:r>
        <w:rPr>
          <w:rFonts w:hint="eastAsia"/>
          <w:sz w:val="24"/>
          <w:szCs w:val="24"/>
        </w:rPr>
        <w:t>按 GB 5009.12 中的方法测定。</w:t>
      </w:r>
    </w:p>
    <w:p w14:paraId="4BB034D0">
      <w:pPr>
        <w:pStyle w:val="22"/>
        <w:numPr>
          <w:ilvl w:val="1"/>
          <w:numId w:val="1"/>
        </w:numPr>
        <w:spacing w:before="120" w:after="120" w:line="360" w:lineRule="auto"/>
        <w:ind w:left="-500" w:leftChars="-250" w:right="660" w:firstLine="567"/>
        <w:jc w:val="both"/>
        <w:rPr>
          <w:sz w:val="24"/>
        </w:rPr>
      </w:pPr>
      <w:r>
        <w:rPr>
          <w:rFonts w:hint="eastAsia"/>
          <w:sz w:val="24"/>
        </w:rPr>
        <w:t>砷</w:t>
      </w:r>
    </w:p>
    <w:p w14:paraId="0A2417FF">
      <w:pPr>
        <w:spacing w:before="120" w:after="120" w:line="360" w:lineRule="auto"/>
        <w:ind w:right="-128" w:rightChars="-64" w:firstLine="480" w:firstLineChars="200"/>
        <w:rPr>
          <w:sz w:val="24"/>
          <w:szCs w:val="24"/>
        </w:rPr>
      </w:pPr>
      <w:r>
        <w:rPr>
          <w:rFonts w:hint="eastAsia"/>
          <w:sz w:val="24"/>
          <w:szCs w:val="24"/>
        </w:rPr>
        <w:t>按 GB 5009.11 中的方法测定。</w:t>
      </w:r>
    </w:p>
    <w:p w14:paraId="6A8A4C06">
      <w:pPr>
        <w:pStyle w:val="22"/>
        <w:numPr>
          <w:ilvl w:val="1"/>
          <w:numId w:val="1"/>
        </w:numPr>
        <w:spacing w:before="120" w:after="120" w:line="360" w:lineRule="auto"/>
        <w:ind w:left="-500" w:leftChars="-250" w:right="660" w:firstLine="567"/>
        <w:jc w:val="both"/>
        <w:rPr>
          <w:sz w:val="24"/>
        </w:rPr>
      </w:pPr>
      <w:r>
        <w:rPr>
          <w:rFonts w:hint="eastAsia"/>
          <w:sz w:val="24"/>
        </w:rPr>
        <w:t>镉</w:t>
      </w:r>
    </w:p>
    <w:p w14:paraId="77FA3A1E">
      <w:pPr>
        <w:spacing w:before="120" w:after="120" w:line="360" w:lineRule="auto"/>
        <w:ind w:right="-128" w:rightChars="-64" w:firstLine="480" w:firstLineChars="200"/>
        <w:rPr>
          <w:sz w:val="24"/>
          <w:szCs w:val="24"/>
        </w:rPr>
      </w:pPr>
      <w:r>
        <w:rPr>
          <w:rFonts w:hint="eastAsia"/>
          <w:sz w:val="24"/>
          <w:szCs w:val="24"/>
        </w:rPr>
        <w:t>按 GB 5009.15 中的方法测定。</w:t>
      </w:r>
    </w:p>
    <w:p w14:paraId="585E4CFE">
      <w:pPr>
        <w:pStyle w:val="22"/>
        <w:numPr>
          <w:ilvl w:val="1"/>
          <w:numId w:val="1"/>
        </w:numPr>
        <w:spacing w:before="120" w:after="120" w:line="360" w:lineRule="auto"/>
        <w:ind w:left="-500" w:leftChars="-250" w:right="660" w:firstLine="567"/>
        <w:jc w:val="both"/>
        <w:rPr>
          <w:sz w:val="24"/>
        </w:rPr>
      </w:pPr>
      <w:r>
        <w:rPr>
          <w:rFonts w:hint="eastAsia"/>
          <w:sz w:val="24"/>
        </w:rPr>
        <w:t>汞</w:t>
      </w:r>
    </w:p>
    <w:p w14:paraId="77790390">
      <w:pPr>
        <w:spacing w:before="120" w:after="120" w:line="360" w:lineRule="auto"/>
        <w:ind w:right="-128" w:rightChars="-64" w:firstLine="480" w:firstLineChars="200"/>
        <w:rPr>
          <w:sz w:val="24"/>
          <w:szCs w:val="24"/>
        </w:rPr>
      </w:pPr>
      <w:r>
        <w:rPr>
          <w:rFonts w:hint="eastAsia"/>
          <w:sz w:val="24"/>
          <w:szCs w:val="24"/>
        </w:rPr>
        <w:t>按 GB 5009.17 中的方法测定。</w:t>
      </w:r>
    </w:p>
    <w:p w14:paraId="3C09BF5D">
      <w:pPr>
        <w:pStyle w:val="22"/>
        <w:numPr>
          <w:ilvl w:val="1"/>
          <w:numId w:val="1"/>
        </w:numPr>
        <w:spacing w:before="120" w:after="120" w:line="360" w:lineRule="auto"/>
        <w:ind w:left="-500" w:leftChars="-250" w:right="660" w:firstLine="567"/>
        <w:jc w:val="both"/>
        <w:rPr>
          <w:sz w:val="24"/>
        </w:rPr>
      </w:pPr>
      <w:r>
        <w:rPr>
          <w:rFonts w:hint="eastAsia"/>
          <w:sz w:val="24"/>
        </w:rPr>
        <w:t>铬</w:t>
      </w:r>
    </w:p>
    <w:p w14:paraId="0CE1945C">
      <w:pPr>
        <w:spacing w:before="120" w:after="120" w:line="360" w:lineRule="auto"/>
        <w:ind w:right="-128" w:rightChars="-64" w:firstLine="480" w:firstLineChars="200"/>
        <w:rPr>
          <w:sz w:val="24"/>
          <w:szCs w:val="24"/>
        </w:rPr>
      </w:pPr>
      <w:r>
        <w:rPr>
          <w:rFonts w:hint="eastAsia"/>
          <w:sz w:val="24"/>
          <w:szCs w:val="24"/>
        </w:rPr>
        <w:t>按 GB 5009.123 中的方法测定。</w:t>
      </w:r>
    </w:p>
    <w:p w14:paraId="553C52E6">
      <w:pPr>
        <w:pStyle w:val="22"/>
        <w:numPr>
          <w:ilvl w:val="1"/>
          <w:numId w:val="1"/>
        </w:numPr>
        <w:spacing w:before="120" w:after="120" w:line="360" w:lineRule="auto"/>
        <w:ind w:left="-500" w:leftChars="-250" w:right="660" w:firstLine="567"/>
        <w:jc w:val="both"/>
        <w:rPr>
          <w:sz w:val="24"/>
        </w:rPr>
      </w:pPr>
      <w:r>
        <w:rPr>
          <w:rFonts w:hint="eastAsia"/>
          <w:sz w:val="24"/>
        </w:rPr>
        <w:t>黄曲霉毒素（ B1、B2）</w:t>
      </w:r>
    </w:p>
    <w:p w14:paraId="01445032">
      <w:pPr>
        <w:spacing w:before="120" w:after="120" w:line="360" w:lineRule="auto"/>
        <w:ind w:right="-128" w:rightChars="-64" w:firstLine="480" w:firstLineChars="200"/>
        <w:rPr>
          <w:sz w:val="24"/>
          <w:szCs w:val="24"/>
        </w:rPr>
      </w:pPr>
      <w:bookmarkStart w:id="15" w:name="_Hlk230151187"/>
      <w:r>
        <w:rPr>
          <w:rFonts w:hint="eastAsia"/>
          <w:sz w:val="24"/>
          <w:szCs w:val="24"/>
        </w:rPr>
        <w:t>按 GB 5009.22 中的方法</w:t>
      </w:r>
      <w:bookmarkStart w:id="16" w:name="_Hlk230150479"/>
      <w:r>
        <w:rPr>
          <w:rFonts w:hint="eastAsia"/>
          <w:sz w:val="24"/>
          <w:szCs w:val="24"/>
        </w:rPr>
        <w:t>（第一法）</w:t>
      </w:r>
      <w:bookmarkEnd w:id="16"/>
      <w:r>
        <w:rPr>
          <w:rFonts w:hint="eastAsia"/>
          <w:sz w:val="24"/>
          <w:szCs w:val="24"/>
        </w:rPr>
        <w:t>测定。</w:t>
      </w:r>
    </w:p>
    <w:bookmarkEnd w:id="15"/>
    <w:p w14:paraId="75DFFDED">
      <w:pPr>
        <w:pStyle w:val="22"/>
        <w:numPr>
          <w:ilvl w:val="1"/>
          <w:numId w:val="1"/>
        </w:numPr>
        <w:spacing w:before="120" w:after="120" w:line="360" w:lineRule="auto"/>
        <w:ind w:left="-500" w:leftChars="-250" w:right="660" w:firstLine="567"/>
        <w:jc w:val="both"/>
        <w:rPr>
          <w:sz w:val="24"/>
        </w:rPr>
      </w:pPr>
      <w:r>
        <w:rPr>
          <w:rFonts w:hint="eastAsia"/>
          <w:sz w:val="24"/>
        </w:rPr>
        <w:t>赭曲霉毒素A</w:t>
      </w:r>
    </w:p>
    <w:p w14:paraId="00472E8A">
      <w:pPr>
        <w:spacing w:before="120" w:after="120" w:line="360" w:lineRule="auto"/>
        <w:ind w:right="-128" w:rightChars="-64" w:firstLine="480" w:firstLineChars="200"/>
        <w:rPr>
          <w:sz w:val="24"/>
          <w:szCs w:val="24"/>
        </w:rPr>
      </w:pPr>
      <w:r>
        <w:rPr>
          <w:rFonts w:hint="eastAsia"/>
          <w:sz w:val="24"/>
          <w:szCs w:val="24"/>
        </w:rPr>
        <w:t>按 GB 5009.96 中的方法（第一法）测定。</w:t>
      </w:r>
    </w:p>
    <w:p w14:paraId="37FB21BF">
      <w:pPr>
        <w:pStyle w:val="4"/>
        <w:numPr>
          <w:ilvl w:val="0"/>
          <w:numId w:val="1"/>
        </w:numPr>
        <w:spacing w:before="120" w:beforeLines="50" w:after="120" w:afterLines="50" w:line="360" w:lineRule="auto"/>
        <w:ind w:left="0" w:firstLine="0"/>
        <w:jc w:val="left"/>
        <w:rPr>
          <w:rFonts w:ascii="宋体" w:hAnsi="宋体" w:eastAsia="宋体"/>
          <w:b/>
          <w:bCs/>
        </w:rPr>
      </w:pPr>
      <w:bookmarkStart w:id="17" w:name="_Toc230153049"/>
      <w:r>
        <w:rPr>
          <w:rFonts w:hint="eastAsia" w:ascii="宋体" w:hAnsi="宋体" w:eastAsia="宋体"/>
          <w:b/>
          <w:bCs/>
        </w:rPr>
        <w:t>检验规则</w:t>
      </w:r>
      <w:bookmarkEnd w:id="17"/>
    </w:p>
    <w:p w14:paraId="737FB802">
      <w:pPr>
        <w:pStyle w:val="22"/>
        <w:numPr>
          <w:ilvl w:val="1"/>
          <w:numId w:val="1"/>
        </w:numPr>
        <w:spacing w:before="120" w:after="120" w:line="360" w:lineRule="auto"/>
        <w:ind w:left="-500" w:leftChars="-250" w:right="660" w:firstLine="567"/>
        <w:jc w:val="both"/>
        <w:rPr>
          <w:sz w:val="24"/>
        </w:rPr>
      </w:pPr>
      <w:r>
        <w:rPr>
          <w:rFonts w:hint="eastAsia"/>
          <w:sz w:val="24"/>
        </w:rPr>
        <w:t>检验批</w:t>
      </w:r>
    </w:p>
    <w:p w14:paraId="232E2516">
      <w:pPr>
        <w:spacing w:before="120" w:after="120" w:line="360" w:lineRule="auto"/>
        <w:ind w:right="-128" w:rightChars="-64" w:firstLine="480" w:firstLineChars="200"/>
        <w:rPr>
          <w:sz w:val="24"/>
          <w:szCs w:val="24"/>
        </w:rPr>
      </w:pPr>
      <w:r>
        <w:rPr>
          <w:rFonts w:hint="eastAsia"/>
          <w:sz w:val="24"/>
          <w:szCs w:val="24"/>
        </w:rPr>
        <w:t>食用黄粉虫干生产按 GB  14881 执行；同一批原料、以同样工艺和条件生产的同一规格的产品为一批。</w:t>
      </w:r>
    </w:p>
    <w:p w14:paraId="055138DA">
      <w:pPr>
        <w:pStyle w:val="22"/>
        <w:numPr>
          <w:ilvl w:val="1"/>
          <w:numId w:val="1"/>
        </w:numPr>
        <w:spacing w:before="120" w:after="120" w:line="360" w:lineRule="auto"/>
        <w:ind w:left="-500" w:leftChars="-250" w:right="660" w:firstLine="567"/>
        <w:jc w:val="both"/>
        <w:rPr>
          <w:sz w:val="24"/>
        </w:rPr>
      </w:pPr>
      <w:r>
        <w:rPr>
          <w:rFonts w:hint="eastAsia"/>
          <w:sz w:val="24"/>
        </w:rPr>
        <w:t>抽样</w:t>
      </w:r>
    </w:p>
    <w:p w14:paraId="1EC04EA0">
      <w:pPr>
        <w:spacing w:before="120" w:after="120" w:line="360" w:lineRule="auto"/>
        <w:ind w:right="-128" w:rightChars="-64" w:firstLine="480" w:firstLineChars="200"/>
        <w:rPr>
          <w:sz w:val="24"/>
          <w:szCs w:val="24"/>
        </w:rPr>
      </w:pPr>
      <w:r>
        <w:rPr>
          <w:rFonts w:hint="eastAsia"/>
          <w:sz w:val="24"/>
          <w:szCs w:val="24"/>
        </w:rPr>
        <w:t>抽样按照 GB/T 5009.1  执行。</w:t>
      </w:r>
    </w:p>
    <w:p w14:paraId="3E5C6C3F">
      <w:pPr>
        <w:pStyle w:val="22"/>
        <w:numPr>
          <w:ilvl w:val="1"/>
          <w:numId w:val="1"/>
        </w:numPr>
        <w:spacing w:before="120" w:after="120" w:line="360" w:lineRule="auto"/>
        <w:ind w:left="-500" w:leftChars="-250" w:right="660" w:firstLine="567"/>
        <w:jc w:val="both"/>
        <w:rPr>
          <w:sz w:val="24"/>
        </w:rPr>
      </w:pPr>
      <w:r>
        <w:rPr>
          <w:rFonts w:hint="eastAsia"/>
          <w:sz w:val="24"/>
        </w:rPr>
        <w:t>逐批检验</w:t>
      </w:r>
    </w:p>
    <w:p w14:paraId="1A11650B">
      <w:pPr>
        <w:spacing w:before="120" w:after="120" w:line="360" w:lineRule="auto"/>
        <w:ind w:right="-128" w:rightChars="-64" w:firstLine="480" w:firstLineChars="200"/>
        <w:rPr>
          <w:sz w:val="24"/>
          <w:szCs w:val="24"/>
        </w:rPr>
      </w:pPr>
      <w:r>
        <w:rPr>
          <w:rFonts w:hint="eastAsia"/>
          <w:sz w:val="24"/>
          <w:szCs w:val="24"/>
        </w:rPr>
        <w:t>先对黄粉虫主、副饲料（麦麸、蔬菜）按批抽样检验基础上，对应饲料批次所养殖的商品黄粉虫干中的蛋白质、脂肪、灰分、重金属等项目跟随检测。而膳食纤维、微生物、灰分等检验项目可按产品批量定期抽样检验。</w:t>
      </w:r>
    </w:p>
    <w:p w14:paraId="33045E3C">
      <w:pPr>
        <w:pStyle w:val="22"/>
        <w:numPr>
          <w:ilvl w:val="1"/>
          <w:numId w:val="1"/>
        </w:numPr>
        <w:spacing w:before="120" w:after="120" w:line="360" w:lineRule="auto"/>
        <w:ind w:left="-500" w:leftChars="-250" w:right="660" w:firstLine="567"/>
        <w:jc w:val="both"/>
        <w:rPr>
          <w:sz w:val="24"/>
        </w:rPr>
      </w:pPr>
      <w:r>
        <w:rPr>
          <w:rFonts w:hint="eastAsia"/>
          <w:sz w:val="24"/>
        </w:rPr>
        <w:t>出厂检验</w:t>
      </w:r>
    </w:p>
    <w:p w14:paraId="20B0227E">
      <w:pPr>
        <w:spacing w:before="120" w:after="120" w:line="360" w:lineRule="auto"/>
        <w:ind w:right="-128" w:rightChars="-64" w:firstLine="480" w:firstLineChars="200"/>
        <w:rPr>
          <w:sz w:val="24"/>
          <w:szCs w:val="24"/>
        </w:rPr>
      </w:pPr>
      <w:r>
        <w:rPr>
          <w:rFonts w:hint="eastAsia"/>
          <w:sz w:val="24"/>
          <w:szCs w:val="24"/>
        </w:rPr>
        <w:t>感官指标、蛋白质、脂肪、膳食纤维、灰分、水分、重金属和细菌总数为出厂检验指标。出厂检验由本企业的质检中心化验室（或委托第三方）进行。每批产品经检验合格后方可出厂并附检验合格证。</w:t>
      </w:r>
    </w:p>
    <w:p w14:paraId="150B25B0">
      <w:pPr>
        <w:pStyle w:val="22"/>
        <w:numPr>
          <w:ilvl w:val="1"/>
          <w:numId w:val="1"/>
        </w:numPr>
        <w:spacing w:before="120" w:after="120" w:line="360" w:lineRule="auto"/>
        <w:ind w:left="-500" w:leftChars="-250" w:right="660" w:firstLine="567"/>
        <w:jc w:val="both"/>
        <w:rPr>
          <w:sz w:val="24"/>
        </w:rPr>
      </w:pPr>
      <w:r>
        <w:rPr>
          <w:rFonts w:hint="eastAsia"/>
          <w:sz w:val="24"/>
        </w:rPr>
        <w:t>型式检验</w:t>
      </w:r>
    </w:p>
    <w:p w14:paraId="345A749C">
      <w:pPr>
        <w:spacing w:before="120" w:after="120" w:line="360" w:lineRule="auto"/>
        <w:ind w:right="-128" w:rightChars="-64" w:firstLine="480" w:firstLineChars="200"/>
        <w:rPr>
          <w:sz w:val="24"/>
          <w:szCs w:val="24"/>
        </w:rPr>
      </w:pPr>
      <w:r>
        <w:rPr>
          <w:rFonts w:hint="eastAsia"/>
          <w:sz w:val="24"/>
          <w:szCs w:val="24"/>
        </w:rPr>
        <w:t>型式检验项目为第4条（质量指标）中规定的全部项目。企业正常生产时每年至少进行一次型式检验。有以下情况时，须应进行型式检验：</w:t>
      </w:r>
    </w:p>
    <w:p w14:paraId="0F3F786C">
      <w:pPr>
        <w:spacing w:before="120" w:after="120" w:line="360" w:lineRule="auto"/>
        <w:ind w:right="-128" w:rightChars="-64" w:firstLine="480" w:firstLineChars="200"/>
        <w:rPr>
          <w:sz w:val="24"/>
          <w:szCs w:val="24"/>
        </w:rPr>
      </w:pPr>
      <w:r>
        <w:rPr>
          <w:rFonts w:hint="eastAsia"/>
          <w:sz w:val="24"/>
          <w:szCs w:val="24"/>
        </w:rPr>
        <w:t>a.生产工艺及设备有重大变化时；</w:t>
      </w:r>
    </w:p>
    <w:p w14:paraId="0D3851A0">
      <w:pPr>
        <w:spacing w:before="120" w:after="120" w:line="360" w:lineRule="auto"/>
        <w:ind w:right="-128" w:rightChars="-64" w:firstLine="480" w:firstLineChars="200"/>
        <w:rPr>
          <w:sz w:val="24"/>
          <w:szCs w:val="24"/>
        </w:rPr>
      </w:pPr>
      <w:r>
        <w:rPr>
          <w:rFonts w:hint="eastAsia"/>
          <w:sz w:val="24"/>
          <w:szCs w:val="24"/>
        </w:rPr>
        <w:t xml:space="preserve"> b.所用原料有重大变化时；</w:t>
      </w:r>
    </w:p>
    <w:p w14:paraId="44A02F81">
      <w:pPr>
        <w:spacing w:before="120" w:after="120" w:line="360" w:lineRule="auto"/>
        <w:ind w:right="-128" w:rightChars="-64" w:firstLine="480" w:firstLineChars="200"/>
        <w:rPr>
          <w:sz w:val="24"/>
          <w:szCs w:val="24"/>
        </w:rPr>
      </w:pPr>
      <w:r>
        <w:rPr>
          <w:rFonts w:hint="eastAsia"/>
          <w:sz w:val="24"/>
          <w:szCs w:val="24"/>
        </w:rPr>
        <w:t>c.</w:t>
      </w:r>
      <w:r>
        <w:rPr>
          <w:rFonts w:hint="eastAsia"/>
          <w:sz w:val="24"/>
          <w:szCs w:val="24"/>
        </w:rPr>
        <w:tab/>
      </w:r>
      <w:r>
        <w:rPr>
          <w:rFonts w:hint="eastAsia"/>
          <w:sz w:val="24"/>
          <w:szCs w:val="24"/>
        </w:rPr>
        <w:t>停产三个月以上，恢复生产时；</w:t>
      </w:r>
    </w:p>
    <w:p w14:paraId="749222A4">
      <w:pPr>
        <w:spacing w:before="120" w:after="120" w:line="360" w:lineRule="auto"/>
        <w:ind w:right="-128" w:rightChars="-64" w:firstLine="480" w:firstLineChars="200"/>
        <w:rPr>
          <w:sz w:val="24"/>
          <w:szCs w:val="24"/>
        </w:rPr>
      </w:pPr>
      <w:r>
        <w:rPr>
          <w:rFonts w:hint="eastAsia"/>
          <w:sz w:val="24"/>
          <w:szCs w:val="24"/>
        </w:rPr>
        <w:t>d.</w:t>
      </w:r>
      <w:r>
        <w:rPr>
          <w:rFonts w:hint="eastAsia"/>
          <w:sz w:val="24"/>
          <w:szCs w:val="24"/>
        </w:rPr>
        <w:tab/>
      </w:r>
      <w:r>
        <w:rPr>
          <w:rFonts w:hint="eastAsia"/>
          <w:sz w:val="24"/>
          <w:szCs w:val="24"/>
        </w:rPr>
        <w:t>质量监督机构或主管部门提出型式检验要求时。</w:t>
      </w:r>
    </w:p>
    <w:p w14:paraId="191604C1">
      <w:pPr>
        <w:pStyle w:val="22"/>
        <w:numPr>
          <w:ilvl w:val="1"/>
          <w:numId w:val="1"/>
        </w:numPr>
        <w:spacing w:before="120" w:after="120" w:line="360" w:lineRule="auto"/>
        <w:ind w:left="-500" w:leftChars="-250" w:right="660" w:firstLine="567"/>
        <w:jc w:val="both"/>
        <w:rPr>
          <w:sz w:val="24"/>
        </w:rPr>
      </w:pPr>
      <w:r>
        <w:rPr>
          <w:rFonts w:hint="eastAsia"/>
          <w:sz w:val="24"/>
        </w:rPr>
        <w:t>判定规则</w:t>
      </w:r>
    </w:p>
    <w:p w14:paraId="57B0317F">
      <w:pPr>
        <w:spacing w:before="120" w:after="120" w:line="360" w:lineRule="auto"/>
        <w:ind w:right="-128" w:rightChars="-64" w:firstLine="480" w:firstLineChars="200"/>
        <w:rPr>
          <w:sz w:val="24"/>
          <w:szCs w:val="24"/>
        </w:rPr>
      </w:pPr>
      <w:r>
        <w:rPr>
          <w:rFonts w:hint="eastAsia"/>
          <w:sz w:val="24"/>
          <w:szCs w:val="24"/>
        </w:rPr>
        <w:t>以本标准的有关试验方法和要求为依据。如检验结果中有指标不符合本标准要求时，应重新在(自)同批次的产品中，取第一次采样包装单元数量的两倍进行采样复检，复检结果仍有不合格项时，则判定该整批产品不合格。微生物和重金属指标不合格时，则判定为产品不合格，不得复检。</w:t>
      </w:r>
    </w:p>
    <w:p w14:paraId="39C8B7B8">
      <w:pPr>
        <w:pStyle w:val="4"/>
        <w:numPr>
          <w:ilvl w:val="0"/>
          <w:numId w:val="1"/>
        </w:numPr>
        <w:spacing w:before="120" w:beforeLines="50" w:after="120" w:afterLines="50" w:line="360" w:lineRule="auto"/>
        <w:ind w:left="0" w:firstLine="0"/>
        <w:jc w:val="left"/>
        <w:rPr>
          <w:rFonts w:ascii="宋体" w:hAnsi="宋体" w:eastAsia="宋体"/>
          <w:b/>
          <w:bCs/>
        </w:rPr>
      </w:pPr>
      <w:bookmarkStart w:id="18" w:name="_Hlk229862815"/>
      <w:bookmarkStart w:id="19" w:name="_Toc230153050"/>
      <w:r>
        <w:rPr>
          <w:rFonts w:hint="eastAsia" w:ascii="宋体" w:hAnsi="宋体" w:eastAsia="宋体"/>
          <w:b/>
          <w:bCs/>
        </w:rPr>
        <w:t>标志、标签、包装、运输和储存</w:t>
      </w:r>
      <w:bookmarkEnd w:id="18"/>
      <w:bookmarkEnd w:id="19"/>
    </w:p>
    <w:p w14:paraId="289532BE">
      <w:pPr>
        <w:pStyle w:val="22"/>
        <w:numPr>
          <w:ilvl w:val="1"/>
          <w:numId w:val="1"/>
        </w:numPr>
        <w:spacing w:before="120" w:after="120" w:line="360" w:lineRule="auto"/>
        <w:ind w:left="-500" w:leftChars="-250" w:right="660" w:firstLine="567"/>
        <w:jc w:val="both"/>
        <w:rPr>
          <w:sz w:val="24"/>
        </w:rPr>
      </w:pPr>
      <w:r>
        <w:rPr>
          <w:rFonts w:hint="eastAsia"/>
          <w:sz w:val="24"/>
        </w:rPr>
        <w:t>标签、标识</w:t>
      </w:r>
    </w:p>
    <w:p w14:paraId="68298CF8">
      <w:pPr>
        <w:spacing w:before="120" w:after="120" w:line="360" w:lineRule="auto"/>
        <w:ind w:right="-128" w:rightChars="-64" w:firstLine="480" w:firstLineChars="200"/>
        <w:rPr>
          <w:sz w:val="24"/>
          <w:szCs w:val="24"/>
        </w:rPr>
      </w:pPr>
      <w:r>
        <w:rPr>
          <w:rFonts w:hint="eastAsia"/>
          <w:sz w:val="24"/>
          <w:szCs w:val="24"/>
        </w:rPr>
        <w:t>按 GB 7718 和 GB 28050 规定执行。</w:t>
      </w:r>
    </w:p>
    <w:p w14:paraId="304AC433">
      <w:pPr>
        <w:pStyle w:val="22"/>
        <w:numPr>
          <w:ilvl w:val="1"/>
          <w:numId w:val="1"/>
        </w:numPr>
        <w:spacing w:before="120" w:after="120" w:line="360" w:lineRule="auto"/>
        <w:ind w:left="-500" w:leftChars="-250" w:right="660" w:firstLine="567"/>
        <w:jc w:val="both"/>
        <w:rPr>
          <w:sz w:val="24"/>
        </w:rPr>
      </w:pPr>
      <w:r>
        <w:rPr>
          <w:rFonts w:hint="eastAsia"/>
          <w:sz w:val="24"/>
        </w:rPr>
        <w:t>包装</w:t>
      </w:r>
    </w:p>
    <w:p w14:paraId="5C29478D">
      <w:pPr>
        <w:spacing w:before="120" w:after="120" w:line="360" w:lineRule="auto"/>
        <w:ind w:right="-128" w:rightChars="-64" w:firstLine="480" w:firstLineChars="200"/>
        <w:rPr>
          <w:sz w:val="24"/>
          <w:szCs w:val="24"/>
        </w:rPr>
      </w:pPr>
      <w:bookmarkStart w:id="20" w:name="_Hlk230505310"/>
      <w:r>
        <w:rPr>
          <w:rFonts w:hint="eastAsia"/>
          <w:sz w:val="24"/>
          <w:szCs w:val="24"/>
        </w:rPr>
        <w:t>包装材料应符合国家卫生要求，需要防潮，包装应封口严密、结实，无破损。</w:t>
      </w:r>
    </w:p>
    <w:bookmarkEnd w:id="20"/>
    <w:p w14:paraId="3718A0FE">
      <w:pPr>
        <w:pStyle w:val="22"/>
        <w:numPr>
          <w:ilvl w:val="1"/>
          <w:numId w:val="1"/>
        </w:numPr>
        <w:spacing w:before="120" w:after="120" w:line="360" w:lineRule="auto"/>
        <w:ind w:left="-500" w:leftChars="-250" w:right="660" w:firstLine="567"/>
        <w:jc w:val="both"/>
        <w:rPr>
          <w:sz w:val="24"/>
        </w:rPr>
      </w:pPr>
      <w:r>
        <w:rPr>
          <w:rFonts w:hint="eastAsia"/>
          <w:sz w:val="24"/>
        </w:rPr>
        <w:t>运输</w:t>
      </w:r>
    </w:p>
    <w:p w14:paraId="0802351F">
      <w:pPr>
        <w:spacing w:before="120" w:after="120" w:line="360" w:lineRule="auto"/>
        <w:ind w:right="-128" w:rightChars="-64" w:firstLine="480" w:firstLineChars="200"/>
        <w:rPr>
          <w:sz w:val="24"/>
          <w:szCs w:val="24"/>
        </w:rPr>
      </w:pPr>
      <w:bookmarkStart w:id="21" w:name="_Hlk230505329"/>
      <w:r>
        <w:rPr>
          <w:rFonts w:hint="eastAsia"/>
          <w:sz w:val="24"/>
          <w:szCs w:val="24"/>
        </w:rPr>
        <w:t>运输过程中应防潮、防止包装破损，严禁与有毒有害物质混运。</w:t>
      </w:r>
      <w:bookmarkEnd w:id="21"/>
    </w:p>
    <w:p w14:paraId="69490A48">
      <w:pPr>
        <w:pStyle w:val="22"/>
        <w:numPr>
          <w:ilvl w:val="1"/>
          <w:numId w:val="1"/>
        </w:numPr>
        <w:spacing w:before="120" w:after="120" w:line="360" w:lineRule="auto"/>
        <w:ind w:left="-500" w:leftChars="-250" w:right="660" w:firstLine="567"/>
        <w:jc w:val="both"/>
        <w:rPr>
          <w:sz w:val="24"/>
        </w:rPr>
      </w:pPr>
      <w:r>
        <w:rPr>
          <w:rFonts w:hint="eastAsia"/>
          <w:sz w:val="24"/>
        </w:rPr>
        <w:t>储存</w:t>
      </w:r>
    </w:p>
    <w:p w14:paraId="679D1B67">
      <w:pPr>
        <w:spacing w:before="120" w:after="120" w:line="360" w:lineRule="auto"/>
        <w:ind w:right="-128" w:rightChars="-64" w:firstLine="480" w:firstLineChars="200"/>
        <w:rPr>
          <w:sz w:val="24"/>
          <w:szCs w:val="24"/>
        </w:rPr>
      </w:pPr>
      <w:bookmarkStart w:id="22" w:name="_Hlk230505378"/>
      <w:r>
        <w:rPr>
          <w:rFonts w:hint="eastAsia"/>
          <w:sz w:val="24"/>
          <w:szCs w:val="24"/>
        </w:rPr>
        <w:t>应储存在通风、阴凉干燥、无毒害的库房内，产品不得直接与地面接触。食用黄粉虫干在仓库存放时除加底垫外</w:t>
      </w:r>
      <w:bookmarkEnd w:id="22"/>
      <w:r>
        <w:rPr>
          <w:rFonts w:hint="eastAsia"/>
          <w:sz w:val="24"/>
          <w:szCs w:val="24"/>
        </w:rPr>
        <w:t>，应按 GB/T 29890 要求存放。</w:t>
      </w:r>
    </w:p>
    <w:p w14:paraId="7ADC63C3">
      <w:pPr>
        <w:pStyle w:val="4"/>
        <w:numPr>
          <w:ilvl w:val="0"/>
          <w:numId w:val="1"/>
        </w:numPr>
        <w:spacing w:before="120" w:beforeLines="50" w:after="120" w:afterLines="50" w:line="360" w:lineRule="auto"/>
        <w:ind w:left="0" w:firstLine="0"/>
        <w:jc w:val="left"/>
        <w:rPr>
          <w:rFonts w:ascii="宋体" w:hAnsi="宋体" w:eastAsia="宋体"/>
          <w:b/>
          <w:bCs/>
        </w:rPr>
      </w:pPr>
      <w:bookmarkStart w:id="23" w:name="_Toc230153051"/>
      <w:r>
        <w:rPr>
          <w:rFonts w:hint="eastAsia" w:ascii="宋体" w:hAnsi="宋体" w:eastAsia="宋体"/>
          <w:b/>
          <w:bCs/>
        </w:rPr>
        <w:t>保质期</w:t>
      </w:r>
      <w:bookmarkEnd w:id="23"/>
    </w:p>
    <w:p w14:paraId="4241F71E">
      <w:pPr>
        <w:spacing w:before="120" w:after="120" w:line="360" w:lineRule="auto"/>
        <w:ind w:right="-128" w:rightChars="-64" w:firstLine="480" w:firstLineChars="200"/>
        <w:rPr>
          <w:sz w:val="24"/>
          <w:szCs w:val="24"/>
        </w:rPr>
      </w:pPr>
      <w:r>
        <w:rPr>
          <w:rFonts w:hint="eastAsia"/>
          <w:sz w:val="24"/>
          <w:szCs w:val="24"/>
        </w:rPr>
        <w:t>在符合本标准</w:t>
      </w:r>
      <w:bookmarkStart w:id="24" w:name="_Hlk230505592"/>
      <w:r>
        <w:rPr>
          <w:rFonts w:hint="eastAsia"/>
          <w:sz w:val="24"/>
          <w:szCs w:val="24"/>
        </w:rPr>
        <w:t>规定储存条件下保质期为18个月。</w:t>
      </w:r>
    </w:p>
    <w:bookmarkEnd w:id="24"/>
    <w:p w14:paraId="4B0BB565">
      <w:pPr>
        <w:spacing w:before="120" w:after="120" w:line="360" w:lineRule="auto"/>
        <w:ind w:right="-128" w:rightChars="-64" w:firstLine="480" w:firstLineChars="200"/>
        <w:rPr>
          <w:sz w:val="24"/>
          <w:szCs w:val="24"/>
        </w:rPr>
      </w:pPr>
    </w:p>
    <w:bookmarkEnd w:id="13"/>
    <w:p w14:paraId="4B086B2B">
      <w:pPr>
        <w:ind w:firstLine="400" w:firstLineChars="200"/>
      </w:pPr>
    </w:p>
    <w:sectPr>
      <w:pgSz w:w="11910" w:h="16840"/>
      <w:pgMar w:top="1440" w:right="1080" w:bottom="1440" w:left="1080" w:header="1134" w:footer="850" w:gutter="0"/>
      <w:pgNumType w:start="1"/>
      <w:cols w:space="720" w:num="1"/>
      <w:docGrid w:linePitch="29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Arial Unicode MS">
    <w:altName w:val="宋体"/>
    <w:panose1 w:val="020B0604020202020204"/>
    <w:charset w:val="86"/>
    <w:family w:val="swiss"/>
    <w:pitch w:val="default"/>
    <w:sig w:usb0="00000000" w:usb1="00000000"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00337007"/>
      <w:docPartObj>
        <w:docPartGallery w:val="autotext"/>
      </w:docPartObj>
    </w:sdtPr>
    <w:sdtContent>
      <w:p w14:paraId="04BA0C39">
        <w:pPr>
          <w:pStyle w:val="9"/>
          <w:spacing w:before="120" w:after="120"/>
          <w:ind w:left="425" w:right="660"/>
          <w:jc w:val="right"/>
        </w:pPr>
        <w:r>
          <w:fldChar w:fldCharType="begin"/>
        </w:r>
        <w:r>
          <w:instrText xml:space="preserve">PAGE   \* MERGEFORMAT</w:instrText>
        </w:r>
        <w:r>
          <w:fldChar w:fldCharType="separate"/>
        </w:r>
        <w:r>
          <w:t>II</w:t>
        </w:r>
        <w:r>
          <w:fldChar w:fldCharType="end"/>
        </w:r>
      </w:p>
    </w:sdtContent>
  </w:sdt>
  <w:p w14:paraId="70739A2E">
    <w:pPr>
      <w:pStyle w:val="6"/>
      <w:spacing w:before="120" w:after="120" w:line="14" w:lineRule="auto"/>
      <w:ind w:left="425" w:right="660"/>
      <w:rPr>
        <w:sz w:val="20"/>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82072D">
    <w:pPr>
      <w:pStyle w:val="6"/>
      <w:spacing w:before="120" w:after="120" w:line="251" w:lineRule="exact"/>
      <w:ind w:left="425" w:right="142"/>
      <w:jc w:val="right"/>
      <w:rPr>
        <w:sz w:val="24"/>
        <w:szCs w:val="24"/>
      </w:rPr>
    </w:pPr>
    <w:r>
      <w:pict>
        <v:shape id="PowerPlusWaterMarkObject1813082361" o:spid="_x0000_s2051" o:spt="136" type="#_x0000_t136" style="position:absolute;left:0pt;height:184.4pt;width:502.95pt;mso-position-horizontal:center;mso-position-horizontal-relative:margin;mso-position-vertical:center;mso-position-vertical-relative:margin;rotation:20643840f;z-index:-251654144;mso-width-relative:page;mso-height-relative:page;" fillcolor="#C0C0C0" filled="t" stroked="f" coordsize="21600,21600" o:allowincell="f">
          <v:path/>
          <v:fill on="t" opacity="32768f" focussize="0,0"/>
          <v:stroke on="f"/>
          <v:imagedata o:title=""/>
          <o:lock v:ext="edit"/>
          <v:textpath on="t" fitshape="t" fitpath="t" trim="f" xscale="f" string="CFNA" style="font-family:宋体;font-size:1pt;v-text-align:center;"/>
        </v:shape>
      </w:pict>
    </w:r>
    <w:r>
      <w:rPr>
        <w:sz w:val="24"/>
        <w:szCs w:val="24"/>
      </w:rPr>
      <w:t>T</w:t>
    </w:r>
    <w:r>
      <w:rPr>
        <w:rFonts w:hint="eastAsia"/>
        <w:sz w:val="24"/>
        <w:szCs w:val="24"/>
      </w:rPr>
      <w:t>/CFNA</w:t>
    </w:r>
    <w:r>
      <w:rPr>
        <w:sz w:val="24"/>
        <w:szCs w:val="24"/>
      </w:rPr>
      <w:t xml:space="preserve">    168</w:t>
    </w:r>
    <w:r>
      <w:rPr>
        <w:rFonts w:hint="eastAsia"/>
        <w:sz w:val="24"/>
        <w:szCs w:val="24"/>
        <w:lang w:val="en-US" w:eastAsia="zh-CN"/>
      </w:rPr>
      <w:t>6</w:t>
    </w:r>
    <w:r>
      <w:rPr>
        <w:sz w:val="24"/>
        <w:szCs w:val="24"/>
      </w:rPr>
      <w:t>-2025</w:t>
    </w:r>
  </w:p>
  <w:p w14:paraId="4C3B4D58">
    <w:pPr>
      <w:pStyle w:val="6"/>
      <w:spacing w:before="120" w:after="120" w:line="251" w:lineRule="exact"/>
      <w:ind w:left="425" w:right="660"/>
      <w:jc w:val="right"/>
      <w:rPr>
        <w:sz w:val="24"/>
        <w:szCs w:val="24"/>
      </w:rPr>
    </w:pPr>
  </w:p>
  <w:p w14:paraId="517A2CC9">
    <w:pPr>
      <w:pStyle w:val="6"/>
      <w:spacing w:before="120" w:after="120" w:line="14" w:lineRule="auto"/>
      <w:ind w:left="425" w:right="660"/>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5CAF9">
    <w:pPr>
      <w:pStyle w:val="10"/>
    </w:pPr>
    <w:r>
      <w:pict>
        <v:shape id="PowerPlusWaterMarkObject1813082360" o:spid="_x0000_s2050" o:spt="136" type="#_x0000_t136" style="position:absolute;left:0pt;height:184.4pt;width:502.95pt;mso-position-horizontal:center;mso-position-horizontal-relative:margin;mso-position-vertical:center;mso-position-vertical-relative:margin;rotation:20643840f;z-index:-251655168;mso-width-relative:page;mso-height-relative:page;" fillcolor="#C0C0C0" filled="t" stroked="f" coordsize="21600,21600" o:allowincell="f">
          <v:path/>
          <v:fill on="t" opacity="32768f" focussize="0,0"/>
          <v:stroke on="f"/>
          <v:imagedata o:title=""/>
          <o:lock v:ext="edit"/>
          <v:textpath on="t" fitshape="t" fitpath="t" trim="f" xscale="f" string="CFNA" style="font-family:宋体;font-size:1pt;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316392">
    <w:pPr>
      <w:pStyle w:val="10"/>
    </w:pPr>
    <w:r>
      <w:pict>
        <v:shape id="PowerPlusWaterMarkObject1813082359" o:spid="_x0000_s2049" o:spt="136" type="#_x0000_t136" style="position:absolute;left:0pt;height:184.4pt;width:502.95pt;mso-position-horizontal:center;mso-position-horizontal-relative:margin;mso-position-vertical:center;mso-position-vertical-relative:margin;rotation:20643840f;z-index:-251657216;mso-width-relative:page;mso-height-relative:page;" fillcolor="#C0C0C0" filled="t" stroked="f" coordsize="21600,21600" o:allowincell="f">
          <v:path/>
          <v:fill on="t" opacity="32768f" focussize="0,0"/>
          <v:stroke on="f"/>
          <v:imagedata o:title=""/>
          <o:lock v:ext="edit"/>
          <v:textpath on="t" fitshape="t" fitpath="t" trim="f" xscale="f" string="CFNA" style="font-family:宋体;font-size:1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0F07B2C"/>
    <w:multiLevelType w:val="multilevel"/>
    <w:tmpl w:val="40F07B2C"/>
    <w:lvl w:ilvl="0" w:tentative="0">
      <w:start w:val="1"/>
      <w:numFmt w:val="decimal"/>
      <w:lvlText w:val="%1"/>
      <w:lvlJc w:val="left"/>
      <w:pPr>
        <w:ind w:left="425" w:hanging="425"/>
      </w:pPr>
      <w:rPr>
        <w:rFonts w:hint="eastAsia"/>
      </w:rPr>
    </w:lvl>
    <w:lvl w:ilvl="1" w:tentative="0">
      <w:start w:val="1"/>
      <w:numFmt w:val="decimal"/>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1"/>
  <w:bordersDoNotSurroundFooter w:val="1"/>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6AD"/>
    <w:rsid w:val="0000296C"/>
    <w:rsid w:val="00002995"/>
    <w:rsid w:val="00014129"/>
    <w:rsid w:val="000147D2"/>
    <w:rsid w:val="00017B1C"/>
    <w:rsid w:val="00021916"/>
    <w:rsid w:val="00022D8A"/>
    <w:rsid w:val="00025F5D"/>
    <w:rsid w:val="00026294"/>
    <w:rsid w:val="000342EE"/>
    <w:rsid w:val="000360F3"/>
    <w:rsid w:val="0004104D"/>
    <w:rsid w:val="000410EF"/>
    <w:rsid w:val="0005410A"/>
    <w:rsid w:val="00054555"/>
    <w:rsid w:val="0005641A"/>
    <w:rsid w:val="0006294C"/>
    <w:rsid w:val="00062B2C"/>
    <w:rsid w:val="000731BA"/>
    <w:rsid w:val="00074A29"/>
    <w:rsid w:val="0007742D"/>
    <w:rsid w:val="000774E7"/>
    <w:rsid w:val="00081C4F"/>
    <w:rsid w:val="00084856"/>
    <w:rsid w:val="000853AA"/>
    <w:rsid w:val="0009033E"/>
    <w:rsid w:val="00090D93"/>
    <w:rsid w:val="00096EDD"/>
    <w:rsid w:val="000A5018"/>
    <w:rsid w:val="000C00C8"/>
    <w:rsid w:val="000C1C7E"/>
    <w:rsid w:val="000C514A"/>
    <w:rsid w:val="000D0F6E"/>
    <w:rsid w:val="000D46F8"/>
    <w:rsid w:val="000D66C3"/>
    <w:rsid w:val="000E56B1"/>
    <w:rsid w:val="000F0C9D"/>
    <w:rsid w:val="000F39A3"/>
    <w:rsid w:val="001015B3"/>
    <w:rsid w:val="001100B5"/>
    <w:rsid w:val="00112FE6"/>
    <w:rsid w:val="00115C89"/>
    <w:rsid w:val="00127A88"/>
    <w:rsid w:val="00127C3B"/>
    <w:rsid w:val="00131487"/>
    <w:rsid w:val="001365CC"/>
    <w:rsid w:val="0015348A"/>
    <w:rsid w:val="00157DC5"/>
    <w:rsid w:val="00162B1F"/>
    <w:rsid w:val="001638C6"/>
    <w:rsid w:val="00164A24"/>
    <w:rsid w:val="001679DB"/>
    <w:rsid w:val="00177749"/>
    <w:rsid w:val="00182AC1"/>
    <w:rsid w:val="00185CC4"/>
    <w:rsid w:val="00195418"/>
    <w:rsid w:val="0019756C"/>
    <w:rsid w:val="00197DCC"/>
    <w:rsid w:val="001C0560"/>
    <w:rsid w:val="001C27A5"/>
    <w:rsid w:val="001C2F0E"/>
    <w:rsid w:val="001C45A6"/>
    <w:rsid w:val="001C4795"/>
    <w:rsid w:val="001C6BCF"/>
    <w:rsid w:val="001F0798"/>
    <w:rsid w:val="001F6691"/>
    <w:rsid w:val="00211AEE"/>
    <w:rsid w:val="002123DE"/>
    <w:rsid w:val="002236B3"/>
    <w:rsid w:val="002272A5"/>
    <w:rsid w:val="00235D98"/>
    <w:rsid w:val="00241154"/>
    <w:rsid w:val="0024192E"/>
    <w:rsid w:val="00246604"/>
    <w:rsid w:val="00246F4E"/>
    <w:rsid w:val="002616B1"/>
    <w:rsid w:val="00262C4D"/>
    <w:rsid w:val="0027041D"/>
    <w:rsid w:val="00277B39"/>
    <w:rsid w:val="00277CB0"/>
    <w:rsid w:val="00280EDD"/>
    <w:rsid w:val="0028156C"/>
    <w:rsid w:val="002824DC"/>
    <w:rsid w:val="002826CF"/>
    <w:rsid w:val="002833E5"/>
    <w:rsid w:val="0029293A"/>
    <w:rsid w:val="00297987"/>
    <w:rsid w:val="002A1B39"/>
    <w:rsid w:val="002A434F"/>
    <w:rsid w:val="002C0D37"/>
    <w:rsid w:val="002C44F5"/>
    <w:rsid w:val="002D5B4C"/>
    <w:rsid w:val="002D68CF"/>
    <w:rsid w:val="002E6A94"/>
    <w:rsid w:val="00307358"/>
    <w:rsid w:val="00313808"/>
    <w:rsid w:val="00315DE7"/>
    <w:rsid w:val="00316DB8"/>
    <w:rsid w:val="00316FB3"/>
    <w:rsid w:val="003343D2"/>
    <w:rsid w:val="0034367A"/>
    <w:rsid w:val="00344CD5"/>
    <w:rsid w:val="00352A0C"/>
    <w:rsid w:val="00353CBF"/>
    <w:rsid w:val="00355C23"/>
    <w:rsid w:val="00362B34"/>
    <w:rsid w:val="00364F2A"/>
    <w:rsid w:val="003720FF"/>
    <w:rsid w:val="00372E90"/>
    <w:rsid w:val="0037413A"/>
    <w:rsid w:val="0037631B"/>
    <w:rsid w:val="00382BEC"/>
    <w:rsid w:val="003863F7"/>
    <w:rsid w:val="00393441"/>
    <w:rsid w:val="003946BB"/>
    <w:rsid w:val="00395E06"/>
    <w:rsid w:val="00396EE2"/>
    <w:rsid w:val="003B6D5C"/>
    <w:rsid w:val="003C2F1F"/>
    <w:rsid w:val="003C3C21"/>
    <w:rsid w:val="003C484A"/>
    <w:rsid w:val="003C696E"/>
    <w:rsid w:val="003D06A9"/>
    <w:rsid w:val="003D564E"/>
    <w:rsid w:val="003D6E42"/>
    <w:rsid w:val="003E1C34"/>
    <w:rsid w:val="003E2854"/>
    <w:rsid w:val="003E3E1D"/>
    <w:rsid w:val="003E6F54"/>
    <w:rsid w:val="003F156E"/>
    <w:rsid w:val="003F20BF"/>
    <w:rsid w:val="003F28B8"/>
    <w:rsid w:val="003F5118"/>
    <w:rsid w:val="003F7A2A"/>
    <w:rsid w:val="00401457"/>
    <w:rsid w:val="00404B9A"/>
    <w:rsid w:val="00405AFC"/>
    <w:rsid w:val="00407706"/>
    <w:rsid w:val="004103C0"/>
    <w:rsid w:val="0041159F"/>
    <w:rsid w:val="004120AC"/>
    <w:rsid w:val="00413611"/>
    <w:rsid w:val="00420170"/>
    <w:rsid w:val="00421BEB"/>
    <w:rsid w:val="00421F2D"/>
    <w:rsid w:val="0042228D"/>
    <w:rsid w:val="00424ACA"/>
    <w:rsid w:val="0042652E"/>
    <w:rsid w:val="00426797"/>
    <w:rsid w:val="0042784F"/>
    <w:rsid w:val="00434ECC"/>
    <w:rsid w:val="0043775C"/>
    <w:rsid w:val="00442155"/>
    <w:rsid w:val="004440AB"/>
    <w:rsid w:val="00444FD2"/>
    <w:rsid w:val="00445E13"/>
    <w:rsid w:val="00447D7A"/>
    <w:rsid w:val="00451194"/>
    <w:rsid w:val="00451395"/>
    <w:rsid w:val="00452F16"/>
    <w:rsid w:val="004557E3"/>
    <w:rsid w:val="00463D54"/>
    <w:rsid w:val="00474B64"/>
    <w:rsid w:val="00481086"/>
    <w:rsid w:val="0048175E"/>
    <w:rsid w:val="004837F3"/>
    <w:rsid w:val="00484609"/>
    <w:rsid w:val="00484896"/>
    <w:rsid w:val="00491E14"/>
    <w:rsid w:val="00493173"/>
    <w:rsid w:val="004943B6"/>
    <w:rsid w:val="004945AC"/>
    <w:rsid w:val="00494AAB"/>
    <w:rsid w:val="00496B01"/>
    <w:rsid w:val="004B0009"/>
    <w:rsid w:val="004C0D9D"/>
    <w:rsid w:val="004D43DF"/>
    <w:rsid w:val="004D7D1A"/>
    <w:rsid w:val="004F041A"/>
    <w:rsid w:val="004F35E3"/>
    <w:rsid w:val="004F47D7"/>
    <w:rsid w:val="004F508A"/>
    <w:rsid w:val="005030CD"/>
    <w:rsid w:val="00517C7C"/>
    <w:rsid w:val="00525D3B"/>
    <w:rsid w:val="005318D1"/>
    <w:rsid w:val="005338DB"/>
    <w:rsid w:val="00543161"/>
    <w:rsid w:val="005434A7"/>
    <w:rsid w:val="0054471D"/>
    <w:rsid w:val="00545E80"/>
    <w:rsid w:val="00546BE6"/>
    <w:rsid w:val="0055077C"/>
    <w:rsid w:val="00557F0A"/>
    <w:rsid w:val="00561616"/>
    <w:rsid w:val="00561FD4"/>
    <w:rsid w:val="005828DB"/>
    <w:rsid w:val="005848AA"/>
    <w:rsid w:val="0059049C"/>
    <w:rsid w:val="005A17B4"/>
    <w:rsid w:val="005A4939"/>
    <w:rsid w:val="005A60E9"/>
    <w:rsid w:val="005A76DE"/>
    <w:rsid w:val="005B5484"/>
    <w:rsid w:val="005B56C8"/>
    <w:rsid w:val="005B621E"/>
    <w:rsid w:val="005B6D50"/>
    <w:rsid w:val="005C3BF3"/>
    <w:rsid w:val="005C3DF8"/>
    <w:rsid w:val="005E6B61"/>
    <w:rsid w:val="005E6CED"/>
    <w:rsid w:val="005F0F40"/>
    <w:rsid w:val="005F17D4"/>
    <w:rsid w:val="00617142"/>
    <w:rsid w:val="00621AE8"/>
    <w:rsid w:val="00623613"/>
    <w:rsid w:val="00625AD6"/>
    <w:rsid w:val="00630EF6"/>
    <w:rsid w:val="00631462"/>
    <w:rsid w:val="00631A2E"/>
    <w:rsid w:val="00632831"/>
    <w:rsid w:val="00636804"/>
    <w:rsid w:val="006411B4"/>
    <w:rsid w:val="006502CE"/>
    <w:rsid w:val="00653310"/>
    <w:rsid w:val="00657AA3"/>
    <w:rsid w:val="0066193B"/>
    <w:rsid w:val="00663123"/>
    <w:rsid w:val="00665598"/>
    <w:rsid w:val="00667CB5"/>
    <w:rsid w:val="006746F8"/>
    <w:rsid w:val="006747ED"/>
    <w:rsid w:val="00674CBB"/>
    <w:rsid w:val="00674F0D"/>
    <w:rsid w:val="0068208D"/>
    <w:rsid w:val="006932E1"/>
    <w:rsid w:val="006964EF"/>
    <w:rsid w:val="006976EC"/>
    <w:rsid w:val="0069784D"/>
    <w:rsid w:val="006A4890"/>
    <w:rsid w:val="006A4C52"/>
    <w:rsid w:val="006B0DAE"/>
    <w:rsid w:val="006C186D"/>
    <w:rsid w:val="006C6FFF"/>
    <w:rsid w:val="006E5568"/>
    <w:rsid w:val="006E6A7B"/>
    <w:rsid w:val="006F0EF4"/>
    <w:rsid w:val="006F1109"/>
    <w:rsid w:val="006F7100"/>
    <w:rsid w:val="006F7DE5"/>
    <w:rsid w:val="00702206"/>
    <w:rsid w:val="00706379"/>
    <w:rsid w:val="00707675"/>
    <w:rsid w:val="00710BDF"/>
    <w:rsid w:val="00720AC1"/>
    <w:rsid w:val="007241D7"/>
    <w:rsid w:val="007344DD"/>
    <w:rsid w:val="00742166"/>
    <w:rsid w:val="00744E30"/>
    <w:rsid w:val="0075147C"/>
    <w:rsid w:val="00752ACD"/>
    <w:rsid w:val="00752B22"/>
    <w:rsid w:val="00757DE0"/>
    <w:rsid w:val="00760C61"/>
    <w:rsid w:val="00766121"/>
    <w:rsid w:val="007665C3"/>
    <w:rsid w:val="00767C7C"/>
    <w:rsid w:val="00772253"/>
    <w:rsid w:val="007727AC"/>
    <w:rsid w:val="00776FA9"/>
    <w:rsid w:val="00780A0D"/>
    <w:rsid w:val="00783BA0"/>
    <w:rsid w:val="00787C76"/>
    <w:rsid w:val="00790D6F"/>
    <w:rsid w:val="007918D9"/>
    <w:rsid w:val="00793BE9"/>
    <w:rsid w:val="007B03B8"/>
    <w:rsid w:val="007B233A"/>
    <w:rsid w:val="007B346E"/>
    <w:rsid w:val="007B5668"/>
    <w:rsid w:val="007B5725"/>
    <w:rsid w:val="007D1A99"/>
    <w:rsid w:val="007D1B62"/>
    <w:rsid w:val="007D39AD"/>
    <w:rsid w:val="007D4A5A"/>
    <w:rsid w:val="007D4F31"/>
    <w:rsid w:val="007D6EBC"/>
    <w:rsid w:val="007E4A69"/>
    <w:rsid w:val="007E7C81"/>
    <w:rsid w:val="007E7ED8"/>
    <w:rsid w:val="007F1612"/>
    <w:rsid w:val="007F202A"/>
    <w:rsid w:val="007F434B"/>
    <w:rsid w:val="007F5D86"/>
    <w:rsid w:val="007F6ED6"/>
    <w:rsid w:val="00800665"/>
    <w:rsid w:val="00804270"/>
    <w:rsid w:val="00805BC5"/>
    <w:rsid w:val="00815267"/>
    <w:rsid w:val="0082256E"/>
    <w:rsid w:val="0082578B"/>
    <w:rsid w:val="00830CB4"/>
    <w:rsid w:val="00836127"/>
    <w:rsid w:val="00837669"/>
    <w:rsid w:val="0084115B"/>
    <w:rsid w:val="00841334"/>
    <w:rsid w:val="00850D88"/>
    <w:rsid w:val="00857537"/>
    <w:rsid w:val="00860FAA"/>
    <w:rsid w:val="008643F5"/>
    <w:rsid w:val="00867997"/>
    <w:rsid w:val="00870C99"/>
    <w:rsid w:val="0087311C"/>
    <w:rsid w:val="00874979"/>
    <w:rsid w:val="00877E48"/>
    <w:rsid w:val="00881A1A"/>
    <w:rsid w:val="00883D0A"/>
    <w:rsid w:val="00885AF2"/>
    <w:rsid w:val="008868E8"/>
    <w:rsid w:val="0088744F"/>
    <w:rsid w:val="00890AAB"/>
    <w:rsid w:val="008A2924"/>
    <w:rsid w:val="008A679E"/>
    <w:rsid w:val="008A6FEB"/>
    <w:rsid w:val="008A70A1"/>
    <w:rsid w:val="008B448D"/>
    <w:rsid w:val="008C7D21"/>
    <w:rsid w:val="008D4592"/>
    <w:rsid w:val="008E3765"/>
    <w:rsid w:val="008F5E81"/>
    <w:rsid w:val="00902110"/>
    <w:rsid w:val="00905088"/>
    <w:rsid w:val="00910B71"/>
    <w:rsid w:val="0091217A"/>
    <w:rsid w:val="00916234"/>
    <w:rsid w:val="00926006"/>
    <w:rsid w:val="00931D40"/>
    <w:rsid w:val="00932A0C"/>
    <w:rsid w:val="00933B23"/>
    <w:rsid w:val="009362E5"/>
    <w:rsid w:val="0094112A"/>
    <w:rsid w:val="00951C5F"/>
    <w:rsid w:val="0095209F"/>
    <w:rsid w:val="0095480D"/>
    <w:rsid w:val="00955D42"/>
    <w:rsid w:val="0095759D"/>
    <w:rsid w:val="0096120A"/>
    <w:rsid w:val="00963C4E"/>
    <w:rsid w:val="00965B59"/>
    <w:rsid w:val="00967029"/>
    <w:rsid w:val="00970F89"/>
    <w:rsid w:val="009777EC"/>
    <w:rsid w:val="00977C01"/>
    <w:rsid w:val="00977D7F"/>
    <w:rsid w:val="00981FDE"/>
    <w:rsid w:val="0098583C"/>
    <w:rsid w:val="00986AA3"/>
    <w:rsid w:val="0099246A"/>
    <w:rsid w:val="009942CE"/>
    <w:rsid w:val="00996013"/>
    <w:rsid w:val="009968BB"/>
    <w:rsid w:val="00997A6E"/>
    <w:rsid w:val="009A2544"/>
    <w:rsid w:val="009A59C0"/>
    <w:rsid w:val="009A6731"/>
    <w:rsid w:val="009A7E4E"/>
    <w:rsid w:val="009B001F"/>
    <w:rsid w:val="009C5E18"/>
    <w:rsid w:val="009D6DB4"/>
    <w:rsid w:val="009E2C51"/>
    <w:rsid w:val="009F28FE"/>
    <w:rsid w:val="009F7BA6"/>
    <w:rsid w:val="00A02F62"/>
    <w:rsid w:val="00A048E1"/>
    <w:rsid w:val="00A04AC0"/>
    <w:rsid w:val="00A241EB"/>
    <w:rsid w:val="00A24FF6"/>
    <w:rsid w:val="00A32076"/>
    <w:rsid w:val="00A356EF"/>
    <w:rsid w:val="00A40EE1"/>
    <w:rsid w:val="00A54FA2"/>
    <w:rsid w:val="00A55ADA"/>
    <w:rsid w:val="00A56192"/>
    <w:rsid w:val="00A56466"/>
    <w:rsid w:val="00A630D7"/>
    <w:rsid w:val="00A666EE"/>
    <w:rsid w:val="00A679B5"/>
    <w:rsid w:val="00A82771"/>
    <w:rsid w:val="00A82DFA"/>
    <w:rsid w:val="00A83E43"/>
    <w:rsid w:val="00A93451"/>
    <w:rsid w:val="00A93E05"/>
    <w:rsid w:val="00A93ECB"/>
    <w:rsid w:val="00A94A61"/>
    <w:rsid w:val="00A9585F"/>
    <w:rsid w:val="00A9746F"/>
    <w:rsid w:val="00AA3239"/>
    <w:rsid w:val="00AB2B3B"/>
    <w:rsid w:val="00AB3A3D"/>
    <w:rsid w:val="00AB4961"/>
    <w:rsid w:val="00AC0C42"/>
    <w:rsid w:val="00AD365E"/>
    <w:rsid w:val="00AD3B7C"/>
    <w:rsid w:val="00AD6AB8"/>
    <w:rsid w:val="00AE0FDA"/>
    <w:rsid w:val="00AE23C5"/>
    <w:rsid w:val="00AE2AB4"/>
    <w:rsid w:val="00AF0073"/>
    <w:rsid w:val="00AF1E96"/>
    <w:rsid w:val="00B06D96"/>
    <w:rsid w:val="00B14700"/>
    <w:rsid w:val="00B20F15"/>
    <w:rsid w:val="00B21DF8"/>
    <w:rsid w:val="00B21E9B"/>
    <w:rsid w:val="00B2500A"/>
    <w:rsid w:val="00B2773A"/>
    <w:rsid w:val="00B30AFB"/>
    <w:rsid w:val="00B36E2F"/>
    <w:rsid w:val="00B568EB"/>
    <w:rsid w:val="00B56F02"/>
    <w:rsid w:val="00B573CB"/>
    <w:rsid w:val="00B63BF0"/>
    <w:rsid w:val="00B64B0C"/>
    <w:rsid w:val="00B704D9"/>
    <w:rsid w:val="00B71E63"/>
    <w:rsid w:val="00B75530"/>
    <w:rsid w:val="00B75DB6"/>
    <w:rsid w:val="00B806D0"/>
    <w:rsid w:val="00B90F7B"/>
    <w:rsid w:val="00B92132"/>
    <w:rsid w:val="00B9245B"/>
    <w:rsid w:val="00B94E5D"/>
    <w:rsid w:val="00B956AC"/>
    <w:rsid w:val="00B96AFE"/>
    <w:rsid w:val="00BA33AC"/>
    <w:rsid w:val="00BC0E95"/>
    <w:rsid w:val="00BC47BB"/>
    <w:rsid w:val="00BC5615"/>
    <w:rsid w:val="00BC6B0F"/>
    <w:rsid w:val="00BC79A1"/>
    <w:rsid w:val="00BD1598"/>
    <w:rsid w:val="00BD479E"/>
    <w:rsid w:val="00BD6689"/>
    <w:rsid w:val="00BD70C0"/>
    <w:rsid w:val="00BE0B3C"/>
    <w:rsid w:val="00BE3190"/>
    <w:rsid w:val="00BE7E88"/>
    <w:rsid w:val="00BF7609"/>
    <w:rsid w:val="00BF791F"/>
    <w:rsid w:val="00C11539"/>
    <w:rsid w:val="00C125D3"/>
    <w:rsid w:val="00C13FA3"/>
    <w:rsid w:val="00C147EB"/>
    <w:rsid w:val="00C15911"/>
    <w:rsid w:val="00C17463"/>
    <w:rsid w:val="00C24DF2"/>
    <w:rsid w:val="00C24E83"/>
    <w:rsid w:val="00C250E7"/>
    <w:rsid w:val="00C33103"/>
    <w:rsid w:val="00C347B2"/>
    <w:rsid w:val="00C37DE5"/>
    <w:rsid w:val="00C40265"/>
    <w:rsid w:val="00C46B76"/>
    <w:rsid w:val="00C51BE0"/>
    <w:rsid w:val="00C536D2"/>
    <w:rsid w:val="00C5400A"/>
    <w:rsid w:val="00C61942"/>
    <w:rsid w:val="00C6247A"/>
    <w:rsid w:val="00C655D8"/>
    <w:rsid w:val="00C77058"/>
    <w:rsid w:val="00C77D04"/>
    <w:rsid w:val="00C80FF2"/>
    <w:rsid w:val="00C85E8D"/>
    <w:rsid w:val="00C8646C"/>
    <w:rsid w:val="00C87D0A"/>
    <w:rsid w:val="00C93AE9"/>
    <w:rsid w:val="00C96065"/>
    <w:rsid w:val="00CA100B"/>
    <w:rsid w:val="00CA2A8C"/>
    <w:rsid w:val="00CA5850"/>
    <w:rsid w:val="00CB0FDB"/>
    <w:rsid w:val="00CB38A4"/>
    <w:rsid w:val="00CB5A45"/>
    <w:rsid w:val="00CB74F9"/>
    <w:rsid w:val="00CC1122"/>
    <w:rsid w:val="00CC73EE"/>
    <w:rsid w:val="00CD3128"/>
    <w:rsid w:val="00CD3FF2"/>
    <w:rsid w:val="00CD6B43"/>
    <w:rsid w:val="00CE6AD7"/>
    <w:rsid w:val="00CF043B"/>
    <w:rsid w:val="00CF7A6A"/>
    <w:rsid w:val="00D0218A"/>
    <w:rsid w:val="00D0220F"/>
    <w:rsid w:val="00D02F2B"/>
    <w:rsid w:val="00D03B1F"/>
    <w:rsid w:val="00D1145F"/>
    <w:rsid w:val="00D23D18"/>
    <w:rsid w:val="00D24800"/>
    <w:rsid w:val="00D253EC"/>
    <w:rsid w:val="00D46E3F"/>
    <w:rsid w:val="00D53B05"/>
    <w:rsid w:val="00D57085"/>
    <w:rsid w:val="00D5753B"/>
    <w:rsid w:val="00D61622"/>
    <w:rsid w:val="00D61E94"/>
    <w:rsid w:val="00D6309D"/>
    <w:rsid w:val="00D75B36"/>
    <w:rsid w:val="00D85FEE"/>
    <w:rsid w:val="00D86DC6"/>
    <w:rsid w:val="00D9040C"/>
    <w:rsid w:val="00D9507C"/>
    <w:rsid w:val="00D95A96"/>
    <w:rsid w:val="00D97883"/>
    <w:rsid w:val="00DA684E"/>
    <w:rsid w:val="00DB1311"/>
    <w:rsid w:val="00DB3753"/>
    <w:rsid w:val="00DC33B9"/>
    <w:rsid w:val="00DC6999"/>
    <w:rsid w:val="00DC74ED"/>
    <w:rsid w:val="00DD139E"/>
    <w:rsid w:val="00DE5346"/>
    <w:rsid w:val="00DE5AB9"/>
    <w:rsid w:val="00DF0E11"/>
    <w:rsid w:val="00DF39EB"/>
    <w:rsid w:val="00DF6665"/>
    <w:rsid w:val="00DF730B"/>
    <w:rsid w:val="00E062D0"/>
    <w:rsid w:val="00E11CA5"/>
    <w:rsid w:val="00E11CC6"/>
    <w:rsid w:val="00E12389"/>
    <w:rsid w:val="00E206C0"/>
    <w:rsid w:val="00E21C5E"/>
    <w:rsid w:val="00E23AF6"/>
    <w:rsid w:val="00E30A4C"/>
    <w:rsid w:val="00E36CBA"/>
    <w:rsid w:val="00E50FEC"/>
    <w:rsid w:val="00E53228"/>
    <w:rsid w:val="00E550A2"/>
    <w:rsid w:val="00E57B37"/>
    <w:rsid w:val="00E57F28"/>
    <w:rsid w:val="00E659B5"/>
    <w:rsid w:val="00E65E43"/>
    <w:rsid w:val="00E6695D"/>
    <w:rsid w:val="00E779D4"/>
    <w:rsid w:val="00E80251"/>
    <w:rsid w:val="00E83425"/>
    <w:rsid w:val="00E84AB6"/>
    <w:rsid w:val="00E85F5F"/>
    <w:rsid w:val="00E863B7"/>
    <w:rsid w:val="00E87536"/>
    <w:rsid w:val="00E911C1"/>
    <w:rsid w:val="00E93F74"/>
    <w:rsid w:val="00E944ED"/>
    <w:rsid w:val="00E9480D"/>
    <w:rsid w:val="00EA049F"/>
    <w:rsid w:val="00EA1277"/>
    <w:rsid w:val="00EA2118"/>
    <w:rsid w:val="00EA76ED"/>
    <w:rsid w:val="00EB4B6D"/>
    <w:rsid w:val="00EC0A13"/>
    <w:rsid w:val="00ED1426"/>
    <w:rsid w:val="00ED556E"/>
    <w:rsid w:val="00EE0006"/>
    <w:rsid w:val="00EE2B74"/>
    <w:rsid w:val="00EF1285"/>
    <w:rsid w:val="00EF4FA9"/>
    <w:rsid w:val="00EF6F22"/>
    <w:rsid w:val="00EF71C9"/>
    <w:rsid w:val="00F01FA0"/>
    <w:rsid w:val="00F24834"/>
    <w:rsid w:val="00F268A3"/>
    <w:rsid w:val="00F26CAD"/>
    <w:rsid w:val="00F27B14"/>
    <w:rsid w:val="00F30103"/>
    <w:rsid w:val="00F511C3"/>
    <w:rsid w:val="00F522B3"/>
    <w:rsid w:val="00F528CE"/>
    <w:rsid w:val="00F57EBD"/>
    <w:rsid w:val="00F6354E"/>
    <w:rsid w:val="00F63B65"/>
    <w:rsid w:val="00F65C7D"/>
    <w:rsid w:val="00F71FEC"/>
    <w:rsid w:val="00F74DCF"/>
    <w:rsid w:val="00F762D8"/>
    <w:rsid w:val="00F768F8"/>
    <w:rsid w:val="00F82804"/>
    <w:rsid w:val="00F87674"/>
    <w:rsid w:val="00F87F94"/>
    <w:rsid w:val="00F95F0A"/>
    <w:rsid w:val="00FA2F04"/>
    <w:rsid w:val="00FA33FB"/>
    <w:rsid w:val="00FA4CC9"/>
    <w:rsid w:val="00FB16AD"/>
    <w:rsid w:val="00FB29C9"/>
    <w:rsid w:val="00FB2F65"/>
    <w:rsid w:val="00FB45D6"/>
    <w:rsid w:val="00FB5974"/>
    <w:rsid w:val="00FB670F"/>
    <w:rsid w:val="00FC2013"/>
    <w:rsid w:val="00FC251B"/>
    <w:rsid w:val="00FC28EC"/>
    <w:rsid w:val="00FC6B1D"/>
    <w:rsid w:val="00FD3CE1"/>
    <w:rsid w:val="00FD4532"/>
    <w:rsid w:val="00FD58D2"/>
    <w:rsid w:val="00FE399F"/>
    <w:rsid w:val="00FE53FC"/>
    <w:rsid w:val="00FE6EB5"/>
    <w:rsid w:val="00FE75C5"/>
    <w:rsid w:val="15C21FD9"/>
    <w:rsid w:val="19142161"/>
    <w:rsid w:val="1C3F4D6F"/>
    <w:rsid w:val="21051E8A"/>
    <w:rsid w:val="2645183F"/>
    <w:rsid w:val="2B7E0BE5"/>
    <w:rsid w:val="30CF6092"/>
    <w:rsid w:val="489446C9"/>
    <w:rsid w:val="70FF0E3B"/>
    <w:rsid w:val="78BD43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semiHidden="0" w:name="toc 1"/>
    <w:lsdException w:qFormat="1" w:uiPriority="39" w:semiHidden="0" w:name="toc 2"/>
    <w:lsdException w:qFormat="1" w:uiPriority="39" w:semiHidden="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99"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iPriority="0" w:name="annotation reference"/>
    <w:lsdException w:qFormat="1" w:uiPriority="99" w:semiHidden="0" w:name="line number"/>
    <w:lsdException w:uiPriority="0" w:name="page number"/>
    <w:lsdException w:uiPriority="0" w:name="endnote reference"/>
    <w:lsdException w:unhideWhenUsed="0" w:uiPriority="0" w:semiHidden="0" w:name="endnote text"/>
    <w:lsdException w:uiPriority="0" w:name="table of authorities"/>
    <w:lsdException w:uiPriority="0" w:name="macro"/>
    <w:lsdException w:unhideWhenUsed="0" w:uiPriority="0" w:semiHidden="0" w:name="toa heading"/>
    <w:lsdException w:unhideWhenUsed="0" w:uiPriority="0" w:semiHidden="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qFormat="1" w:unhideWhenUsed="0" w:uiPriority="1" w:semiHidden="0" w:name="Body Text"/>
    <w:lsdException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iPriority="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99"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qFormat="1"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rPr>
      <w:rFonts w:ascii="Calibri" w:hAnsi="Calibri" w:eastAsia="宋体" w:cs="Times New Roman"/>
      <w:lang w:val="en-US" w:eastAsia="zh-CN" w:bidi="ar-SA"/>
    </w:rPr>
  </w:style>
  <w:style w:type="paragraph" w:styleId="2">
    <w:name w:val="heading 1"/>
    <w:basedOn w:val="1"/>
    <w:next w:val="1"/>
    <w:link w:val="26"/>
    <w:qFormat/>
    <w:uiPriority w:val="1"/>
    <w:pPr>
      <w:ind w:left="400"/>
      <w:outlineLvl w:val="0"/>
    </w:pPr>
    <w:rPr>
      <w:rFonts w:ascii="黑体" w:hAnsi="黑体" w:eastAsia="黑体" w:cs="黑体"/>
      <w:sz w:val="52"/>
      <w:szCs w:val="52"/>
    </w:rPr>
  </w:style>
  <w:style w:type="paragraph" w:styleId="3">
    <w:name w:val="heading 2"/>
    <w:basedOn w:val="1"/>
    <w:next w:val="1"/>
    <w:qFormat/>
    <w:uiPriority w:val="1"/>
    <w:pPr>
      <w:spacing w:before="54"/>
      <w:ind w:left="80"/>
      <w:jc w:val="center"/>
      <w:outlineLvl w:val="1"/>
    </w:pPr>
    <w:rPr>
      <w:rFonts w:ascii="黑体" w:hAnsi="黑体" w:eastAsia="黑体" w:cs="黑体"/>
      <w:sz w:val="32"/>
      <w:szCs w:val="32"/>
    </w:rPr>
  </w:style>
  <w:style w:type="paragraph" w:styleId="4">
    <w:name w:val="heading 3"/>
    <w:basedOn w:val="1"/>
    <w:next w:val="1"/>
    <w:link w:val="27"/>
    <w:qFormat/>
    <w:uiPriority w:val="1"/>
    <w:pPr>
      <w:spacing w:before="62" w:after="100" w:afterLines="100"/>
      <w:jc w:val="center"/>
      <w:outlineLvl w:val="2"/>
    </w:pPr>
    <w:rPr>
      <w:rFonts w:ascii="黑体" w:hAnsi="黑体" w:eastAsia="黑体" w:cs="黑体"/>
      <w:sz w:val="28"/>
      <w:szCs w:val="28"/>
    </w:rPr>
  </w:style>
  <w:style w:type="character" w:default="1" w:styleId="16">
    <w:name w:val="Default Paragraph Font"/>
    <w:semiHidden/>
    <w:unhideWhenUsed/>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styleId="5">
    <w:name w:val="annotation text"/>
    <w:basedOn w:val="1"/>
    <w:link w:val="31"/>
    <w:semiHidden/>
    <w:unhideWhenUsed/>
    <w:uiPriority w:val="0"/>
  </w:style>
  <w:style w:type="paragraph" w:styleId="6">
    <w:name w:val="Body Text"/>
    <w:basedOn w:val="1"/>
    <w:link w:val="28"/>
    <w:qFormat/>
    <w:uiPriority w:val="1"/>
    <w:rPr>
      <w:sz w:val="21"/>
      <w:szCs w:val="21"/>
    </w:rPr>
  </w:style>
  <w:style w:type="paragraph" w:styleId="7">
    <w:name w:val="toc 3"/>
    <w:basedOn w:val="1"/>
    <w:next w:val="1"/>
    <w:unhideWhenUsed/>
    <w:qFormat/>
    <w:uiPriority w:val="39"/>
    <w:pPr>
      <w:tabs>
        <w:tab w:val="right" w:leader="dot" w:pos="9802"/>
      </w:tabs>
      <w:ind w:left="880" w:leftChars="400"/>
    </w:pPr>
  </w:style>
  <w:style w:type="paragraph" w:styleId="8">
    <w:name w:val="Balloon Text"/>
    <w:basedOn w:val="1"/>
    <w:link w:val="33"/>
    <w:qFormat/>
    <w:uiPriority w:val="0"/>
    <w:rPr>
      <w:sz w:val="18"/>
      <w:szCs w:val="18"/>
    </w:rPr>
  </w:style>
  <w:style w:type="paragraph" w:styleId="9">
    <w:name w:val="footer"/>
    <w:basedOn w:val="1"/>
    <w:link w:val="25"/>
    <w:qFormat/>
    <w:uiPriority w:val="99"/>
    <w:pPr>
      <w:tabs>
        <w:tab w:val="center" w:pos="4153"/>
        <w:tab w:val="right" w:pos="8306"/>
      </w:tabs>
      <w:snapToGrid w:val="0"/>
    </w:pPr>
    <w:rPr>
      <w:sz w:val="18"/>
    </w:rPr>
  </w:style>
  <w:style w:type="paragraph" w:styleId="10">
    <w:name w:val="header"/>
    <w:basedOn w:val="1"/>
    <w:link w:val="24"/>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unhideWhenUsed/>
    <w:qFormat/>
    <w:uiPriority w:val="39"/>
    <w:pPr>
      <w:spacing w:line="360" w:lineRule="auto"/>
    </w:pPr>
    <w:rPr>
      <w:sz w:val="24"/>
    </w:rPr>
  </w:style>
  <w:style w:type="paragraph" w:styleId="12">
    <w:name w:val="toc 2"/>
    <w:basedOn w:val="1"/>
    <w:next w:val="1"/>
    <w:unhideWhenUsed/>
    <w:qFormat/>
    <w:uiPriority w:val="39"/>
    <w:pPr>
      <w:tabs>
        <w:tab w:val="right" w:leader="dot" w:pos="9802"/>
      </w:tabs>
      <w:spacing w:line="360" w:lineRule="auto"/>
      <w:ind w:left="880" w:leftChars="400"/>
    </w:pPr>
  </w:style>
  <w:style w:type="paragraph" w:styleId="13">
    <w:name w:val="annotation subject"/>
    <w:basedOn w:val="5"/>
    <w:next w:val="5"/>
    <w:link w:val="32"/>
    <w:semiHidden/>
    <w:unhideWhenUsed/>
    <w:qFormat/>
    <w:uiPriority w:val="0"/>
    <w:rPr>
      <w:b/>
      <w:bCs/>
    </w:rPr>
  </w:style>
  <w:style w:type="table" w:styleId="15">
    <w:name w:val="Table Grid"/>
    <w:basedOn w:val="14"/>
    <w:qFormat/>
    <w:uiPriority w:val="39"/>
    <w:rPr>
      <w:rFonts w:asciiTheme="minorHAnsi" w:hAnsiTheme="minorHAnsi" w:eastAsiaTheme="minorEastAsia" w:cstheme="minorBid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Strong"/>
    <w:basedOn w:val="16"/>
    <w:qFormat/>
    <w:uiPriority w:val="0"/>
    <w:rPr>
      <w:b/>
      <w:bCs/>
    </w:rPr>
  </w:style>
  <w:style w:type="character" w:styleId="18">
    <w:name w:val="line number"/>
    <w:basedOn w:val="16"/>
    <w:unhideWhenUsed/>
    <w:qFormat/>
    <w:uiPriority w:val="99"/>
  </w:style>
  <w:style w:type="character" w:styleId="19">
    <w:name w:val="Hyperlink"/>
    <w:basedOn w:val="16"/>
    <w:unhideWhenUsed/>
    <w:uiPriority w:val="99"/>
    <w:rPr>
      <w:color w:val="0000FF" w:themeColor="hyperlink"/>
      <w:u w:val="single"/>
      <w14:textFill>
        <w14:solidFill>
          <w14:schemeClr w14:val="hlink"/>
        </w14:solidFill>
      </w14:textFill>
    </w:rPr>
  </w:style>
  <w:style w:type="character" w:styleId="20">
    <w:name w:val="annotation reference"/>
    <w:basedOn w:val="16"/>
    <w:semiHidden/>
    <w:unhideWhenUsed/>
    <w:qFormat/>
    <w:uiPriority w:val="0"/>
    <w:rPr>
      <w:sz w:val="21"/>
      <w:szCs w:val="21"/>
    </w:rPr>
  </w:style>
  <w:style w:type="table" w:customStyle="1" w:styleId="21">
    <w:name w:val="Table Normal"/>
    <w:semiHidden/>
    <w:unhideWhenUsed/>
    <w:qFormat/>
    <w:uiPriority w:val="2"/>
    <w:tblPr>
      <w:tblCellMar>
        <w:top w:w="0" w:type="dxa"/>
        <w:left w:w="0" w:type="dxa"/>
        <w:bottom w:w="0" w:type="dxa"/>
        <w:right w:w="0" w:type="dxa"/>
      </w:tblCellMar>
    </w:tblPr>
  </w:style>
  <w:style w:type="paragraph" w:styleId="22">
    <w:name w:val="List Paragraph"/>
    <w:basedOn w:val="1"/>
    <w:qFormat/>
    <w:uiPriority w:val="1"/>
    <w:pPr>
      <w:spacing w:before="43"/>
      <w:ind w:left="1071" w:hanging="526"/>
    </w:pPr>
  </w:style>
  <w:style w:type="paragraph" w:customStyle="1" w:styleId="23">
    <w:name w:val="Table Paragraph"/>
    <w:basedOn w:val="1"/>
    <w:qFormat/>
    <w:uiPriority w:val="1"/>
    <w:pPr>
      <w:spacing w:before="38"/>
      <w:ind w:left="107"/>
    </w:pPr>
  </w:style>
  <w:style w:type="character" w:customStyle="1" w:styleId="24">
    <w:name w:val="页眉 字符"/>
    <w:basedOn w:val="16"/>
    <w:link w:val="10"/>
    <w:qFormat/>
    <w:uiPriority w:val="99"/>
    <w:rPr>
      <w:rFonts w:ascii="宋体" w:hAnsi="宋体" w:cs="宋体"/>
      <w:sz w:val="18"/>
      <w:szCs w:val="18"/>
      <w:lang w:val="zh-CN" w:bidi="zh-CN"/>
    </w:rPr>
  </w:style>
  <w:style w:type="character" w:customStyle="1" w:styleId="25">
    <w:name w:val="页脚 字符"/>
    <w:basedOn w:val="16"/>
    <w:link w:val="9"/>
    <w:qFormat/>
    <w:uiPriority w:val="99"/>
    <w:rPr>
      <w:rFonts w:ascii="宋体" w:hAnsi="宋体" w:cs="宋体"/>
      <w:sz w:val="18"/>
      <w:szCs w:val="22"/>
      <w:lang w:val="zh-CN" w:bidi="zh-CN"/>
    </w:rPr>
  </w:style>
  <w:style w:type="character" w:customStyle="1" w:styleId="26">
    <w:name w:val="标题 1 字符"/>
    <w:basedOn w:val="16"/>
    <w:link w:val="2"/>
    <w:uiPriority w:val="1"/>
    <w:rPr>
      <w:rFonts w:ascii="黑体" w:hAnsi="黑体" w:eastAsia="黑体" w:cs="黑体"/>
      <w:sz w:val="52"/>
      <w:szCs w:val="52"/>
      <w:lang w:val="zh-CN" w:bidi="zh-CN"/>
    </w:rPr>
  </w:style>
  <w:style w:type="character" w:customStyle="1" w:styleId="27">
    <w:name w:val="标题 3 字符"/>
    <w:basedOn w:val="16"/>
    <w:link w:val="4"/>
    <w:qFormat/>
    <w:uiPriority w:val="1"/>
    <w:rPr>
      <w:rFonts w:ascii="黑体" w:hAnsi="黑体" w:eastAsia="黑体" w:cs="黑体"/>
      <w:sz w:val="28"/>
      <w:szCs w:val="28"/>
      <w:lang w:val="zh-CN" w:bidi="zh-CN"/>
    </w:rPr>
  </w:style>
  <w:style w:type="character" w:customStyle="1" w:styleId="28">
    <w:name w:val="正文文本 字符"/>
    <w:basedOn w:val="16"/>
    <w:link w:val="6"/>
    <w:uiPriority w:val="1"/>
    <w:rPr>
      <w:rFonts w:ascii="宋体" w:hAnsi="宋体" w:cs="宋体"/>
      <w:sz w:val="21"/>
      <w:szCs w:val="21"/>
      <w:lang w:val="zh-CN" w:bidi="zh-CN"/>
    </w:rPr>
  </w:style>
  <w:style w:type="character" w:customStyle="1" w:styleId="29">
    <w:name w:val="未处理的提及1"/>
    <w:basedOn w:val="16"/>
    <w:semiHidden/>
    <w:unhideWhenUsed/>
    <w:qFormat/>
    <w:uiPriority w:val="99"/>
    <w:rPr>
      <w:color w:val="605E5C"/>
      <w:shd w:val="clear" w:color="auto" w:fill="E1DFDD"/>
    </w:rPr>
  </w:style>
  <w:style w:type="paragraph" w:customStyle="1" w:styleId="30">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31">
    <w:name w:val="批注文字 字符"/>
    <w:basedOn w:val="16"/>
    <w:link w:val="5"/>
    <w:semiHidden/>
    <w:uiPriority w:val="0"/>
    <w:rPr>
      <w:rFonts w:ascii="宋体" w:hAnsi="宋体" w:cs="宋体"/>
      <w:sz w:val="22"/>
      <w:szCs w:val="22"/>
      <w:lang w:val="zh-CN" w:bidi="zh-CN"/>
    </w:rPr>
  </w:style>
  <w:style w:type="character" w:customStyle="1" w:styleId="32">
    <w:name w:val="批注主题 字符"/>
    <w:basedOn w:val="31"/>
    <w:link w:val="13"/>
    <w:semiHidden/>
    <w:uiPriority w:val="0"/>
    <w:rPr>
      <w:rFonts w:ascii="宋体" w:hAnsi="宋体" w:cs="宋体"/>
      <w:b/>
      <w:bCs/>
      <w:sz w:val="22"/>
      <w:szCs w:val="22"/>
      <w:lang w:val="zh-CN" w:bidi="zh-CN"/>
    </w:rPr>
  </w:style>
  <w:style w:type="character" w:customStyle="1" w:styleId="33">
    <w:name w:val="批注框文本 字符"/>
    <w:basedOn w:val="16"/>
    <w:link w:val="8"/>
    <w:uiPriority w:val="0"/>
    <w:rPr>
      <w:rFonts w:ascii="宋体" w:hAnsi="宋体" w:cs="宋体"/>
      <w:sz w:val="18"/>
      <w:szCs w:val="18"/>
      <w:lang w:val="zh-CN" w:bidi="zh-CN"/>
    </w:rPr>
  </w:style>
  <w:style w:type="paragraph" w:customStyle="1" w:styleId="34">
    <w:name w:val="TOC 标题1"/>
    <w:basedOn w:val="2"/>
    <w:next w:val="1"/>
    <w:unhideWhenUsed/>
    <w:qFormat/>
    <w:uiPriority w:val="39"/>
    <w:pPr>
      <w:keepNext/>
      <w:keepLines/>
      <w:spacing w:before="240" w:line="259" w:lineRule="auto"/>
      <w:ind w:left="0"/>
      <w:outlineLvl w:val="9"/>
    </w:pPr>
    <w:rPr>
      <w:rFonts w:asciiTheme="majorHAnsi" w:hAnsiTheme="majorHAnsi" w:eastAsiaTheme="majorEastAsia" w:cstheme="majorBidi"/>
      <w:color w:val="376092" w:themeColor="accent1" w:themeShade="BF"/>
      <w:sz w:val="32"/>
      <w:szCs w:val="32"/>
    </w:rPr>
  </w:style>
  <w:style w:type="paragraph" w:customStyle="1" w:styleId="35">
    <w:name w:val="TOC Heading"/>
    <w:basedOn w:val="2"/>
    <w:next w:val="1"/>
    <w:unhideWhenUsed/>
    <w:qFormat/>
    <w:uiPriority w:val="39"/>
    <w:pPr>
      <w:keepNext/>
      <w:keepLines/>
      <w:spacing w:before="240" w:line="259" w:lineRule="auto"/>
      <w:ind w:left="0"/>
      <w:outlineLvl w:val="9"/>
    </w:pPr>
    <w:rPr>
      <w:rFonts w:asciiTheme="majorHAnsi" w:hAnsiTheme="majorHAnsi" w:eastAsiaTheme="majorEastAsia" w:cstheme="majorBidi"/>
      <w:color w:val="376092" w:themeColor="accent1" w:themeShade="BF"/>
      <w:sz w:val="32"/>
      <w:szCs w:val="32"/>
    </w:rPr>
  </w:style>
  <w:style w:type="table" w:customStyle="1" w:styleId="36">
    <w:name w:val="网格型1"/>
    <w:basedOn w:val="14"/>
    <w:qFormat/>
    <w:uiPriority w:val="0"/>
    <w:rPr>
      <w:rFonts w:ascii="宋体" w:hAnsi="Times New Roman"/>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37">
    <w:name w:val="网格型2"/>
    <w:basedOn w:val="14"/>
    <w:qFormat/>
    <w:uiPriority w:val="0"/>
    <w:rPr>
      <w:rFonts w:ascii="宋体" w:hAnsi="Times New Roman"/>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38">
    <w:name w:val="网格型3"/>
    <w:basedOn w:val="14"/>
    <w:qFormat/>
    <w:uiPriority w:val="0"/>
    <w:rPr>
      <w:rFonts w:ascii="宋体" w:hAnsi="Times New Roman"/>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39">
    <w:name w:val="Table Normal1"/>
    <w:semiHidden/>
    <w:unhideWhenUsed/>
    <w:qFormat/>
    <w:uiPriority w:val="2"/>
    <w:pPr>
      <w:widowControl w:val="0"/>
      <w:autoSpaceDE w:val="0"/>
      <w:autoSpaceDN w:val="0"/>
    </w:pPr>
    <w:rPr>
      <w:rFonts w:asciiTheme="minorHAnsi" w:hAnsiTheme="minorHAnsi" w:eastAsiaTheme="minorEastAsia" w:cstheme="minorBidi"/>
      <w:sz w:val="22"/>
      <w:szCs w:val="22"/>
      <w:lang w:eastAsia="en-US"/>
    </w:rPr>
    <w:tblPr>
      <w:tblCellMar>
        <w:top w:w="0" w:type="dxa"/>
        <w:left w:w="0" w:type="dxa"/>
        <w:bottom w:w="0" w:type="dxa"/>
        <w:right w:w="0" w:type="dxa"/>
      </w:tblCellMar>
    </w:tblPr>
  </w:style>
  <w:style w:type="table" w:customStyle="1" w:styleId="40">
    <w:name w:val="Table Normal2"/>
    <w:semiHidden/>
    <w:unhideWhenUsed/>
    <w:qFormat/>
    <w:uiPriority w:val="2"/>
    <w:pPr>
      <w:widowControl w:val="0"/>
      <w:autoSpaceDE w:val="0"/>
      <w:autoSpaceDN w:val="0"/>
    </w:pPr>
    <w:rPr>
      <w:rFonts w:asciiTheme="minorHAnsi" w:hAnsiTheme="minorHAnsi" w:eastAsiaTheme="minorEastAsia" w:cstheme="minorBidi"/>
      <w:sz w:val="22"/>
      <w:szCs w:val="22"/>
      <w:lang w:eastAsia="en-US"/>
    </w:rPr>
    <w:tblPr>
      <w:tblCellMar>
        <w:top w:w="0" w:type="dxa"/>
        <w:left w:w="0" w:type="dxa"/>
        <w:bottom w:w="0" w:type="dxa"/>
        <w:right w:w="0" w:type="dxa"/>
      </w:tblCellMar>
    </w:tblPr>
  </w:style>
  <w:style w:type="table" w:customStyle="1" w:styleId="41">
    <w:name w:val="网格型4"/>
    <w:basedOn w:val="14"/>
    <w:qFormat/>
    <w:uiPriority w:val="39"/>
    <w:pPr>
      <w:widowControl w:val="0"/>
      <w:autoSpaceDE w:val="0"/>
      <w:autoSpaceDN w:val="0"/>
    </w:pPr>
    <w:rPr>
      <w:rFonts w:asciiTheme="minorHAnsi" w:hAnsiTheme="minorHAnsi" w:eastAsiaTheme="minorEastAsia" w:cstheme="minorBidi"/>
      <w:sz w:val="22"/>
      <w:szCs w:val="22"/>
      <w:lang w:eastAsia="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51"/>
    <customShpInfo spid="_x0000_s2050"/>
    <customShpInfo spid="_x0000_s2049"/>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DFB2632-E6D7-425A-9B20-E6A92D0D79D8}">
  <ds:schemaRefs/>
</ds:datastoreItem>
</file>

<file path=docProps/app.xml><?xml version="1.0" encoding="utf-8"?>
<Properties xmlns="http://schemas.openxmlformats.org/officeDocument/2006/extended-properties" xmlns:vt="http://schemas.openxmlformats.org/officeDocument/2006/docPropsVTypes">
  <Template>Normal</Template>
  <Pages>10</Pages>
  <Words>2611</Words>
  <Characters>3198</Characters>
  <Lines>30</Lines>
  <Paragraphs>8</Paragraphs>
  <TotalTime>0</TotalTime>
  <ScaleCrop>false</ScaleCrop>
  <LinksUpToDate>false</LinksUpToDate>
  <CharactersWithSpaces>3590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2021-10-08T01:36:00Z</dcterms:created>
  <dc:creator>DELL</dc:creator>
  <cp:lastModifiedBy>Mincy^</cp:lastModifiedBy>
  <cp:lastPrinted>2021-10-08T05:54:00Z</cp:lastPrinted>
  <dcterms:modified xsi:type="dcterms:W3CDTF">2026-06-24T09:02:07Z</dcterms:modified>
  <dc:title>标准名称</dc:title>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2018-11-03T00:00:00Z</vt:filetime>
  </property>
  <property fmtid="{D5CDD505-2E9C-101B-9397-08002B2CF9AE}" pid="3" name="Creator">
    <vt:lpwstr>Microsoft® Word 2010</vt:lpwstr>
  </property>
  <property fmtid="{D5CDD505-2E9C-101B-9397-08002B2CF9AE}" pid="4" name="LastSaved">
    <vt:filetime>2019-02-27T00:00:00Z</vt:filetime>
  </property>
  <property fmtid="{D5CDD505-2E9C-101B-9397-08002B2CF9AE}" pid="5" name="KSOProductBuildVer">
    <vt:lpwstr>2052-12.1.0.26895</vt:lpwstr>
  </property>
  <property fmtid="{D5CDD505-2E9C-101B-9397-08002B2CF9AE}" pid="6" name="KSOTemplateDocerSaveRecord">
    <vt:lpwstr>eyJoZGlkIjoiZWYxMjBhZTcyZWMxODM4YjA3MmQ3ZDE5YTQ4NTBkYzQiLCJ1c2VySWQiOiI0MjA1NTI2NTUifQ==</vt:lpwstr>
  </property>
  <property fmtid="{D5CDD505-2E9C-101B-9397-08002B2CF9AE}" pid="7" name="ICV">
    <vt:lpwstr>CAC2D3C230ED4271914220FECACF275A_12</vt:lpwstr>
  </property>
</Properties>
</file>