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282407">
      <w:pPr>
        <w:pStyle w:val="5"/>
        <w:spacing w:line="242" w:lineRule="auto"/>
      </w:pPr>
    </w:p>
    <w:p w14:paraId="254DD304">
      <w:pPr>
        <w:pStyle w:val="5"/>
        <w:spacing w:line="242" w:lineRule="auto"/>
      </w:pPr>
    </w:p>
    <w:p w14:paraId="064E24A3">
      <w:pPr>
        <w:pStyle w:val="5"/>
        <w:spacing w:line="243" w:lineRule="auto"/>
      </w:pPr>
    </w:p>
    <w:p w14:paraId="28954437">
      <w:pPr>
        <w:pStyle w:val="5"/>
        <w:spacing w:line="243" w:lineRule="auto"/>
      </w:pPr>
    </w:p>
    <w:p w14:paraId="3872E74F">
      <w:pPr>
        <w:pStyle w:val="5"/>
        <w:spacing w:line="243" w:lineRule="auto"/>
      </w:pPr>
      <w:r>
        <w:pict>
          <v:shape id="_x0000_s1026" o:spid="_x0000_s1026" style="position:absolute;left:0pt;margin-left:0pt;margin-top:5.25pt;height:0.75pt;width:487.5pt;z-index:251660288;mso-width-relative:page;mso-height-relative:page;" fillcolor="#000000" filled="t" stroked="f" coordsize="9750,15" path="m0,0l9750,0,9750,14,0,14,0,0xe">
            <v:path/>
            <v:fill on="t" focussize="0,0"/>
            <v:stroke on="f"/>
            <v:imagedata o:title=""/>
            <o:lock v:ext="edit"/>
          </v:shape>
        </w:pict>
      </w:r>
    </w:p>
    <w:p w14:paraId="70C7B95D">
      <w:pPr>
        <w:pStyle w:val="5"/>
        <w:spacing w:line="243" w:lineRule="auto"/>
      </w:pPr>
    </w:p>
    <w:p w14:paraId="310018AE">
      <w:pPr>
        <w:pStyle w:val="5"/>
        <w:spacing w:line="243" w:lineRule="auto"/>
      </w:pPr>
    </w:p>
    <w:p w14:paraId="74ECFB70">
      <w:pPr>
        <w:pStyle w:val="5"/>
        <w:spacing w:line="243" w:lineRule="auto"/>
      </w:pPr>
    </w:p>
    <w:p w14:paraId="6C0FEAC4">
      <w:pPr>
        <w:pStyle w:val="5"/>
        <w:spacing w:line="243" w:lineRule="auto"/>
      </w:pPr>
    </w:p>
    <w:p w14:paraId="4AE28C22">
      <w:pPr>
        <w:pStyle w:val="5"/>
        <w:spacing w:line="243" w:lineRule="auto"/>
      </w:pPr>
    </w:p>
    <w:p w14:paraId="3FD59DE0">
      <w:pPr>
        <w:spacing w:before="169" w:line="221" w:lineRule="auto"/>
        <w:ind w:left="1020"/>
        <w:rPr>
          <w:rFonts w:ascii="黑体" w:hAnsi="黑体" w:eastAsia="黑体" w:cs="黑体"/>
          <w:sz w:val="52"/>
          <w:szCs w:val="52"/>
        </w:rPr>
      </w:pPr>
      <w:r>
        <w:rPr>
          <w:rFonts w:ascii="黑体" w:hAnsi="黑体" w:eastAsia="黑体" w:cs="黑体"/>
          <w:b/>
          <w:bCs/>
          <w:spacing w:val="-8"/>
          <w:sz w:val="52"/>
          <w:szCs w:val="52"/>
        </w:rPr>
        <w:t>中国食品土畜进出口商会团体标准</w:t>
      </w:r>
    </w:p>
    <w:p w14:paraId="450C038A">
      <w:pPr>
        <w:pStyle w:val="5"/>
        <w:spacing w:line="478" w:lineRule="auto"/>
      </w:pPr>
    </w:p>
    <w:p w14:paraId="5342D9AC">
      <w:pPr>
        <w:spacing w:before="122" w:line="167" w:lineRule="auto"/>
        <w:ind w:left="6442"/>
        <w:rPr>
          <w:rFonts w:hint="default" w:ascii="Arial Unicode MS" w:hAnsi="Arial Unicode MS" w:eastAsia="Arial Unicode MS" w:cs="Arial Unicode MS"/>
          <w:sz w:val="28"/>
          <w:szCs w:val="28"/>
          <w:lang w:val="en-US" w:eastAsia="zh-CN"/>
        </w:rPr>
      </w:pPr>
      <w:r>
        <w:rPr>
          <w:rFonts w:ascii="Arial Unicode MS" w:hAnsi="Arial Unicode MS" w:eastAsia="Arial Unicode MS" w:cs="Arial Unicode MS"/>
          <w:b/>
          <w:bCs/>
          <w:spacing w:val="-3"/>
          <w:sz w:val="28"/>
          <w:szCs w:val="28"/>
        </w:rPr>
        <w:t>T/CFNA</w:t>
      </w:r>
      <w:r>
        <w:rPr>
          <w:rFonts w:ascii="Arial Unicode MS" w:hAnsi="Arial Unicode MS" w:eastAsia="Arial Unicode MS" w:cs="Arial Unicode MS"/>
          <w:spacing w:val="-3"/>
          <w:sz w:val="28"/>
          <w:szCs w:val="28"/>
        </w:rPr>
        <w:t xml:space="preserve">  </w:t>
      </w:r>
      <w:r>
        <w:rPr>
          <w:rFonts w:hint="eastAsia" w:ascii="Arial Unicode MS" w:hAnsi="Arial Unicode MS" w:eastAsia="Arial Unicode MS" w:cs="Arial Unicode MS"/>
          <w:b/>
          <w:bCs/>
          <w:spacing w:val="-3"/>
          <w:sz w:val="28"/>
          <w:szCs w:val="28"/>
          <w:lang w:val="en-US" w:eastAsia="zh-CN"/>
        </w:rPr>
        <w:t>1685-2025</w:t>
      </w:r>
    </w:p>
    <w:p w14:paraId="17C807DB">
      <w:pPr>
        <w:pStyle w:val="5"/>
        <w:spacing w:line="258" w:lineRule="auto"/>
      </w:pPr>
    </w:p>
    <w:p w14:paraId="408A217C">
      <w:pPr>
        <w:pStyle w:val="5"/>
        <w:spacing w:line="258" w:lineRule="auto"/>
      </w:pPr>
      <w:r>
        <w:pict>
          <v:shape id="_x0000_s1027" o:spid="_x0000_s1027" style="position:absolute;left:0pt;margin-left:0.2pt;margin-top:1.2pt;height:0.5pt;width:487.45pt;z-index:251661312;mso-width-relative:page;mso-height-relative:page;" filled="f" stroked="t" coordsize="9749,10" path="m0,4l9748,4e">
            <v:fill on="f" focussize="0,0"/>
            <v:stroke weight="0.48pt" color="#000000" miterlimit="2" joinstyle="bevel"/>
            <v:imagedata o:title=""/>
            <o:lock v:ext="edit"/>
          </v:shape>
        </w:pict>
      </w:r>
    </w:p>
    <w:p w14:paraId="28754971">
      <w:pPr>
        <w:pStyle w:val="5"/>
        <w:spacing w:line="259" w:lineRule="auto"/>
      </w:pPr>
    </w:p>
    <w:p w14:paraId="07D58044">
      <w:pPr>
        <w:pStyle w:val="5"/>
        <w:spacing w:line="259" w:lineRule="auto"/>
      </w:pPr>
    </w:p>
    <w:p w14:paraId="1FEFC65C">
      <w:pPr>
        <w:pStyle w:val="5"/>
        <w:spacing w:line="259" w:lineRule="auto"/>
      </w:pPr>
    </w:p>
    <w:p w14:paraId="65A43CE3">
      <w:pPr>
        <w:pStyle w:val="5"/>
        <w:spacing w:line="259" w:lineRule="auto"/>
      </w:pPr>
    </w:p>
    <w:p w14:paraId="3717AD40">
      <w:pPr>
        <w:pStyle w:val="5"/>
        <w:spacing w:line="259" w:lineRule="auto"/>
      </w:pPr>
    </w:p>
    <w:p w14:paraId="3C519688">
      <w:pPr>
        <w:pStyle w:val="5"/>
        <w:spacing w:line="259" w:lineRule="auto"/>
      </w:pPr>
    </w:p>
    <w:p w14:paraId="50C74304">
      <w:pPr>
        <w:pStyle w:val="5"/>
        <w:spacing w:line="259" w:lineRule="auto"/>
      </w:pPr>
    </w:p>
    <w:p w14:paraId="1EBF7BA0">
      <w:pPr>
        <w:pStyle w:val="5"/>
        <w:spacing w:line="259" w:lineRule="auto"/>
      </w:pPr>
    </w:p>
    <w:p w14:paraId="6F62F4D4">
      <w:pPr>
        <w:pStyle w:val="5"/>
        <w:spacing w:line="259" w:lineRule="auto"/>
      </w:pPr>
    </w:p>
    <w:p w14:paraId="04D8160B">
      <w:pPr>
        <w:pStyle w:val="5"/>
        <w:spacing w:line="259" w:lineRule="auto"/>
      </w:pPr>
    </w:p>
    <w:p w14:paraId="6C128A61">
      <w:pPr>
        <w:spacing w:before="140" w:line="225" w:lineRule="auto"/>
        <w:jc w:val="center"/>
        <w:rPr>
          <w:rFonts w:hint="eastAsia" w:ascii="黑体" w:hAnsi="黑体" w:eastAsia="黑体" w:cs="黑体"/>
          <w:b/>
          <w:bCs/>
          <w:spacing w:val="4"/>
          <w:sz w:val="43"/>
          <w:szCs w:val="43"/>
          <w:lang w:eastAsia="zh-CN"/>
        </w:rPr>
      </w:pPr>
      <w:r>
        <w:rPr>
          <w:rFonts w:hint="eastAsia" w:ascii="黑体" w:hAnsi="黑体" w:eastAsia="黑体" w:cs="黑体"/>
          <w:b/>
          <w:bCs/>
          <w:spacing w:val="4"/>
          <w:sz w:val="43"/>
          <w:szCs w:val="43"/>
        </w:rPr>
        <w:t>饲料原料黑水虻虫干生产技术规程</w:t>
      </w:r>
    </w:p>
    <w:p w14:paraId="01F03D2D">
      <w:pPr>
        <w:pStyle w:val="5"/>
        <w:spacing w:line="270" w:lineRule="auto"/>
      </w:pPr>
    </w:p>
    <w:p w14:paraId="71916A16">
      <w:pPr>
        <w:spacing w:before="283" w:line="222" w:lineRule="auto"/>
        <w:ind w:left="220" w:leftChars="0" w:firstLine="0" w:firstLineChars="0"/>
        <w:jc w:val="center"/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</w:pPr>
      <w:r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  <w:t>Technical Standard for</w:t>
      </w:r>
      <w:r>
        <w:rPr>
          <w:rFonts w:hint="eastAsia" w:ascii="Arial Unicode MS" w:hAnsi="Arial Unicode MS" w:eastAsia="Arial Unicode MS" w:cs="Arial Unicode MS"/>
          <w:b/>
          <w:bCs/>
          <w:sz w:val="43"/>
          <w:szCs w:val="43"/>
          <w:lang w:val="en-US" w:eastAsia="zh-CN"/>
        </w:rPr>
        <w:t xml:space="preserve"> </w:t>
      </w:r>
      <w:r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  <w:t>Production of Dried Black Soldier Fly Larvae as Feed Ingredients</w:t>
      </w:r>
    </w:p>
    <w:p w14:paraId="7DE1820C">
      <w:pPr>
        <w:spacing w:before="283" w:line="222" w:lineRule="auto"/>
        <w:ind w:left="220" w:leftChars="0" w:firstLine="0" w:firstLineChars="0"/>
        <w:jc w:val="center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7"/>
          <w:sz w:val="28"/>
          <w:szCs w:val="28"/>
        </w:rPr>
        <w:t>（</w:t>
      </w:r>
      <w:r>
        <w:rPr>
          <w:rFonts w:hint="eastAsia" w:ascii="黑体" w:hAnsi="黑体" w:eastAsia="黑体" w:cs="黑体"/>
          <w:b/>
          <w:bCs/>
          <w:spacing w:val="-7"/>
          <w:sz w:val="28"/>
          <w:szCs w:val="28"/>
          <w:lang w:val="en-US" w:eastAsia="zh-CN"/>
        </w:rPr>
        <w:t>征求意见</w:t>
      </w:r>
      <w:r>
        <w:rPr>
          <w:rFonts w:ascii="黑体" w:hAnsi="黑体" w:eastAsia="黑体" w:cs="黑体"/>
          <w:b/>
          <w:bCs/>
          <w:spacing w:val="-7"/>
          <w:sz w:val="28"/>
          <w:szCs w:val="28"/>
        </w:rPr>
        <w:t>稿）</w:t>
      </w:r>
    </w:p>
    <w:p w14:paraId="5002F51E">
      <w:pPr>
        <w:pStyle w:val="5"/>
        <w:spacing w:line="248" w:lineRule="auto"/>
      </w:pPr>
    </w:p>
    <w:p w14:paraId="6D936D38">
      <w:pPr>
        <w:pStyle w:val="5"/>
        <w:spacing w:line="248" w:lineRule="auto"/>
      </w:pPr>
    </w:p>
    <w:p w14:paraId="46E08A30">
      <w:pPr>
        <w:pStyle w:val="5"/>
        <w:spacing w:line="248" w:lineRule="auto"/>
      </w:pPr>
    </w:p>
    <w:p w14:paraId="76F2BE20">
      <w:pPr>
        <w:pStyle w:val="5"/>
        <w:spacing w:line="248" w:lineRule="auto"/>
      </w:pPr>
    </w:p>
    <w:p w14:paraId="318AAE72">
      <w:pPr>
        <w:pStyle w:val="5"/>
        <w:spacing w:line="249" w:lineRule="auto"/>
      </w:pPr>
    </w:p>
    <w:p w14:paraId="330A35AF">
      <w:pPr>
        <w:pStyle w:val="5"/>
        <w:spacing w:line="249" w:lineRule="auto"/>
      </w:pPr>
    </w:p>
    <w:p w14:paraId="463A3ED2">
      <w:pPr>
        <w:pStyle w:val="5"/>
        <w:spacing w:line="249" w:lineRule="auto"/>
      </w:pPr>
    </w:p>
    <w:p w14:paraId="1756AD29">
      <w:pPr>
        <w:pStyle w:val="5"/>
        <w:spacing w:line="249" w:lineRule="auto"/>
      </w:pPr>
    </w:p>
    <w:p w14:paraId="7B69AB90">
      <w:pPr>
        <w:pStyle w:val="5"/>
        <w:spacing w:line="249" w:lineRule="auto"/>
      </w:pPr>
    </w:p>
    <w:p w14:paraId="67D250B4">
      <w:pPr>
        <w:pStyle w:val="5"/>
        <w:spacing w:line="249" w:lineRule="auto"/>
      </w:pPr>
    </w:p>
    <w:p w14:paraId="71CABD59">
      <w:pPr>
        <w:pStyle w:val="5"/>
        <w:spacing w:line="249" w:lineRule="auto"/>
      </w:pPr>
    </w:p>
    <w:p w14:paraId="4C98E942">
      <w:pPr>
        <w:pStyle w:val="5"/>
        <w:spacing w:line="249" w:lineRule="auto"/>
      </w:pPr>
    </w:p>
    <w:p w14:paraId="7BFC829E">
      <w:pPr>
        <w:pStyle w:val="5"/>
        <w:spacing w:line="249" w:lineRule="auto"/>
      </w:pPr>
    </w:p>
    <w:p w14:paraId="6731F2AB">
      <w:pPr>
        <w:spacing w:before="91" w:line="222" w:lineRule="auto"/>
        <w:ind w:left="88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5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发布</w:t>
      </w:r>
      <w:r>
        <w:rPr>
          <w:rFonts w:ascii="黑体" w:hAnsi="黑体" w:eastAsia="黑体" w:cs="黑体"/>
          <w:spacing w:val="-1"/>
          <w:sz w:val="28"/>
          <w:szCs w:val="28"/>
        </w:rPr>
        <w:t xml:space="preserve">                        </w:t>
      </w:r>
      <w:r>
        <w:rPr>
          <w:rFonts w:ascii="黑体" w:hAnsi="黑体" w:eastAsia="黑体" w:cs="黑体"/>
          <w:spacing w:val="-2"/>
          <w:sz w:val="28"/>
          <w:szCs w:val="28"/>
        </w:rPr>
        <w:t xml:space="preserve">   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6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spacing w:val="-53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实施</w:t>
      </w:r>
    </w:p>
    <w:p w14:paraId="6B0285C3">
      <w:pPr>
        <w:pStyle w:val="5"/>
        <w:spacing w:line="271" w:lineRule="auto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106680</wp:posOffset>
            </wp:positionH>
            <wp:positionV relativeFrom="paragraph">
              <wp:posOffset>106045</wp:posOffset>
            </wp:positionV>
            <wp:extent cx="6120130" cy="952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129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756D86">
      <w:pPr>
        <w:spacing w:before="101" w:line="226" w:lineRule="auto"/>
        <w:ind w:left="2030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b/>
          <w:bCs/>
          <w:spacing w:val="59"/>
          <w:w w:val="111"/>
          <w:sz w:val="31"/>
          <w:szCs w:val="31"/>
        </w:rPr>
        <w:t>中国食品土畜进出口商会</w:t>
      </w:r>
      <w:r>
        <w:rPr>
          <w:rFonts w:ascii="黑体" w:hAnsi="黑体" w:eastAsia="黑体" w:cs="黑体"/>
          <w:spacing w:val="59"/>
          <w:w w:val="111"/>
          <w:sz w:val="31"/>
          <w:szCs w:val="31"/>
        </w:rPr>
        <w:t xml:space="preserve">  </w:t>
      </w:r>
      <w:r>
        <w:rPr>
          <w:rFonts w:ascii="黑体" w:hAnsi="黑体" w:eastAsia="黑体" w:cs="黑体"/>
          <w:b/>
          <w:bCs/>
          <w:spacing w:val="59"/>
          <w:w w:val="111"/>
          <w:sz w:val="24"/>
          <w:szCs w:val="24"/>
        </w:rPr>
        <w:t>发布</w:t>
      </w:r>
    </w:p>
    <w:p w14:paraId="5A81228F">
      <w:pPr>
        <w:spacing w:line="226" w:lineRule="auto"/>
        <w:rPr>
          <w:rFonts w:ascii="黑体" w:hAnsi="黑体" w:eastAsia="黑体" w:cs="黑体"/>
          <w:sz w:val="24"/>
          <w:szCs w:val="24"/>
        </w:rPr>
        <w:sectPr>
          <w:headerReference r:id="rId5" w:type="default"/>
          <w:pgSz w:w="11910" w:h="16840"/>
          <w:pgMar w:top="400" w:right="1024" w:bottom="0" w:left="1080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31EDC586">
      <w:pPr>
        <w:pStyle w:val="5"/>
        <w:spacing w:line="349" w:lineRule="auto"/>
      </w:pPr>
    </w:p>
    <w:p w14:paraId="5B62F374">
      <w:pPr>
        <w:pStyle w:val="5"/>
        <w:spacing w:line="350" w:lineRule="auto"/>
      </w:pPr>
    </w:p>
    <w:p w14:paraId="6D90D6AB">
      <w:pPr>
        <w:spacing w:before="122" w:line="167" w:lineRule="auto"/>
        <w:ind w:left="6442"/>
        <w:rPr>
          <w:rFonts w:hint="default" w:ascii="Times New Roman" w:hAnsi="Times New Roman" w:eastAsia="Arial Unicode MS" w:cs="Times New Roman"/>
          <w:b w:val="0"/>
          <w:bCs w:val="0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1"/>
          <w:sz w:val="24"/>
          <w:szCs w:val="24"/>
        </w:rPr>
        <w:t xml:space="preserve">T/CFNA    </w:t>
      </w:r>
      <w:r>
        <w:rPr>
          <w:rFonts w:ascii="Arial Unicode MS" w:hAnsi="Arial Unicode MS" w:eastAsia="Arial Unicode MS" w:cs="Arial Unicode MS"/>
          <w:spacing w:val="-3"/>
          <w:sz w:val="28"/>
          <w:szCs w:val="28"/>
        </w:rPr>
        <w:t xml:space="preserve"> </w:t>
      </w:r>
      <w:r>
        <w:rPr>
          <w:rFonts w:hint="default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16</w:t>
      </w:r>
      <w:r>
        <w:rPr>
          <w:rFonts w:hint="eastAsia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85</w:t>
      </w:r>
      <w:r>
        <w:rPr>
          <w:rFonts w:hint="default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-2025</w:t>
      </w:r>
    </w:p>
    <w:p w14:paraId="3052F936">
      <w:pPr>
        <w:spacing w:before="78" w:line="225" w:lineRule="auto"/>
        <w:ind w:left="6746"/>
        <w:rPr>
          <w:rFonts w:ascii="宋体" w:hAnsi="宋体" w:eastAsia="宋体" w:cs="宋体"/>
          <w:sz w:val="24"/>
          <w:szCs w:val="24"/>
        </w:rPr>
      </w:pPr>
    </w:p>
    <w:p w14:paraId="08E604F8">
      <w:pPr>
        <w:pStyle w:val="5"/>
        <w:spacing w:line="252" w:lineRule="auto"/>
      </w:pPr>
    </w:p>
    <w:p w14:paraId="0B28E3CA">
      <w:pPr>
        <w:pStyle w:val="5"/>
        <w:spacing w:line="252" w:lineRule="auto"/>
      </w:pPr>
    </w:p>
    <w:p w14:paraId="78D4C74B">
      <w:pPr>
        <w:pStyle w:val="5"/>
        <w:spacing w:line="253" w:lineRule="auto"/>
      </w:pPr>
    </w:p>
    <w:p w14:paraId="6779D851">
      <w:pPr>
        <w:pStyle w:val="5"/>
        <w:spacing w:line="253" w:lineRule="auto"/>
      </w:pPr>
    </w:p>
    <w:sdt>
      <w:sdtPr>
        <w:rPr>
          <w:rFonts w:ascii="宋体" w:hAnsi="宋体" w:eastAsia="宋体" w:cs="宋体"/>
          <w:sz w:val="31"/>
          <w:szCs w:val="31"/>
        </w:rPr>
        <w:id w:val="147474001"/>
        <w:docPartObj>
          <w:docPartGallery w:val="Table of Contents"/>
          <w:docPartUnique/>
        </w:docPartObj>
      </w:sdtPr>
      <w:sdtEndPr>
        <w:rPr>
          <w:rFonts w:ascii="宋体" w:hAnsi="宋体" w:eastAsia="宋体" w:cs="宋体"/>
          <w:sz w:val="24"/>
          <w:szCs w:val="24"/>
        </w:rPr>
      </w:sdtEndPr>
      <w:sdtContent>
        <w:p w14:paraId="3DC01145">
          <w:pPr>
            <w:spacing w:before="101" w:line="228" w:lineRule="auto"/>
            <w:ind w:left="4180"/>
            <w:rPr>
              <w:rFonts w:ascii="宋体" w:hAnsi="宋体" w:eastAsia="宋体" w:cs="宋体"/>
              <w:sz w:val="31"/>
              <w:szCs w:val="31"/>
            </w:rPr>
          </w:pPr>
          <w:bookmarkStart w:id="0" w:name="bookmark1"/>
          <w:bookmarkEnd w:id="0"/>
          <w:r>
            <w:rPr>
              <w:rFonts w:ascii="宋体" w:hAnsi="宋体" w:eastAsia="宋体" w:cs="宋体"/>
              <w:spacing w:val="-28"/>
              <w:sz w:val="31"/>
              <w:szCs w:val="31"/>
            </w:rPr>
            <w:t>目录</w:t>
          </w:r>
        </w:p>
        <w:p w14:paraId="05EDEA68">
          <w:pPr>
            <w:pStyle w:val="5"/>
            <w:spacing w:line="345" w:lineRule="auto"/>
          </w:pPr>
        </w:p>
        <w:p w14:paraId="68C9B132">
          <w:pPr>
            <w:pStyle w:val="5"/>
            <w:spacing w:line="345" w:lineRule="auto"/>
          </w:pPr>
        </w:p>
        <w:p w14:paraId="091BFE72">
          <w:pPr>
            <w:tabs>
              <w:tab w:val="right" w:leader="dot" w:pos="8820"/>
            </w:tabs>
            <w:spacing w:before="78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7"/>
              <w:sz w:val="24"/>
              <w:szCs w:val="24"/>
            </w:rPr>
            <w:t>前言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t>II</w:t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fldChar w:fldCharType="end"/>
          </w:r>
        </w:p>
        <w:p w14:paraId="44B8556E">
          <w:pPr>
            <w:tabs>
              <w:tab w:val="right" w:leader="dot" w:pos="8820"/>
            </w:tabs>
            <w:spacing w:before="223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1.</w:t>
          </w:r>
          <w:r>
            <w:rPr>
              <w:rFonts w:ascii="宋体" w:hAnsi="宋体" w:eastAsia="宋体" w:cs="宋体"/>
              <w:spacing w:val="8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范围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A667074">
          <w:pPr>
            <w:tabs>
              <w:tab w:val="right" w:leader="dot" w:pos="8820"/>
            </w:tabs>
            <w:spacing w:before="226" w:line="185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2.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规范性引用文件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542C224">
          <w:pPr>
            <w:tabs>
              <w:tab w:val="right" w:leader="dot" w:pos="8820"/>
            </w:tabs>
            <w:spacing w:before="225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3.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术语和定义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0590666C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24"/>
              <w:szCs w:val="24"/>
            </w:rPr>
            <w:t>4.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6"/>
              <w:sz w:val="24"/>
              <w:szCs w:val="24"/>
              <w:lang w:val="en-US" w:eastAsia="zh-CN"/>
            </w:rPr>
            <w:t>原料要求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1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2827CD42">
          <w:pPr>
            <w:tabs>
              <w:tab w:val="right" w:leader="dot" w:pos="8820"/>
            </w:tabs>
            <w:spacing w:before="224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5.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  <w:lang w:val="en-US" w:eastAsia="zh-CN"/>
            </w:rPr>
            <w:t>生产环境与设备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2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C08E011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pacing w:val="-13"/>
              <w:sz w:val="24"/>
              <w:szCs w:val="24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6.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</w:t>
          </w:r>
          <w:r>
            <w:rPr>
              <w:rFonts w:hint="eastAsia" w:ascii="宋体" w:hAnsi="宋体" w:eastAsia="宋体" w:cs="宋体"/>
              <w:spacing w:val="7"/>
              <w:sz w:val="24"/>
              <w:szCs w:val="24"/>
              <w:lang w:val="en-US" w:eastAsia="zh-CN"/>
            </w:rPr>
            <w:t xml:space="preserve"> 生产工艺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3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3500D15">
          <w:pPr>
            <w:numPr>
              <w:ilvl w:val="0"/>
              <w:numId w:val="9"/>
            </w:num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hint="default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 xml:space="preserve">  过程质量控制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5</w:t>
          </w:r>
        </w:p>
        <w:p w14:paraId="0BB117D6">
          <w:pPr>
            <w:numPr>
              <w:ilvl w:val="0"/>
              <w:numId w:val="9"/>
            </w:num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 xml:space="preserve">  通用产品要求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6</w:t>
          </w:r>
        </w:p>
        <w:p w14:paraId="33F87BCE">
          <w:pPr>
            <w:numPr>
              <w:ilvl w:val="0"/>
              <w:numId w:val="9"/>
            </w:num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 xml:space="preserve">  检验规则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6</w:t>
          </w:r>
        </w:p>
        <w:p w14:paraId="692656B1">
          <w:pPr>
            <w:numPr>
              <w:ilvl w:val="0"/>
              <w:numId w:val="9"/>
            </w:num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 xml:space="preserve"> 标签、包装、净含量、运输、贮存和保质期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7</w:t>
          </w:r>
          <w:bookmarkStart w:id="27" w:name="_GoBack"/>
          <w:bookmarkEnd w:id="27"/>
        </w:p>
        <w:p w14:paraId="4EE9DE3B">
          <w:pPr>
            <w:numPr>
              <w:numId w:val="0"/>
            </w:numPr>
            <w:tabs>
              <w:tab w:val="right" w:leader="dot" w:pos="8820"/>
            </w:tabs>
            <w:spacing w:before="226" w:line="186" w:lineRule="auto"/>
            <w:ind w:leftChars="304"/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附录A  （资料性） 真蛋白质测定方法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8</w:t>
          </w:r>
        </w:p>
        <w:p w14:paraId="35316B94">
          <w:pPr>
            <w:numPr>
              <w:ilvl w:val="0"/>
              <w:numId w:val="0"/>
            </w:numPr>
            <w:tabs>
              <w:tab w:val="right" w:leader="dot" w:pos="8820"/>
            </w:tabs>
            <w:spacing w:before="226" w:line="186" w:lineRule="auto"/>
            <w:ind w:leftChars="304"/>
            <w:rPr>
              <w:rFonts w:hint="default" w:ascii="宋体" w:hAnsi="宋体" w:eastAsia="宋体" w:cs="宋体"/>
              <w:spacing w:val="-13"/>
              <w:sz w:val="24"/>
              <w:szCs w:val="24"/>
              <w:lang w:val="en-US" w:eastAsia="zh-CN"/>
            </w:rPr>
          </w:pPr>
        </w:p>
        <w:p w14:paraId="667F9274">
          <w:pPr>
            <w:tabs>
              <w:tab w:val="right" w:leader="dot" w:pos="9354"/>
            </w:tabs>
            <w:spacing w:before="226" w:line="186" w:lineRule="auto"/>
            <w:ind w:left="1"/>
            <w:rPr>
              <w:rFonts w:ascii="宋体" w:hAnsi="宋体" w:eastAsia="宋体" w:cs="宋体"/>
              <w:sz w:val="24"/>
              <w:szCs w:val="24"/>
            </w:rPr>
          </w:pPr>
        </w:p>
        <w:p w14:paraId="3B1B0819">
          <w:pPr>
            <w:tabs>
              <w:tab w:val="right" w:leader="dot" w:pos="9354"/>
            </w:tabs>
            <w:spacing w:before="224" w:line="186" w:lineRule="auto"/>
            <w:ind w:left="19"/>
            <w:rPr>
              <w:rFonts w:ascii="宋体" w:hAnsi="宋体" w:eastAsia="宋体" w:cs="宋体"/>
              <w:sz w:val="24"/>
              <w:szCs w:val="24"/>
            </w:rPr>
          </w:pPr>
        </w:p>
        <w:p w14:paraId="776AC16F">
          <w:pPr>
            <w:tabs>
              <w:tab w:val="right" w:leader="dot" w:pos="9354"/>
            </w:tabs>
            <w:spacing w:before="224" w:line="220" w:lineRule="auto"/>
            <w:rPr>
              <w:rFonts w:ascii="宋体" w:hAnsi="宋体" w:eastAsia="宋体" w:cs="宋体"/>
              <w:sz w:val="24"/>
              <w:szCs w:val="24"/>
            </w:rPr>
          </w:pPr>
        </w:p>
      </w:sdtContent>
    </w:sdt>
    <w:p w14:paraId="72FC3DD9">
      <w:pPr>
        <w:spacing w:line="220" w:lineRule="auto"/>
        <w:rPr>
          <w:rFonts w:ascii="宋体" w:hAnsi="宋体" w:eastAsia="宋体" w:cs="宋体"/>
          <w:sz w:val="24"/>
          <w:szCs w:val="24"/>
        </w:rPr>
        <w:sectPr>
          <w:headerReference r:id="rId6" w:type="default"/>
          <w:footerReference r:id="rId7" w:type="default"/>
          <w:pgSz w:w="11910" w:h="16840"/>
          <w:pgMar w:top="400" w:right="1028" w:bottom="1340" w:left="1527" w:header="0" w:footer="1105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304EE6E9">
      <w:pPr>
        <w:pStyle w:val="5"/>
        <w:spacing w:line="294" w:lineRule="auto"/>
      </w:pPr>
    </w:p>
    <w:p w14:paraId="3A7BD879">
      <w:pPr>
        <w:pStyle w:val="5"/>
        <w:spacing w:line="294" w:lineRule="auto"/>
      </w:pPr>
    </w:p>
    <w:p w14:paraId="318111F0">
      <w:pPr>
        <w:spacing w:before="100" w:line="227" w:lineRule="auto"/>
        <w:ind w:left="4602"/>
        <w:outlineLvl w:val="0"/>
        <w:rPr>
          <w:rFonts w:hint="default" w:ascii="Times New Roman" w:hAnsi="Times New Roman" w:eastAsia="宋体" w:cs="Times New Roman"/>
          <w:sz w:val="31"/>
          <w:szCs w:val="31"/>
        </w:rPr>
      </w:pPr>
      <w:bookmarkStart w:id="1" w:name="bookmark2"/>
      <w:bookmarkEnd w:id="1"/>
      <w:r>
        <w:rPr>
          <w:rFonts w:hint="default" w:ascii="Times New Roman" w:hAnsi="Times New Roman" w:eastAsia="宋体" w:cs="Times New Roman"/>
          <w:b/>
          <w:bCs/>
          <w:spacing w:val="-2"/>
          <w:sz w:val="31"/>
          <w:szCs w:val="31"/>
        </w:rPr>
        <w:t>前言</w:t>
      </w:r>
    </w:p>
    <w:p w14:paraId="6A8F1515">
      <w:pPr>
        <w:pStyle w:val="5"/>
        <w:spacing w:line="288" w:lineRule="auto"/>
        <w:rPr>
          <w:rFonts w:hint="default" w:ascii="Times New Roman" w:hAnsi="Times New Roman" w:cs="Times New Roman"/>
        </w:rPr>
      </w:pPr>
    </w:p>
    <w:p w14:paraId="5CB3A1E0">
      <w:pPr>
        <w:pStyle w:val="5"/>
        <w:spacing w:line="288" w:lineRule="auto"/>
        <w:rPr>
          <w:rFonts w:hint="default" w:ascii="Times New Roman" w:hAnsi="Times New Roman" w:cs="Times New Roman"/>
        </w:rPr>
      </w:pPr>
    </w:p>
    <w:p w14:paraId="3C1017ED">
      <w:pPr>
        <w:pStyle w:val="5"/>
        <w:spacing w:line="289" w:lineRule="auto"/>
        <w:rPr>
          <w:rFonts w:hint="default" w:ascii="Times New Roman" w:hAnsi="Times New Roman" w:cs="Times New Roman"/>
        </w:rPr>
      </w:pPr>
    </w:p>
    <w:p w14:paraId="7E5CA2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0" w:leftChars="200" w:right="638" w:rightChars="304" w:firstLine="566" w:firstLineChars="236"/>
        <w:textAlignment w:val="baseline"/>
        <w:rPr>
          <w:rFonts w:hint="default" w:ascii="Times New Roman" w:hAnsi="Times New Roman" w:eastAsia="宋体" w:cs="Times New Roman"/>
          <w:spacing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pacing w:val="0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根据</w:t>
      </w:r>
      <w:r>
        <w:rPr>
          <w:rFonts w:hint="default" w:ascii="Times New Roman" w:hAnsi="Times New Roman" w:eastAsia="Calibri" w:cs="Times New Roman"/>
          <w:spacing w:val="0"/>
          <w:sz w:val="24"/>
          <w:szCs w:val="24"/>
        </w:rPr>
        <w:t xml:space="preserve">GB/T 1.1-2020 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 xml:space="preserve">《标准化工作导则 第 </w:t>
      </w:r>
      <w:r>
        <w:rPr>
          <w:rFonts w:hint="default" w:ascii="Times New Roman" w:hAnsi="Times New Roman" w:eastAsia="Calibri" w:cs="Times New Roman"/>
          <w:spacing w:val="0"/>
          <w:sz w:val="24"/>
          <w:szCs w:val="24"/>
        </w:rPr>
        <w:t xml:space="preserve">1 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部分：标准化文件的结构和起草规则》给出的规</w:t>
      </w:r>
      <w:r>
        <w:rPr>
          <w:rFonts w:hint="eastAsia" w:ascii="Times New Roman" w:hAnsi="Times New Roman" w:eastAsia="宋体" w:cs="Times New Roman"/>
          <w:spacing w:val="0"/>
          <w:sz w:val="24"/>
          <w:szCs w:val="24"/>
          <w:lang w:val="en-US" w:eastAsia="zh-CN"/>
        </w:rPr>
        <w:t>定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起草。</w:t>
      </w:r>
    </w:p>
    <w:p w14:paraId="719047A1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0" w:leftChars="200" w:right="4" w:rightChars="2" w:firstLine="564" w:firstLineChars="235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本</w:t>
      </w:r>
      <w:r>
        <w:rPr>
          <w:rFonts w:hint="eastAsia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文件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由中国食品土畜进出口商会提出，委托商会昆虫蛋白产业分会制定。</w:t>
      </w:r>
    </w:p>
    <w:p w14:paraId="06B77CA8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0" w:leftChars="200" w:right="636" w:rightChars="303" w:firstLine="564" w:firstLineChars="235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本文件起草单位：生物源生物技术（深圳）股份有限公司、广东省科学院动物研究所、茵塞普科技（深圳）有限公司、格瑞环保科技（深圳）有限公司、郑州尧安环保科技有限公司、宁波良源恒茂生物科技有限公司、四川沱牌生物科技有限公司。</w:t>
      </w:r>
    </w:p>
    <w:p w14:paraId="47B512F7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0" w:leftChars="200" w:right="636" w:rightChars="303" w:firstLine="564" w:firstLineChars="235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本文件主要起草人：胡文锋、朱剑锋、徐齐云、庞旭、余广滔、张静风、贺永惠、毛孟其、夏东林</w:t>
      </w:r>
      <w:r>
        <w:rPr>
          <w:rFonts w:hint="eastAsia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。</w:t>
      </w:r>
    </w:p>
    <w:p w14:paraId="4EC3301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960" w:firstLineChars="400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本</w:t>
      </w:r>
      <w:r>
        <w:rPr>
          <w:rFonts w:hint="eastAsia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文件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0"/>
          <w:kern w:val="0"/>
          <w:sz w:val="24"/>
          <w:szCs w:val="24"/>
          <w:lang w:val="en-US" w:eastAsia="zh-CN" w:bidi="ar-SA"/>
        </w:rPr>
        <w:t>由中国食品土畜进出口商会解释。</w:t>
      </w:r>
    </w:p>
    <w:p w14:paraId="0FE58E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638" w:rightChars="304" w:firstLine="960" w:firstLineChars="400"/>
        <w:textAlignment w:val="baseline"/>
        <w:rPr>
          <w:rFonts w:hint="default" w:ascii="Times New Roman" w:hAnsi="Times New Roman" w:eastAsia="宋体" w:cs="Times New Roman"/>
          <w:spacing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pacing w:val="0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由中国食品土畜进出口商会于202</w:t>
      </w:r>
      <w:r>
        <w:rPr>
          <w:rFonts w:hint="eastAsia" w:ascii="Times New Roman" w:hAnsi="Times New Roman" w:eastAsia="宋体" w:cs="Times New Roman"/>
          <w:spacing w:val="0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年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月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日批准公示。</w:t>
      </w:r>
    </w:p>
    <w:p w14:paraId="0575D08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632" w:rightChars="301" w:firstLine="960" w:firstLineChars="400"/>
        <w:textAlignment w:val="baseline"/>
        <w:rPr>
          <w:rFonts w:hint="default" w:ascii="Times New Roman" w:hAnsi="Times New Roman" w:eastAsia="宋体" w:cs="Times New Roman"/>
          <w:spacing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pacing w:val="0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自202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年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月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0"/>
          <w:sz w:val="24"/>
          <w:szCs w:val="24"/>
        </w:rPr>
        <w:t>日起实施。</w:t>
      </w:r>
    </w:p>
    <w:p w14:paraId="7467C7D1">
      <w:pPr>
        <w:spacing w:line="21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  <w:sectPr>
          <w:headerReference r:id="rId8" w:type="default"/>
          <w:footerReference r:id="rId9" w:type="default"/>
          <w:pgSz w:w="11910" w:h="16840"/>
          <w:pgMar w:top="1486" w:right="943" w:bottom="1340" w:left="1088" w:header="1117" w:footer="1105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6CF4DFE9">
      <w:pPr>
        <w:spacing w:line="20" w:lineRule="exact"/>
        <w:jc w:val="both"/>
        <w:rPr>
          <w:rFonts w:hint="eastAsia" w:ascii="黑体" w:hAnsi="黑体" w:eastAsia="黑体"/>
          <w:sz w:val="32"/>
          <w:szCs w:val="32"/>
        </w:rPr>
      </w:pPr>
      <w:bookmarkStart w:id="2" w:name="bookmark3"/>
      <w:bookmarkEnd w:id="2"/>
      <w:bookmarkStart w:id="3" w:name="BookMark4"/>
    </w:p>
    <w:sdt>
      <w:sdtPr>
        <w:tag w:val="NEW_STAND_NAME"/>
        <w:id w:val="595910757"/>
        <w:lock w:val="sdtLocked"/>
        <w:placeholder>
          <w:docPart w:val="{e247ccaa-aefd-44e1-a0a0-5f7154484d03}"/>
        </w:placeholder>
      </w:sdtPr>
      <w:sdtContent>
        <w:p w14:paraId="4074E562">
          <w:pPr>
            <w:pStyle w:val="31"/>
          </w:pPr>
          <w:bookmarkEnd w:id="3"/>
          <w:r>
            <w:rPr>
              <w:rFonts w:hint="eastAsia"/>
            </w:rPr>
            <w:t>饲料原料黑水虻虫干生产技术规程</w:t>
          </w:r>
        </w:p>
        <w:p w14:paraId="5F90C53B">
          <w:pPr>
            <w:pStyle w:val="17"/>
            <w:spacing w:before="240" w:after="240"/>
          </w:pPr>
          <w:bookmarkStart w:id="4" w:name="_Toc12294"/>
          <w:bookmarkStart w:id="5" w:name="_Toc14518"/>
          <w:r>
            <w:rPr>
              <w:rFonts w:hint="eastAsia"/>
            </w:rPr>
            <w:t>范围</w:t>
          </w:r>
          <w:bookmarkEnd w:id="4"/>
          <w:bookmarkEnd w:id="5"/>
        </w:p>
        <w:p w14:paraId="4FEB4019">
          <w:pPr>
            <w:pStyle w:val="18"/>
            <w:ind w:firstLine="420"/>
          </w:pPr>
          <w:r>
            <w:rPr>
              <w:rFonts w:hint="eastAsia"/>
            </w:rPr>
            <w:t xml:space="preserve">本文件规定了饲料原料黑水虻虫干生产技术规程的术语和定义、原料要求、生产环境与设备、生产工艺、过程质量控制、产品要求、检验规则及标签、包装、运输、贮存和保质期。 </w:t>
          </w:r>
        </w:p>
        <w:p w14:paraId="0F06ECDB">
          <w:pPr>
            <w:pStyle w:val="18"/>
            <w:ind w:firstLine="420"/>
          </w:pPr>
          <w:r>
            <w:rPr>
              <w:rFonts w:hint="eastAsia"/>
            </w:rPr>
            <w:t>本文件适用于以人工养殖的黑水虻（</w:t>
          </w:r>
          <w:r>
            <w:rPr>
              <w:rFonts w:ascii="Times New Roman"/>
              <w:i/>
              <w:iCs/>
            </w:rPr>
            <w:t>Hermetia illucens</w:t>
          </w:r>
          <w:r>
            <w:rPr>
              <w:rFonts w:ascii="Times New Roman"/>
            </w:rPr>
            <w:t xml:space="preserve"> L.</w:t>
          </w:r>
          <w:r>
            <w:rPr>
              <w:rFonts w:hint="eastAsia"/>
            </w:rPr>
            <w:t>）幼虫为原料，经筛分、杀青、干燥、筛选等工艺生产的黑水虻虫干。该产品主要用于饲料原料、水产养殖饲料、宠物食品等领域。</w:t>
          </w:r>
        </w:p>
        <w:p w14:paraId="17B94502">
          <w:pPr>
            <w:pStyle w:val="17"/>
            <w:spacing w:before="240" w:after="240"/>
          </w:pPr>
          <w:bookmarkStart w:id="6" w:name="_Toc24587"/>
          <w:bookmarkStart w:id="7" w:name="_Toc8508"/>
          <w:r>
            <w:rPr>
              <w:rFonts w:hint="eastAsia"/>
            </w:rPr>
            <w:t>规范性引用文件</w:t>
          </w:r>
          <w:bookmarkEnd w:id="6"/>
          <w:bookmarkEnd w:id="7"/>
        </w:p>
        <w:p w14:paraId="39992116">
          <w:pPr>
            <w:pStyle w:val="18"/>
            <w:ind w:firstLine="420"/>
          </w:pPr>
          <w:r>
            <w:rPr>
              <w:rFonts w:hint="eastAsia"/>
            </w:rPr>
            <w:t>下列文件中的</w:t>
          </w:r>
          <w:r>
            <w:t>内容通过文中</w:t>
          </w:r>
          <w:r>
            <w:rPr>
              <w:rFonts w:hint="eastAsia"/>
            </w:rPr>
            <w:t>的</w:t>
          </w:r>
          <w:r>
            <w:t>规范性引用而构成本文件必不可少的条款。其中</w:t>
          </w:r>
          <w:r>
            <w:rPr>
              <w:rFonts w:hint="eastAsia"/>
            </w:rPr>
            <w:t>，</w:t>
          </w:r>
          <w:r>
            <w:t>注日期的引用文件，</w:t>
          </w:r>
          <w:r>
            <w:rPr>
              <w:rFonts w:hint="eastAsia"/>
            </w:rPr>
            <w:t>仅</w:t>
          </w:r>
          <w:r>
            <w:t>该日期对应的版本</w:t>
          </w:r>
          <w:r>
            <w:rPr>
              <w:rFonts w:hint="eastAsia"/>
            </w:rPr>
            <w:t>适用</w:t>
          </w:r>
          <w:r>
            <w:t>于本文件；不注日期的引用文件，其最新版本（</w:t>
          </w:r>
          <w:r>
            <w:rPr>
              <w:rFonts w:hint="eastAsia"/>
            </w:rPr>
            <w:t>包括</w:t>
          </w:r>
          <w:r>
            <w:t>所有的修改单）</w:t>
          </w:r>
          <w:r>
            <w:rPr>
              <w:rFonts w:hint="eastAsia"/>
            </w:rPr>
            <w:t>适用</w:t>
          </w:r>
          <w:r>
            <w:t>于本文件</w:t>
          </w:r>
          <w:r>
            <w:rPr>
              <w:rFonts w:hint="eastAsia"/>
            </w:rPr>
            <w:t>。</w:t>
          </w:r>
        </w:p>
        <w:p w14:paraId="42972E25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GB 5009.229</w:t>
          </w:r>
          <w:r>
            <w:rPr>
              <w:rFonts w:hint="eastAsia" w:ascii="Times New Roman"/>
            </w:rPr>
            <w:t xml:space="preserve">        </w:t>
          </w:r>
          <w:r>
            <w:rPr>
              <w:rFonts w:ascii="Times New Roman"/>
            </w:rPr>
            <w:t>食品安全国家标准</w:t>
          </w:r>
          <w:r>
            <w:rPr>
              <w:rFonts w:hint="eastAsia" w:ascii="Times New Roman"/>
            </w:rPr>
            <w:t xml:space="preserve">    </w:t>
          </w:r>
          <w:r>
            <w:rPr>
              <w:rFonts w:ascii="Times New Roman"/>
            </w:rPr>
            <w:t>食品中酸价的测定</w:t>
          </w:r>
        </w:p>
        <w:p w14:paraId="3CD22386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 xml:space="preserve">GB/T 6432    </w:t>
          </w:r>
          <w:r>
            <w:rPr>
              <w:rFonts w:hint="eastAsia" w:ascii="Times New Roman"/>
            </w:rPr>
            <w:t xml:space="preserve">      </w:t>
          </w:r>
          <w:r>
            <w:rPr>
              <w:rFonts w:ascii="Times New Roman"/>
            </w:rPr>
            <w:t>饲料中粗蛋白的测定</w:t>
          </w:r>
          <w:r>
            <w:rPr>
              <w:rFonts w:hint="eastAsia" w:ascii="Times New Roman"/>
            </w:rPr>
            <w:t xml:space="preserve">  </w:t>
          </w:r>
          <w:r>
            <w:rPr>
              <w:rFonts w:ascii="Times New Roman"/>
            </w:rPr>
            <w:t>凯氏定氮法</w:t>
          </w:r>
        </w:p>
        <w:p w14:paraId="64A99C9A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 xml:space="preserve">GB/T 6433    </w:t>
          </w:r>
          <w:r>
            <w:rPr>
              <w:rFonts w:hint="eastAsia" w:ascii="Times New Roman"/>
            </w:rPr>
            <w:t xml:space="preserve">      </w:t>
          </w:r>
          <w:r>
            <w:rPr>
              <w:rFonts w:ascii="Times New Roman"/>
            </w:rPr>
            <w:t>饲料中粗脂肪的测定</w:t>
          </w:r>
        </w:p>
        <w:p w14:paraId="59E9A060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 xml:space="preserve">GB/T 6435    </w:t>
          </w:r>
          <w:r>
            <w:rPr>
              <w:rFonts w:hint="eastAsia" w:ascii="Times New Roman"/>
            </w:rPr>
            <w:t xml:space="preserve">      </w:t>
          </w:r>
          <w:r>
            <w:rPr>
              <w:rFonts w:ascii="Times New Roman"/>
            </w:rPr>
            <w:t>饲料中水分的测定</w:t>
          </w:r>
        </w:p>
        <w:p w14:paraId="72BA7A4F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GB 10648</w:t>
          </w:r>
          <w:r>
            <w:rPr>
              <w:rFonts w:hint="eastAsia" w:ascii="Times New Roman"/>
            </w:rPr>
            <w:t xml:space="preserve">   </w:t>
          </w:r>
          <w:r>
            <w:rPr>
              <w:rFonts w:ascii="Times New Roman"/>
            </w:rPr>
            <w:t xml:space="preserve"> </w:t>
          </w:r>
          <w:r>
            <w:rPr>
              <w:rFonts w:hint="eastAsia" w:ascii="Times New Roman"/>
            </w:rPr>
            <w:t xml:space="preserve">       </w:t>
          </w:r>
          <w:r>
            <w:rPr>
              <w:rFonts w:ascii="Times New Roman"/>
            </w:rPr>
            <w:t>饲料标签</w:t>
          </w:r>
        </w:p>
        <w:p w14:paraId="76F31711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 xml:space="preserve">GB 13078 </w:t>
          </w:r>
          <w:r>
            <w:rPr>
              <w:rFonts w:hint="eastAsia" w:ascii="Times New Roman"/>
            </w:rPr>
            <w:t xml:space="preserve">          </w:t>
          </w:r>
          <w:r>
            <w:rPr>
              <w:rFonts w:ascii="Times New Roman"/>
            </w:rPr>
            <w:t>饲料卫生标准</w:t>
          </w:r>
        </w:p>
        <w:p w14:paraId="66C8D671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GB/T 18246         饲料中氨基酸的测定</w:t>
          </w:r>
        </w:p>
        <w:p w14:paraId="41D7A337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GB/T 18823</w:t>
          </w:r>
          <w:r>
            <w:rPr>
              <w:rFonts w:hint="eastAsia" w:ascii="Times New Roman"/>
            </w:rPr>
            <w:t xml:space="preserve">         </w:t>
          </w:r>
          <w:r>
            <w:rPr>
              <w:rFonts w:ascii="Times New Roman"/>
            </w:rPr>
            <w:t>饲料检测结果判定的允许误差</w:t>
          </w:r>
        </w:p>
        <w:p w14:paraId="089D399E">
          <w:pPr>
            <w:pStyle w:val="17"/>
            <w:spacing w:before="240" w:after="240"/>
          </w:pPr>
          <w:bookmarkStart w:id="8" w:name="_Toc10926"/>
          <w:bookmarkStart w:id="9" w:name="_Toc2138"/>
          <w:r>
            <w:rPr>
              <w:rFonts w:hint="eastAsia"/>
            </w:rPr>
            <w:t>术语</w:t>
          </w:r>
          <w:r>
            <w:t>和定义</w:t>
          </w:r>
          <w:bookmarkEnd w:id="8"/>
          <w:bookmarkEnd w:id="9"/>
        </w:p>
        <w:p w14:paraId="12B82490">
          <w:pPr>
            <w:pStyle w:val="18"/>
            <w:ind w:firstLine="420"/>
          </w:pPr>
          <w:r>
            <w:rPr>
              <w:rFonts w:hint="eastAsia"/>
            </w:rPr>
            <w:t>下列术语和定义适用于本文件。</w:t>
          </w:r>
        </w:p>
        <w:p w14:paraId="3D5F6AB3">
          <w:pPr>
            <w:pStyle w:val="22"/>
            <w:spacing w:before="120" w:after="120"/>
          </w:pPr>
          <w:r>
            <w:rPr>
              <w:rFonts w:hint="eastAsia"/>
            </w:rPr>
            <w:t>黑水虻幼虫b</w:t>
          </w:r>
          <w:r>
            <w:rPr>
              <w:rFonts w:ascii="Times New Roman"/>
            </w:rPr>
            <w:t>lack soldier fly</w:t>
          </w:r>
          <w:r>
            <w:rPr>
              <w:rFonts w:hint="eastAsia" w:ascii="Times New Roman"/>
            </w:rPr>
            <w:t xml:space="preserve"> larvae</w:t>
          </w:r>
        </w:p>
        <w:p w14:paraId="108D2C52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以餐厨废弃物、食品加工副产物和农副产品等为饲养基质，经人工养殖的、完成取食期生长、体重达0.15 g~0.25 g（湿重）的黑水虻幼虫，无病害、无畸形。</w:t>
          </w:r>
        </w:p>
        <w:p w14:paraId="12EA10B8">
          <w:pPr>
            <w:pStyle w:val="22"/>
            <w:spacing w:before="120" w:after="120"/>
          </w:pPr>
          <w:r>
            <w:t>黑水虻虫干</w:t>
          </w:r>
          <w:r>
            <w:rPr>
              <w:rFonts w:hint="eastAsia"/>
            </w:rPr>
            <w:t>d</w:t>
          </w:r>
          <w:r>
            <w:rPr>
              <w:rFonts w:ascii="Times New Roman"/>
            </w:rPr>
            <w:t xml:space="preserve">ried </w:t>
          </w:r>
          <w:r>
            <w:rPr>
              <w:rFonts w:hint="eastAsia" w:ascii="Times New Roman"/>
            </w:rPr>
            <w:t>b</w:t>
          </w:r>
          <w:r>
            <w:rPr>
              <w:rFonts w:ascii="Times New Roman"/>
            </w:rPr>
            <w:t>lack soldier fly</w:t>
          </w:r>
          <w:r>
            <w:rPr>
              <w:rFonts w:hint="eastAsia" w:ascii="Times New Roman"/>
            </w:rPr>
            <w:t xml:space="preserve"> larvae</w:t>
          </w:r>
        </w:p>
        <w:p w14:paraId="38902EE6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以健康黑水虻幼虫为原料，经筛分、杀青、干燥、筛选、除杂等工艺制成的干燥制品，水分含量≤10%。</w:t>
          </w:r>
        </w:p>
        <w:p w14:paraId="0E63EF0C">
          <w:pPr>
            <w:pStyle w:val="22"/>
            <w:spacing w:before="120" w:after="120"/>
          </w:pPr>
          <w:r>
            <w:rPr>
              <w:rFonts w:hint="eastAsia"/>
            </w:rPr>
            <w:t>杀青b</w:t>
          </w:r>
          <w:r>
            <w:rPr>
              <w:rFonts w:hint="eastAsia" w:ascii="Times New Roman"/>
            </w:rPr>
            <w:t>lanching</w:t>
          </w:r>
        </w:p>
        <w:p w14:paraId="2AD64965">
          <w:pPr>
            <w:pStyle w:val="18"/>
            <w:ind w:firstLine="420"/>
          </w:pPr>
          <w:r>
            <w:rPr>
              <w:rFonts w:hint="eastAsia"/>
            </w:rPr>
            <w:t>采用标准化设备，通过高温快速灭活鲜黑水虻幼虫体内内源酶活性、使虫体停止蠕动的前处理工艺。</w:t>
          </w:r>
        </w:p>
        <w:p w14:paraId="79CA7DB5">
          <w:pPr>
            <w:pStyle w:val="22"/>
            <w:spacing w:before="120" w:after="120"/>
          </w:pPr>
          <w:r>
            <w:rPr>
              <w:rFonts w:hint="eastAsia"/>
            </w:rPr>
            <w:t>干燥d</w:t>
          </w:r>
          <w:r>
            <w:rPr>
              <w:rFonts w:ascii="Times New Roman"/>
            </w:rPr>
            <w:t>rying</w:t>
          </w:r>
        </w:p>
        <w:p w14:paraId="684576AC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采用热风干燥、微波干燥、冷冻干燥或其他适宜的脱水技术，通过控制温度、风速（或功率、真空度等关键参数）和时间，使黑水虻幼虫脱水至规定水分含量的工艺。</w:t>
          </w:r>
        </w:p>
        <w:p w14:paraId="4BE6904E">
          <w:pPr>
            <w:pStyle w:val="22"/>
            <w:spacing w:before="120" w:after="120"/>
          </w:pPr>
          <w:r>
            <w:rPr>
              <w:rFonts w:hint="eastAsia"/>
            </w:rPr>
            <w:t>真蛋白质</w:t>
          </w:r>
          <w:r>
            <w:rPr>
              <w:rFonts w:ascii="Times New Roman"/>
            </w:rPr>
            <w:t>true protein</w:t>
          </w:r>
        </w:p>
        <w:p w14:paraId="673AE8C9">
          <w:pPr>
            <w:pStyle w:val="18"/>
            <w:ind w:firstLine="420"/>
          </w:pPr>
          <w:r>
            <w:rPr>
              <w:rFonts w:hint="eastAsia"/>
            </w:rPr>
            <w:t>样品中可被三氯乙酸（150 g/L）沉淀的蛋白质，即由氨基酸通过肽键构成、可被三氯乙酸变性沉淀的高分子含氮化合物，区别于包含非蛋白氮（游离氨基酸、小肽、核酸、胺类等）的粗蛋白质。</w:t>
          </w:r>
        </w:p>
        <w:p w14:paraId="31813BB4">
          <w:pPr>
            <w:pStyle w:val="17"/>
            <w:spacing w:before="240" w:after="240"/>
            <w:sectPr>
              <w:headerReference r:id="rId10" w:type="first"/>
              <w:footerReference r:id="rId12" w:type="first"/>
              <w:footerReference r:id="rId11" w:type="default"/>
              <w:pgSz w:w="11907" w:h="16839"/>
              <w:pgMar w:top="1418" w:right="1134" w:bottom="1134" w:left="1418" w:header="1418" w:footer="1134" w:gutter="0"/>
              <w:pgNumType w:fmt="decimal" w:start="1"/>
              <w:cols w:space="425" w:num="1"/>
              <w:docGrid w:linePitch="312" w:charSpace="0"/>
            </w:sectPr>
          </w:pPr>
          <w:bookmarkStart w:id="10" w:name="_Toc21574"/>
          <w:bookmarkStart w:id="11" w:name="_Toc32439"/>
        </w:p>
        <w:p w14:paraId="5A0148CD">
          <w:pPr>
            <w:pStyle w:val="17"/>
            <w:spacing w:before="240" w:after="240"/>
          </w:pPr>
          <w:r>
            <w:t>原料要求</w:t>
          </w:r>
          <w:bookmarkEnd w:id="10"/>
          <w:bookmarkEnd w:id="11"/>
        </w:p>
        <w:p w14:paraId="7E52BBE2">
          <w:pPr>
            <w:pStyle w:val="22"/>
            <w:spacing w:before="120" w:after="120"/>
            <w:rPr>
              <w:rFonts w:ascii="Times New Roman"/>
            </w:rPr>
          </w:pPr>
          <w:r>
            <w:rPr>
              <w:rFonts w:ascii="Times New Roman"/>
            </w:rPr>
            <w:t>幼虫原料</w:t>
          </w:r>
        </w:p>
        <w:p w14:paraId="46FEBE05">
          <w:pPr>
            <w:pStyle w:val="33"/>
            <w:spacing w:before="120" w:after="120"/>
            <w:rPr>
              <w:rFonts w:ascii="Times New Roman"/>
            </w:rPr>
          </w:pPr>
          <w:r>
            <w:rPr>
              <w:rFonts w:ascii="Times New Roman"/>
            </w:rPr>
            <w:t>来源</w:t>
          </w:r>
        </w:p>
        <w:p w14:paraId="35CC9577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应来自规模化人工养殖基地，以餐厨废弃物、食品加工副产物和农副产品等为饲养基质。饲养基质应符合中华人民共和国农业部公告第1773号《饲料原料目录》及后续修订公告的要求</w:t>
          </w:r>
          <w:r>
            <w:rPr>
              <w:rFonts w:ascii="Times New Roman"/>
            </w:rPr>
            <w:t>。</w:t>
          </w:r>
        </w:p>
        <w:p w14:paraId="048ED34C">
          <w:pPr>
            <w:pStyle w:val="33"/>
            <w:spacing w:before="120" w:after="120"/>
            <w:rPr>
              <w:rFonts w:ascii="Times New Roman"/>
            </w:rPr>
          </w:pPr>
          <w:r>
            <w:rPr>
              <w:rFonts w:ascii="Times New Roman"/>
            </w:rPr>
            <w:t>感官</w:t>
          </w:r>
        </w:p>
        <w:p w14:paraId="764CAEA6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虫体呈乳白色至淡黄色，色泽均匀一致；体型饱满、无畸形，呈圆柱形且分节清晰，体长≥2.0 cm、个体重量0.15 g~0.25 g（湿重）；体表光滑湿润、无破损，附着少量虫砂但无泥沙、垃圾等外来异物；具有昆虫固有腥鲜味，无酸败味、腐臭味等异味；活动力正常，无病弱、死亡个体（死亡率≤1%）</w:t>
          </w:r>
          <w:r>
            <w:rPr>
              <w:rFonts w:ascii="Times New Roman"/>
            </w:rPr>
            <w:t>。</w:t>
          </w:r>
        </w:p>
        <w:p w14:paraId="76D4FE4D">
          <w:pPr>
            <w:pStyle w:val="33"/>
            <w:spacing w:before="120" w:after="120"/>
            <w:rPr>
              <w:rFonts w:ascii="Times New Roman"/>
            </w:rPr>
          </w:pPr>
          <w:r>
            <w:rPr>
              <w:rFonts w:ascii="Times New Roman"/>
            </w:rPr>
            <w:t>卫生</w:t>
          </w:r>
        </w:p>
        <w:p w14:paraId="642CD4AB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应符合农业部第1773 号公告及后续发布修订公告</w:t>
          </w:r>
          <w:r>
            <w:rPr>
              <w:rFonts w:hint="eastAsia" w:ascii="Times New Roman"/>
            </w:rPr>
            <w:t>的要求。重金属指标参照GB 13078相关规定，每季度至少抽检1次，检测项目包括铅、镉和总砷。</w:t>
          </w:r>
        </w:p>
        <w:p w14:paraId="26E79856">
          <w:pPr>
            <w:pStyle w:val="22"/>
            <w:spacing w:before="120" w:after="120"/>
          </w:pPr>
          <w:r>
            <w:rPr>
              <w:rFonts w:hint="eastAsia"/>
            </w:rPr>
            <w:t>原料运输与暂存</w:t>
          </w:r>
        </w:p>
        <w:p w14:paraId="1DCBEA85">
          <w:pPr>
            <w:pStyle w:val="33"/>
            <w:spacing w:before="120" w:after="120"/>
          </w:pPr>
          <w:r>
            <w:rPr>
              <w:rFonts w:hint="eastAsia"/>
            </w:rPr>
            <w:t>布局与采收时效</w:t>
          </w:r>
        </w:p>
        <w:p w14:paraId="32F0AA89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ascii="Times New Roman" w:eastAsia="宋体"/>
            </w:rPr>
            <w:t>养殖区与加工区宜就近布置或有便捷的物流通道相连。鲜幼虫采收后，应在4 h内运送至加工车间并进入净肠或加工工序。</w:t>
          </w:r>
        </w:p>
        <w:p w14:paraId="55CB28C7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ascii="Times New Roman" w:eastAsia="宋体"/>
            </w:rPr>
            <w:t>注：确因生产调度需要延时的，应采取4.2.2规定的暂养措施，且从采收到进入加工的时间不得超过8 h。</w:t>
          </w:r>
        </w:p>
        <w:p w14:paraId="6DE8406B">
          <w:pPr>
            <w:pStyle w:val="33"/>
            <w:spacing w:before="120" w:after="120"/>
            <w:rPr>
              <w:rFonts w:ascii="Times New Roman" w:eastAsia="宋体"/>
            </w:rPr>
          </w:pPr>
          <w:r>
            <w:rPr>
              <w:rFonts w:hint="eastAsia"/>
            </w:rPr>
            <w:t>活体暂养</w:t>
          </w:r>
        </w:p>
        <w:p w14:paraId="01FC38D1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hint="eastAsia" w:ascii="Times New Roman" w:eastAsia="宋体"/>
            </w:rPr>
            <w:t>超过4 h未能进入加工的鲜幼虫，应在10 ℃~15 ℃、通风的专用暂养环境中保存，堆积高度不超过20 cm，暂养时间自采收起累计不超过8 h。暂养期间应监测幼虫存活率及预蛹迁移情况。超过8 h的虫体应单独处理，不得与常规批次混用。</w:t>
          </w:r>
        </w:p>
        <w:p w14:paraId="441C6BCA">
          <w:pPr>
            <w:pStyle w:val="33"/>
            <w:spacing w:before="120" w:after="120"/>
            <w:rPr>
              <w:rFonts w:ascii="Times New Roman" w:eastAsia="宋体"/>
            </w:rPr>
          </w:pPr>
          <w:r>
            <w:rPr>
              <w:rFonts w:hint="eastAsia"/>
            </w:rPr>
            <w:t>预处理后冷藏</w:t>
          </w:r>
        </w:p>
        <w:p w14:paraId="115FF144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hint="eastAsia" w:ascii="Times New Roman" w:eastAsia="宋体"/>
            </w:rPr>
            <w:t>经杀青预处理后未能及时干燥的虫体，可在0 ℃~4 ℃冷藏保存，时间不超过24 h。</w:t>
          </w:r>
        </w:p>
        <w:p w14:paraId="28B76FC2">
          <w:pPr>
            <w:pStyle w:val="33"/>
            <w:spacing w:before="120" w:after="120"/>
            <w:rPr>
              <w:rFonts w:ascii="Times New Roman" w:eastAsia="宋体"/>
            </w:rPr>
          </w:pPr>
          <w:r>
            <w:rPr>
              <w:rFonts w:hint="eastAsia"/>
            </w:rPr>
            <w:t>冷冻保存</w:t>
          </w:r>
        </w:p>
        <w:p w14:paraId="204725D8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hint="eastAsia" w:ascii="Times New Roman" w:eastAsia="宋体"/>
            </w:rPr>
            <w:t>如需长期保存，应将虫体速冻后置于-18 ℃以下冷冻。虫体解冻后应在2 h内投入干燥加工，且避免反复冻融。</w:t>
          </w:r>
        </w:p>
        <w:p w14:paraId="64838411">
          <w:pPr>
            <w:pStyle w:val="17"/>
            <w:spacing w:before="240" w:after="240"/>
            <w:rPr>
              <w:color w:val="000000" w:themeColor="text1"/>
              <w14:textFill>
                <w14:solidFill>
                  <w14:schemeClr w14:val="tx1"/>
                </w14:solidFill>
              </w14:textFill>
            </w:rPr>
          </w:pPr>
          <w:bookmarkStart w:id="12" w:name="_Toc11809"/>
          <w:bookmarkStart w:id="13" w:name="_Toc12082"/>
          <w:r>
            <w:rPr>
              <w:color w:val="000000" w:themeColor="text1"/>
              <w14:textFill>
                <w14:solidFill>
                  <w14:schemeClr w14:val="tx1"/>
                </w14:solidFill>
              </w14:textFill>
            </w:rPr>
            <w:t>生产环境与设备</w:t>
          </w:r>
          <w:bookmarkEnd w:id="12"/>
          <w:bookmarkEnd w:id="13"/>
        </w:p>
        <w:p w14:paraId="246E6DA6">
          <w:pPr>
            <w:pStyle w:val="22"/>
            <w:spacing w:before="120" w:after="120"/>
          </w:pPr>
          <w:r>
            <w:t>生产环境</w:t>
          </w:r>
        </w:p>
        <w:p w14:paraId="3B713B3E">
          <w:pPr>
            <w:pStyle w:val="33"/>
            <w:spacing w:before="120" w:after="120"/>
          </w:pPr>
          <w:r>
            <w:t>区域划分</w:t>
          </w:r>
        </w:p>
        <w:p w14:paraId="01FA8D5F">
          <w:pPr>
            <w:pStyle w:val="33"/>
            <w:numPr>
              <w:ilvl w:val="255"/>
              <w:numId w:val="0"/>
            </w:numPr>
            <w:spacing w:before="120" w:after="120"/>
            <w:ind w:firstLine="420" w:firstLineChars="200"/>
            <w:rPr>
              <w:rFonts w:ascii="Times New Roman" w:eastAsia="宋体"/>
            </w:rPr>
          </w:pPr>
          <w:r>
            <w:rPr>
              <w:rFonts w:hint="eastAsia" w:ascii="Times New Roman" w:eastAsia="宋体"/>
            </w:rPr>
            <w:t>生产区域应划分原料暂存区、养殖区、加工区、成品区、废弃物存放区，区域间无交叉污染，符合"就近加工、减少流转"的一体化要求</w:t>
          </w:r>
          <w:r>
            <w:rPr>
              <w:rFonts w:ascii="Times New Roman" w:eastAsia="宋体"/>
            </w:rPr>
            <w:t>。</w:t>
          </w:r>
        </w:p>
        <w:p w14:paraId="040E32CF">
          <w:pPr>
            <w:pStyle w:val="33"/>
            <w:spacing w:before="120" w:after="120"/>
          </w:pPr>
          <w:r>
            <w:t>养殖区环境</w:t>
          </w:r>
        </w:p>
        <w:p w14:paraId="2FBFD2A5">
          <w:pPr>
            <w:pStyle w:val="18"/>
            <w:ind w:firstLine="420"/>
          </w:pPr>
          <w:r>
            <w:rPr>
              <w:rFonts w:hint="eastAsia"/>
            </w:rPr>
            <w:t>养殖区应具备通风、防雨、防鼠、防鸟、防蝇功能，防止极端天气和外来生物侵入。料层温度不应超过35 ℃，高温季节应采取有效措施防止料层过热；环境温度低于15 ℃时，应采取有效措施防止幼虫冻伤或进入休眠。养殖区应保持排水畅通，地面无积水。</w:t>
          </w:r>
        </w:p>
        <w:p w14:paraId="6D00CB30">
          <w:pPr>
            <w:pStyle w:val="33"/>
            <w:spacing w:before="120" w:after="120"/>
          </w:pPr>
          <w:r>
            <w:rPr>
              <w:rFonts w:hint="eastAsia"/>
            </w:rPr>
            <w:t>加工区环境</w:t>
          </w:r>
        </w:p>
        <w:p w14:paraId="527FD76D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加工区应保持清洁干燥，相对湿度宜控制在60%以下；地面应硬化、平整、耐腐蚀，可采用水泥或环氧树脂等材质；墙面应光滑、无裂缝，涂刷耐清洗涂料；天花板应无脱落风险；所有表面应无卫生死角。</w:t>
          </w:r>
        </w:p>
        <w:p w14:paraId="0D7850E2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加工区应配备通风、防尘、防蝇、防鼠设施；应设置洗手消毒设施，配备洗手液和消毒液；操作人员进入加工区前应洗手、消毒，穿戴洁净的工作服、工作帽、手套，接触高温或粉尘工序时应佩戴防护面罩或护目镜。</w:t>
          </w:r>
        </w:p>
        <w:p w14:paraId="5BC3B13C">
          <w:pPr>
            <w:pStyle w:val="22"/>
            <w:spacing w:before="120" w:after="120"/>
            <w:rPr>
              <w:rFonts w:ascii="Times New Roman"/>
            </w:rPr>
          </w:pPr>
          <w:r>
            <w:rPr>
              <w:rFonts w:hint="eastAsia"/>
            </w:rPr>
            <w:t>生产设备通用要求</w:t>
          </w:r>
        </w:p>
        <w:p w14:paraId="7D734168">
          <w:pPr>
            <w:pStyle w:val="34"/>
          </w:pPr>
          <w:r>
            <w:t>与物料接触的设备部件应采用不锈钢304及以上材质，或食品接触级塑料材质，表面光滑无死角，便于清洁消毒，无有毒有害物质析出。</w:t>
          </w:r>
        </w:p>
        <w:p w14:paraId="49A1213A">
          <w:pPr>
            <w:pStyle w:val="34"/>
          </w:pPr>
          <w:r>
            <w:t>设备应配备必要的安全保护装置（如过载保护、紧急停机按钮），运行稳定，设备处理能力应与生产规模相匹配，不低于日产量的1.2倍。</w:t>
          </w:r>
        </w:p>
        <w:p w14:paraId="45847E05">
          <w:pPr>
            <w:pStyle w:val="34"/>
          </w:pPr>
          <w:r>
            <w:t>所有设备使用前后应进行清洁消毒，并留存清洁消毒记录，记录保存期限不少于1年。应具备与生产规模相适应的清洁消毒设施，采用人工清洗与消毒剂擦拭相结合的方式进行清洁。</w:t>
          </w:r>
        </w:p>
        <w:p w14:paraId="06E35864">
          <w:pPr>
            <w:pStyle w:val="22"/>
            <w:spacing w:before="120" w:after="120"/>
          </w:pPr>
          <w:r>
            <w:rPr>
              <w:rFonts w:hint="eastAsia"/>
            </w:rPr>
            <w:t>生产设备</w:t>
          </w:r>
        </w:p>
        <w:p w14:paraId="5AC2AE3F">
          <w:pPr>
            <w:pStyle w:val="33"/>
            <w:spacing w:before="120" w:after="120"/>
          </w:pPr>
          <w:r>
            <w:rPr>
              <w:rFonts w:hint="eastAsia"/>
            </w:rPr>
            <w:t>筛分</w:t>
          </w:r>
          <w:r>
            <w:t>设备</w:t>
          </w:r>
        </w:p>
        <w:p w14:paraId="79A39062">
          <w:pPr>
            <w:pStyle w:val="18"/>
            <w:ind w:firstLine="420"/>
          </w:pPr>
          <w:r>
            <w:rPr>
              <w:rFonts w:hint="eastAsia" w:ascii="Times New Roman"/>
            </w:rPr>
            <w:t>应采用振动筛分机，配备2 mm标准检验筛网；筛分时间根据批次量调整，应确保有效去除杂质及筛下粉末。</w:t>
          </w:r>
        </w:p>
        <w:p w14:paraId="12E6F637">
          <w:pPr>
            <w:pStyle w:val="33"/>
            <w:spacing w:before="120" w:after="120"/>
            <w:rPr>
              <w:rFonts w:ascii="Times New Roman" w:eastAsia="宋体"/>
            </w:rPr>
          </w:pPr>
          <w:r>
            <w:rPr>
              <w:rFonts w:hint="eastAsia"/>
            </w:rPr>
            <w:t>杀青设备</w:t>
          </w:r>
        </w:p>
        <w:p w14:paraId="41806423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采用连续式滚筒杀青机、高温蒸煮机、微波杀青设备或电加热式杀青锅，不得采用明火直吹、地炕等非标准化设备；设备应具备温度显示、时间控制功能。</w:t>
          </w:r>
        </w:p>
        <w:p w14:paraId="758E697B">
          <w:pPr>
            <w:pStyle w:val="33"/>
            <w:spacing w:before="120" w:after="120"/>
          </w:pPr>
          <w:r>
            <w:rPr>
              <w:rFonts w:hint="eastAsia"/>
            </w:rPr>
            <w:t>干燥设备</w:t>
          </w:r>
        </w:p>
        <w:p w14:paraId="73717A8F">
          <w:pPr>
            <w:pStyle w:val="18"/>
            <w:ind w:firstLine="420"/>
          </w:pPr>
          <w:r>
            <w:rPr>
              <w:rFonts w:hint="eastAsia"/>
            </w:rPr>
            <w:t>干燥设备应符合以下通用要求：</w:t>
          </w:r>
        </w:p>
        <w:p w14:paraId="6377A8EC">
          <w:pPr>
            <w:pStyle w:val="34"/>
            <w:numPr>
              <w:ilvl w:val="0"/>
              <w:numId w:val="10"/>
            </w:numPr>
          </w:pPr>
          <w:r>
            <w:rPr>
              <w:rFonts w:hint="eastAsia"/>
            </w:rPr>
            <w:t>不得采用明火直吹式干燥设备；</w:t>
          </w:r>
        </w:p>
        <w:p w14:paraId="00985203">
          <w:pPr>
            <w:pStyle w:val="34"/>
            <w:numPr>
              <w:ilvl w:val="0"/>
              <w:numId w:val="10"/>
            </w:numPr>
          </w:pPr>
          <w:r>
            <w:rPr>
              <w:rFonts w:hint="eastAsia"/>
            </w:rPr>
            <w:t>应具备温度监测和调控功能；</w:t>
          </w:r>
        </w:p>
        <w:p w14:paraId="6E8EDC42">
          <w:pPr>
            <w:pStyle w:val="34"/>
            <w:numPr>
              <w:ilvl w:val="0"/>
              <w:numId w:val="10"/>
            </w:numPr>
          </w:pPr>
          <w:r>
            <w:rPr>
              <w:rFonts w:hint="eastAsia"/>
            </w:rPr>
            <w:t>应具备超温保护功能；</w:t>
          </w:r>
        </w:p>
        <w:p w14:paraId="79A4BF65">
          <w:pPr>
            <w:pStyle w:val="34"/>
            <w:numPr>
              <w:ilvl w:val="0"/>
              <w:numId w:val="10"/>
            </w:numPr>
          </w:pPr>
          <w:r>
            <w:rPr>
              <w:rFonts w:hint="eastAsia"/>
            </w:rPr>
            <w:t>应具备排湿或湿气排出功能；</w:t>
          </w:r>
        </w:p>
        <w:p w14:paraId="404F6EF7">
          <w:pPr>
            <w:pStyle w:val="34"/>
            <w:numPr>
              <w:ilvl w:val="0"/>
              <w:numId w:val="10"/>
            </w:numPr>
          </w:pPr>
          <w:r>
            <w:rPr>
              <w:rFonts w:hint="eastAsia"/>
            </w:rPr>
            <w:t>设备材质应符合饲料加工卫生要求，易清洁、耐腐蚀。</w:t>
          </w:r>
        </w:p>
        <w:p w14:paraId="4260DB83">
          <w:pPr>
            <w:pStyle w:val="35"/>
            <w:spacing w:before="120" w:after="120"/>
          </w:pPr>
          <w:r>
            <w:t>热风干燥设备</w:t>
          </w:r>
        </w:p>
        <w:p w14:paraId="18D20C01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可采用箱式、隧道式、托盘式或其他适宜形式的热风干燥机；宜具备热风循环功能，可调节进风口、出风口大小。</w:t>
          </w:r>
        </w:p>
        <w:p w14:paraId="4D234CEB">
          <w:pPr>
            <w:pStyle w:val="35"/>
            <w:spacing w:before="120" w:after="120"/>
          </w:pPr>
          <w:r>
            <w:t>微波干燥设备</w:t>
          </w:r>
        </w:p>
        <w:p w14:paraId="5E4AA2F2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如采用微波干燥，设备工作频率宜为2 450 MHz±50 MHz，输出功率、温度应可调，配备输送带或托盘式装置；微波泄漏量应≤5 mW/cm²；应具备防结露功能，可记录温湿度</w:t>
          </w:r>
          <w:r>
            <w:rPr>
              <w:rFonts w:ascii="Times New Roman"/>
            </w:rPr>
            <w:t>。</w:t>
          </w:r>
        </w:p>
        <w:p w14:paraId="7059F401">
          <w:pPr>
            <w:pStyle w:val="35"/>
            <w:spacing w:before="120" w:after="120"/>
          </w:pPr>
          <w:r>
            <w:rPr>
              <w:rFonts w:hint="eastAsia"/>
            </w:rPr>
            <w:t>其他干燥设备</w:t>
          </w:r>
        </w:p>
        <w:p w14:paraId="45F2BF40">
          <w:pPr>
            <w:pStyle w:val="18"/>
            <w:ind w:firstLine="420"/>
          </w:pPr>
          <w:r>
            <w:rPr>
              <w:rFonts w:hint="eastAsia"/>
            </w:rPr>
            <w:t>采用冷冻干燥、红外干燥、流化床干燥或其他干燥方式时，设备应具备相应的温度、真空度（如适用）、风速/功率等关键参数监测与调控功能，并符合饲料加工设备的安全与卫生要求。</w:t>
          </w:r>
        </w:p>
        <w:p w14:paraId="0C9FE1E1">
          <w:pPr>
            <w:pStyle w:val="33"/>
            <w:spacing w:before="120" w:after="120"/>
          </w:pPr>
          <w:r>
            <w:rPr>
              <w:rFonts w:hint="eastAsia"/>
            </w:rPr>
            <w:t>包装设备</w:t>
          </w:r>
        </w:p>
        <w:p w14:paraId="6CA9303B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可采用手动包装工具（如封口机、台秤）、半自动包装机（如定量包装秤+封口机）或全自动包装设备，应满足密封包装需求；配备合格计量器具，计量精度允许误差±2%</w:t>
          </w:r>
          <w:r>
            <w:rPr>
              <w:rFonts w:ascii="Times New Roman"/>
            </w:rPr>
            <w:t>。</w:t>
          </w:r>
        </w:p>
        <w:p w14:paraId="31AC29D1">
          <w:pPr>
            <w:pStyle w:val="17"/>
            <w:spacing w:before="240" w:after="240"/>
          </w:pPr>
          <w:bookmarkStart w:id="14" w:name="_Toc25434"/>
          <w:bookmarkStart w:id="15" w:name="_Toc32441"/>
          <w:r>
            <w:t>生产工艺</w:t>
          </w:r>
          <w:bookmarkEnd w:id="14"/>
          <w:bookmarkEnd w:id="15"/>
        </w:p>
        <w:p w14:paraId="34CCFD6F">
          <w:pPr>
            <w:pStyle w:val="22"/>
            <w:spacing w:before="120" w:after="120"/>
          </w:pPr>
          <w:r>
            <w:t>工艺流程</w:t>
          </w:r>
        </w:p>
        <w:p w14:paraId="3723623E">
          <w:pPr>
            <w:pStyle w:val="18"/>
            <w:ind w:firstLine="420"/>
          </w:pPr>
          <w:r>
            <w:rPr>
              <w:rFonts w:hint="eastAsia"/>
            </w:rPr>
            <w:t>接收→静置→分拣→杀青→摊盘→干燥→冷却→筛选→检验→包装→入库。</w:t>
          </w:r>
        </w:p>
        <w:p w14:paraId="637CB2F9">
          <w:pPr>
            <w:pStyle w:val="22"/>
            <w:spacing w:before="120" w:after="120"/>
          </w:pPr>
          <w:r>
            <w:t>关键工艺要求</w:t>
          </w:r>
        </w:p>
        <w:p w14:paraId="41EADB1D">
          <w:pPr>
            <w:pStyle w:val="33"/>
            <w:spacing w:before="120" w:after="120"/>
          </w:pPr>
          <w:r>
            <w:rPr>
              <w:rFonts w:hint="eastAsia"/>
            </w:rPr>
            <w:t>接收</w:t>
          </w:r>
        </w:p>
        <w:p w14:paraId="69E4CD83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应按批次检查鲜幼虫的感官指标，确保无病亡个体、无异味。每批次应核查原料来源证明和采收时间记录。</w:t>
          </w:r>
        </w:p>
        <w:p w14:paraId="09ACFC9A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注：重金属指标每季度至少抽检1次，检测项目为铅、镉、总砷，限量应符合GB 13078相关规定</w:t>
          </w:r>
          <w:r>
            <w:rPr>
              <w:rFonts w:ascii="Times New Roman"/>
            </w:rPr>
            <w:t>。</w:t>
          </w:r>
        </w:p>
        <w:p w14:paraId="4C634389">
          <w:pPr>
            <w:pStyle w:val="33"/>
            <w:spacing w:before="120" w:after="120"/>
          </w:pPr>
          <w:r>
            <w:rPr>
              <w:rFonts w:hint="eastAsia"/>
            </w:rPr>
            <w:t>静置</w:t>
          </w:r>
        </w:p>
        <w:p w14:paraId="1722C353">
          <w:pPr>
            <w:pStyle w:val="18"/>
            <w:ind w:firstLine="420"/>
          </w:pPr>
          <w:r>
            <w:rPr>
              <w:rFonts w:hint="eastAsia"/>
            </w:rPr>
            <w:t>幼虫采收后，转移至洁净、通风的暂养环境中停食静置，避免暴晒、雨淋及极端温度，静置时间不少于2 h，使幼虫排出肠道内残余饲料及粪便。低温季节或寒冷地区，宜采取适当保温措施，防止幼虫因低温进入休眠或死亡。净肠后应及时进行后续加工。</w:t>
          </w:r>
        </w:p>
        <w:p w14:paraId="2BAC17DA">
          <w:pPr>
            <w:pStyle w:val="33"/>
            <w:spacing w:before="120" w:after="120"/>
          </w:pPr>
          <w:r>
            <w:t>分拣</w:t>
          </w:r>
        </w:p>
        <w:p w14:paraId="041BD1BA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人工或机械去除鲜幼虫中的虫砂、泥沙、垃圾等杂质，分拣后合格幼虫占比≥98%</w:t>
          </w:r>
          <w:r>
            <w:rPr>
              <w:rFonts w:ascii="Times New Roman"/>
            </w:rPr>
            <w:t>。</w:t>
          </w:r>
        </w:p>
        <w:p w14:paraId="3A4983A5">
          <w:pPr>
            <w:pStyle w:val="33"/>
            <w:spacing w:before="120" w:after="120"/>
          </w:pPr>
          <w:r>
            <w:t>杀青</w:t>
          </w:r>
        </w:p>
        <w:p w14:paraId="314C17D3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应在预热至规定温度的设备中进行，将黑水虻幼虫均匀进料，恒温处理至灭活彻底。杀青参数应按下表选择：</w:t>
          </w:r>
        </w:p>
        <w:p w14:paraId="4F3ACD0C">
          <w:pPr>
            <w:pStyle w:val="36"/>
            <w:spacing w:before="120" w:after="120"/>
          </w:pPr>
          <w:r>
            <w:rPr>
              <w:rFonts w:hint="eastAsia"/>
            </w:rPr>
            <w:t>杀青工艺参数</w:t>
          </w:r>
        </w:p>
        <w:tbl>
          <w:tblPr>
            <w:tblStyle w:val="10"/>
            <w:tblW w:w="0" w:type="auto"/>
            <w:jc w:val="center"/>
            <w:tbl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insideH w:val="single" w:color="auto" w:sz="4" w:space="0"/>
              <w:insideV w:val="single" w:color="auto" w:sz="4" w:space="0"/>
            </w:tblBorders>
            <w:tblLayout w:type="autofit"/>
            <w:tblCellMar>
              <w:top w:w="0" w:type="dxa"/>
              <w:left w:w="108" w:type="dxa"/>
              <w:bottom w:w="0" w:type="dxa"/>
              <w:right w:w="108" w:type="dxa"/>
            </w:tblCellMar>
          </w:tblPr>
          <w:tblGrid>
            <w:gridCol w:w="2404"/>
            <w:gridCol w:w="1787"/>
            <w:gridCol w:w="1681"/>
            <w:gridCol w:w="2661"/>
          </w:tblGrid>
          <w:tr w14:paraId="556BCEC6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40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1DD92592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工艺类型</w:t>
                </w:r>
              </w:p>
            </w:tc>
            <w:tc>
              <w:tcPr>
                <w:tcW w:w="1787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2E830E35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温度/℃</w:t>
                </w:r>
              </w:p>
            </w:tc>
            <w:tc>
              <w:tcPr>
                <w:tcW w:w="168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74C4DB9F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时间/min</w:t>
                </w:r>
              </w:p>
            </w:tc>
            <w:tc>
              <w:tcPr>
                <w:tcW w:w="266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3F2A50D5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适用场景</w:t>
                </w:r>
              </w:p>
            </w:tc>
          </w:tr>
          <w:tr w14:paraId="747AFFE5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40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23E86224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低温杀青</w:t>
                </w:r>
              </w:p>
            </w:tc>
            <w:tc>
              <w:tcPr>
                <w:tcW w:w="1787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2509BB3F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65~75</w:t>
                </w:r>
              </w:p>
            </w:tc>
            <w:tc>
              <w:tcPr>
                <w:tcW w:w="168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01613443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4~8</w:t>
                </w:r>
              </w:p>
            </w:tc>
            <w:tc>
              <w:tcPr>
                <w:tcW w:w="266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091E8FB0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蛋白质保持型产品</w:t>
                </w:r>
              </w:p>
            </w:tc>
          </w:tr>
          <w:tr w14:paraId="75A5A755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40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2DB7D8EF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中温杀青</w:t>
                </w:r>
              </w:p>
            </w:tc>
            <w:tc>
              <w:tcPr>
                <w:tcW w:w="1787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010A17E1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76~85</w:t>
                </w:r>
              </w:p>
            </w:tc>
            <w:tc>
              <w:tcPr>
                <w:tcW w:w="168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7B42B80D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2~4</w:t>
                </w:r>
              </w:p>
            </w:tc>
            <w:tc>
              <w:tcPr>
                <w:tcW w:w="266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99BB619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常规产品</w:t>
                </w:r>
              </w:p>
            </w:tc>
          </w:tr>
          <w:tr w14:paraId="5C4C4B3E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40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6F11684E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高温杀青</w:t>
                </w:r>
              </w:p>
            </w:tc>
            <w:tc>
              <w:tcPr>
                <w:tcW w:w="1787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09DB5F11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86~95</w:t>
                </w:r>
              </w:p>
            </w:tc>
            <w:tc>
              <w:tcPr>
                <w:tcW w:w="168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3FDAC3DA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1~2</w:t>
                </w:r>
              </w:p>
            </w:tc>
            <w:tc>
              <w:tcPr>
                <w:tcW w:w="266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6985045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油脂稳定型产品</w:t>
                </w:r>
              </w:p>
            </w:tc>
          </w:tr>
        </w:tbl>
        <w:p w14:paraId="75EF841A">
          <w:pPr>
            <w:pStyle w:val="18"/>
            <w:ind w:firstLine="420"/>
          </w:pPr>
          <w:r>
            <w:rPr>
              <w:rFonts w:hint="eastAsia"/>
            </w:rPr>
            <w:t>注：企业应根据产品定位和品质要求，通过工艺验证确定适用的杀青参数组合。</w:t>
          </w:r>
        </w:p>
        <w:p w14:paraId="00ABDFF2">
          <w:pPr>
            <w:pStyle w:val="33"/>
            <w:spacing w:before="120" w:after="120"/>
          </w:pPr>
          <w:r>
            <w:t>摊盘</w:t>
          </w:r>
        </w:p>
        <w:p w14:paraId="5CBAFC30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将杀青后的幼虫均匀摊布在干燥设备上，摊布厚度≤2 cm</w:t>
          </w:r>
          <w:r>
            <w:rPr>
              <w:rFonts w:ascii="Times New Roman"/>
            </w:rPr>
            <w:t>。</w:t>
          </w:r>
        </w:p>
        <w:p w14:paraId="0C699CE7">
          <w:pPr>
            <w:pStyle w:val="33"/>
            <w:spacing w:before="120" w:after="120"/>
          </w:pPr>
          <w:r>
            <w:rPr>
              <w:rFonts w:hint="eastAsia"/>
            </w:rPr>
            <w:t>干燥</w:t>
          </w:r>
        </w:p>
        <w:p w14:paraId="4AB4F23B">
          <w:pPr>
            <w:pStyle w:val="18"/>
            <w:ind w:firstLine="420"/>
          </w:pPr>
          <w:r>
            <w:rPr>
              <w:rFonts w:hint="eastAsia"/>
            </w:rPr>
            <w:t>干燥工艺参数应根据产品要求、设备类型和杀青方式合理选择，宜采取较低温度延长干燥时间或适中温度缩短干燥时间的方式，避免高温长时间处理导致蛋白质变性、脂肪氧化及色泽劣变。干燥过程中应监测并记录温度、风速（或功率）、时间等关键参数，防止局部过热。干燥终点以水分含量≤10%为判定依据，且应确保虫体干燥均匀，无焦糊、无结块。</w:t>
          </w:r>
        </w:p>
        <w:p w14:paraId="1ABD90A3">
          <w:pPr>
            <w:pStyle w:val="35"/>
            <w:spacing w:before="120" w:after="120"/>
          </w:pPr>
          <w:r>
            <w:rPr>
              <w:rFonts w:hint="eastAsia"/>
            </w:rPr>
            <w:t>热风干燥</w:t>
          </w:r>
        </w:p>
        <w:p w14:paraId="75627076">
          <w:pPr>
            <w:pStyle w:val="18"/>
            <w:ind w:firstLine="420"/>
          </w:pPr>
          <w:r>
            <w:rPr>
              <w:rFonts w:hint="eastAsia"/>
            </w:rPr>
            <w:t>根据产品品质要求和生产效率需求，可选择低温或中高温热风干燥工艺：</w:t>
          </w:r>
        </w:p>
        <w:p w14:paraId="5C81685C">
          <w:pPr>
            <w:pStyle w:val="34"/>
            <w:numPr>
              <w:ilvl w:val="0"/>
              <w:numId w:val="11"/>
            </w:numPr>
            <w:rPr>
              <w:rFonts w:ascii="Times New Roman"/>
            </w:rPr>
          </w:pPr>
          <w:r>
            <w:rPr>
              <w:rFonts w:hint="eastAsia" w:ascii="Times New Roman"/>
            </w:rPr>
            <w:t>低温热风干燥：温度控制在 50 ℃~60 ℃，风速 1.0 m/s~1.5 m/s，干燥时间 4 h~8 h，根据摊布厚度调整</w:t>
          </w:r>
          <w:r>
            <w:rPr>
              <w:rFonts w:ascii="Times New Roman"/>
            </w:rPr>
            <w:t>；​</w:t>
          </w:r>
        </w:p>
        <w:p w14:paraId="6B8D773F">
          <w:pPr>
            <w:pStyle w:val="34"/>
            <w:numPr>
              <w:ilvl w:val="0"/>
              <w:numId w:val="11"/>
            </w:numPr>
            <w:rPr>
              <w:rFonts w:ascii="Times New Roman"/>
            </w:rPr>
          </w:pPr>
          <w:r>
            <w:rPr>
              <w:rFonts w:hint="eastAsia" w:ascii="Times New Roman"/>
            </w:rPr>
            <w:t>中高温热风干燥：温度控制在 65 ℃~75 ℃，风速 1.0 m/s~1.5 m/s，干燥时间 2 h~4 h，根据摊布厚度调整</w:t>
          </w:r>
          <w:r>
            <w:rPr>
              <w:rFonts w:ascii="Times New Roman"/>
            </w:rPr>
            <w:t>；​</w:t>
          </w:r>
        </w:p>
        <w:p w14:paraId="2D24A652">
          <w:pPr>
            <w:pStyle w:val="34"/>
            <w:numPr>
              <w:ilvl w:val="0"/>
              <w:numId w:val="11"/>
            </w:numPr>
            <w:rPr>
              <w:rFonts w:ascii="Times New Roman"/>
            </w:rPr>
          </w:pPr>
          <w:r>
            <w:rPr>
              <w:rFonts w:hint="eastAsia" w:ascii="Times New Roman"/>
            </w:rPr>
            <w:t>预热阶段：干燥机预热至设定温度下限；</w:t>
          </w:r>
        </w:p>
        <w:p w14:paraId="720D6A22">
          <w:pPr>
            <w:pStyle w:val="34"/>
            <w:numPr>
              <w:ilvl w:val="0"/>
              <w:numId w:val="11"/>
            </w:numPr>
            <w:rPr>
              <w:rFonts w:ascii="Times New Roman"/>
            </w:rPr>
          </w:pPr>
          <w:r>
            <w:rPr>
              <w:rFonts w:hint="eastAsia" w:ascii="Times New Roman"/>
            </w:rPr>
            <w:t>终点控制：虫干水分含量 ≤10%，每 1 h 记录一次温度和风速</w:t>
          </w:r>
          <w:r>
            <w:rPr>
              <w:rFonts w:ascii="Times New Roman"/>
            </w:rPr>
            <w:t>。</w:t>
          </w:r>
        </w:p>
        <w:p w14:paraId="07AD8C19">
          <w:pPr>
            <w:pStyle w:val="35"/>
            <w:spacing w:before="120" w:after="120"/>
          </w:pPr>
          <w:r>
            <w:rPr>
              <w:rFonts w:hint="eastAsia"/>
            </w:rPr>
            <w:t>微波干燥</w:t>
          </w:r>
        </w:p>
        <w:p w14:paraId="27E4445F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频率2 450 MHz±50 MHz，温度60 ℃~85 ℃，时间1.5 h~4 h；全程确保物料受热均匀，终点水分≤10%，无焦糊、无结块。应记录温度、功率及时间。</w:t>
          </w:r>
        </w:p>
        <w:p w14:paraId="7B1FA735">
          <w:pPr>
            <w:pStyle w:val="35"/>
            <w:spacing w:before="120" w:after="120"/>
          </w:pPr>
          <w:r>
            <w:rPr>
              <w:rFonts w:hint="eastAsia"/>
            </w:rPr>
            <w:t>其他干燥方式</w:t>
          </w:r>
        </w:p>
        <w:p w14:paraId="085E8D06">
          <w:pPr>
            <w:pStyle w:val="18"/>
            <w:ind w:firstLine="420"/>
          </w:pPr>
          <w:r>
            <w:rPr>
              <w:rFonts w:hint="eastAsia"/>
            </w:rPr>
            <w:t>采用冷冻干燥、红外干燥、流化床干燥或其他方式时，应按设备操作规程及工艺验证结果执行，确保终点水分≤10%，产品品质符合本文件要求。</w:t>
          </w:r>
        </w:p>
        <w:p w14:paraId="2E54E0E5">
          <w:pPr>
            <w:pStyle w:val="33"/>
            <w:spacing w:before="120" w:after="120"/>
          </w:pPr>
          <w:r>
            <w:t>冷却回温</w:t>
          </w:r>
        </w:p>
        <w:p w14:paraId="09447023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干燥后虫干转入洁净冷却区，自然冷却至室温（20 ℃~25 ℃），冷却时间≥1 h；冷却过程中避免直接暴露在潮湿环境中。</w:t>
          </w:r>
        </w:p>
        <w:p w14:paraId="218E9202">
          <w:pPr>
            <w:pStyle w:val="33"/>
            <w:spacing w:before="120" w:after="120"/>
          </w:pPr>
          <w:r>
            <w:t>筛选</w:t>
          </w:r>
        </w:p>
        <w:p w14:paraId="75841F67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采用振动筛选机（配备2 mm标准不锈钢筛网）进行筛选，去除虫干中的泥沙、碎屑等外来杂质及筛下粉末；筛选后，成品中可见异物含量≤1.0%、破碎虫体占比≤30%。杂质应及时收集并移出加工区域，分类存放处理，避免物料交叉污染</w:t>
          </w:r>
          <w:r>
            <w:rPr>
              <w:rFonts w:ascii="Times New Roman"/>
            </w:rPr>
            <w:t>。</w:t>
          </w:r>
        </w:p>
        <w:p w14:paraId="68B5B9F6">
          <w:pPr>
            <w:pStyle w:val="33"/>
            <w:spacing w:before="120" w:after="120"/>
          </w:pPr>
          <w:r>
            <w:rPr>
              <w:rFonts w:hint="eastAsia"/>
            </w:rPr>
            <w:t>检验</w:t>
          </w:r>
        </w:p>
        <w:p w14:paraId="1EAC02D6">
          <w:pPr>
            <w:pStyle w:val="18"/>
            <w:ind w:firstLine="420"/>
          </w:pPr>
          <w:r>
            <w:rPr>
              <w:rFonts w:hint="eastAsia"/>
            </w:rPr>
            <w:t>成品应按9.2的规定进行出厂检验。检验合格后方可进入包装工序。每批次应留存检验记录。</w:t>
          </w:r>
        </w:p>
        <w:p w14:paraId="47F597DF">
          <w:pPr>
            <w:pStyle w:val="33"/>
            <w:spacing w:before="120" w:after="120"/>
          </w:pPr>
          <w:r>
            <w:rPr>
              <w:rFonts w:hint="eastAsia"/>
            </w:rPr>
            <w:t>包装</w:t>
          </w:r>
        </w:p>
        <w:p w14:paraId="33D00E78">
          <w:pPr>
            <w:pStyle w:val="18"/>
            <w:ind w:firstLine="420"/>
          </w:pPr>
          <w:r>
            <w:rPr>
              <w:rFonts w:hint="eastAsia"/>
            </w:rPr>
            <w:t>经检验合格的虫干应在洁净环境中进行包装。包装材料应无毒无害、洁净干燥、无异味、无破损，具备防潮功能。包装应密封完好，封口牢固。</w:t>
          </w:r>
        </w:p>
        <w:p w14:paraId="4FC7DDDF">
          <w:pPr>
            <w:pStyle w:val="33"/>
            <w:spacing w:before="120" w:after="120"/>
          </w:pPr>
          <w:r>
            <w:rPr>
              <w:rFonts w:hint="eastAsia"/>
            </w:rPr>
            <w:t>入库</w:t>
          </w:r>
        </w:p>
        <w:p w14:paraId="41978A67">
          <w:pPr>
            <w:pStyle w:val="18"/>
            <w:ind w:firstLine="420"/>
          </w:pPr>
          <w:r>
            <w:rPr>
              <w:rFonts w:hint="eastAsia"/>
            </w:rPr>
            <w:t>包装后的成品应在2 h内转入成品库。入库时应核对产品标识，按批次分类存放，不得与原料、半成品、不合格品混放。成品库应保持干燥、通风、清洁。</w:t>
          </w:r>
        </w:p>
        <w:p w14:paraId="6DA57BD0">
          <w:pPr>
            <w:pStyle w:val="17"/>
            <w:spacing w:before="240" w:after="240"/>
          </w:pPr>
          <w:bookmarkStart w:id="16" w:name="_Toc26434"/>
          <w:bookmarkStart w:id="17" w:name="_Toc23088"/>
          <w:r>
            <w:t>过程质量控制</w:t>
          </w:r>
          <w:bookmarkEnd w:id="16"/>
          <w:bookmarkEnd w:id="17"/>
        </w:p>
        <w:p w14:paraId="008BD812">
          <w:pPr>
            <w:pStyle w:val="22"/>
            <w:spacing w:before="120" w:after="120"/>
          </w:pPr>
          <w:r>
            <w:t>原料控制</w:t>
          </w:r>
        </w:p>
        <w:p w14:paraId="0FECE79C">
          <w:pPr>
            <w:pStyle w:val="18"/>
            <w:ind w:firstLine="420"/>
          </w:pPr>
          <w:r>
            <w:rPr>
              <w:rFonts w:hint="eastAsia"/>
            </w:rPr>
            <w:t>每批原料应记录采收时间、来源基地、数量等信息，建立原料追溯记录。不合格原料应隔离存放，不得投入生产。</w:t>
          </w:r>
        </w:p>
        <w:p w14:paraId="0E7E0093">
          <w:pPr>
            <w:pStyle w:val="22"/>
            <w:spacing w:before="120" w:after="120"/>
          </w:pPr>
          <w:r>
            <w:t>中间品控制</w:t>
          </w:r>
        </w:p>
        <w:p w14:paraId="12E8CF86">
          <w:pPr>
            <w:pStyle w:val="33"/>
            <w:spacing w:before="120" w:after="120"/>
          </w:pPr>
          <w:r>
            <w:t>杀青中间品</w:t>
          </w:r>
        </w:p>
        <w:p w14:paraId="086E07C9">
          <w:pPr>
            <w:pStyle w:val="18"/>
            <w:ind w:firstLine="420"/>
          </w:pPr>
          <w:r>
            <w:t>每批次抽检感官</w:t>
          </w:r>
          <w:r>
            <w:rPr>
              <w:rFonts w:hint="eastAsia"/>
            </w:rPr>
            <w:t>，虫体扁平、</w:t>
          </w:r>
          <w:r>
            <w:t>无焦糊、无未灭活个体</w:t>
          </w:r>
          <w:r>
            <w:rPr>
              <w:rFonts w:hint="eastAsia"/>
            </w:rPr>
            <w:t>。</w:t>
          </w:r>
        </w:p>
        <w:p w14:paraId="002D596A">
          <w:pPr>
            <w:pStyle w:val="33"/>
            <w:spacing w:before="120" w:after="120"/>
          </w:pPr>
          <w:r>
            <w:t>干燥中间品</w:t>
          </w:r>
        </w:p>
        <w:p w14:paraId="66CBF9DB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干燥后的中间品应逐批检验，感官无焦糊、无结块，水分应不超过10%。检验不合格的，应返工处理或重新干燥；已焦糊、变质或无法恢复品质的，应做不合格品处置，不得流入成品</w:t>
          </w:r>
          <w:r>
            <w:rPr>
              <w:rFonts w:ascii="Times New Roman"/>
            </w:rPr>
            <w:t>。</w:t>
          </w:r>
        </w:p>
        <w:p w14:paraId="3A3D2D8D">
          <w:pPr>
            <w:pStyle w:val="22"/>
            <w:spacing w:before="120" w:after="120"/>
          </w:pPr>
          <w:r>
            <w:t>筛选控制</w:t>
          </w:r>
        </w:p>
        <w:p w14:paraId="58094261">
          <w:pPr>
            <w:pStyle w:val="18"/>
            <w:ind w:firstLine="420"/>
          </w:pPr>
          <w:r>
            <w:rPr>
              <w:rFonts w:hint="eastAsia"/>
            </w:rPr>
            <w:t>每批次筛选后目测检查杂质，确保无明显可见异物。</w:t>
          </w:r>
        </w:p>
        <w:p w14:paraId="76445A01">
          <w:pPr>
            <w:pStyle w:val="22"/>
            <w:spacing w:before="120" w:after="120"/>
          </w:pPr>
          <w:r>
            <w:t>卫生控制</w:t>
          </w:r>
        </w:p>
        <w:p w14:paraId="373DBF3E">
          <w:pPr>
            <w:pStyle w:val="18"/>
            <w:ind w:firstLine="420"/>
          </w:pPr>
          <w:r>
            <w:rPr>
              <w:rFonts w:hint="eastAsia"/>
            </w:rPr>
            <w:t>生产过程中每日清洁加工区和设备，每周进行1次全面清洁。</w:t>
          </w:r>
        </w:p>
        <w:p w14:paraId="56DE7022">
          <w:pPr>
            <w:pStyle w:val="22"/>
            <w:spacing w:before="120" w:after="120"/>
          </w:pPr>
          <w:r>
            <w:t>记录控制</w:t>
          </w:r>
        </w:p>
        <w:p w14:paraId="2E80B48D">
          <w:pPr>
            <w:pStyle w:val="18"/>
            <w:ind w:firstLine="420"/>
          </w:pPr>
          <w:r>
            <w:rPr>
              <w:rFonts w:hint="eastAsia"/>
            </w:rPr>
            <w:t>应建立生产记录制度，包括原料采收记录、杀青过程记录、干燥过程记录、成品检验记录，所有记录至少留存1年。</w:t>
          </w:r>
        </w:p>
        <w:p w14:paraId="1A9B43CA">
          <w:pPr>
            <w:pStyle w:val="22"/>
            <w:spacing w:before="120" w:after="120"/>
          </w:pPr>
          <w:r>
            <w:t>不合格品处理</w:t>
          </w:r>
        </w:p>
        <w:p w14:paraId="5184698F">
          <w:pPr>
            <w:pStyle w:val="18"/>
            <w:ind w:firstLine="420"/>
          </w:pPr>
          <w:r>
            <w:rPr>
              <w:rFonts w:hint="eastAsia"/>
            </w:rPr>
            <w:t>不合格原料不得使用，不合格中间品可返工1次，不合格成品不得出厂，应按报废或无害化处理（如用于生产有机肥）。</w:t>
          </w:r>
        </w:p>
        <w:p w14:paraId="5FD2703C">
          <w:pPr>
            <w:pStyle w:val="17"/>
            <w:spacing w:before="240" w:after="240"/>
          </w:pPr>
          <w:r>
            <w:t xml:space="preserve"> </w:t>
          </w:r>
          <w:bookmarkStart w:id="18" w:name="_Toc27908"/>
          <w:bookmarkStart w:id="19" w:name="_Toc25301"/>
          <w:r>
            <w:rPr>
              <w:rFonts w:hint="eastAsia"/>
            </w:rPr>
            <w:t>产品要求</w:t>
          </w:r>
          <w:bookmarkEnd w:id="18"/>
          <w:bookmarkEnd w:id="19"/>
        </w:p>
        <w:p w14:paraId="27288D1C">
          <w:pPr>
            <w:pStyle w:val="22"/>
            <w:spacing w:before="120" w:after="120"/>
          </w:pPr>
          <w:r>
            <w:rPr>
              <w:rFonts w:hint="eastAsia"/>
            </w:rPr>
            <w:t>外观性状</w:t>
          </w:r>
        </w:p>
        <w:p w14:paraId="59BA2072">
          <w:pPr>
            <w:pStyle w:val="18"/>
            <w:ind w:firstLine="420"/>
          </w:pPr>
          <w:r>
            <w:rPr>
              <w:rFonts w:hint="eastAsia"/>
            </w:rPr>
            <w:t>虫体完整或段状，无结块、无霉变、无焦糊；均匀黄褐色至深褐色；具有虫干固有脂肪香烤味，无酸败味、异味；无明显外来杂质。</w:t>
          </w:r>
        </w:p>
        <w:p w14:paraId="547B94DF">
          <w:pPr>
            <w:pStyle w:val="22"/>
            <w:spacing w:before="120" w:after="120"/>
          </w:pPr>
          <w:r>
            <w:rPr>
              <w:rFonts w:hint="eastAsia"/>
            </w:rPr>
            <w:t>理化指标</w:t>
          </w:r>
        </w:p>
        <w:p w14:paraId="240B1896">
          <w:pPr>
            <w:pStyle w:val="18"/>
            <w:ind w:firstLine="420"/>
          </w:pPr>
          <w:r>
            <w:rPr>
              <w:rFonts w:hint="eastAsia"/>
            </w:rPr>
            <w:t>企业制定的黑水虻虫干产品标准应将表2所列项目作为必须涵盖的理化技术指标，具体限量由企业根据产品定位和市场需求自行确定，并在企业标准中明确规定。供需双方有合同约定时，按合同执行。</w:t>
          </w:r>
        </w:p>
        <w:p w14:paraId="58BB09B5">
          <w:pPr>
            <w:pStyle w:val="36"/>
            <w:spacing w:before="120" w:after="120"/>
          </w:pPr>
          <w:r>
            <w:rPr>
              <w:rFonts w:hint="eastAsia"/>
            </w:rPr>
            <w:t>理化技术指标</w:t>
          </w:r>
        </w:p>
        <w:tbl>
          <w:tblPr>
            <w:tblStyle w:val="10"/>
            <w:tblW w:w="4517" w:type="pct"/>
            <w:jc w:val="center"/>
            <w:tbl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insideH w:val="single" w:color="auto" w:sz="4" w:space="0"/>
              <w:insideV w:val="single" w:color="auto" w:sz="4" w:space="0"/>
            </w:tblBorders>
            <w:tblLayout w:type="autofit"/>
            <w:tblCellMar>
              <w:top w:w="0" w:type="dxa"/>
              <w:left w:w="108" w:type="dxa"/>
              <w:bottom w:w="0" w:type="dxa"/>
              <w:right w:w="108" w:type="dxa"/>
            </w:tblCellMar>
          </w:tblPr>
          <w:tblGrid>
            <w:gridCol w:w="4365"/>
            <w:gridCol w:w="4281"/>
          </w:tblGrid>
          <w:tr w14:paraId="6616EA29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1A704F14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项目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61968270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b/>
                    <w:kern w:val="0"/>
                    <w:szCs w:val="21"/>
                    <w:lang w:bidi="ar"/>
                  </w:rPr>
                  <w:t>检验方法</w:t>
                </w:r>
              </w:p>
            </w:tc>
          </w:tr>
          <w:tr w14:paraId="206F0725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1822212E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粗蛋白质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705FA5F8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GB/T 6432</w:t>
                </w:r>
              </w:p>
            </w:tc>
          </w:tr>
          <w:tr w14:paraId="3AACB153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5E71C738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真蛋白质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DF492B3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见附录A</w:t>
                </w:r>
              </w:p>
            </w:tc>
          </w:tr>
          <w:tr w14:paraId="17550EEF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0E1B7DE5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粗脂肪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FB96B45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GB/T 6433</w:t>
                </w:r>
              </w:p>
            </w:tc>
          </w:tr>
          <w:tr w14:paraId="109BB880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352AAAA3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酸价（以脂肪计）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0E0F174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GB 5009.229</w:t>
                </w:r>
              </w:p>
            </w:tc>
          </w:tr>
          <w:tr w14:paraId="738853E4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  <w:trPr>
              <w:jc w:val="center"/>
            </w:trPr>
            <w:tc>
              <w:tcPr>
                <w:tcW w:w="2524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4101B34F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水分</w:t>
                </w:r>
              </w:p>
            </w:tc>
            <w:tc>
              <w:tcPr>
                <w:tcW w:w="2475" w:type="pct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 w14:paraId="7948A900">
                <w:pPr>
                  <w:widowControl/>
                  <w:jc w:val="center"/>
                  <w:rPr>
                    <w:szCs w:val="21"/>
                  </w:rPr>
                </w:pPr>
                <w:r>
                  <w:rPr>
                    <w:kern w:val="0"/>
                    <w:szCs w:val="21"/>
                    <w:lang w:bidi="ar"/>
                  </w:rPr>
                  <w:t>GB/T 6435</w:t>
                </w:r>
              </w:p>
            </w:tc>
          </w:tr>
        </w:tbl>
        <w:p w14:paraId="50074B70">
          <w:pPr>
            <w:pStyle w:val="18"/>
            <w:ind w:firstLine="420"/>
          </w:pPr>
          <w:r>
            <w:rPr>
              <w:rFonts w:hint="eastAsia"/>
            </w:rPr>
            <w:t>注1：真蛋白质含量占粗蛋白质含量的比值（真蛋白比率）是评价产品质量的重要参考指标，建议企业标准对该指标作出规定。</w:t>
          </w:r>
        </w:p>
        <w:p w14:paraId="42E5DA09">
          <w:pPr>
            <w:pStyle w:val="18"/>
            <w:ind w:firstLine="420"/>
          </w:pPr>
          <w:r>
            <w:rPr>
              <w:rFonts w:hint="eastAsia"/>
            </w:rPr>
            <w:t>注2：酸价是评价虫干脂肪氧化程度的关键指标，建议企业标准根据产品定位设定合理限量。</w:t>
          </w:r>
        </w:p>
        <w:p w14:paraId="06EA56A7">
          <w:pPr>
            <w:pStyle w:val="22"/>
            <w:spacing w:before="120" w:after="120"/>
          </w:pPr>
          <w:r>
            <w:rPr>
              <w:rFonts w:hint="eastAsia"/>
            </w:rPr>
            <w:t>卫生指标</w:t>
          </w:r>
        </w:p>
        <w:p w14:paraId="670AEDCD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应符合GB 13078规定。</w:t>
          </w:r>
        </w:p>
        <w:p w14:paraId="2951C6F6">
          <w:pPr>
            <w:pStyle w:val="17"/>
            <w:spacing w:before="240" w:after="240"/>
          </w:pPr>
          <w:r>
            <w:rPr>
              <w:rFonts w:ascii="Times New Roman"/>
            </w:rPr>
            <w:t xml:space="preserve"> </w:t>
          </w:r>
          <w:bookmarkStart w:id="20" w:name="_Toc29369"/>
          <w:bookmarkStart w:id="21" w:name="_Toc19511"/>
          <w:r>
            <w:rPr>
              <w:rFonts w:ascii="Times New Roman"/>
            </w:rPr>
            <w:t>检验规则</w:t>
          </w:r>
          <w:bookmarkEnd w:id="20"/>
          <w:bookmarkEnd w:id="21"/>
        </w:p>
        <w:p w14:paraId="414A9E03">
          <w:pPr>
            <w:pStyle w:val="22"/>
            <w:spacing w:before="120" w:after="120"/>
          </w:pPr>
          <w:r>
            <w:rPr>
              <w:rFonts w:hint="eastAsia"/>
            </w:rPr>
            <w:t>组批</w:t>
          </w:r>
        </w:p>
        <w:p w14:paraId="669CC057">
          <w:pPr>
            <w:pStyle w:val="18"/>
            <w:ind w:firstLine="420"/>
          </w:pPr>
          <w:r>
            <w:t>同一生产批次、同一工艺、同一规格的产品为一批次</w:t>
          </w:r>
          <w:r>
            <w:rPr>
              <w:rFonts w:hint="eastAsia"/>
            </w:rPr>
            <w:t>。</w:t>
          </w:r>
        </w:p>
        <w:p w14:paraId="268BAEFC">
          <w:pPr>
            <w:pStyle w:val="22"/>
            <w:spacing w:before="120" w:after="120"/>
          </w:pPr>
          <w:r>
            <w:t>出厂检验</w:t>
          </w:r>
        </w:p>
        <w:p w14:paraId="57C4CA2B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每批次产品应进行出厂检验，检验项目包括感官指标、水分含量和粗蛋白质含量。检验合格并附检验报告后方可出厂。</w:t>
          </w:r>
        </w:p>
        <w:p w14:paraId="338CBE8B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注：粗脂肪和酸价可按周进行周期检验，在同一工艺稳定运行期间，每周至少抽检1次。真蛋白质在工艺发生重大变化或质量争议时进行检验，测定方法见附录A。</w:t>
          </w:r>
        </w:p>
        <w:p w14:paraId="3976BC0E">
          <w:pPr>
            <w:pStyle w:val="22"/>
            <w:spacing w:before="120" w:after="120"/>
          </w:pPr>
          <w:r>
            <w:t>型式检验</w:t>
          </w:r>
        </w:p>
        <w:p w14:paraId="1B192B99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型式检验每年至少进行1次；当原料、工艺发生重大变化或质量监督部门提出要求时，应进行型式检验。型式检验项目包括第8章规定的感官指标、表2所列理化指标及卫生指标，其中卫生指标的检验项目按GB 13078规定执行</w:t>
          </w:r>
          <w:r>
            <w:rPr>
              <w:rFonts w:ascii="Times New Roman"/>
            </w:rPr>
            <w:t>。</w:t>
          </w:r>
        </w:p>
        <w:p w14:paraId="2FAA3D23">
          <w:pPr>
            <w:pStyle w:val="22"/>
            <w:spacing w:before="120" w:after="120"/>
          </w:pPr>
          <w:r>
            <w:t>判定规则</w:t>
          </w:r>
        </w:p>
        <w:p w14:paraId="30F8362A">
          <w:pPr>
            <w:pStyle w:val="18"/>
            <w:ind w:firstLine="420"/>
          </w:pPr>
          <w:r>
            <w:t>检验结果全部符合</w:t>
          </w:r>
          <w:r>
            <w:rPr>
              <w:rFonts w:hint="eastAsia"/>
            </w:rPr>
            <w:t>相关质量标准</w:t>
          </w:r>
          <w:r>
            <w:t>要求时，判定该批次产品合格；若有一项指标不合格，应加倍抽样复检，复检结果仍不合格，则判定该批次产品不合格</w:t>
          </w:r>
          <w:r>
            <w:rPr>
              <w:rFonts w:hint="eastAsia"/>
            </w:rPr>
            <w:t>。</w:t>
          </w:r>
        </w:p>
        <w:p w14:paraId="3D42C9EA">
          <w:pPr>
            <w:pStyle w:val="22"/>
            <w:spacing w:before="120" w:after="120"/>
          </w:pPr>
          <w:r>
            <w:t>检验结果判定</w:t>
          </w:r>
        </w:p>
        <w:p w14:paraId="4648FBFC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按GB/T 18823规定执行。</w:t>
          </w:r>
        </w:p>
        <w:p w14:paraId="78F7D48D">
          <w:pPr>
            <w:pStyle w:val="17"/>
            <w:spacing w:before="240" w:after="240"/>
          </w:pPr>
          <w:bookmarkStart w:id="22" w:name="_Toc18638"/>
          <w:bookmarkStart w:id="23" w:name="_Toc31320"/>
          <w:r>
            <w:rPr>
              <w:rFonts w:hint="eastAsia"/>
            </w:rPr>
            <w:t>标签</w:t>
          </w:r>
          <w:r>
            <w:t>、包装、</w:t>
          </w:r>
          <w:r>
            <w:rPr>
              <w:rFonts w:hint="eastAsia"/>
            </w:rPr>
            <w:t>净含量、</w:t>
          </w:r>
          <w:r>
            <w:t>运输</w:t>
          </w:r>
          <w:r>
            <w:rPr>
              <w:rFonts w:hint="eastAsia"/>
            </w:rPr>
            <w:t>、</w:t>
          </w:r>
          <w:r>
            <w:t>贮存</w:t>
          </w:r>
          <w:r>
            <w:rPr>
              <w:rFonts w:hint="eastAsia"/>
            </w:rPr>
            <w:t>和保质期</w:t>
          </w:r>
          <w:bookmarkEnd w:id="22"/>
          <w:bookmarkEnd w:id="23"/>
        </w:p>
        <w:p w14:paraId="56A2158A">
          <w:pPr>
            <w:pStyle w:val="22"/>
            <w:spacing w:before="120" w:after="120"/>
          </w:pPr>
          <w:r>
            <w:rPr>
              <w:rFonts w:hint="eastAsia"/>
            </w:rPr>
            <w:t>标签</w:t>
          </w:r>
        </w:p>
        <w:p w14:paraId="232133C3">
          <w:pPr>
            <w:pStyle w:val="18"/>
            <w:ind w:firstLine="420"/>
          </w:pPr>
          <w:r>
            <w:rPr>
              <w:rFonts w:hint="eastAsia" w:ascii="Times New Roman"/>
            </w:rPr>
            <w:t>应符合GB 10648相关规定</w:t>
          </w:r>
          <w:r>
            <w:rPr>
              <w:rFonts w:hint="eastAsia"/>
            </w:rPr>
            <w:t>。</w:t>
          </w:r>
        </w:p>
        <w:p w14:paraId="4BCB9781">
          <w:pPr>
            <w:pStyle w:val="22"/>
            <w:spacing w:before="120" w:after="120"/>
          </w:pPr>
          <w:r>
            <w:rPr>
              <w:rFonts w:hint="eastAsia"/>
            </w:rPr>
            <w:t>包装</w:t>
          </w:r>
        </w:p>
        <w:p w14:paraId="5C801DA2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包装材料应满足无毒无害、洁净干燥、无异味、无破损的要求，具备防潮功能；优先采用聚乙烯（PE）塑料薄膜袋，或根据运输需求选用"PE内膜+聚丙烯（PP）编织袋"的双层包装</w:t>
          </w:r>
          <w:r>
            <w:rPr>
              <w:rFonts w:ascii="Times New Roman"/>
            </w:rPr>
            <w:t>。</w:t>
          </w:r>
        </w:p>
        <w:p w14:paraId="39FDADAA">
          <w:pPr>
            <w:pStyle w:val="22"/>
            <w:spacing w:before="120" w:after="120"/>
          </w:pPr>
          <w:r>
            <w:rPr>
              <w:rFonts w:hint="eastAsia"/>
            </w:rPr>
            <w:t>净含量</w:t>
          </w:r>
        </w:p>
        <w:p w14:paraId="53FC161E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应符合国家市场监督管理总局令第70号《定量包装商品计量监督管理办法》要求</w:t>
          </w:r>
          <w:r>
            <w:rPr>
              <w:rFonts w:ascii="Times New Roman"/>
            </w:rPr>
            <w:t>。</w:t>
          </w:r>
        </w:p>
        <w:p w14:paraId="08E9620E">
          <w:pPr>
            <w:pStyle w:val="22"/>
            <w:spacing w:before="120" w:after="120"/>
          </w:pPr>
          <w:r>
            <w:t>运输</w:t>
          </w:r>
        </w:p>
        <w:p w14:paraId="7C636ECD">
          <w:pPr>
            <w:pStyle w:val="18"/>
            <w:ind w:firstLine="420"/>
          </w:pPr>
          <w:r>
            <w:rPr>
              <w:rFonts w:hint="eastAsia"/>
            </w:rPr>
            <w:t>运输工具应清洁、干燥、无异味，具备防潮、防晒、防雨设施，不得与有毒、有害、有异味的物品混运。</w:t>
          </w:r>
        </w:p>
        <w:p w14:paraId="0D9EA5C3">
          <w:pPr>
            <w:pStyle w:val="22"/>
            <w:spacing w:before="120" w:after="120"/>
          </w:pPr>
          <w:r>
            <w:t>贮存</w:t>
          </w:r>
        </w:p>
        <w:p w14:paraId="1A49E3E9">
          <w:pPr>
            <w:pStyle w:val="18"/>
            <w:ind w:firstLine="420"/>
          </w:pPr>
          <w:r>
            <w:rPr>
              <w:rFonts w:hint="eastAsia"/>
            </w:rPr>
            <w:t>产品应贮存于干燥、通风、遮阳、清洁的库房内，远离火源、热源和有毒有害物质。</w:t>
          </w:r>
        </w:p>
        <w:p w14:paraId="1FB932B8">
          <w:pPr>
            <w:pStyle w:val="22"/>
            <w:spacing w:before="120" w:after="120"/>
          </w:pPr>
          <w:r>
            <w:rPr>
              <w:rFonts w:hint="eastAsia"/>
            </w:rPr>
            <w:t>保质期</w:t>
          </w:r>
        </w:p>
        <w:p w14:paraId="1EDB84DA">
          <w:pPr>
            <w:pStyle w:val="18"/>
            <w:ind w:firstLine="420"/>
            <w:rPr>
              <w:rFonts w:ascii="Times New Roman"/>
            </w:rPr>
          </w:pPr>
          <w:r>
            <w:rPr>
              <w:rFonts w:hint="eastAsia" w:ascii="Times New Roman"/>
            </w:rPr>
            <w:t>产品保质期自生产日期起，在规定贮存条件下：真空包装产品为12个月，普通包装产品为6个月。超过保质期的产品应重新检验合格后方可使用。</w:t>
          </w:r>
        </w:p>
        <w:p w14:paraId="66846806">
          <w:pPr>
            <w:pStyle w:val="18"/>
            <w:ind w:firstLine="420"/>
          </w:pPr>
        </w:p>
        <w:p w14:paraId="00979D4D">
          <w:pPr>
            <w:pStyle w:val="18"/>
            <w:ind w:firstLine="422"/>
            <w:jc w:val="center"/>
            <w:rPr>
              <w:rFonts w:hint="eastAsia" w:ascii="黑体" w:hAnsi="黑体" w:eastAsia="黑体" w:cs="黑体"/>
              <w:b/>
            </w:rPr>
            <w:sectPr>
              <w:footerReference r:id="rId13" w:type="default"/>
              <w:pgSz w:w="11907" w:h="16839"/>
              <w:pgMar w:top="1418" w:right="1134" w:bottom="1134" w:left="1418" w:header="1418" w:footer="1134" w:gutter="0"/>
              <w:pgNumType w:fmt="decimal"/>
              <w:cols w:space="425" w:num="1"/>
              <w:docGrid w:linePitch="312" w:charSpace="0"/>
            </w:sectPr>
          </w:pPr>
        </w:p>
        <w:p w14:paraId="537A54C2">
          <w:pPr>
            <w:pStyle w:val="37"/>
          </w:pPr>
          <w:bookmarkStart w:id="24" w:name="标准附录"/>
          <w:bookmarkEnd w:id="24"/>
        </w:p>
        <w:p w14:paraId="171282C0">
          <w:pPr>
            <w:pStyle w:val="38"/>
          </w:pPr>
        </w:p>
        <w:p w14:paraId="3C2ED0BF">
          <w:pPr>
            <w:pStyle w:val="39"/>
          </w:pPr>
          <w:bookmarkStart w:id="25" w:name="_Toc8386"/>
          <w:bookmarkStart w:id="26" w:name="_Toc16436"/>
          <w:r>
            <w:rPr>
              <w:rFonts w:hint="eastAsia"/>
            </w:rPr>
            <w:br w:type="textWrapping"/>
          </w:r>
          <w:r>
            <w:rPr>
              <w:rFonts w:hint="eastAsia"/>
            </w:rPr>
            <w:t>（资料性）</w:t>
          </w:r>
          <w:r>
            <w:rPr>
              <w:rFonts w:hint="eastAsia"/>
            </w:rPr>
            <w:br w:type="textWrapping"/>
          </w:r>
          <w:r>
            <w:rPr>
              <w:rFonts w:hint="eastAsia"/>
            </w:rPr>
            <w:t>真蛋白质测定方法</w:t>
          </w:r>
          <w:bookmarkEnd w:id="25"/>
          <w:bookmarkEnd w:id="26"/>
        </w:p>
        <w:p w14:paraId="6B0B16C9">
          <w:pPr>
            <w:pStyle w:val="40"/>
            <w:spacing w:before="120" w:after="120"/>
          </w:pPr>
          <w:r>
            <w:rPr>
              <w:rFonts w:hint="eastAsia"/>
            </w:rPr>
            <w:t>范围</w:t>
          </w:r>
        </w:p>
        <w:p w14:paraId="23761056">
          <w:pPr>
            <w:pStyle w:val="18"/>
            <w:ind w:firstLine="420"/>
          </w:pPr>
          <w:r>
            <w:rPr>
              <w:rFonts w:hint="eastAsia"/>
            </w:rPr>
            <w:t>本附录给出了饲料原料黑水虻虫干中真蛋白质的两种测定方法：方法一，三氯乙酸沉淀法——适用于企业常规检验、出厂检验及日常质控；方法二，氨基酸加和法——适用于型式检验、质量争议仲裁。</w:t>
          </w:r>
        </w:p>
        <w:p w14:paraId="035D7BB4">
          <w:pPr>
            <w:pStyle w:val="40"/>
            <w:spacing w:before="120" w:after="120"/>
          </w:pPr>
          <w:r>
            <w:rPr>
              <w:rFonts w:hint="eastAsia"/>
            </w:rPr>
            <w:t>三氯乙酸沉淀法</w:t>
          </w:r>
        </w:p>
        <w:p w14:paraId="345F4E4E">
          <w:pPr>
            <w:pStyle w:val="41"/>
            <w:spacing w:before="120" w:after="120"/>
          </w:pPr>
          <w:r>
            <w:rPr>
              <w:rFonts w:hint="eastAsia"/>
            </w:rPr>
            <w:t>原理</w:t>
          </w:r>
        </w:p>
        <w:p w14:paraId="474BDCBA">
          <w:pPr>
            <w:pStyle w:val="18"/>
            <w:ind w:firstLine="420"/>
          </w:pPr>
          <w:r>
            <w:rPr>
              <w:rFonts w:hint="eastAsia"/>
            </w:rPr>
            <w:t>利用三氯乙酸（TCA）使样品中的蛋白质变性沉淀，而游离氨基酸、小肽、核酸、胺类等非蛋白氮（NPN）物质留在溶液中。经离心分离后，取沉淀物用凯氏定氮法测定含氮量，换算为真蛋白质含量。</w:t>
          </w:r>
        </w:p>
        <w:p w14:paraId="445FB5F8">
          <w:pPr>
            <w:pStyle w:val="41"/>
            <w:spacing w:before="120" w:after="120"/>
          </w:pPr>
          <w:r>
            <w:rPr>
              <w:rFonts w:hint="eastAsia"/>
            </w:rPr>
            <w:t>试剂</w:t>
          </w:r>
        </w:p>
        <w:p w14:paraId="26D4C23D">
          <w:pPr>
            <w:pStyle w:val="18"/>
            <w:ind w:firstLine="420"/>
          </w:pPr>
          <w:r>
            <w:rPr>
              <w:rFonts w:hint="eastAsia"/>
            </w:rPr>
            <w:t>除非另有规定，仅使用分析纯试剂。</w:t>
          </w:r>
        </w:p>
        <w:p w14:paraId="4B2C5B27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三氯乙酸溶液（150 g/L）：称取15.0 g三氯乙酸（C₂HCl₃O₂），溶于100 mL水中；</w:t>
          </w:r>
        </w:p>
        <w:p w14:paraId="7FB1BB75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三氯乙酸溶液（50 g/L）：将150 g/L三氯乙酸溶液用水稀释3倍；</w:t>
          </w:r>
        </w:p>
        <w:p w14:paraId="607184F8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硫酸（ρ=1.84 g/mL）；</w:t>
          </w:r>
        </w:p>
        <w:p w14:paraId="7E06F588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催化剂：硫酸铜（CuSO₄·5H₂O）与硫酸钾（K₂SO₄）按1:10混合，研细；</w:t>
          </w:r>
        </w:p>
        <w:p w14:paraId="6C0661A2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氢氧化钠溶液（400 g/L）；</w:t>
          </w:r>
        </w:p>
        <w:p w14:paraId="4BDC6E2D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硼酸吸收液（20 g/L）；</w:t>
          </w:r>
        </w:p>
        <w:p w14:paraId="627B8498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盐酸标准滴定溶液（0.1 mol/L）；</w:t>
          </w:r>
        </w:p>
        <w:p w14:paraId="379AA9AA">
          <w:pPr>
            <w:pStyle w:val="34"/>
            <w:numPr>
              <w:ilvl w:val="0"/>
              <w:numId w:val="12"/>
            </w:numPr>
            <w:rPr>
              <w:rFonts w:ascii="Times New Roman"/>
            </w:rPr>
          </w:pPr>
          <w:r>
            <w:rPr>
              <w:rFonts w:ascii="Times New Roman"/>
            </w:rPr>
            <w:t>混合指示剂：甲基红乙醇溶液（1 g/L）与溴甲酚绿乙醇溶液（5 g/L）按1:5混合。</w:t>
          </w:r>
        </w:p>
        <w:p w14:paraId="436BAE8E">
          <w:pPr>
            <w:pStyle w:val="41"/>
            <w:spacing w:before="120" w:after="120"/>
          </w:pPr>
          <w:r>
            <w:rPr>
              <w:rFonts w:hint="eastAsia"/>
            </w:rPr>
            <w:t>仪器</w:t>
          </w:r>
        </w:p>
        <w:p w14:paraId="15146896">
          <w:pPr>
            <w:pStyle w:val="34"/>
            <w:numPr>
              <w:ilvl w:val="0"/>
              <w:numId w:val="13"/>
            </w:numPr>
            <w:rPr>
              <w:rFonts w:ascii="Times New Roman"/>
            </w:rPr>
          </w:pPr>
          <w:r>
            <w:rPr>
              <w:rFonts w:ascii="Times New Roman"/>
            </w:rPr>
            <w:t>分析天平（感量 0.1 mg）；</w:t>
          </w:r>
        </w:p>
        <w:p w14:paraId="4AFD04A7">
          <w:pPr>
            <w:pStyle w:val="34"/>
            <w:numPr>
              <w:ilvl w:val="0"/>
              <w:numId w:val="13"/>
            </w:numPr>
            <w:rPr>
              <w:rFonts w:ascii="Times New Roman"/>
            </w:rPr>
          </w:pPr>
          <w:r>
            <w:rPr>
              <w:rFonts w:ascii="Times New Roman"/>
            </w:rPr>
            <w:t>凯氏定氮装置（全自动或半自动）；</w:t>
          </w:r>
        </w:p>
        <w:p w14:paraId="67A8636A">
          <w:pPr>
            <w:pStyle w:val="34"/>
            <w:numPr>
              <w:ilvl w:val="0"/>
              <w:numId w:val="13"/>
            </w:numPr>
            <w:rPr>
              <w:rFonts w:ascii="Times New Roman"/>
            </w:rPr>
          </w:pPr>
          <w:r>
            <w:rPr>
              <w:rFonts w:ascii="Times New Roman"/>
            </w:rPr>
            <w:t>离心机（转速 ≥ 4 000 r/min）；</w:t>
          </w:r>
        </w:p>
        <w:p w14:paraId="41FAD72A">
          <w:pPr>
            <w:pStyle w:val="34"/>
            <w:numPr>
              <w:ilvl w:val="0"/>
              <w:numId w:val="13"/>
            </w:numPr>
            <w:rPr>
              <w:rFonts w:ascii="Times New Roman"/>
            </w:rPr>
          </w:pPr>
          <w:r>
            <w:rPr>
              <w:rFonts w:ascii="Times New Roman"/>
            </w:rPr>
            <w:t>电热恒温干燥箱；</w:t>
          </w:r>
        </w:p>
        <w:p w14:paraId="4F1D312F">
          <w:pPr>
            <w:pStyle w:val="34"/>
            <w:numPr>
              <w:ilvl w:val="0"/>
              <w:numId w:val="13"/>
            </w:numPr>
          </w:pPr>
          <w:r>
            <w:rPr>
              <w:rFonts w:ascii="Times New Roman"/>
            </w:rPr>
            <w:t>样品粉碎机（过 0.425 mm 筛，即 40 目）</w:t>
          </w:r>
          <w:r>
            <w:t>。</w:t>
          </w:r>
        </w:p>
        <w:p w14:paraId="2DF4CA7E">
          <w:pPr>
            <w:pStyle w:val="41"/>
            <w:spacing w:before="120" w:after="120"/>
          </w:pPr>
          <w:r>
            <w:rPr>
              <w:rFonts w:hint="eastAsia"/>
            </w:rPr>
            <w:t>分析步骤</w:t>
          </w:r>
        </w:p>
        <w:p w14:paraId="23090543">
          <w:pPr>
            <w:pStyle w:val="42"/>
            <w:spacing w:before="120" w:after="120"/>
          </w:pPr>
          <w:r>
            <w:rPr>
              <w:rFonts w:hint="eastAsia"/>
            </w:rPr>
            <w:t>试样制备</w:t>
          </w:r>
        </w:p>
        <w:p w14:paraId="2C1BABBD">
          <w:pPr>
            <w:pStyle w:val="18"/>
            <w:ind w:firstLine="420"/>
          </w:pPr>
          <w:r>
            <w:rPr>
              <w:rFonts w:ascii="Times New Roman"/>
            </w:rPr>
            <w:t>取具有代表性的虫干样品，粉碎并全部通过 0.425 mm 筛，装入磨口瓶中备用</w:t>
          </w:r>
          <w:r>
            <w:rPr>
              <w:rFonts w:hint="eastAsia"/>
            </w:rPr>
            <w:t>。</w:t>
          </w:r>
        </w:p>
        <w:p w14:paraId="3C9847AE">
          <w:pPr>
            <w:pStyle w:val="42"/>
            <w:spacing w:before="120" w:after="120"/>
          </w:pPr>
          <w:r>
            <w:rPr>
              <w:rFonts w:hint="eastAsia"/>
            </w:rPr>
            <w:t>沉淀分离</w:t>
          </w:r>
        </w:p>
        <w:p w14:paraId="3902A5C5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平行做两份试验。称取试样1.0 g~2.0 g（精确至0.1 mg），置于100 mL离心管中，加入30 mL三氯乙酸溶液（150 g/L），涡旋混匀1 min，静置15 min使蛋白充分沉淀。随后以4 000 r/min离心10 min，倾去上清液。向沉淀中加入20 mL三氯乙酸溶液（50 g/L），涡旋洗涤30 s，再次以4 000 r/min离心10 min，倾去上清液。重复洗涤一次。将沉淀全部转移至凯氏消化管中。</w:t>
          </w:r>
        </w:p>
        <w:p w14:paraId="359E3BF3">
          <w:pPr>
            <w:pStyle w:val="42"/>
            <w:spacing w:before="120" w:after="120"/>
          </w:pPr>
          <w:r>
            <w:rPr>
              <w:rFonts w:hint="eastAsia"/>
            </w:rPr>
            <w:t>消化与蒸馏</w:t>
          </w:r>
        </w:p>
        <w:p w14:paraId="126EBAC3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按GB/T 6432执行。向消化管中加入催化剂5 g、硫酸15 mL，于420 ℃消解至澄清蓝绿色，继续消化1 h。冷却后定容，用凯氏定氮装置蒸馏、滴定。</w:t>
          </w:r>
        </w:p>
        <w:p w14:paraId="3CFF8A61">
          <w:pPr>
            <w:pStyle w:val="42"/>
            <w:spacing w:before="120" w:after="120"/>
          </w:pPr>
          <w:r>
            <w:rPr>
              <w:rFonts w:hint="eastAsia"/>
            </w:rPr>
            <w:t>空白试验</w:t>
          </w:r>
        </w:p>
        <w:p w14:paraId="326C8647">
          <w:pPr>
            <w:pStyle w:val="18"/>
            <w:ind w:firstLine="420"/>
          </w:pPr>
          <w:r>
            <w:rPr>
              <w:rFonts w:ascii="Times New Roman"/>
            </w:rPr>
            <w:t>除不加试样外，其余步骤同A.2.4.2~A.2.4.3，做空白试验</w:t>
          </w:r>
          <w:r>
            <w:rPr>
              <w:rFonts w:hint="eastAsia"/>
            </w:rPr>
            <w:t>。</w:t>
          </w:r>
        </w:p>
        <w:p w14:paraId="08681FDF">
          <w:pPr>
            <w:pStyle w:val="41"/>
            <w:spacing w:before="120" w:after="120"/>
          </w:pPr>
          <w:r>
            <w:rPr>
              <w:rFonts w:hint="eastAsia"/>
            </w:rPr>
            <w:t>结果计算</w:t>
          </w:r>
        </w:p>
        <w:p w14:paraId="1D9B6BD4">
          <w:pPr>
            <w:pStyle w:val="18"/>
            <w:ind w:firstLine="420"/>
          </w:pPr>
          <w:r>
            <w:rPr>
              <w:rFonts w:ascii="Times New Roman"/>
            </w:rPr>
            <w:t xml:space="preserve">真蛋白质含量以质量分数 </w:t>
          </w:r>
          <w:r>
            <w:rPr>
              <w:rFonts w:ascii="Times New Roman"/>
              <w:i/>
              <w:iCs/>
            </w:rPr>
            <w:t>w</w:t>
          </w:r>
          <w:r>
            <w:rPr>
              <w:rFonts w:ascii="Times New Roman"/>
            </w:rPr>
            <w:t xml:space="preserve"> 计，数值以 % 表示，按式（A.1）计算</w:t>
          </w:r>
          <w:r>
            <w:rPr>
              <w:rFonts w:hint="eastAsia"/>
            </w:rPr>
            <w:t>：</w:t>
          </w:r>
        </w:p>
        <w:p w14:paraId="6E84783C">
          <w:pPr>
            <w:pStyle w:val="43"/>
          </w:pPr>
          <m:oMathPara>
            <m:oMath>
              <m:r>
                <m:rPr/>
                <w:rPr>
                  <w:rFonts w:ascii="Cambria Math" w:hAnsi="Cambria Math"/>
                </w:rPr>
                <m:t xml:space="preserve">    w   =</m:t>
              </m:r>
              <m:f>
                <m:fPr>
                  <m:ctrlPr>
                    <w:rPr>
                      <w:rFonts w:ascii="Cambria Math" w:hAnsi="Cambria Math"/>
                    </w:rPr>
                  </m:ctrlPr>
                </m:fPr>
                <m:num>
                  <m:d>
                    <m:dPr>
                      <m:ctrlPr>
                        <w:rPr>
                          <w:rFonts w:ascii="Cambria Math" w:hAnsi="Cambria Math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</w:rPr>
                          </m:ctrlPr>
                        </m:sSubPr>
                        <m:e>
                          <m:r>
                            <m:rPr/>
                            <w:rPr>
                              <w:rFonts w:ascii="Cambria Math" w:hAnsi="Cambria Math"/>
                            </w:rPr>
                            <m:t>V</m:t>
                          </m:r>
                          <m:ctrlPr>
                            <w:rPr>
                              <w:rFonts w:ascii="Cambria Math" w:hAnsi="Cambria Math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/>
                            </w:rPr>
                            <m:t>1</m:t>
                          </m:r>
                          <m:ctrlPr>
                            <w:rPr>
                              <w:rFonts w:ascii="Cambria Math" w:hAnsi="Cambria Math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/>
                        </w:rPr>
                        <m:t>−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</w:rPr>
                          </m:ctrlPr>
                        </m:sSubPr>
                        <m:e>
                          <m:r>
                            <m:rPr/>
                            <w:rPr>
                              <w:rFonts w:ascii="Cambria Math" w:hAnsi="Cambria Math"/>
                            </w:rPr>
                            <m:t>V</m:t>
                          </m:r>
                          <m:ctrlPr>
                            <w:rPr>
                              <w:rFonts w:ascii="Cambria Math" w:hAnsi="Cambria Math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/>
                            </w:rPr>
                            <m:t>0</m:t>
                          </m:r>
                          <m:ctrlPr>
                            <w:rPr>
                              <w:rFonts w:ascii="Cambria Math" w:hAnsi="Cambria Math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/>
                        </w:rPr>
                      </m:ctrlPr>
                    </m:e>
                  </m:d>
                  <m:r>
                    <m:rPr/>
                    <w:rPr>
                      <w:rFonts w:ascii="Cambria Math" w:hAnsi="Cambria Math"/>
                    </w:rPr>
                    <m:t>×c×0.0140×6.25</m:t>
                  </m:r>
                  <m:ctrlPr>
                    <w:rPr>
                      <w:rFonts w:ascii="Cambria Math" w:hAnsi="Cambria Math"/>
                    </w:rPr>
                  </m:ctrlPr>
                </m:num>
                <m:den>
                  <m:r>
                    <m:rPr/>
                    <w:rPr>
                      <w:rFonts w:ascii="Cambria Math" w:hAnsi="Cambria Math"/>
                    </w:rPr>
                    <m:t>m</m:t>
                  </m:r>
                  <m:ctrlPr>
                    <w:rPr>
                      <w:rFonts w:ascii="Cambria Math" w:hAnsi="Cambria Math"/>
                    </w:rPr>
                  </m:ctrlPr>
                </m:den>
              </m:f>
              <m:r>
                <m:rPr/>
                <w:rPr>
                  <w:rFonts w:ascii="Cambria Math" w:hAnsi="Cambria Math"/>
                </w:rPr>
                <m:t>×100 %                                                                                            (A.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begin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seq FuLuGSBH_134216035721511101 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separate"/>
              </m:r>
              <m:r>
                <m:rPr>
                  <m:sty m:val="p"/>
                </m:rPr>
                <w:rPr>
                  <w:rFonts w:ascii="Cambria Math" w:hAnsi="Cambria Math"/>
                </w:rPr>
                <m:t>1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end"/>
              </m:r>
              <m:r>
                <m:rPr/>
                <w:rPr>
                  <w:rFonts w:ascii="Cambria Math" w:hAnsi="Cambria Math"/>
                </w:rPr>
                <m:t>)</m:t>
              </m:r>
            </m:oMath>
          </m:oMathPara>
        </w:p>
        <w:p w14:paraId="6B0575ED">
          <w:pPr>
            <w:pStyle w:val="44"/>
            <w:ind w:left="0" w:leftChars="0"/>
            <w:jc w:val="both"/>
          </w:pPr>
          <w:r>
            <w:rPr>
              <w:rFonts w:hint="eastAsia"/>
            </w:rPr>
            <w:t>式中：</w:t>
          </w:r>
        </w:p>
        <w:p w14:paraId="4B8A0719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V</w:t>
          </w:r>
          <w:r>
            <w:rPr>
              <w:rFonts w:ascii="Times New Roman"/>
              <w:vertAlign w:val="subscript"/>
            </w:rPr>
            <w:t xml:space="preserve">1 </w:t>
          </w:r>
          <w:r>
            <w:rPr>
              <w:rFonts w:ascii="Times New Roman"/>
            </w:rPr>
            <w:t>—— 试样滴定消耗盐酸标准滴定溶液体积，单位为毫升（mL）；</w:t>
          </w:r>
        </w:p>
        <w:p w14:paraId="093F299F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V</w:t>
          </w:r>
          <w:r>
            <w:rPr>
              <w:rFonts w:ascii="Times New Roman"/>
              <w:vertAlign w:val="subscript"/>
            </w:rPr>
            <w:t xml:space="preserve">0 </w:t>
          </w:r>
          <w:r>
            <w:rPr>
              <w:rFonts w:ascii="Times New Roman"/>
            </w:rPr>
            <w:t>—— 空白滴定消耗盐酸标准滴定溶液体积，单位为毫升（mL）；</w:t>
          </w:r>
        </w:p>
        <w:p w14:paraId="572C5C94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  <w:i/>
              <w:iCs/>
            </w:rPr>
            <w:t xml:space="preserve">c </w:t>
          </w:r>
          <w:r>
            <w:rPr>
              <w:rFonts w:ascii="Times New Roman"/>
            </w:rPr>
            <w:t>—— 盐酸标准滴定溶液浓度，单位为摩尔每升（mol/L）；</w:t>
          </w:r>
        </w:p>
        <w:p w14:paraId="5BE86CDC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0.0140 —— 氮的毫摩尔质量，单位为克每毫摩尔（g/mmol）；</w:t>
          </w:r>
        </w:p>
        <w:p w14:paraId="7EA51E9E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6.25 —— 蛋白质换算系数；</w:t>
          </w:r>
        </w:p>
        <w:p w14:paraId="1F94866A">
          <w:pPr>
            <w:pStyle w:val="18"/>
            <w:ind w:firstLine="420"/>
          </w:pPr>
          <w:r>
            <w:rPr>
              <w:rFonts w:ascii="Times New Roman"/>
              <w:i/>
              <w:iCs/>
            </w:rPr>
            <w:t>m</w:t>
          </w:r>
          <w:r>
            <w:rPr>
              <w:rFonts w:ascii="Times New Roman"/>
            </w:rPr>
            <w:t xml:space="preserve"> —— 试样质量，单位为克（g）</w:t>
          </w:r>
          <w:r>
            <w:rPr>
              <w:rFonts w:hint="eastAsia"/>
            </w:rPr>
            <w:t>。</w:t>
          </w:r>
        </w:p>
        <w:p w14:paraId="1FF56375">
          <w:pPr>
            <w:pStyle w:val="18"/>
            <w:ind w:firstLine="420"/>
          </w:pPr>
          <w:r>
            <w:rPr>
              <w:rFonts w:hint="eastAsia"/>
            </w:rPr>
            <w:t>以重复条件下获得的两次独立测定结果的算术平均值表示，结果保留至小数点后一位。</w:t>
          </w:r>
        </w:p>
        <w:p w14:paraId="23F535E7">
          <w:pPr>
            <w:pStyle w:val="41"/>
            <w:spacing w:before="120" w:after="120"/>
          </w:pPr>
          <w:r>
            <w:rPr>
              <w:rFonts w:hint="eastAsia"/>
            </w:rPr>
            <w:t>精密度</w:t>
          </w:r>
        </w:p>
        <w:p w14:paraId="1121B3D1">
          <w:pPr>
            <w:pStyle w:val="18"/>
            <w:ind w:firstLine="420"/>
          </w:pPr>
          <w:r>
            <w:rPr>
              <w:rFonts w:ascii="Times New Roman"/>
            </w:rPr>
            <w:t>在重复性条件下，两次独立测定结果的绝对差值不超过其算术平均值的 5%</w:t>
          </w:r>
          <w:r>
            <w:rPr>
              <w:rFonts w:hint="eastAsia"/>
            </w:rPr>
            <w:t>。</w:t>
          </w:r>
        </w:p>
        <w:p w14:paraId="54FC04AF">
          <w:pPr>
            <w:pStyle w:val="40"/>
            <w:spacing w:before="120" w:after="120"/>
          </w:pPr>
          <w:r>
            <w:rPr>
              <w:rFonts w:hint="eastAsia"/>
            </w:rPr>
            <w:t>氨基酸加和法</w:t>
          </w:r>
        </w:p>
        <w:p w14:paraId="634C8A69">
          <w:pPr>
            <w:pStyle w:val="41"/>
            <w:spacing w:before="120" w:after="120"/>
          </w:pPr>
          <w:r>
            <w:rPr>
              <w:rFonts w:hint="eastAsia"/>
            </w:rPr>
            <w:t>原理</w:t>
          </w:r>
        </w:p>
        <w:p w14:paraId="0A66BA03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样品经酸水解后，蛋白质肽键断裂，释放出游离氨基酸。用氨基酸分析仪或高效液相色谱法测定各氨基酸含量，以17种常见氨基酸（或补充色氨酸、含硫氨基酸后的19种氨基酸）的残基分子量之和计算真蛋白质含量。</w:t>
          </w:r>
        </w:p>
        <w:p w14:paraId="21FAACBB">
          <w:pPr>
            <w:pStyle w:val="41"/>
            <w:spacing w:before="120" w:after="120"/>
          </w:pPr>
          <w:r>
            <w:rPr>
              <w:rFonts w:hint="eastAsia"/>
            </w:rPr>
            <w:t>试剂</w:t>
          </w:r>
        </w:p>
        <w:p w14:paraId="28C138C8">
          <w:pPr>
            <w:pStyle w:val="18"/>
            <w:ind w:firstLine="420"/>
          </w:pPr>
          <w:r>
            <w:t>除非另有规定，仅使用优级纯试剂</w:t>
          </w:r>
          <w:r>
            <w:rPr>
              <w:rFonts w:hint="eastAsia"/>
            </w:rPr>
            <w:t>。</w:t>
          </w:r>
        </w:p>
        <w:p w14:paraId="17AC2900">
          <w:pPr>
            <w:pStyle w:val="34"/>
            <w:numPr>
              <w:ilvl w:val="0"/>
              <w:numId w:val="14"/>
            </w:numPr>
          </w:pPr>
          <w:r>
            <w:t>盐酸（6 mol/L）：取500 mL盐酸（ρ=1.18 g/mL），加水稀释至1 000 mL；</w:t>
          </w:r>
        </w:p>
        <w:p w14:paraId="42AD9E65">
          <w:pPr>
            <w:pStyle w:val="34"/>
            <w:numPr>
              <w:ilvl w:val="0"/>
              <w:numId w:val="14"/>
            </w:numPr>
          </w:pPr>
          <w:r>
            <w:t>盐酸（0.02 mol/L）：取1.67 mL盐酸（ρ=1.18 g/mL），加水稀释至1 000 mL；</w:t>
          </w:r>
        </w:p>
        <w:p w14:paraId="19A267C7">
          <w:pPr>
            <w:pStyle w:val="34"/>
            <w:numPr>
              <w:ilvl w:val="0"/>
              <w:numId w:val="14"/>
            </w:numPr>
          </w:pPr>
          <w:r>
            <w:t>过甲酸：取30%过氧化氢与88%甲酸按1:9混合，室温放置1 h后使用（现配现用）；</w:t>
          </w:r>
        </w:p>
        <w:p w14:paraId="06740407">
          <w:pPr>
            <w:pStyle w:val="34"/>
            <w:numPr>
              <w:ilvl w:val="0"/>
              <w:numId w:val="14"/>
            </w:numPr>
          </w:pPr>
          <w:r>
            <w:t>氢氧化钠溶液（10 mol/L）；</w:t>
          </w:r>
        </w:p>
        <w:p w14:paraId="2BCB4601">
          <w:pPr>
            <w:pStyle w:val="34"/>
            <w:numPr>
              <w:ilvl w:val="0"/>
              <w:numId w:val="14"/>
            </w:numPr>
          </w:pPr>
          <w:r>
            <w:t>混合氨基酸标准溶液：含17种常见氨基酸，浓度2.5 μmol/mL（市售有证标准物质）；如需测定色氨酸和含硫氨基酸，应选用含19种氨基酸的标准溶液；</w:t>
          </w:r>
        </w:p>
        <w:p w14:paraId="30495674">
          <w:pPr>
            <w:pStyle w:val="34"/>
            <w:numPr>
              <w:ilvl w:val="0"/>
              <w:numId w:val="14"/>
            </w:numPr>
          </w:pPr>
          <w:r>
            <w:t>茚三酮显色液（适用于氨基酸分析仪）或柱前衍生试剂（适用于液相色谱法）；</w:t>
          </w:r>
        </w:p>
        <w:p w14:paraId="08865B90">
          <w:pPr>
            <w:pStyle w:val="34"/>
            <w:numPr>
              <w:ilvl w:val="0"/>
              <w:numId w:val="14"/>
            </w:numPr>
          </w:pPr>
          <w:r>
            <w:t>氮气（纯度≥99.9%）</w:t>
          </w:r>
          <w:r>
            <w:rPr>
              <w:rFonts w:hint="eastAsia"/>
            </w:rPr>
            <w:t>。</w:t>
          </w:r>
        </w:p>
        <w:p w14:paraId="2573585D">
          <w:pPr>
            <w:pStyle w:val="41"/>
            <w:spacing w:before="120" w:after="120"/>
          </w:pPr>
          <w:r>
            <w:rPr>
              <w:rFonts w:hint="eastAsia"/>
            </w:rPr>
            <w:t>仪器</w:t>
          </w:r>
        </w:p>
        <w:p w14:paraId="5511B256">
          <w:pPr>
            <w:pStyle w:val="34"/>
            <w:numPr>
              <w:ilvl w:val="0"/>
              <w:numId w:val="15"/>
            </w:numPr>
            <w:rPr>
              <w:rFonts w:ascii="Times New Roman"/>
            </w:rPr>
          </w:pPr>
          <w:r>
            <w:rPr>
              <w:rFonts w:ascii="Times New Roman"/>
            </w:rPr>
            <w:t>分析天平（感量 0.1 mg）；</w:t>
          </w:r>
        </w:p>
        <w:p w14:paraId="22F3832E">
          <w:pPr>
            <w:pStyle w:val="34"/>
            <w:numPr>
              <w:ilvl w:val="0"/>
              <w:numId w:val="15"/>
            </w:numPr>
            <w:rPr>
              <w:rFonts w:ascii="Times New Roman"/>
            </w:rPr>
          </w:pPr>
          <w:r>
            <w:rPr>
              <w:rFonts w:ascii="Times New Roman"/>
            </w:rPr>
            <w:t>氨基酸分析仪（配备钠型或锂型阳离子交换柱）或高效液相色谱仪（配备紫外/荧光检测器及 C18 柱）；</w:t>
          </w:r>
        </w:p>
        <w:p w14:paraId="72FC51CD">
          <w:pPr>
            <w:pStyle w:val="34"/>
            <w:numPr>
              <w:ilvl w:val="0"/>
              <w:numId w:val="15"/>
            </w:numPr>
            <w:rPr>
              <w:rFonts w:ascii="Times New Roman"/>
            </w:rPr>
          </w:pPr>
          <w:r>
            <w:rPr>
              <w:rFonts w:ascii="Times New Roman"/>
            </w:rPr>
            <w:t>水解管（耐压螺盖玻璃管，或充氮装置）；</w:t>
          </w:r>
        </w:p>
        <w:p w14:paraId="54DB1A5C">
          <w:pPr>
            <w:pStyle w:val="34"/>
            <w:numPr>
              <w:ilvl w:val="0"/>
              <w:numId w:val="15"/>
            </w:numPr>
            <w:rPr>
              <w:rFonts w:ascii="Times New Roman"/>
            </w:rPr>
          </w:pPr>
          <w:r>
            <w:rPr>
              <w:rFonts w:ascii="Times New Roman"/>
            </w:rPr>
            <w:t>电热恒温干燥箱（温控精度 ±1 ℃）；</w:t>
          </w:r>
        </w:p>
        <w:p w14:paraId="748F230B">
          <w:pPr>
            <w:pStyle w:val="34"/>
            <w:numPr>
              <w:ilvl w:val="0"/>
              <w:numId w:val="15"/>
            </w:numPr>
          </w:pPr>
          <w:r>
            <w:rPr>
              <w:rFonts w:ascii="Times New Roman"/>
            </w:rPr>
            <w:t>样品粉碎机（过 0.425 mm 筛）</w:t>
          </w:r>
          <w:r>
            <w:rPr>
              <w:rFonts w:hint="eastAsia"/>
            </w:rPr>
            <w:t>。</w:t>
          </w:r>
        </w:p>
        <w:p w14:paraId="32406538">
          <w:pPr>
            <w:pStyle w:val="41"/>
            <w:spacing w:before="120" w:after="120"/>
          </w:pPr>
          <w:r>
            <w:rPr>
              <w:rFonts w:hint="eastAsia"/>
            </w:rPr>
            <w:t>分析步骤</w:t>
          </w:r>
        </w:p>
        <w:p w14:paraId="6B77D182">
          <w:pPr>
            <w:pStyle w:val="42"/>
            <w:spacing w:before="120" w:after="120"/>
          </w:pPr>
          <w:r>
            <w:rPr>
              <w:rFonts w:hint="eastAsia"/>
            </w:rPr>
            <w:t>试样制备</w:t>
          </w:r>
        </w:p>
        <w:p w14:paraId="6EAD62F5">
          <w:pPr>
            <w:pStyle w:val="18"/>
            <w:ind w:firstLine="420"/>
          </w:pPr>
          <w:r>
            <w:rPr>
              <w:rFonts w:ascii="Times New Roman"/>
            </w:rPr>
            <w:t>同 A.2.4.1</w:t>
          </w:r>
          <w:r>
            <w:rPr>
              <w:rFonts w:hint="eastAsia"/>
            </w:rPr>
            <w:t>。</w:t>
          </w:r>
        </w:p>
        <w:p w14:paraId="0CBA3F3A">
          <w:pPr>
            <w:pStyle w:val="42"/>
            <w:spacing w:before="120" w:after="120"/>
          </w:pPr>
          <w:r>
            <w:rPr>
              <w:rFonts w:hint="eastAsia"/>
            </w:rPr>
            <w:t>氧化处理（测定含硫氨基酸时）</w:t>
          </w:r>
        </w:p>
        <w:p w14:paraId="60184F0A">
          <w:pPr>
            <w:pStyle w:val="18"/>
            <w:ind w:firstLine="420"/>
          </w:pPr>
          <w:r>
            <w:rPr>
              <w:rFonts w:ascii="Times New Roman"/>
            </w:rPr>
            <w:t>如需测定蛋氨酸和胱氨酸，称取试样0.1 g~0.2 g（精确至0.1 mg）于消化管中，加入5 mL过甲酸，冰浴中氧化16 h。加入0.84 mL氢溴酸终止反应，在60 ℃下减压蒸干</w:t>
          </w:r>
          <w:r>
            <w:rPr>
              <w:rFonts w:hint="eastAsia"/>
            </w:rPr>
            <w:t>。</w:t>
          </w:r>
        </w:p>
        <w:p w14:paraId="1F9D0A9A">
          <w:pPr>
            <w:pStyle w:val="42"/>
            <w:spacing w:before="120" w:after="120"/>
          </w:pPr>
          <w:r>
            <w:rPr>
              <w:rFonts w:hint="eastAsia"/>
            </w:rPr>
            <w:t>酸水解</w:t>
          </w:r>
        </w:p>
        <w:p w14:paraId="66AC72DC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称取试样0.1 g~0.2 g（精确至0.1 mg）于水解管中，加入10 mL盐酸（6 mol/L），充氮1 min后迅速密封。置于110 ℃±1 ℃电热恒温干燥箱中水解22 h~24 h。取出冷却至室温，过滤并转移至50 mL容量瓶中，用盐酸（0.02 mol/L）多次洗涤水解管，洗液并入容量瓶，定容摇匀。取1.0 mL过0.22 μm滤膜，待测。</w:t>
          </w:r>
        </w:p>
        <w:p w14:paraId="00BF559E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注：酸水解会破坏色氨酸。如需测定色氨酸，应另取试样按碱水解法（GB/T 18246规定）单独处理。</w:t>
          </w:r>
        </w:p>
        <w:p w14:paraId="47442CE5">
          <w:pPr>
            <w:pStyle w:val="42"/>
            <w:spacing w:before="120" w:after="120"/>
          </w:pPr>
          <w:r>
            <w:rPr>
              <w:rFonts w:hint="eastAsia"/>
            </w:rPr>
            <w:t>氨基酸测定</w:t>
          </w:r>
        </w:p>
        <w:p w14:paraId="1D7B2443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按GB/T 18246规定执行，采用氨基酸分析仪法或高效液相色谱法测定水解液中各氨基酸含量。</w:t>
          </w:r>
        </w:p>
        <w:p w14:paraId="182ADFD4">
          <w:pPr>
            <w:pStyle w:val="41"/>
            <w:spacing w:before="120" w:after="120"/>
          </w:pPr>
          <w:r>
            <w:rPr>
              <w:rFonts w:hint="eastAsia"/>
            </w:rPr>
            <w:t>结果计算</w:t>
          </w:r>
        </w:p>
        <w:p w14:paraId="3FD9986A">
          <w:pPr>
            <w:pStyle w:val="18"/>
            <w:ind w:firstLine="420"/>
          </w:pPr>
          <w:r>
            <w:rPr>
              <w:rFonts w:ascii="Times New Roman"/>
            </w:rPr>
            <w:t>真蛋白质含量以质量分数</w:t>
          </w:r>
          <w:r>
            <w:rPr>
              <w:rFonts w:ascii="Times New Roman"/>
              <w:i/>
              <w:iCs/>
            </w:rPr>
            <w:t xml:space="preserve"> w </w:t>
          </w:r>
          <w:r>
            <w:rPr>
              <w:rFonts w:ascii="Times New Roman"/>
            </w:rPr>
            <w:t>计，数值以 % 表示，按式（A.2）计算：</w:t>
          </w:r>
        </w:p>
        <w:p w14:paraId="19B8F087">
          <w:pPr>
            <w:pStyle w:val="43"/>
          </w:pPr>
          <m:oMathPara>
            <m:oMathParaPr>
              <m:jc m:val="center"/>
            </m:oMathParaPr>
            <m:oMath>
              <m:r>
                <m:rPr/>
                <w:rPr>
                  <w:rFonts w:ascii="Cambria Math" w:hAnsi="Cambria Math"/>
                </w:rPr>
                <m:t>w=</m:t>
              </m:r>
              <m:f>
                <m:fPr>
                  <m:ctrlPr>
                    <w:rPr>
                      <w:rFonts w:ascii="Cambria Math" w:hAnsi="Cambria Math"/>
                    </w:rPr>
                  </m:ctrlPr>
                </m:fPr>
                <m:num>
                  <m:nary>
                    <m:naryPr>
                      <m:chr m:val="∑"/>
                      <m:limLoc m:val="subSup"/>
                      <m:subHide m:val="1"/>
                      <m:supHide m:val="1"/>
                      <m:ctrlPr>
                        <w:rPr>
                          <w:rFonts w:ascii="Cambria Math" w:hAnsi="Cambria Math"/>
                        </w:rPr>
                      </m:ctrlPr>
                    </m:naryPr>
                    <m:sub>
                      <m:ctrlPr>
                        <w:rPr>
                          <w:rFonts w:ascii="Cambria Math" w:hAnsi="Cambria Math"/>
                        </w:rPr>
                      </m:ctrlPr>
                    </m:sub>
                    <m:sup>
                      <m:ctrlPr>
                        <w:rPr>
                          <w:rFonts w:ascii="Cambria Math" w:hAnsi="Cambria Math"/>
                        </w:rPr>
                      </m:ctrlPr>
                    </m:sup>
                    <m:e>
                      <m:r>
                        <m:rPr/>
                        <w:rPr>
                          <w:rFonts w:ascii="Cambria Math" w:hAnsi="Cambria Math"/>
                        </w:rPr>
                        <m:t>(</m:t>
                      </m:r>
                      <m:ctrlPr>
                        <w:rPr>
                          <w:rFonts w:ascii="Cambria Math" w:hAnsi="Cambria Math"/>
                        </w:rPr>
                      </m:ctrlPr>
                    </m:e>
                  </m:nary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/>
                        <w:rPr>
                          <w:rFonts w:ascii="Cambria Math" w:hAnsi="Cambria Math"/>
                        </w:rPr>
                        <m:t>C</m:t>
                      </m:r>
                      <m:ctrlPr>
                        <w:rPr>
                          <w:rFonts w:ascii="Cambria Math" w:hAnsi="Cambria Math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/>
                        </w:rPr>
                        <m:t>i</m:t>
                      </m:r>
                      <m:ctrlPr>
                        <w:rPr>
                          <w:rFonts w:ascii="Cambria Math" w:hAnsi="Cambria Math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/>
                        <w:rPr>
                          <w:rFonts w:ascii="Cambria Math" w:hAnsi="Cambria Math"/>
                        </w:rPr>
                        <m:t>M</m:t>
                      </m:r>
                      <m:ctrlPr>
                        <w:rPr>
                          <w:rFonts w:ascii="Cambria Math" w:hAnsi="Cambria Math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/>
                        </w:rPr>
                        <m:t>i</m:t>
                      </m:r>
                      <m:ctrlPr>
                        <w:rPr>
                          <w:rFonts w:ascii="Cambria Math" w:hAnsi="Cambria Math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/>
                    </w:rPr>
                    <m:t>×V)</m:t>
                  </m:r>
                  <m:ctrlPr>
                    <w:rPr>
                      <w:rFonts w:ascii="Cambria Math" w:hAnsi="Cambria Math"/>
                    </w:rPr>
                  </m:ctrlPr>
                </m:num>
                <m:den>
                  <m:r>
                    <m:rPr/>
                    <w:rPr>
                      <w:rFonts w:ascii="Cambria Math" w:hAnsi="Cambria Math"/>
                    </w:rPr>
                    <m:t>m×1</m:t>
                  </m:r>
                  <m:sSup>
                    <m:sSupPr>
                      <m:ctrlPr>
                        <w:rPr>
                          <w:rFonts w:ascii="Cambria Math" w:hAnsi="Cambria Math"/>
                        </w:rPr>
                      </m:ctrlPr>
                    </m:sSupPr>
                    <m:e>
                      <m:r>
                        <m:rPr/>
                        <w:rPr>
                          <w:rFonts w:ascii="Cambria Math" w:hAnsi="Cambria Math"/>
                        </w:rPr>
                        <m:t>0</m:t>
                      </m:r>
                      <m:ctrlPr>
                        <w:rPr>
                          <w:rFonts w:ascii="Cambria Math" w:hAnsi="Cambria Math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/>
                        </w:rPr>
                        <m:t>6</m:t>
                      </m:r>
                      <m:ctrlPr>
                        <w:rPr>
                          <w:rFonts w:ascii="Cambria Math" w:hAnsi="Cambria Math"/>
                        </w:rPr>
                      </m:ctrlPr>
                    </m:sup>
                  </m:sSup>
                  <m:ctrlPr>
                    <w:rPr>
                      <w:rFonts w:ascii="Cambria Math" w:hAnsi="Cambria Math"/>
                    </w:rPr>
                  </m:ctrlPr>
                </m:den>
              </m:f>
              <m:r>
                <m:rPr/>
                <w:rPr>
                  <w:rFonts w:ascii="Cambria Math" w:hAnsi="Cambria Math"/>
                </w:rPr>
                <m:t>×100%                                                                                                                      (A.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begin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 seq FuLuGSBH_134216035721511101  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separate"/>
              </m:r>
              <m:r>
                <m:rPr>
                  <m:sty m:val="p"/>
                </m:rPr>
                <w:rPr>
                  <w:rFonts w:ascii="Cambria Math" w:hAnsi="Cambria Math"/>
                </w:rPr>
                <m:t>2</m:t>
              </m:r>
              <m:r>
                <m:rPr>
                  <m:sty m:val="p"/>
                </m:rPr>
                <w:rPr>
                  <w:rFonts w:ascii="Cambria Math" w:hAnsi="Cambria Math"/>
                </w:rPr>
                <w:fldChar w:fldCharType="end"/>
              </m:r>
              <m:r>
                <m:rPr/>
                <w:rPr>
                  <w:rFonts w:ascii="Cambria Math" w:hAnsi="Cambria Math"/>
                </w:rPr>
                <m:t>)</m:t>
              </m:r>
            </m:oMath>
          </m:oMathPara>
        </w:p>
        <w:p w14:paraId="66F03299">
          <w:pPr>
            <w:pStyle w:val="18"/>
            <w:ind w:firstLine="0" w:firstLineChars="0"/>
          </w:pPr>
          <w:r>
            <w:rPr>
              <w:rFonts w:hint="eastAsia"/>
            </w:rPr>
            <w:t>式中：</w:t>
          </w:r>
        </w:p>
        <w:p w14:paraId="27D20355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  <w:i/>
              <w:iCs/>
            </w:rPr>
            <w:t>C</w:t>
          </w:r>
          <w:r>
            <w:rPr>
              <w:rFonts w:ascii="Times New Roman"/>
              <w:i/>
              <w:iCs/>
              <w:vertAlign w:val="subscript"/>
            </w:rPr>
            <w:t>i</w:t>
          </w:r>
          <w:r>
            <w:rPr>
              <w:rFonts w:ascii="Times New Roman"/>
            </w:rPr>
            <w:t>—— 第i种氨基酸浓度，单位为微摩尔每毫升（μmol/mL）；</w:t>
          </w:r>
        </w:p>
        <w:p w14:paraId="3ED68EFF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  <w:i/>
              <w:iCs/>
            </w:rPr>
            <w:t>M</w:t>
          </w:r>
          <w:r>
            <w:rPr>
              <w:rFonts w:ascii="Times New Roman"/>
              <w:i/>
              <w:iCs/>
              <w:vertAlign w:val="subscript"/>
            </w:rPr>
            <w:t>i</w:t>
          </w:r>
          <w:r>
            <w:rPr>
              <w:rFonts w:ascii="Times New Roman"/>
            </w:rPr>
            <w:t>—— 第i种氨基酸残基分子量，单位为克每摩尔（g/mol）；</w:t>
          </w:r>
        </w:p>
        <w:p w14:paraId="4838B28A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V—— 水解液定容体积，单位为毫升（mL）；</w:t>
          </w:r>
        </w:p>
        <w:p w14:paraId="4226332C">
          <w:pPr>
            <w:pStyle w:val="18"/>
            <w:ind w:firstLine="420"/>
            <w:rPr>
              <w:rFonts w:ascii="Times New Roman"/>
            </w:rPr>
          </w:pPr>
          <w:r>
            <w:rPr>
              <w:rFonts w:ascii="Times New Roman"/>
            </w:rPr>
            <w:t>m—— 试样质量，单位为克（g）；</w:t>
          </w:r>
        </w:p>
        <w:p w14:paraId="4E85ED0F">
          <w:pPr>
            <w:pStyle w:val="18"/>
            <w:ind w:firstLine="420"/>
          </w:pPr>
          <w:r>
            <w:rPr>
              <w:rFonts w:ascii="Times New Roman"/>
            </w:rPr>
            <w:t>10</w:t>
          </w:r>
          <w:r>
            <w:rPr>
              <w:rFonts w:ascii="Times New Roman"/>
              <w:vertAlign w:val="superscript"/>
            </w:rPr>
            <w:t>6</w:t>
          </w:r>
          <w:r>
            <w:rPr>
              <w:rFonts w:ascii="Times New Roman"/>
            </w:rPr>
            <w:t>—— 单位换算系数</w:t>
          </w:r>
          <w:r>
            <w:rPr>
              <w:rFonts w:hint="eastAsia"/>
            </w:rPr>
            <w:t>。</w:t>
          </w:r>
        </w:p>
        <w:p w14:paraId="02E43CA2">
          <w:pPr>
            <w:pStyle w:val="18"/>
            <w:ind w:firstLine="420"/>
          </w:pPr>
          <w:r>
            <w:rPr>
              <w:rFonts w:hint="eastAsia"/>
            </w:rPr>
            <w:t>各氨基酸残基分子量按通用化学数据取值。</w:t>
          </w:r>
        </w:p>
        <w:p w14:paraId="08F6C0B6">
          <w:pPr>
            <w:pStyle w:val="18"/>
            <w:ind w:firstLine="420"/>
          </w:pPr>
          <w:r>
            <w:rPr>
              <w:rFonts w:hint="eastAsia"/>
            </w:rPr>
            <w:t>以重复条件下获得的两次独立测定结果的算术平均值表示，结果保留至小数点后一位。</w:t>
          </w:r>
        </w:p>
        <w:p w14:paraId="7D4BBFE3">
          <w:pPr>
            <w:pStyle w:val="41"/>
            <w:spacing w:before="120" w:after="120"/>
          </w:pPr>
          <w:r>
            <w:rPr>
              <w:rFonts w:hint="eastAsia"/>
            </w:rPr>
            <w:t>精密度</w:t>
          </w:r>
        </w:p>
        <w:p w14:paraId="5E0D5A05">
          <w:pPr>
            <w:pStyle w:val="18"/>
            <w:ind w:firstLine="420"/>
          </w:pPr>
          <w:r>
            <w:rPr>
              <w:rFonts w:hint="eastAsia"/>
            </w:rPr>
            <w:t>在重复性条件下，两次独立测定结果的绝对差值不超过其算术平均值的 8%。</w:t>
          </w:r>
        </w:p>
        <w:p w14:paraId="41435865">
          <w:pPr>
            <w:pStyle w:val="18"/>
            <w:ind w:firstLine="420"/>
            <w:jc w:val="center"/>
          </w:pPr>
        </w:p>
        <w:p w14:paraId="4FA2E7B8">
          <w:pPr>
            <w:pStyle w:val="18"/>
            <w:ind w:firstLine="422"/>
            <w:jc w:val="center"/>
            <w:rPr>
              <w:rFonts w:hint="eastAsia" w:hAnsi="宋体" w:cs="宋体"/>
            </w:rPr>
          </w:pPr>
          <w:r>
            <w:rPr>
              <w:rFonts w:hint="eastAsia" w:ascii="黑体" w:hAnsi="黑体" w:eastAsia="黑体" w:cs="黑体"/>
              <w:b/>
            </w:rPr>
            <w:t>━━━━━━━━━━━</w:t>
          </w:r>
        </w:p>
        <w:p w14:paraId="502D0905">
          <w:pPr>
            <w:pStyle w:val="5"/>
          </w:pPr>
        </w:p>
      </w:sdtContent>
    </w:sdt>
    <w:sectPr>
      <w:footerReference r:id="rId14" w:type="default"/>
      <w:pgSz w:w="11906" w:h="16838"/>
      <w:pgMar w:top="1928" w:right="1134" w:bottom="1134" w:left="1134" w:header="1418" w:footer="1134" w:gutter="284"/>
      <w:pgNumType w:fmt="decimal"/>
      <w:cols w:space="425" w:num="1"/>
      <w:formProt w:val="0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7F" w:usb3="00000000" w:csb0="203F01FF" w:csb1="D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70EC79">
    <w:pPr>
      <w:spacing w:line="231" w:lineRule="auto"/>
      <w:ind w:left="8974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z w:val="18"/>
        <w:szCs w:val="18"/>
      </w:rPr>
      <w:t>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CE0098">
    <w:pPr>
      <w:spacing w:line="231" w:lineRule="auto"/>
      <w:ind w:left="0" w:leftChars="0" w:firstLine="0" w:firstLineChars="0"/>
      <w:jc w:val="right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pacing w:val="-8"/>
        <w:sz w:val="18"/>
        <w:szCs w:val="18"/>
      </w:rPr>
      <w:t>II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5A3E18">
    <w:pPr>
      <w:pStyle w:val="21"/>
      <w:ind w:right="360" w:firstLine="360"/>
      <w:rPr>
        <w:rStyle w:val="13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46E91E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C46E91E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521F5B">
    <w:pPr>
      <w:pStyle w:val="6"/>
      <w:framePr w:wrap="around" w:vAnchor="text" w:hAnchor="margin" w:xAlign="outside" w:y="1"/>
    </w:pPr>
    <w:r>
      <w:rPr>
        <w:rStyle w:val="13"/>
      </w:rPr>
      <w:fldChar w:fldCharType="begin"/>
    </w:r>
    <w:r>
      <w:rPr>
        <w:rStyle w:val="13"/>
      </w:rPr>
      <w:instrText xml:space="preserve"> PAGE </w:instrText>
    </w:r>
    <w:r>
      <w:rPr>
        <w:rStyle w:val="13"/>
      </w:rPr>
      <w:fldChar w:fldCharType="separate"/>
    </w:r>
    <w:r>
      <w:rPr>
        <w:rStyle w:val="13"/>
      </w:rPr>
      <w:t>I</w:t>
    </w:r>
    <w:r>
      <w:rPr>
        <w:rStyle w:val="13"/>
      </w:rPr>
      <w:fldChar w:fldCharType="end"/>
    </w:r>
  </w:p>
  <w:p w14:paraId="388996D6">
    <w:pPr>
      <w:pStyle w:val="6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256B72">
    <w:pPr>
      <w:pStyle w:val="21"/>
      <w:ind w:right="360" w:firstLine="360"/>
      <w:rPr>
        <w:rStyle w:val="13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40CF8C">
                          <w:pPr>
                            <w:pStyle w:val="21"/>
                            <w:rPr>
                              <w:rStyle w:val="13"/>
                            </w:rPr>
                          </w:pPr>
                          <w:r>
                            <w:rPr>
                              <w:rStyle w:val="13"/>
                            </w:rPr>
                            <w:fldChar w:fldCharType="begin"/>
                          </w:r>
                          <w:r>
                            <w:rPr>
                              <w:rStyle w:val="13"/>
                            </w:rPr>
                            <w:instrText xml:space="preserve"> PAGE </w:instrText>
                          </w:r>
                          <w:r>
                            <w:rPr>
                              <w:rStyle w:val="13"/>
                            </w:rPr>
                            <w:fldChar w:fldCharType="separate"/>
                          </w:r>
                          <w:r>
                            <w:rPr>
                              <w:rStyle w:val="13"/>
                            </w:rPr>
                            <w:t>1</w:t>
                          </w:r>
                          <w:r>
                            <w:rPr>
                              <w:rStyle w:val="13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MDJ3Ut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740CF8C">
                    <w:pPr>
                      <w:pStyle w:val="21"/>
                      <w:rPr>
                        <w:rStyle w:val="13"/>
                      </w:rPr>
                    </w:pPr>
                    <w:r>
                      <w:rPr>
                        <w:rStyle w:val="13"/>
                      </w:rPr>
                      <w:fldChar w:fldCharType="begin"/>
                    </w:r>
                    <w:r>
                      <w:rPr>
                        <w:rStyle w:val="13"/>
                      </w:rPr>
                      <w:instrText xml:space="preserve"> PAGE </w:instrText>
                    </w:r>
                    <w:r>
                      <w:rPr>
                        <w:rStyle w:val="13"/>
                      </w:rPr>
                      <w:fldChar w:fldCharType="separate"/>
                    </w:r>
                    <w:r>
                      <w:rPr>
                        <w:rStyle w:val="13"/>
                      </w:rPr>
                      <w:t>1</w:t>
                    </w:r>
                    <w:r>
                      <w:rPr>
                        <w:rStyle w:val="13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E21E04">
    <w:pPr>
      <w:spacing w:line="231" w:lineRule="auto"/>
      <w:ind w:left="0" w:leftChars="0" w:firstLine="0" w:firstLineChars="0"/>
      <w:jc w:val="right"/>
      <w:rPr>
        <w:rFonts w:ascii="宋体" w:hAnsi="宋体" w:eastAsia="宋体" w:cs="宋体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FEC7E9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FEC7E9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C1EDB">
    <w:pPr>
      <w:pStyle w:val="5"/>
      <w:spacing w:line="14" w:lineRule="auto"/>
      <w:rPr>
        <w:sz w:val="2"/>
      </w:rPr>
    </w:pPr>
    <w:r>
      <w:pict>
        <v:shape id="WordPictureWatermark2" o:spid="_x0000_s2049" o:spt="75" type="#_x0000_t75" style="position:absolute;left:0pt;margin-left:100.55pt;margin-top:223.9pt;height:396.85pt;width:421pt;mso-position-horizontal-relative:page;mso-position-vertical-relative:page;z-index:-251657216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717525">
    <w:pPr>
      <w:pStyle w:val="5"/>
      <w:spacing w:line="14" w:lineRule="auto"/>
      <w:rPr>
        <w:sz w:val="2"/>
      </w:rPr>
    </w:pPr>
    <w:r>
      <w:pict>
        <v:shape id="WordPictureWatermark8" o:spid="_x0000_s2050" o:spt="75" type="#_x0000_t75" style="position:absolute;left:0pt;margin-left:100.55pt;margin-top:238.55pt;height:396.75pt;width:421pt;mso-position-horizontal-relative:page;mso-position-vertical-relative:page;z-index:-251656192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0061A3">
    <w:pPr>
      <w:spacing w:before="122" w:line="167" w:lineRule="auto"/>
      <w:ind w:left="6442"/>
      <w:rPr>
        <w:rFonts w:ascii="宋体" w:hAnsi="宋体" w:eastAsia="宋体" w:cs="宋体"/>
        <w:sz w:val="24"/>
        <w:szCs w:val="24"/>
      </w:rPr>
    </w:pPr>
    <w:r>
      <w:pict>
        <v:shape id="WordPictureWatermark10" o:spid="_x0000_s2051" o:spt="75" type="#_x0000_t75" style="position:absolute;left:0pt;margin-left:100.55pt;margin-top:238.55pt;height:396.75pt;width:421pt;mso-position-horizontal-relative:page;mso-position-vertical-relative:page;z-index:-251655168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  <w:r>
      <w:rPr>
        <w:rFonts w:ascii="宋体" w:hAnsi="宋体" w:eastAsia="宋体" w:cs="宋体"/>
        <w:spacing w:val="-1"/>
        <w:sz w:val="24"/>
        <w:szCs w:val="24"/>
      </w:rPr>
      <w:t xml:space="preserve">T/CFNA   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16</w:t>
    </w:r>
    <w:r>
      <w:rPr>
        <w:rFonts w:hint="eastAsia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85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-2025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0D75A0"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827ECD"/>
    <w:multiLevelType w:val="multilevel"/>
    <w:tmpl w:val="B3827ECD"/>
    <w:lvl w:ilvl="0" w:tentative="0">
      <w:start w:val="1"/>
      <w:numFmt w:val="lowerLetter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1">
    <w:nsid w:val="E4C559AA"/>
    <w:multiLevelType w:val="multilevel"/>
    <w:tmpl w:val="E4C559AA"/>
    <w:lvl w:ilvl="0" w:tentative="0">
      <w:start w:val="1"/>
      <w:numFmt w:val="lowerLetter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E7BB0CC5"/>
    <w:multiLevelType w:val="singleLevel"/>
    <w:tmpl w:val="E7BB0CC5"/>
    <w:lvl w:ilvl="0" w:tentative="0">
      <w:start w:val="7"/>
      <w:numFmt w:val="decimal"/>
      <w:suff w:val="space"/>
      <w:lvlText w:val="%1."/>
      <w:lvlJc w:val="left"/>
    </w:lvl>
  </w:abstractNum>
  <w:abstractNum w:abstractNumId="3">
    <w:nsid w:val="FAAFD711"/>
    <w:multiLevelType w:val="multilevel"/>
    <w:tmpl w:val="FAAFD711"/>
    <w:lvl w:ilvl="0" w:tentative="0">
      <w:start w:val="1"/>
      <w:numFmt w:val="lowerLetter"/>
      <w:pStyle w:val="34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4">
    <w:nsid w:val="09227E31"/>
    <w:multiLevelType w:val="multilevel"/>
    <w:tmpl w:val="09227E31"/>
    <w:lvl w:ilvl="0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 w:ascii="黑体" w:hAnsi="Times New Roman" w:eastAsia="黑体"/>
        <w:b/>
        <w:i w:val="0"/>
        <w:sz w:val="21"/>
      </w:rPr>
    </w:lvl>
    <w:lvl w:ilvl="1" w:tentative="0">
      <w:start w:val="1"/>
      <w:numFmt w:val="decimal"/>
      <w:pStyle w:val="36"/>
      <w:suff w:val="nothing"/>
      <w:lvlText w:val="表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caps w:val="0"/>
        <w:strike w:val="0"/>
        <w:dstrike w:val="0"/>
        <w:snapToGrid w:val="0"/>
        <w:vanish w:val="0"/>
        <w:kern w:val="0"/>
        <w:sz w:val="21"/>
        <w:szCs w:val="21"/>
        <w:u w:val="none"/>
        <w:vertAlign w:val="baseline"/>
      </w:rPr>
    </w:lvl>
    <w:lvl w:ilvl="2" w:tentative="0">
      <w:start w:val="1"/>
      <w:numFmt w:val="none"/>
      <w:suff w:val="nothing"/>
      <w:lvlText w:val="%1表%2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spacing w:val="0"/>
        <w:w w:val="10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suff w:val="nothing"/>
      <w:lvlText w:val="%1%2.%3.%4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3969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677"/>
        </w:tabs>
        <w:ind w:left="4677" w:hanging="1700"/>
      </w:pPr>
      <w:rPr>
        <w:rFonts w:hint="eastAsia"/>
      </w:rPr>
    </w:lvl>
  </w:abstractNum>
  <w:abstractNum w:abstractNumId="5">
    <w:nsid w:val="0A9187A9"/>
    <w:multiLevelType w:val="multilevel"/>
    <w:tmpl w:val="0A9187A9"/>
    <w:lvl w:ilvl="0" w:tentative="0">
      <w:start w:val="1"/>
      <w:numFmt w:val="lowerLetter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6">
    <w:nsid w:val="1FC91163"/>
    <w:multiLevelType w:val="multilevel"/>
    <w:tmpl w:val="1FC91163"/>
    <w:lvl w:ilvl="0" w:tentative="0">
      <w:start w:val="1"/>
      <w:numFmt w:val="decimal"/>
      <w:pStyle w:val="17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22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33"/>
      <w:suff w:val="nothing"/>
      <w:lvlText w:val="%1.%2.%3　"/>
      <w:lvlJc w:val="left"/>
      <w:pPr>
        <w:ind w:left="21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3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7">
    <w:nsid w:val="2A8F7113"/>
    <w:multiLevelType w:val="multilevel"/>
    <w:tmpl w:val="2A8F7113"/>
    <w:lvl w:ilvl="0" w:tentative="0">
      <w:start w:val="1"/>
      <w:numFmt w:val="upperLetter"/>
      <w:pStyle w:val="38"/>
      <w:suff w:val="space"/>
      <w:lvlText w:val="%1"/>
      <w:lvlJc w:val="left"/>
      <w:pPr>
        <w:ind w:left="0" w:firstLine="0"/>
      </w:pPr>
      <w:rPr>
        <w:rFonts w:hint="eastAsia"/>
        <w:color w:val="FFFFFF" w:themeColor="background1"/>
        <w:sz w:val="2"/>
        <w14:textFill>
          <w14:solidFill>
            <w14:schemeClr w14:val="bg1"/>
          </w14:solidFill>
        </w14:textFill>
      </w:rPr>
    </w:lvl>
    <w:lvl w:ilvl="1" w:tentative="0">
      <w:start w:val="1"/>
      <w:numFmt w:val="decimal"/>
      <w:suff w:val="nothing"/>
      <w:lvlText w:val="图%1.%2　"/>
      <w:lvlJc w:val="left"/>
      <w:pPr>
        <w:ind w:left="0" w:firstLine="0"/>
      </w:pPr>
      <w:rPr>
        <w:rFonts w:hint="eastAsia" w:eastAsia="黑体"/>
        <w:b w:val="0"/>
        <w:i w:val="0"/>
        <w:sz w:val="21"/>
      </w:rPr>
    </w:lvl>
    <w:lvl w:ilvl="2" w:tentative="0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8">
    <w:nsid w:val="41B9F965"/>
    <w:multiLevelType w:val="multilevel"/>
    <w:tmpl w:val="41B9F965"/>
    <w:lvl w:ilvl="0" w:tentative="0">
      <w:start w:val="1"/>
      <w:numFmt w:val="lowerLetter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9">
    <w:nsid w:val="60B55DC2"/>
    <w:multiLevelType w:val="multilevel"/>
    <w:tmpl w:val="60B55DC2"/>
    <w:lvl w:ilvl="0" w:tentative="0">
      <w:start w:val="1"/>
      <w:numFmt w:val="upperLetter"/>
      <w:pStyle w:val="37"/>
      <w:lvlText w:val="%1"/>
      <w:lvlJc w:val="left"/>
      <w:pPr>
        <w:tabs>
          <w:tab w:val="left" w:pos="0"/>
        </w:tabs>
        <w:ind w:left="0" w:firstLine="0"/>
      </w:pPr>
      <w:rPr>
        <w:rFonts w:hint="eastAsia"/>
        <w:color w:val="FFFFFF" w:themeColor="background1"/>
        <w:sz w:val="2"/>
        <w14:textFill>
          <w14:solidFill>
            <w14:schemeClr w14:val="bg1"/>
          </w14:solidFill>
        </w14:textFill>
      </w:rPr>
    </w:lvl>
    <w:lvl w:ilvl="1" w:tentative="0">
      <w:start w:val="1"/>
      <w:numFmt w:val="decimal"/>
      <w:suff w:val="nothing"/>
      <w:lvlText w:val="表%1.%2　"/>
      <w:lvlJc w:val="left"/>
      <w:pPr>
        <w:ind w:left="0" w:firstLine="0"/>
      </w:pPr>
      <w:rPr>
        <w:rFonts w:hint="eastAsia" w:ascii="黑体" w:hAnsi="黑体" w:eastAsia="黑体"/>
        <w:b w:val="0"/>
        <w:i w:val="0"/>
        <w:caps w:val="0"/>
        <w:strike w:val="0"/>
        <w:dstrike w:val="0"/>
        <w:snapToGrid w:val="0"/>
        <w:vanish w:val="0"/>
        <w:kern w:val="0"/>
        <w:sz w:val="21"/>
        <w:vertAlign w:val="baseline"/>
      </w:rPr>
    </w:lvl>
    <w:lvl w:ilvl="2" w:tentative="0">
      <w:start w:val="1"/>
      <w:numFmt w:val="none"/>
      <w:suff w:val="nothing"/>
      <w:lvlText w:val="表%1.%2　"/>
      <w:lvlJc w:val="left"/>
      <w:pPr>
        <w:ind w:left="0" w:firstLine="0"/>
      </w:pPr>
      <w:rPr>
        <w:rFonts w:hint="eastAsia" w:ascii="黑体" w:hAnsi="黑体" w:eastAsia="黑体"/>
        <w:b w:val="0"/>
        <w:i w:val="0"/>
        <w:sz w:val="21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10">
    <w:nsid w:val="646260FA"/>
    <w:multiLevelType w:val="multilevel"/>
    <w:tmpl w:val="646260FA"/>
    <w:lvl w:ilvl="0" w:tentative="0">
      <w:start w:val="1"/>
      <w:numFmt w:val="decimal"/>
      <w:pStyle w:val="28"/>
      <w:suff w:val="nothing"/>
      <w:lvlText w:val="表%1　"/>
      <w:lvlJc w:val="left"/>
      <w:pPr>
        <w:ind w:left="0" w:firstLine="0"/>
      </w:p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</w:lvl>
    <w:lvl w:ilvl="2" w:tentative="0">
      <w:start w:val="1"/>
      <w:numFmt w:val="decimal"/>
      <w:lvlText w:val="%1.%2.%3"/>
      <w:lvlJc w:val="left"/>
      <w:pPr>
        <w:tabs>
          <w:tab w:val="left" w:pos="1417"/>
        </w:tabs>
        <w:ind w:left="1417" w:hanging="567"/>
      </w:p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</w:lvl>
  </w:abstractNum>
  <w:abstractNum w:abstractNumId="11">
    <w:nsid w:val="657D3FBC"/>
    <w:multiLevelType w:val="multilevel"/>
    <w:tmpl w:val="657D3FBC"/>
    <w:lvl w:ilvl="0" w:tentative="0">
      <w:start w:val="1"/>
      <w:numFmt w:val="upperLetter"/>
      <w:pStyle w:val="39"/>
      <w:suff w:val="nothing"/>
      <w:lvlText w:val="附　录　%1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40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41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42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6" w:tentative="0">
      <w:start w:val="1"/>
      <w:numFmt w:val="decimal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2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26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pStyle w:val="27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6"/>
  </w:num>
  <w:num w:numId="2">
    <w:abstractNumId w:val="12"/>
  </w:num>
  <w:num w:numId="3">
    <w:abstractNumId w:val="10"/>
  </w:num>
  <w:num w:numId="4">
    <w:abstractNumId w:val="3"/>
  </w:num>
  <w:num w:numId="5">
    <w:abstractNumId w:val="4"/>
  </w:num>
  <w:num w:numId="6">
    <w:abstractNumId w:val="9"/>
  </w:num>
  <w:num w:numId="7">
    <w:abstractNumId w:val="7"/>
  </w:num>
  <w:num w:numId="8">
    <w:abstractNumId w:val="11"/>
  </w:num>
  <w:num w:numId="9">
    <w:abstractNumId w:val="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0D303B"/>
    <w:rsid w:val="004A0005"/>
    <w:rsid w:val="03747A3A"/>
    <w:rsid w:val="04970A9E"/>
    <w:rsid w:val="04B213C1"/>
    <w:rsid w:val="04CB4B62"/>
    <w:rsid w:val="05C04234"/>
    <w:rsid w:val="06274E10"/>
    <w:rsid w:val="0633208D"/>
    <w:rsid w:val="0644652B"/>
    <w:rsid w:val="0F21498C"/>
    <w:rsid w:val="10044A9B"/>
    <w:rsid w:val="10A65B52"/>
    <w:rsid w:val="11523871"/>
    <w:rsid w:val="11E64458"/>
    <w:rsid w:val="12833D26"/>
    <w:rsid w:val="139D4FEA"/>
    <w:rsid w:val="14447B5C"/>
    <w:rsid w:val="14535B1A"/>
    <w:rsid w:val="14CF1B1B"/>
    <w:rsid w:val="156E4ABB"/>
    <w:rsid w:val="18146C43"/>
    <w:rsid w:val="19215935"/>
    <w:rsid w:val="1BF71CA7"/>
    <w:rsid w:val="1C623275"/>
    <w:rsid w:val="1C9176B6"/>
    <w:rsid w:val="22693EAE"/>
    <w:rsid w:val="240D3AC6"/>
    <w:rsid w:val="241C7D9A"/>
    <w:rsid w:val="25CF17EB"/>
    <w:rsid w:val="267478AE"/>
    <w:rsid w:val="278F158D"/>
    <w:rsid w:val="27F136FF"/>
    <w:rsid w:val="294E705B"/>
    <w:rsid w:val="297065E3"/>
    <w:rsid w:val="2A64640A"/>
    <w:rsid w:val="2B086178"/>
    <w:rsid w:val="2B5B15BB"/>
    <w:rsid w:val="2BD82C0B"/>
    <w:rsid w:val="2BFF639C"/>
    <w:rsid w:val="2D273CC9"/>
    <w:rsid w:val="2EE34571"/>
    <w:rsid w:val="310D15A9"/>
    <w:rsid w:val="31B57F3A"/>
    <w:rsid w:val="31C37EBA"/>
    <w:rsid w:val="32326DEE"/>
    <w:rsid w:val="37FE7E9E"/>
    <w:rsid w:val="383D23F8"/>
    <w:rsid w:val="383E3EB7"/>
    <w:rsid w:val="39292CF8"/>
    <w:rsid w:val="39A0423B"/>
    <w:rsid w:val="3A23568E"/>
    <w:rsid w:val="3AB24F6F"/>
    <w:rsid w:val="3B4C2F55"/>
    <w:rsid w:val="3C236F8B"/>
    <w:rsid w:val="3C6504EB"/>
    <w:rsid w:val="3CD369EB"/>
    <w:rsid w:val="3D515EC7"/>
    <w:rsid w:val="3DEB3A85"/>
    <w:rsid w:val="3E6A4F84"/>
    <w:rsid w:val="40B10B9B"/>
    <w:rsid w:val="42A47894"/>
    <w:rsid w:val="435B43F6"/>
    <w:rsid w:val="45216F7A"/>
    <w:rsid w:val="4609638B"/>
    <w:rsid w:val="466E5F3D"/>
    <w:rsid w:val="47A0121F"/>
    <w:rsid w:val="493D012B"/>
    <w:rsid w:val="4A630034"/>
    <w:rsid w:val="4B45693B"/>
    <w:rsid w:val="4BC6087B"/>
    <w:rsid w:val="4C31572B"/>
    <w:rsid w:val="4C6C30EE"/>
    <w:rsid w:val="4C8F3630"/>
    <w:rsid w:val="50CE7210"/>
    <w:rsid w:val="50FC2FD1"/>
    <w:rsid w:val="510C1C34"/>
    <w:rsid w:val="53034162"/>
    <w:rsid w:val="55421798"/>
    <w:rsid w:val="572D7A22"/>
    <w:rsid w:val="57853398"/>
    <w:rsid w:val="5A7A2F5C"/>
    <w:rsid w:val="5BD26DC8"/>
    <w:rsid w:val="5E860FB5"/>
    <w:rsid w:val="60FA4DF7"/>
    <w:rsid w:val="633839B4"/>
    <w:rsid w:val="63915AB1"/>
    <w:rsid w:val="63FA6EBC"/>
    <w:rsid w:val="64B13F23"/>
    <w:rsid w:val="64B66E59"/>
    <w:rsid w:val="650107B1"/>
    <w:rsid w:val="652F768E"/>
    <w:rsid w:val="67095FBF"/>
    <w:rsid w:val="68C33D20"/>
    <w:rsid w:val="691E3ADB"/>
    <w:rsid w:val="69D53C08"/>
    <w:rsid w:val="6C517895"/>
    <w:rsid w:val="6C693B68"/>
    <w:rsid w:val="6E2C30EB"/>
    <w:rsid w:val="6E8403F6"/>
    <w:rsid w:val="706109EE"/>
    <w:rsid w:val="71145A61"/>
    <w:rsid w:val="715F1C82"/>
    <w:rsid w:val="73970283"/>
    <w:rsid w:val="73993FFB"/>
    <w:rsid w:val="749B2484"/>
    <w:rsid w:val="77D70B61"/>
    <w:rsid w:val="784529A4"/>
    <w:rsid w:val="79304D29"/>
    <w:rsid w:val="7931117A"/>
    <w:rsid w:val="7AA17C39"/>
    <w:rsid w:val="7B752E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99"/>
    <w:pPr>
      <w:tabs>
        <w:tab w:val="center" w:pos="4153"/>
        <w:tab w:val="right" w:pos="8306"/>
      </w:tabs>
      <w:adjustRightInd/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rPr>
      <w:sz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basedOn w:val="11"/>
    <w:semiHidden/>
    <w:qFormat/>
    <w:uiPriority w:val="0"/>
    <w:rPr>
      <w:rFonts w:ascii="Times New Roman" w:hAnsi="Times New Roman" w:eastAsia="宋体"/>
      <w:sz w:val="18"/>
    </w:rPr>
  </w:style>
  <w:style w:type="character" w:styleId="14">
    <w:name w:val="Emphasis"/>
    <w:basedOn w:val="11"/>
    <w:qFormat/>
    <w:uiPriority w:val="0"/>
    <w:rPr>
      <w:i/>
    </w:rPr>
  </w:style>
  <w:style w:type="table" w:customStyle="1" w:styleId="1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6">
    <w:name w:val="Table Text"/>
    <w:basedOn w:val="1"/>
    <w:semiHidden/>
    <w:qFormat/>
    <w:uiPriority w:val="0"/>
    <w:rPr>
      <w:rFonts w:ascii="Arial" w:hAnsi="Arial" w:eastAsia="Arial" w:cs="Arial"/>
      <w:sz w:val="19"/>
      <w:szCs w:val="19"/>
      <w:lang w:val="en-US" w:eastAsia="en-US" w:bidi="ar-SA"/>
    </w:rPr>
  </w:style>
  <w:style w:type="paragraph" w:customStyle="1" w:styleId="17">
    <w:name w:val="章标题"/>
    <w:next w:val="18"/>
    <w:qFormat/>
    <w:uiPriority w:val="0"/>
    <w:pPr>
      <w:numPr>
        <w:ilvl w:val="0"/>
        <w:numId w:val="1"/>
      </w:numPr>
      <w:spacing w:before="312" w:beforeLines="100" w:after="312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8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9">
    <w:name w:val="目次、标准名称标题"/>
    <w:basedOn w:val="1"/>
    <w:next w:val="18"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20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21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2">
    <w:name w:val="一级条标题"/>
    <w:next w:val="18"/>
    <w:link w:val="23"/>
    <w:qFormat/>
    <w:uiPriority w:val="0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character" w:customStyle="1" w:styleId="23">
    <w:name w:val="一级条标题 Char"/>
    <w:link w:val="22"/>
    <w:qFormat/>
    <w:uiPriority w:val="0"/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24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正文标准名称"/>
    <w:qFormat/>
    <w:uiPriority w:val="0"/>
    <w:pPr>
      <w:spacing w:before="560" w:after="640" w:line="400" w:lineRule="exact"/>
      <w:jc w:val="center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customStyle="1" w:styleId="26">
    <w:name w:val="标准文件_章标题"/>
    <w:next w:val="24"/>
    <w:qFormat/>
    <w:uiPriority w:val="0"/>
    <w:pPr>
      <w:numPr>
        <w:ilvl w:val="1"/>
        <w:numId w:val="2"/>
      </w:numPr>
      <w:spacing w:before="100" w:beforeLines="100" w:after="100" w:afterLines="100"/>
      <w:jc w:val="both"/>
      <w:outlineLvl w:val="0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7">
    <w:name w:val="标准文件_一级条标题"/>
    <w:basedOn w:val="26"/>
    <w:next w:val="24"/>
    <w:qFormat/>
    <w:uiPriority w:val="0"/>
    <w:pPr>
      <w:numPr>
        <w:ilvl w:val="2"/>
      </w:numPr>
      <w:spacing w:before="50" w:beforeLines="50" w:after="50" w:afterLines="50"/>
      <w:outlineLvl w:val="1"/>
    </w:pPr>
  </w:style>
  <w:style w:type="paragraph" w:customStyle="1" w:styleId="28">
    <w:name w:val="标准文件_正文表标题"/>
    <w:next w:val="24"/>
    <w:qFormat/>
    <w:uiPriority w:val="0"/>
    <w:pPr>
      <w:numPr>
        <w:ilvl w:val="0"/>
        <w:numId w:val="3"/>
      </w:numPr>
      <w:tabs>
        <w:tab w:val="left" w:pos="0"/>
      </w:tabs>
      <w:spacing w:before="50" w:beforeLines="50" w:after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9">
    <w:name w:val="标准文件_页眉奇数页"/>
    <w:next w:val="1"/>
    <w:qFormat/>
    <w:uiPriority w:val="0"/>
    <w:pPr>
      <w:tabs>
        <w:tab w:val="center" w:pos="4154"/>
        <w:tab w:val="right" w:pos="8306"/>
      </w:tabs>
      <w:spacing w:after="120"/>
      <w:jc w:val="right"/>
    </w:pPr>
    <w:rPr>
      <w:rFonts w:ascii="黑体" w:hAnsi="宋体" w:eastAsia="黑体" w:cs="Times New Roman"/>
      <w:sz w:val="21"/>
      <w:lang w:val="en-US" w:eastAsia="zh-CN" w:bidi="ar-SA"/>
    </w:rPr>
  </w:style>
  <w:style w:type="paragraph" w:customStyle="1" w:styleId="30">
    <w:name w:val="标准文件_页脚奇数页"/>
    <w:qFormat/>
    <w:uiPriority w:val="0"/>
    <w:pPr>
      <w:ind w:right="227"/>
      <w:jc w:val="right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31">
    <w:name w:val="名称"/>
    <w:basedOn w:val="32"/>
    <w:next w:val="18"/>
    <w:qFormat/>
    <w:uiPriority w:val="0"/>
    <w:pPr>
      <w:spacing w:line="460" w:lineRule="exact"/>
      <w:outlineLvl w:val="9"/>
    </w:pPr>
  </w:style>
  <w:style w:type="paragraph" w:customStyle="1" w:styleId="32">
    <w:name w:val="前言、引言标题"/>
    <w:next w:val="1"/>
    <w:qFormat/>
    <w:uiPriority w:val="0"/>
    <w:pPr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33">
    <w:name w:val="二级条标题"/>
    <w:basedOn w:val="22"/>
    <w:next w:val="18"/>
    <w:qFormat/>
    <w:uiPriority w:val="0"/>
    <w:pPr>
      <w:numPr>
        <w:ilvl w:val="2"/>
      </w:numPr>
      <w:spacing w:before="50" w:after="50"/>
    </w:pPr>
  </w:style>
  <w:style w:type="paragraph" w:customStyle="1" w:styleId="34">
    <w:name w:val="字母编号列项（一级）"/>
    <w:qFormat/>
    <w:uiPriority w:val="0"/>
    <w:pPr>
      <w:numPr>
        <w:ilvl w:val="0"/>
        <w:numId w:val="4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35">
    <w:name w:val="三级条标题"/>
    <w:basedOn w:val="33"/>
    <w:next w:val="18"/>
    <w:qFormat/>
    <w:uiPriority w:val="0"/>
    <w:pPr>
      <w:numPr>
        <w:ilvl w:val="3"/>
      </w:numPr>
    </w:pPr>
  </w:style>
  <w:style w:type="paragraph" w:customStyle="1" w:styleId="36">
    <w:name w:val="正文表标题"/>
    <w:next w:val="18"/>
    <w:qFormat/>
    <w:uiPriority w:val="0"/>
    <w:pPr>
      <w:numPr>
        <w:ilvl w:val="1"/>
        <w:numId w:val="5"/>
      </w:numPr>
      <w:tabs>
        <w:tab w:val="left" w:pos="360"/>
      </w:tabs>
      <w:spacing w:before="156" w:beforeLines="50" w:after="156" w:afterLines="50"/>
      <w:jc w:val="center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37">
    <w:name w:val="附录表标号"/>
    <w:basedOn w:val="1"/>
    <w:next w:val="18"/>
    <w:qFormat/>
    <w:uiPriority w:val="0"/>
    <w:pPr>
      <w:numPr>
        <w:ilvl w:val="0"/>
        <w:numId w:val="6"/>
      </w:numPr>
      <w:snapToGrid w:val="0"/>
      <w:spacing w:line="14" w:lineRule="exact"/>
      <w:jc w:val="center"/>
    </w:pPr>
    <w:rPr>
      <w:color w:val="FFFFFF"/>
    </w:rPr>
  </w:style>
  <w:style w:type="paragraph" w:customStyle="1" w:styleId="38">
    <w:name w:val="附录图标号"/>
    <w:basedOn w:val="1"/>
    <w:next w:val="18"/>
    <w:qFormat/>
    <w:uiPriority w:val="0"/>
    <w:pPr>
      <w:numPr>
        <w:ilvl w:val="0"/>
        <w:numId w:val="7"/>
      </w:numPr>
      <w:snapToGrid w:val="0"/>
      <w:spacing w:line="14" w:lineRule="exact"/>
      <w:jc w:val="center"/>
    </w:pPr>
    <w:rPr>
      <w:color w:val="FFFFFF"/>
    </w:rPr>
  </w:style>
  <w:style w:type="paragraph" w:customStyle="1" w:styleId="39">
    <w:name w:val="附录标识"/>
    <w:basedOn w:val="1"/>
    <w:next w:val="1"/>
    <w:qFormat/>
    <w:uiPriority w:val="0"/>
    <w:pPr>
      <w:keepNext/>
      <w:widowControl/>
      <w:numPr>
        <w:ilvl w:val="0"/>
        <w:numId w:val="8"/>
      </w:numPr>
      <w:shd w:val="clear" w:color="FFFFFF" w:fill="FFFFFF"/>
      <w:tabs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40">
    <w:name w:val="附录章标题"/>
    <w:next w:val="18"/>
    <w:qFormat/>
    <w:uiPriority w:val="0"/>
    <w:pPr>
      <w:numPr>
        <w:ilvl w:val="1"/>
        <w:numId w:val="8"/>
      </w:numPr>
      <w:wordWrap w:val="0"/>
      <w:overflowPunct w:val="0"/>
      <w:autoSpaceDE w:val="0"/>
      <w:spacing w:before="50" w:beforeLines="50" w:after="50" w:afterLines="50"/>
      <w:jc w:val="both"/>
      <w:textAlignment w:val="baseline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41">
    <w:name w:val="附录一级条标题"/>
    <w:basedOn w:val="40"/>
    <w:next w:val="18"/>
    <w:qFormat/>
    <w:uiPriority w:val="0"/>
    <w:pPr>
      <w:numPr>
        <w:ilvl w:val="2"/>
      </w:numPr>
      <w:autoSpaceDN w:val="0"/>
    </w:pPr>
  </w:style>
  <w:style w:type="paragraph" w:customStyle="1" w:styleId="42">
    <w:name w:val="附录二级条标题"/>
    <w:basedOn w:val="1"/>
    <w:next w:val="18"/>
    <w:qFormat/>
    <w:uiPriority w:val="0"/>
    <w:pPr>
      <w:widowControl/>
      <w:numPr>
        <w:ilvl w:val="3"/>
        <w:numId w:val="8"/>
      </w:numPr>
      <w:wordWrap w:val="0"/>
      <w:overflowPunct w:val="0"/>
      <w:autoSpaceDE w:val="0"/>
      <w:autoSpaceDN w:val="0"/>
      <w:spacing w:before="50" w:beforeLines="50" w:after="50" w:afterLines="50"/>
      <w:textAlignment w:val="baseline"/>
    </w:pPr>
    <w:rPr>
      <w:rFonts w:ascii="黑体" w:eastAsia="黑体"/>
      <w:kern w:val="21"/>
      <w:szCs w:val="20"/>
    </w:rPr>
  </w:style>
  <w:style w:type="paragraph" w:customStyle="1" w:styleId="43">
    <w:name w:val="公式编号制表符"/>
    <w:basedOn w:val="1"/>
    <w:next w:val="1"/>
    <w:qFormat/>
    <w:uiPriority w:val="0"/>
    <w:pPr>
      <w:widowControl/>
      <w:tabs>
        <w:tab w:val="center" w:pos="4679"/>
        <w:tab w:val="right" w:leader="dot" w:pos="9299"/>
      </w:tabs>
      <w:autoSpaceDE w:val="0"/>
      <w:autoSpaceDN w:val="0"/>
      <w:textAlignment w:val="center"/>
    </w:pPr>
    <w:rPr>
      <w:rFonts w:ascii="宋体"/>
      <w:kern w:val="0"/>
      <w:szCs w:val="20"/>
    </w:rPr>
  </w:style>
  <w:style w:type="paragraph" w:customStyle="1" w:styleId="44">
    <w:name w:val="式中"/>
    <w:qFormat/>
    <w:uiPriority w:val="0"/>
    <w:pPr>
      <w:ind w:left="200" w:leftChars="200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3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glossaryDocument" Target="glossary/document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3.png"/><Relationship Id="rId15" Type="http://schemas.openxmlformats.org/officeDocument/2006/relationships/theme" Target="theme/theme1.xml"/><Relationship Id="rId14" Type="http://schemas.openxmlformats.org/officeDocument/2006/relationships/footer" Target="footer6.xml"/><Relationship Id="rId13" Type="http://schemas.openxmlformats.org/officeDocument/2006/relationships/footer" Target="footer5.xml"/><Relationship Id="rId12" Type="http://schemas.openxmlformats.org/officeDocument/2006/relationships/footer" Target="footer4.xml"/><Relationship Id="rId11" Type="http://schemas.openxmlformats.org/officeDocument/2006/relationships/footer" Target="footer3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e247ccaa-aefd-44e1-a0a0-5f7154484d03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247ccaa-aefd-44e1-a0a0-5f7154484d03}"/>
      </w:docPartPr>
      <w:docPartBody>
        <w:p w14:paraId="3A135300">
          <w:pPr>
            <w:pStyle w:val="2"/>
            <w:rPr>
              <w:rFonts w:hint="eastAsia"/>
            </w:rPr>
          </w:pPr>
          <w:r>
            <w:rPr>
              <w:rStyle w:val="3"/>
              <w:rFonts w:hint="eastAsia"/>
            </w:rPr>
            <w:t>单击或点击此处输入文字。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name="Default Paragraph Font"/>
    <w:lsdException w:qFormat="1" w:unhideWhenUsed="0" w:uiPriority="99" w:name="Placeholder Text"/>
  </w:latentStyles>
  <w:style w:type="character" w:default="1" w:styleId="1">
    <w:name w:val="Default Paragraph Font"/>
    <w:semiHidden/>
    <w:unhideWhenUsed/>
    <w:qFormat/>
    <w:uiPriority w:val="1"/>
  </w:style>
  <w:style w:type="paragraph" w:customStyle="1" w:styleId="2">
    <w:name w:val="37554C8FE5DA4B9FB292E64524B3D2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styleId="3">
    <w:name w:val="Placeholder Text"/>
    <w:basedOn w:val="1"/>
    <w:semiHidden/>
    <w:qFormat/>
    <w:uiPriority w:val="99"/>
    <w:rPr>
      <w:color w:val="808080"/>
    </w:rPr>
  </w:style>
  <w:style w:type="paragraph" w:customStyle="1" w:styleId="4">
    <w:name w:val="7AB8F6F630504AF19735832308C14B5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">
    <w:name w:val="E2E4DD8F30F7499B8F2E9EF6313001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 textRotate="1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2178</Words>
  <Characters>2374</Characters>
  <TotalTime>0</TotalTime>
  <ScaleCrop>false</ScaleCrop>
  <LinksUpToDate>false</LinksUpToDate>
  <CharactersWithSpaces>2484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2020-12-31T09:12:00Z</dcterms:created>
  <dc:creator>DELL</dc:creator>
  <cp:lastModifiedBy>Mincy^</cp:lastModifiedBy>
  <cp:lastPrinted>2026-06-24T08:35:08Z</cp:lastPrinted>
  <dcterms:modified xsi:type="dcterms:W3CDTF">2026-06-24T08:56:07Z</dcterms:modified>
  <dc:title>标准名称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2025-11-25T14:50:43Z</vt:filetime>
  </property>
  <property fmtid="{D5CDD505-2E9C-101B-9397-08002B2CF9AE}" pid="4" name="KSOTemplateDocerSaveRecord">
    <vt:lpwstr>eyJoZGlkIjoiZWYxMjBhZTcyZWMxODM4YjA3MmQ3ZDE5YTQ4NTBkYzQiLCJ1c2VySWQiOiI0MjA1NTI2NTUifQ==</vt:lpwstr>
  </property>
  <property fmtid="{D5CDD505-2E9C-101B-9397-08002B2CF9AE}" pid="5" name="KSOProductBuildVer">
    <vt:lpwstr>2052-12.1.0.26895</vt:lpwstr>
  </property>
  <property fmtid="{D5CDD505-2E9C-101B-9397-08002B2CF9AE}" pid="6" name="ICV">
    <vt:lpwstr>C033ED08BFA24E76B00C23243DDAD50F_13</vt:lpwstr>
  </property>
</Properties>
</file>