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282407">
      <w:pPr>
        <w:pStyle w:val="3"/>
        <w:spacing w:line="242" w:lineRule="auto"/>
      </w:pPr>
      <w:bookmarkStart w:id="0" w:name="_Toc441595372"/>
      <w:bookmarkStart w:id="1" w:name="_Toc441594989"/>
    </w:p>
    <w:p w14:paraId="3872E74F">
      <w:pPr>
        <w:pStyle w:val="3"/>
        <w:spacing w:line="243" w:lineRule="auto"/>
      </w:pPr>
    </w:p>
    <w:p w14:paraId="70C7B95D">
      <w:pPr>
        <w:pStyle w:val="3"/>
        <w:spacing w:line="243" w:lineRule="auto"/>
      </w:pPr>
    </w:p>
    <w:p w14:paraId="310018AE">
      <w:pPr>
        <w:pStyle w:val="3"/>
        <w:spacing w:line="243" w:lineRule="auto"/>
      </w:pPr>
    </w:p>
    <w:p w14:paraId="74ECFB70">
      <w:pPr>
        <w:pStyle w:val="3"/>
        <w:spacing w:line="243" w:lineRule="auto"/>
      </w:pPr>
    </w:p>
    <w:p w14:paraId="6C0FEAC4">
      <w:pPr>
        <w:pStyle w:val="3"/>
        <w:spacing w:line="243" w:lineRule="auto"/>
      </w:pPr>
    </w:p>
    <w:p w14:paraId="4AE28C22">
      <w:pPr>
        <w:pStyle w:val="3"/>
        <w:spacing w:line="243" w:lineRule="auto"/>
      </w:pPr>
    </w:p>
    <w:p w14:paraId="3FD59DE0">
      <w:pPr>
        <w:spacing w:before="169" w:line="221" w:lineRule="auto"/>
        <w:ind w:left="1020"/>
        <w:rPr>
          <w:rFonts w:ascii="黑体" w:hAnsi="黑体" w:eastAsia="黑体" w:cs="黑体"/>
          <w:sz w:val="52"/>
          <w:szCs w:val="52"/>
        </w:rPr>
      </w:pPr>
      <w:r>
        <w:rPr>
          <w:rFonts w:ascii="黑体" w:hAnsi="黑体" w:eastAsia="黑体" w:cs="黑体"/>
          <w:b/>
          <w:bCs/>
          <w:spacing w:val="-8"/>
          <w:sz w:val="52"/>
          <w:szCs w:val="52"/>
        </w:rPr>
        <w:t>中国食品土畜进出口商会团体标准</w:t>
      </w:r>
    </w:p>
    <w:p w14:paraId="450C038A">
      <w:pPr>
        <w:pStyle w:val="3"/>
        <w:spacing w:line="478" w:lineRule="auto"/>
      </w:pPr>
    </w:p>
    <w:p w14:paraId="5342D9AC">
      <w:pPr>
        <w:spacing w:before="122" w:line="167" w:lineRule="auto"/>
        <w:ind w:left="6442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-3"/>
          <w:sz w:val="28"/>
          <w:szCs w:val="28"/>
        </w:rPr>
        <w:t xml:space="preserve">T/CFNA </w:t>
      </w:r>
      <w:r>
        <w:rPr>
          <w:rFonts w:hint="eastAsia" w:ascii="黑体" w:hAnsi="黑体" w:eastAsia="黑体" w:cs="黑体"/>
          <w:spacing w:val="-3"/>
          <w:sz w:val="28"/>
          <w:szCs w:val="28"/>
        </w:rPr>
        <w:t xml:space="preserve">  </w:t>
      </w:r>
      <w:r>
        <w:rPr>
          <w:rFonts w:hint="eastAsia" w:ascii="黑体" w:hAnsi="黑体" w:eastAsia="黑体" w:cs="黑体"/>
          <w:spacing w:val="-3"/>
          <w:sz w:val="28"/>
          <w:szCs w:val="28"/>
          <w:lang w:val="en-US" w:eastAsia="zh-CN"/>
        </w:rPr>
        <w:t>1684-2025</w:t>
      </w:r>
    </w:p>
    <w:p w14:paraId="17C807DB">
      <w:pPr>
        <w:pStyle w:val="3"/>
        <w:spacing w:line="258" w:lineRule="auto"/>
      </w:pPr>
    </w:p>
    <w:p w14:paraId="408A217C">
      <w:pPr>
        <w:pStyle w:val="3"/>
        <w:spacing w:line="258" w:lineRule="auto"/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15240</wp:posOffset>
                </wp:positionV>
                <wp:extent cx="6190615" cy="6350"/>
                <wp:effectExtent l="0" t="0" r="0" b="0"/>
                <wp:wrapNone/>
                <wp:docPr id="1" name="任意多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0615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9749" h="10">
                              <a:moveTo>
                                <a:pt x="0" y="4"/>
                              </a:moveTo>
                              <a:lnTo>
                                <a:pt x="9748" y="4"/>
                              </a:lnTo>
                            </a:path>
                          </a:pathLst>
                        </a:custGeom>
                        <a:noFill/>
                        <a:ln w="6096" cap="flat" cmpd="sng">
                          <a:solidFill>
                            <a:srgbClr val="000000"/>
                          </a:solidFill>
                          <a:prstDash val="solid"/>
                          <a:bevel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0.2pt;margin-top:1.2pt;height:0.5pt;width:487.45pt;z-index:251661312;mso-width-relative:page;mso-height-relative:page;" filled="f" stroked="t" coordsize="9749,10" o:gfxdata="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hAXcBdMAAAAEAQAADwAAAAAAAAABACAAAAAiAAAAZHJzL2Rvd25y&#10;ZXYueG1sUEsBAhQAFAAAAAgAh07iQObMmD48AgAAlgQAAA4AAAAAAAAAAQAgAAAAIgEAAGRycy9l&#10;Mm9Eb2MueG1sUEsFBgAAAAAGAAYAWQEAANAFAAAAAA==&#10;" path="m0,4l9748,4e">
                <v:fill on="f" focussize="0,0"/>
                <v:stroke weight="0.48pt" color="#000000" joinstyle="bevel"/>
                <v:imagedata o:title=""/>
                <o:lock v:ext="edit" aspectratio="f"/>
              </v:shape>
            </w:pict>
          </mc:Fallback>
        </mc:AlternateContent>
      </w:r>
    </w:p>
    <w:p w14:paraId="28754971">
      <w:pPr>
        <w:pStyle w:val="3"/>
        <w:spacing w:line="259" w:lineRule="auto"/>
      </w:pPr>
    </w:p>
    <w:p w14:paraId="07D58044">
      <w:pPr>
        <w:pStyle w:val="3"/>
        <w:spacing w:line="259" w:lineRule="auto"/>
      </w:pPr>
    </w:p>
    <w:p w14:paraId="1FEFC65C">
      <w:pPr>
        <w:pStyle w:val="3"/>
        <w:spacing w:line="259" w:lineRule="auto"/>
      </w:pPr>
    </w:p>
    <w:p w14:paraId="65A43CE3">
      <w:pPr>
        <w:pStyle w:val="3"/>
        <w:spacing w:line="259" w:lineRule="auto"/>
      </w:pPr>
      <w:bookmarkStart w:id="18" w:name="_GoBack"/>
      <w:bookmarkEnd w:id="18"/>
    </w:p>
    <w:p w14:paraId="3717AD40">
      <w:pPr>
        <w:pStyle w:val="3"/>
        <w:spacing w:line="259" w:lineRule="auto"/>
      </w:pPr>
    </w:p>
    <w:p w14:paraId="3C519688">
      <w:pPr>
        <w:pStyle w:val="3"/>
        <w:spacing w:line="259" w:lineRule="auto"/>
      </w:pPr>
    </w:p>
    <w:p w14:paraId="50C74304">
      <w:pPr>
        <w:pStyle w:val="3"/>
        <w:spacing w:line="259" w:lineRule="auto"/>
      </w:pPr>
    </w:p>
    <w:p w14:paraId="1EBF7BA0">
      <w:pPr>
        <w:pStyle w:val="3"/>
        <w:spacing w:line="259" w:lineRule="auto"/>
      </w:pPr>
    </w:p>
    <w:p w14:paraId="6F62F4D4">
      <w:pPr>
        <w:pStyle w:val="3"/>
        <w:spacing w:line="259" w:lineRule="auto"/>
      </w:pPr>
    </w:p>
    <w:p w14:paraId="04D8160B">
      <w:pPr>
        <w:pStyle w:val="3"/>
        <w:spacing w:line="259" w:lineRule="auto"/>
      </w:pPr>
    </w:p>
    <w:p w14:paraId="6C128A61">
      <w:pPr>
        <w:spacing w:before="140" w:line="225" w:lineRule="auto"/>
        <w:ind w:left="2253"/>
        <w:rPr>
          <w:rFonts w:ascii="黑体" w:hAnsi="黑体" w:eastAsia="黑体" w:cs="黑体"/>
          <w:sz w:val="52"/>
          <w:szCs w:val="52"/>
        </w:rPr>
      </w:pPr>
      <w:r>
        <w:rPr>
          <w:rFonts w:hint="default" w:ascii="黑体" w:hAnsi="黑体" w:eastAsia="黑体" w:cs="黑体"/>
          <w:b/>
          <w:bCs/>
          <w:spacing w:val="4"/>
          <w:sz w:val="52"/>
          <w:szCs w:val="52"/>
        </w:rPr>
        <w:t>黑水虻</w:t>
      </w:r>
      <w:r>
        <w:rPr>
          <w:rFonts w:hint="default" w:ascii="黑体" w:hAnsi="黑体" w:eastAsia="黑体" w:cs="黑体"/>
          <w:b/>
          <w:bCs/>
          <w:spacing w:val="4"/>
          <w:sz w:val="52"/>
          <w:szCs w:val="52"/>
          <w:lang w:eastAsia="zh-CN"/>
        </w:rPr>
        <w:t>虫粉生产技术</w:t>
      </w:r>
      <w:r>
        <w:rPr>
          <w:rFonts w:hint="default" w:ascii="黑体" w:hAnsi="黑体" w:eastAsia="黑体" w:cs="黑体"/>
          <w:b/>
          <w:bCs/>
          <w:spacing w:val="4"/>
          <w:sz w:val="52"/>
          <w:szCs w:val="52"/>
          <w:lang w:val="en-US" w:eastAsia="zh-CN"/>
        </w:rPr>
        <w:t>规程</w:t>
      </w:r>
    </w:p>
    <w:p w14:paraId="01F03D2D">
      <w:pPr>
        <w:pStyle w:val="3"/>
        <w:spacing w:line="270" w:lineRule="auto"/>
      </w:pPr>
    </w:p>
    <w:p w14:paraId="3798600D">
      <w:pPr>
        <w:spacing w:before="283" w:line="222" w:lineRule="auto"/>
        <w:ind w:left="220" w:leftChars="0" w:firstLine="0" w:firstLineChars="0"/>
        <w:jc w:val="center"/>
        <w:rPr>
          <w:rFonts w:hint="eastAsia" w:ascii="黑体" w:hAnsi="黑体" w:eastAsia="黑体" w:cs="黑体"/>
          <w:b/>
          <w:bCs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sz w:val="28"/>
          <w:szCs w:val="28"/>
        </w:rPr>
        <w:t xml:space="preserve">Technical specification for production of black soldier fly </w:t>
      </w:r>
    </w:p>
    <w:p w14:paraId="71916A16">
      <w:pPr>
        <w:spacing w:before="283" w:line="222" w:lineRule="auto"/>
        <w:ind w:left="220" w:leftChars="0" w:firstLine="0" w:firstLineChars="0"/>
        <w:jc w:val="center"/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</w:rPr>
        <w:t>(</w:t>
      </w:r>
      <w:r>
        <w:rPr>
          <w:rFonts w:hint="eastAsia" w:ascii="黑体" w:hAnsi="黑体" w:eastAsia="黑体" w:cs="黑体"/>
          <w:b/>
          <w:bCs/>
          <w:i/>
          <w:iCs/>
          <w:sz w:val="28"/>
          <w:szCs w:val="28"/>
        </w:rPr>
        <w:t>Hermetia illucens</w:t>
      </w:r>
      <w:r>
        <w:rPr>
          <w:rFonts w:hint="eastAsia" w:ascii="黑体" w:hAnsi="黑体" w:eastAsia="黑体" w:cs="黑体"/>
          <w:b/>
          <w:bCs/>
          <w:sz w:val="28"/>
          <w:szCs w:val="28"/>
        </w:rPr>
        <w:t xml:space="preserve">) larvae </w:t>
      </w: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meal</w:t>
      </w:r>
    </w:p>
    <w:p w14:paraId="7DE1820C">
      <w:pPr>
        <w:spacing w:before="283" w:line="222" w:lineRule="auto"/>
        <w:ind w:left="220" w:leftChars="0" w:firstLine="0" w:firstLineChars="0"/>
        <w:jc w:val="center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b/>
          <w:bCs/>
          <w:spacing w:val="-7"/>
          <w:sz w:val="28"/>
          <w:szCs w:val="28"/>
        </w:rPr>
        <w:t>（征求意见稿）</w:t>
      </w:r>
    </w:p>
    <w:p w14:paraId="5002F51E">
      <w:pPr>
        <w:pStyle w:val="3"/>
        <w:spacing w:line="248" w:lineRule="auto"/>
      </w:pPr>
    </w:p>
    <w:p w14:paraId="6D936D38">
      <w:pPr>
        <w:pStyle w:val="3"/>
        <w:spacing w:line="248" w:lineRule="auto"/>
      </w:pPr>
    </w:p>
    <w:p w14:paraId="2F8F43F1">
      <w:pPr>
        <w:pStyle w:val="3"/>
        <w:spacing w:line="248" w:lineRule="auto"/>
      </w:pPr>
    </w:p>
    <w:p w14:paraId="46E08A30">
      <w:pPr>
        <w:pStyle w:val="3"/>
        <w:spacing w:line="248" w:lineRule="auto"/>
      </w:pPr>
    </w:p>
    <w:p w14:paraId="330A35AF">
      <w:pPr>
        <w:pStyle w:val="3"/>
        <w:spacing w:line="249" w:lineRule="auto"/>
      </w:pPr>
    </w:p>
    <w:p w14:paraId="463A3ED2">
      <w:pPr>
        <w:pStyle w:val="3"/>
        <w:spacing w:line="249" w:lineRule="auto"/>
      </w:pPr>
    </w:p>
    <w:p w14:paraId="1756AD29">
      <w:pPr>
        <w:pStyle w:val="3"/>
        <w:spacing w:line="249" w:lineRule="auto"/>
      </w:pPr>
    </w:p>
    <w:p w14:paraId="7B69AB90">
      <w:pPr>
        <w:pStyle w:val="3"/>
        <w:spacing w:line="249" w:lineRule="auto"/>
      </w:pPr>
    </w:p>
    <w:p w14:paraId="67D250B4">
      <w:pPr>
        <w:pStyle w:val="3"/>
        <w:spacing w:line="249" w:lineRule="auto"/>
      </w:pPr>
    </w:p>
    <w:p w14:paraId="71CABD59">
      <w:pPr>
        <w:pStyle w:val="3"/>
        <w:spacing w:line="249" w:lineRule="auto"/>
      </w:pPr>
    </w:p>
    <w:p w14:paraId="4C98E942">
      <w:pPr>
        <w:pStyle w:val="3"/>
        <w:spacing w:line="249" w:lineRule="auto"/>
      </w:pPr>
    </w:p>
    <w:p w14:paraId="7BFC829E">
      <w:pPr>
        <w:pStyle w:val="3"/>
        <w:spacing w:line="249" w:lineRule="auto"/>
      </w:pPr>
    </w:p>
    <w:p w14:paraId="6731F2AB">
      <w:pPr>
        <w:spacing w:before="91" w:line="222" w:lineRule="auto"/>
        <w:ind w:left="882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202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6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**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1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b/>
          <w:bCs/>
          <w:spacing w:val="-1"/>
          <w:sz w:val="28"/>
          <w:szCs w:val="28"/>
        </w:rPr>
        <w:t>发布</w:t>
      </w:r>
      <w:r>
        <w:rPr>
          <w:rFonts w:ascii="黑体" w:hAnsi="黑体" w:eastAsia="黑体" w:cs="黑体"/>
          <w:spacing w:val="-1"/>
          <w:sz w:val="28"/>
          <w:szCs w:val="28"/>
        </w:rPr>
        <w:t xml:space="preserve">                        </w:t>
      </w:r>
      <w:r>
        <w:rPr>
          <w:rFonts w:ascii="黑体" w:hAnsi="黑体" w:eastAsia="黑体" w:cs="黑体"/>
          <w:spacing w:val="-2"/>
          <w:sz w:val="28"/>
          <w:szCs w:val="28"/>
        </w:rPr>
        <w:t xml:space="preserve">   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202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6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-</w:t>
      </w:r>
      <w:r>
        <w:rPr>
          <w:rFonts w:hint="eastAsia" w:ascii="黑体" w:hAnsi="黑体" w:eastAsia="黑体" w:cs="黑体"/>
          <w:b/>
          <w:bCs/>
          <w:spacing w:val="-2"/>
          <w:sz w:val="28"/>
          <w:szCs w:val="28"/>
          <w:lang w:val="en-US" w:eastAsia="zh-CN"/>
        </w:rPr>
        <w:t>*</w:t>
      </w:r>
      <w:r>
        <w:rPr>
          <w:rFonts w:ascii="黑体" w:hAnsi="黑体" w:eastAsia="黑体" w:cs="黑体"/>
          <w:spacing w:val="-53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实施</w:t>
      </w:r>
    </w:p>
    <w:p w14:paraId="6B0285C3">
      <w:pPr>
        <w:pStyle w:val="3"/>
        <w:spacing w:line="271" w:lineRule="auto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106680</wp:posOffset>
            </wp:positionH>
            <wp:positionV relativeFrom="paragraph">
              <wp:posOffset>106045</wp:posOffset>
            </wp:positionV>
            <wp:extent cx="6120130" cy="9525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29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756D86">
      <w:pPr>
        <w:spacing w:before="101" w:line="226" w:lineRule="auto"/>
        <w:ind w:left="2030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b/>
          <w:bCs/>
          <w:spacing w:val="59"/>
          <w:w w:val="111"/>
          <w:sz w:val="31"/>
          <w:szCs w:val="31"/>
        </w:rPr>
        <w:t>中国食品土畜进出口商会</w:t>
      </w:r>
      <w:r>
        <w:rPr>
          <w:rFonts w:ascii="黑体" w:hAnsi="黑体" w:eastAsia="黑体" w:cs="黑体"/>
          <w:spacing w:val="59"/>
          <w:w w:val="111"/>
          <w:sz w:val="31"/>
          <w:szCs w:val="31"/>
        </w:rPr>
        <w:t xml:space="preserve">  </w:t>
      </w:r>
      <w:r>
        <w:rPr>
          <w:rFonts w:ascii="黑体" w:hAnsi="黑体" w:eastAsia="黑体" w:cs="黑体"/>
          <w:b/>
          <w:bCs/>
          <w:spacing w:val="59"/>
          <w:w w:val="111"/>
          <w:sz w:val="24"/>
          <w:szCs w:val="24"/>
        </w:rPr>
        <w:t>发布</w:t>
      </w:r>
    </w:p>
    <w:p w14:paraId="5A81228F">
      <w:pPr>
        <w:spacing w:line="226" w:lineRule="auto"/>
        <w:rPr>
          <w:rFonts w:ascii="黑体" w:hAnsi="黑体" w:eastAsia="黑体" w:cs="黑体"/>
          <w:sz w:val="24"/>
          <w:szCs w:val="24"/>
        </w:rPr>
        <w:sectPr>
          <w:headerReference r:id="rId4" w:type="first"/>
          <w:headerReference r:id="rId3" w:type="default"/>
          <w:pgSz w:w="11910" w:h="16840"/>
          <w:pgMar w:top="400" w:right="1024" w:bottom="0" w:left="1080" w:header="1134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titlePg/>
        </w:sectPr>
      </w:pPr>
    </w:p>
    <w:p w14:paraId="3052F936">
      <w:pPr>
        <w:spacing w:before="78" w:line="225" w:lineRule="auto"/>
        <w:ind w:left="6746"/>
        <w:rPr>
          <w:rFonts w:ascii="宋体" w:hAnsi="宋体" w:eastAsia="宋体" w:cs="宋体"/>
          <w:sz w:val="24"/>
          <w:szCs w:val="24"/>
        </w:rPr>
      </w:pPr>
    </w:p>
    <w:p w14:paraId="08E604F8">
      <w:pPr>
        <w:pStyle w:val="3"/>
        <w:spacing w:line="252" w:lineRule="auto"/>
      </w:pPr>
    </w:p>
    <w:p w14:paraId="0B28E3CA">
      <w:pPr>
        <w:pStyle w:val="3"/>
        <w:spacing w:line="252" w:lineRule="auto"/>
      </w:pPr>
    </w:p>
    <w:p w14:paraId="78D4C74B">
      <w:pPr>
        <w:pStyle w:val="3"/>
        <w:spacing w:line="253" w:lineRule="auto"/>
      </w:pPr>
    </w:p>
    <w:p w14:paraId="6779D851">
      <w:pPr>
        <w:pStyle w:val="3"/>
        <w:spacing w:line="253" w:lineRule="auto"/>
      </w:pPr>
    </w:p>
    <w:sdt>
      <w:sdtPr>
        <w:rPr>
          <w:rFonts w:ascii="宋体" w:hAnsi="宋体" w:eastAsia="宋体" w:cs="宋体"/>
          <w:sz w:val="31"/>
          <w:szCs w:val="31"/>
        </w:rPr>
        <w:id w:val="147474001"/>
        <w:docPartObj>
          <w:docPartGallery w:val="Table of Contents"/>
          <w:docPartUnique/>
        </w:docPartObj>
      </w:sdtPr>
      <w:sdtEndPr>
        <w:rPr>
          <w:rFonts w:ascii="宋体" w:hAnsi="宋体" w:eastAsia="宋体" w:cs="宋体"/>
          <w:sz w:val="24"/>
          <w:szCs w:val="24"/>
        </w:rPr>
      </w:sdtEndPr>
      <w:sdtContent>
        <w:p w14:paraId="3DC01145">
          <w:pPr>
            <w:spacing w:before="101" w:line="228" w:lineRule="auto"/>
            <w:ind w:left="4180"/>
            <w:rPr>
              <w:rFonts w:ascii="宋体" w:hAnsi="宋体" w:eastAsia="宋体" w:cs="宋体"/>
              <w:sz w:val="31"/>
              <w:szCs w:val="31"/>
            </w:rPr>
          </w:pPr>
          <w:bookmarkStart w:id="2" w:name="bookmark1"/>
          <w:bookmarkEnd w:id="2"/>
          <w:r>
            <w:rPr>
              <w:rFonts w:ascii="宋体" w:hAnsi="宋体" w:eastAsia="宋体" w:cs="宋体"/>
              <w:spacing w:val="-28"/>
              <w:sz w:val="31"/>
              <w:szCs w:val="31"/>
            </w:rPr>
            <w:t>目录</w:t>
          </w:r>
        </w:p>
        <w:p w14:paraId="05EDEA68">
          <w:pPr>
            <w:pStyle w:val="3"/>
            <w:spacing w:line="345" w:lineRule="auto"/>
          </w:pPr>
        </w:p>
        <w:p w14:paraId="68C9B132">
          <w:pPr>
            <w:pStyle w:val="3"/>
            <w:spacing w:line="345" w:lineRule="auto"/>
          </w:pPr>
        </w:p>
        <w:p w14:paraId="091BFE72">
          <w:pPr>
            <w:tabs>
              <w:tab w:val="right" w:leader="dot" w:pos="8820"/>
            </w:tabs>
            <w:spacing w:before="78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7"/>
              <w:sz w:val="24"/>
              <w:szCs w:val="24"/>
            </w:rPr>
            <w:t>前言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1"/>
              <w:sz w:val="24"/>
              <w:szCs w:val="24"/>
            </w:rPr>
            <w:t>II</w:t>
          </w:r>
          <w:r>
            <w:rPr>
              <w:rFonts w:ascii="宋体" w:hAnsi="宋体" w:eastAsia="宋体" w:cs="宋体"/>
              <w:spacing w:val="1"/>
              <w:sz w:val="24"/>
              <w:szCs w:val="24"/>
            </w:rPr>
            <w:fldChar w:fldCharType="end"/>
          </w:r>
        </w:p>
        <w:p w14:paraId="44B8556E">
          <w:pPr>
            <w:tabs>
              <w:tab w:val="right" w:leader="dot" w:pos="8820"/>
            </w:tabs>
            <w:spacing w:before="223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1"/>
              <w:sz w:val="24"/>
              <w:szCs w:val="24"/>
            </w:rPr>
            <w:t>1.</w:t>
          </w:r>
          <w:r>
            <w:rPr>
              <w:rFonts w:ascii="宋体" w:hAnsi="宋体" w:eastAsia="宋体" w:cs="宋体"/>
              <w:spacing w:val="8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11"/>
              <w:sz w:val="24"/>
              <w:szCs w:val="24"/>
            </w:rPr>
            <w:t>范围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3A667074">
          <w:pPr>
            <w:tabs>
              <w:tab w:val="right" w:leader="dot" w:pos="8820"/>
            </w:tabs>
            <w:spacing w:before="226" w:line="185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24"/>
              <w:szCs w:val="24"/>
            </w:rPr>
            <w:t>2.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3"/>
              <w:sz w:val="24"/>
              <w:szCs w:val="24"/>
            </w:rPr>
            <w:t>规范性引用文件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3542C224">
          <w:pPr>
            <w:tabs>
              <w:tab w:val="right" w:leader="dot" w:pos="8820"/>
            </w:tabs>
            <w:spacing w:before="225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3.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术语和定义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40"/>
              <w:sz w:val="24"/>
              <w:szCs w:val="24"/>
            </w:rPr>
            <w:t xml:space="preserve"> 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t>1</w:t>
          </w:r>
          <w:r>
            <w:rPr>
              <w:rFonts w:ascii="宋体" w:hAnsi="宋体" w:eastAsia="宋体" w:cs="宋体"/>
              <w:spacing w:val="-28"/>
              <w:sz w:val="24"/>
              <w:szCs w:val="24"/>
            </w:rPr>
            <w:fldChar w:fldCharType="end"/>
          </w:r>
        </w:p>
        <w:p w14:paraId="0590666C">
          <w:p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24"/>
              <w:szCs w:val="24"/>
            </w:rPr>
            <w:t>4.</w:t>
          </w:r>
          <w:r>
            <w:rPr>
              <w:rFonts w:ascii="宋体" w:hAnsi="宋体" w:eastAsia="宋体" w:cs="宋体"/>
              <w:spacing w:val="6"/>
              <w:sz w:val="24"/>
              <w:szCs w:val="24"/>
            </w:rPr>
            <w:t xml:space="preserve">   </w:t>
          </w:r>
          <w:r>
            <w:rPr>
              <w:rFonts w:ascii="宋体" w:hAnsi="宋体" w:eastAsia="宋体" w:cs="宋体"/>
              <w:spacing w:val="-2"/>
              <w:sz w:val="24"/>
              <w:szCs w:val="24"/>
            </w:rPr>
            <w:t>要求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hint="eastAsia" w:ascii="宋体" w:hAnsi="宋体" w:eastAsia="宋体" w:cs="宋体"/>
              <w:sz w:val="24"/>
              <w:szCs w:val="24"/>
              <w:lang w:val="en-US" w:eastAsia="zh-CN"/>
            </w:rPr>
            <w:t xml:space="preserve"> </w:t>
          </w:r>
          <w:r>
            <w:rPr>
              <w:rFonts w:hint="eastAsia" w:ascii="宋体" w:hAnsi="宋体" w:eastAsia="宋体" w:cs="宋体"/>
              <w:spacing w:val="-55"/>
              <w:sz w:val="24"/>
              <w:szCs w:val="24"/>
              <w:lang w:val="en-US" w:eastAsia="zh-CN"/>
            </w:rPr>
            <w:t>2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2827CD42">
          <w:pPr>
            <w:tabs>
              <w:tab w:val="right" w:leader="dot" w:pos="8820"/>
            </w:tabs>
            <w:spacing w:before="224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5.</w:t>
          </w:r>
          <w:r>
            <w:rPr>
              <w:rFonts w:ascii="宋体" w:hAnsi="宋体" w:eastAsia="宋体" w:cs="宋体"/>
              <w:spacing w:val="6"/>
              <w:sz w:val="24"/>
              <w:szCs w:val="24"/>
            </w:rPr>
            <w:t xml:space="preserve">   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</w:rPr>
            <w:t>检验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  <w:lang w:val="en-US" w:eastAsia="zh-CN"/>
            </w:rPr>
            <w:t>规则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3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6C08E011">
          <w:pPr>
            <w:tabs>
              <w:tab w:val="right" w:leader="dot" w:pos="8820"/>
            </w:tabs>
            <w:spacing w:before="226" w:line="186" w:lineRule="auto"/>
            <w:ind w:left="638" w:leftChars="304" w:firstLine="0" w:firstLineChars="0"/>
            <w:rPr>
              <w:rFonts w:ascii="宋体" w:hAnsi="宋体" w:eastAsia="宋体" w:cs="宋体"/>
              <w:sz w:val="24"/>
              <w:szCs w:val="24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24"/>
              <w:szCs w:val="24"/>
            </w:rPr>
            <w:t>6.</w:t>
          </w:r>
          <w:r>
            <w:rPr>
              <w:rFonts w:ascii="宋体" w:hAnsi="宋体" w:eastAsia="宋体" w:cs="宋体"/>
              <w:spacing w:val="7"/>
              <w:sz w:val="24"/>
              <w:szCs w:val="24"/>
            </w:rPr>
            <w:t xml:space="preserve">   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</w:rPr>
            <w:t>包装、标签、运输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  <w:lang w:eastAsia="zh-CN"/>
            </w:rPr>
            <w:t>、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</w:rPr>
            <w:t>贮存</w:t>
          </w:r>
          <w:r>
            <w:rPr>
              <w:rFonts w:hint="eastAsia" w:ascii="宋体" w:hAnsi="宋体" w:eastAsia="宋体" w:cs="宋体"/>
              <w:spacing w:val="-4"/>
              <w:sz w:val="24"/>
              <w:szCs w:val="24"/>
              <w:lang w:val="en-US" w:eastAsia="zh-CN"/>
            </w:rPr>
            <w:t>和保质期</w:t>
          </w:r>
          <w:r>
            <w:rPr>
              <w:rFonts w:ascii="宋体" w:hAnsi="宋体" w:eastAsia="宋体" w:cs="宋体"/>
              <w:sz w:val="24"/>
              <w:szCs w:val="24"/>
            </w:rPr>
            <w:tab/>
          </w:r>
          <w:r>
            <w:rPr>
              <w:rFonts w:ascii="宋体" w:hAnsi="宋体" w:eastAsia="宋体" w:cs="宋体"/>
              <w:spacing w:val="-55"/>
              <w:sz w:val="24"/>
              <w:szCs w:val="24"/>
            </w:rPr>
            <w:t xml:space="preserve"> </w:t>
          </w:r>
          <w:r>
            <w:rPr>
              <w:rFonts w:hint="eastAsia" w:ascii="宋体" w:hAnsi="宋体" w:eastAsia="宋体" w:cs="宋体"/>
              <w:spacing w:val="-13"/>
              <w:sz w:val="24"/>
              <w:szCs w:val="24"/>
              <w:lang w:val="en-US" w:eastAsia="zh-CN"/>
            </w:rPr>
            <w:t>4</w:t>
          </w:r>
          <w:r>
            <w:rPr>
              <w:rFonts w:ascii="宋体" w:hAnsi="宋体" w:eastAsia="宋体" w:cs="宋体"/>
              <w:spacing w:val="-13"/>
              <w:sz w:val="24"/>
              <w:szCs w:val="24"/>
            </w:rPr>
            <w:fldChar w:fldCharType="end"/>
          </w:r>
        </w:p>
        <w:p w14:paraId="667F9274">
          <w:pPr>
            <w:tabs>
              <w:tab w:val="right" w:leader="dot" w:pos="9354"/>
            </w:tabs>
            <w:spacing w:before="226" w:line="186" w:lineRule="auto"/>
            <w:ind w:left="1"/>
            <w:rPr>
              <w:rFonts w:ascii="宋体" w:hAnsi="宋体" w:eastAsia="宋体" w:cs="宋体"/>
              <w:sz w:val="24"/>
              <w:szCs w:val="24"/>
            </w:rPr>
          </w:pPr>
        </w:p>
        <w:p w14:paraId="3B1B0819">
          <w:pPr>
            <w:tabs>
              <w:tab w:val="right" w:leader="dot" w:pos="9354"/>
            </w:tabs>
            <w:spacing w:before="224" w:line="186" w:lineRule="auto"/>
            <w:ind w:left="19"/>
            <w:rPr>
              <w:rFonts w:ascii="宋体" w:hAnsi="宋体" w:eastAsia="宋体" w:cs="宋体"/>
              <w:sz w:val="24"/>
              <w:szCs w:val="24"/>
            </w:rPr>
          </w:pPr>
        </w:p>
        <w:p w14:paraId="60A37562">
          <w:pPr>
            <w:rPr>
              <w:rFonts w:ascii="宋体" w:hAnsi="宋体" w:eastAsia="宋体" w:cs="宋体"/>
              <w:sz w:val="24"/>
              <w:szCs w:val="24"/>
            </w:rPr>
          </w:pPr>
        </w:p>
      </w:sdtContent>
    </w:sdt>
    <w:p w14:paraId="504643F3">
      <w:pPr>
        <w:pStyle w:val="20"/>
        <w:rPr>
          <w:rFonts w:hint="default" w:ascii="Times New Roman" w:hAnsi="Times New Roman" w:cs="Times New Roman"/>
        </w:rPr>
        <w:sectPr>
          <w:footerReference r:id="rId5" w:type="default"/>
          <w:pgSz w:w="11906" w:h="16838"/>
          <w:pgMar w:top="1417" w:right="1417" w:bottom="1417" w:left="1417" w:header="851" w:footer="992" w:gutter="0"/>
          <w:pgNumType w:fmt="upperRoman"/>
          <w:cols w:space="720" w:num="1"/>
          <w:rtlGutter w:val="0"/>
          <w:docGrid w:type="lines" w:linePitch="312" w:charSpace="0"/>
        </w:sectPr>
      </w:pPr>
    </w:p>
    <w:p w14:paraId="09FAB426">
      <w:pPr>
        <w:pStyle w:val="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前</w:t>
      </w:r>
      <w:bookmarkStart w:id="3" w:name="BKQY"/>
      <w:r>
        <w:rPr>
          <w:rFonts w:hint="default" w:ascii="Times New Roman" w:hAnsi="Times New Roman" w:cs="Times New Roman"/>
        </w:rPr>
        <w:t>  言</w:t>
      </w:r>
      <w:bookmarkEnd w:id="0"/>
      <w:bookmarkEnd w:id="1"/>
      <w:bookmarkEnd w:id="3"/>
    </w:p>
    <w:p w14:paraId="2D775E6E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360" w:lineRule="auto"/>
        <w:ind w:firstLine="420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eastAsia"/>
          <w:sz w:val="24"/>
          <w:szCs w:val="24"/>
        </w:rPr>
        <w:t>本文件</w:t>
      </w:r>
      <w:r>
        <w:rPr>
          <w:rFonts w:hint="default" w:ascii="Times New Roman" w:hAnsi="Times New Roman" w:cs="Times New Roman"/>
          <w:sz w:val="24"/>
          <w:szCs w:val="24"/>
        </w:rPr>
        <w:t>按照GB/T 1.1-2020《标准化工作导则 第1部分：标准化文件的结构和起草规则》给出的规则起草。</w:t>
      </w:r>
    </w:p>
    <w:p w14:paraId="347808C1">
      <w:pPr>
        <w:keepNext w:val="0"/>
        <w:keepLines w:val="0"/>
        <w:pageBreakBefore w:val="0"/>
        <w:widowControl/>
        <w:tabs>
          <w:tab w:val="center" w:pos="4201"/>
          <w:tab w:val="right" w:leader="dot" w:pos="9298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kern w:val="0"/>
          <w:sz w:val="24"/>
          <w:szCs w:val="24"/>
          <w:highlight w:val="none"/>
        </w:rPr>
      </w:pPr>
      <w:r>
        <w:rPr>
          <w:rFonts w:hint="default" w:ascii="Times New Roman" w:hAnsi="Times New Roman" w:cs="Times New Roman"/>
          <w:kern w:val="0"/>
          <w:sz w:val="24"/>
          <w:szCs w:val="24"/>
          <w:highlight w:val="none"/>
        </w:rPr>
        <w:t>本</w:t>
      </w:r>
      <w:r>
        <w:rPr>
          <w:rFonts w:hint="default" w:ascii="Times New Roman" w:hAnsi="Times New Roman" w:cs="Times New Roman"/>
          <w:kern w:val="0"/>
          <w:sz w:val="24"/>
          <w:szCs w:val="24"/>
          <w:highlight w:val="none"/>
          <w:lang w:val="en-US" w:eastAsia="zh-CN"/>
        </w:rPr>
        <w:t>文件</w:t>
      </w:r>
      <w:r>
        <w:rPr>
          <w:rFonts w:hint="default" w:ascii="Times New Roman" w:hAnsi="Times New Roman" w:cs="Times New Roman"/>
          <w:kern w:val="0"/>
          <w:sz w:val="24"/>
          <w:szCs w:val="24"/>
          <w:highlight w:val="none"/>
        </w:rPr>
        <w:t>由中国食品土畜进出口商会提出，委托商会</w:t>
      </w:r>
      <w:r>
        <w:rPr>
          <w:rFonts w:hint="default" w:ascii="Times New Roman" w:hAnsi="Times New Roman" w:cs="Times New Roman"/>
          <w:kern w:val="0"/>
          <w:sz w:val="24"/>
          <w:szCs w:val="24"/>
          <w:highlight w:val="none"/>
          <w:lang w:val="en-US" w:eastAsia="zh-CN"/>
        </w:rPr>
        <w:t>昆虫蛋白产业</w:t>
      </w:r>
      <w:r>
        <w:rPr>
          <w:rFonts w:hint="default" w:ascii="Times New Roman" w:hAnsi="Times New Roman" w:cs="Times New Roman"/>
          <w:kern w:val="0"/>
          <w:sz w:val="24"/>
          <w:szCs w:val="24"/>
          <w:highlight w:val="none"/>
        </w:rPr>
        <w:t>分会制定。</w:t>
      </w:r>
    </w:p>
    <w:p w14:paraId="4925638E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0"/>
          <w:sz w:val="24"/>
          <w:szCs w:val="24"/>
          <w:highlight w:val="none"/>
          <w:lang w:val="en-US" w:eastAsia="zh-CN" w:bidi="ar-SA"/>
        </w:rPr>
        <w:t>本标准起草单位：郑州尧安环保科技有限公司、茵塞普科技有限公司、广州无两生物科技有限公司、广东省科学院动物研究所</w:t>
      </w:r>
      <w:r>
        <w:rPr>
          <w:rFonts w:hint="eastAsia" w:ascii="Times New Roman" w:hAnsi="Times New Roman" w:eastAsia="宋体" w:cs="Times New Roman"/>
          <w:kern w:val="0"/>
          <w:sz w:val="24"/>
          <w:szCs w:val="24"/>
          <w:highlight w:val="none"/>
          <w:lang w:val="en-US" w:eastAsia="zh-CN" w:bidi="ar-SA"/>
        </w:rPr>
        <w:t>、宁波良源恒茂生物科技有限公司、西部虫谷（成都）生物科技有限公司</w:t>
      </w:r>
    </w:p>
    <w:p w14:paraId="41A9262D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Times New Roman" w:hAnsi="Times New Roman" w:cs="Times New Roman"/>
          <w:color w:val="000000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</w:rPr>
        <w:t>本标准主要起草人</w:t>
      </w:r>
      <w:r>
        <w:rPr>
          <w:rFonts w:hint="default" w:ascii="Times New Roman" w:hAnsi="Times New Roman" w:cs="Times New Roman"/>
          <w:color w:val="000000"/>
          <w:sz w:val="24"/>
          <w:szCs w:val="24"/>
          <w:lang w:eastAsia="zh-CN"/>
        </w:rPr>
        <w:t>：</w:t>
      </w:r>
      <w:r>
        <w:rPr>
          <w:rFonts w:hint="default" w:ascii="Times New Roman" w:hAnsi="Times New Roman" w:cs="Times New Roman"/>
          <w:color w:val="000000"/>
          <w:sz w:val="24"/>
          <w:szCs w:val="24"/>
          <w:lang w:val="en-US" w:eastAsia="zh-CN"/>
        </w:rPr>
        <w:t>贺永惠、余广滔</w:t>
      </w:r>
      <w:r>
        <w:rPr>
          <w:rFonts w:hint="eastAsia" w:ascii="Times New Roman" w:cs="Times New Roman"/>
          <w:color w:val="000000"/>
          <w:sz w:val="24"/>
          <w:szCs w:val="24"/>
          <w:lang w:val="en-US" w:eastAsia="zh-CN"/>
        </w:rPr>
        <w:t>、李楚君、徐</w:t>
      </w:r>
      <w:r>
        <w:rPr>
          <w:rFonts w:hint="eastAsia" w:ascii="Times New Roman" w:hAnsi="Times New Roman" w:cs="Times New Roman"/>
          <w:color w:val="000000"/>
          <w:sz w:val="24"/>
          <w:szCs w:val="24"/>
          <w:lang w:val="en-US" w:eastAsia="zh-CN"/>
        </w:rPr>
        <w:t>齐云、毛孟其、余家华</w:t>
      </w:r>
    </w:p>
    <w:p w14:paraId="7EA619C1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default" w:ascii="Times New Roman" w:hAnsi="Times New Roman" w:cs="Times New Roman"/>
          <w:color w:val="000000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lang w:val="en-US" w:eastAsia="zh-CN"/>
        </w:rPr>
        <w:t>本文件由中国食品土畜进出口商会解释。</w:t>
      </w:r>
    </w:p>
    <w:p w14:paraId="528949E1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default" w:ascii="Times New Roman" w:hAnsi="Times New Roman" w:cs="Times New Roman"/>
          <w:color w:val="000000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lang w:val="en-US" w:eastAsia="zh-CN"/>
        </w:rPr>
        <w:t>本文件由中国食品土畜进出口商会于2026年**月**日批准公示。</w:t>
      </w:r>
    </w:p>
    <w:p w14:paraId="7CEEF77D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default" w:ascii="Times New Roman" w:hAnsi="Times New Roman" w:cs="Times New Roman"/>
          <w:color w:val="000000"/>
          <w:szCs w:val="21"/>
          <w:lang w:val="en-US" w:eastAsia="zh-CN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lang w:val="en-US" w:eastAsia="zh-CN"/>
        </w:rPr>
        <w:t>本文件自2026年**月**日起实施。</w:t>
      </w:r>
    </w:p>
    <w:p w14:paraId="5D1C8A6B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color w:val="000000"/>
          <w:szCs w:val="21"/>
          <w:lang w:val="en-US" w:eastAsia="zh-CN"/>
        </w:rPr>
        <w:sectPr>
          <w:footerReference r:id="rId6" w:type="default"/>
          <w:pgSz w:w="11906" w:h="16838"/>
          <w:pgMar w:top="1417" w:right="1417" w:bottom="1417" w:left="1417" w:header="851" w:footer="992" w:gutter="0"/>
          <w:pgNumType w:fmt="upperRoman"/>
          <w:cols w:space="720" w:num="1"/>
          <w:rtlGutter w:val="0"/>
          <w:docGrid w:type="lines" w:linePitch="312" w:charSpace="0"/>
        </w:sectPr>
      </w:pPr>
    </w:p>
    <w:p w14:paraId="382F15F4">
      <w:pPr>
        <w:pStyle w:val="1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黑水虻</w:t>
      </w:r>
      <w:r>
        <w:rPr>
          <w:rFonts w:hint="default" w:ascii="Times New Roman" w:hAnsi="Times New Roman" w:cs="Times New Roman"/>
          <w:lang w:eastAsia="zh-CN"/>
        </w:rPr>
        <w:t>虫粉生产技术</w:t>
      </w:r>
      <w:r>
        <w:rPr>
          <w:rFonts w:hint="default" w:ascii="Times New Roman" w:hAnsi="Times New Roman" w:cs="Times New Roman"/>
          <w:lang w:val="en-US" w:eastAsia="zh-CN"/>
        </w:rPr>
        <w:t>规程</w:t>
      </w:r>
    </w:p>
    <w:p w14:paraId="151956FE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</w:rPr>
      </w:pPr>
      <w:bookmarkStart w:id="4" w:name="_Toc441595373"/>
      <w:bookmarkStart w:id="5" w:name="_Toc441594990"/>
      <w:r>
        <w:rPr>
          <w:rFonts w:hint="default" w:ascii="Times New Roman" w:hAnsi="Times New Roman" w:cs="Times New Roman"/>
        </w:rPr>
        <w:t>1  范围</w:t>
      </w:r>
      <w:bookmarkEnd w:id="4"/>
      <w:bookmarkEnd w:id="5"/>
    </w:p>
    <w:p w14:paraId="7E0C01F2">
      <w:pPr>
        <w:pStyle w:val="13"/>
        <w:adjustRightInd w:val="0"/>
        <w:snapToGrid w:val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本标准规定了饲料原</w:t>
      </w:r>
      <w:r>
        <w:rPr>
          <w:rFonts w:hint="default" w:ascii="Times New Roman" w:hAnsi="Times New Roman" w:cs="Times New Roman"/>
          <w:highlight w:val="none"/>
        </w:rPr>
        <w:t>料黑水虻</w:t>
      </w:r>
      <w:r>
        <w:rPr>
          <w:rFonts w:hint="eastAsia" w:ascii="Times New Roman" w:cs="Times New Roman"/>
          <w:highlight w:val="none"/>
          <w:lang w:val="en-US" w:eastAsia="zh-CN"/>
        </w:rPr>
        <w:t>虫</w:t>
      </w:r>
      <w:r>
        <w:rPr>
          <w:rFonts w:hint="default" w:ascii="Times New Roman" w:hAnsi="Times New Roman" w:cs="Times New Roman"/>
          <w:highlight w:val="none"/>
        </w:rPr>
        <w:t>粉的术语和定义、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养殖环境、饲养原料、</w:t>
      </w:r>
      <w:r>
        <w:rPr>
          <w:rFonts w:hint="default" w:ascii="Times New Roman" w:hAnsi="Times New Roman" w:cs="Times New Roman"/>
          <w:highlight w:val="none"/>
          <w:lang w:eastAsia="zh-CN"/>
        </w:rPr>
        <w:t>生产流程、质量控制、</w:t>
      </w:r>
      <w:r>
        <w:rPr>
          <w:rFonts w:hint="default" w:ascii="Times New Roman" w:hAnsi="Times New Roman" w:cs="Times New Roman"/>
          <w:highlight w:val="none"/>
        </w:rPr>
        <w:t>检验规则、标签、包装、运输、贮存和保</w:t>
      </w:r>
      <w:r>
        <w:rPr>
          <w:rFonts w:hint="default" w:ascii="Times New Roman" w:hAnsi="Times New Roman" w:cs="Times New Roman"/>
        </w:rPr>
        <w:t>质期。</w:t>
      </w:r>
    </w:p>
    <w:p w14:paraId="487DE37B">
      <w:pPr>
        <w:pStyle w:val="13"/>
        <w:adjustRightInd w:val="0"/>
        <w:snapToGrid w:val="0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color w:val="000000"/>
          <w:szCs w:val="21"/>
          <w:highlight w:val="none"/>
        </w:rPr>
        <w:t>本标准适用于</w:t>
      </w:r>
      <w:r>
        <w:rPr>
          <w:rFonts w:hint="default" w:ascii="Times New Roman" w:hAnsi="Times New Roman" w:cs="Times New Roman"/>
          <w:highlight w:val="none"/>
        </w:rPr>
        <w:t>黑水虻虫</w:t>
      </w:r>
      <w:r>
        <w:rPr>
          <w:rFonts w:hint="default" w:ascii="Times New Roman" w:hAnsi="Times New Roman" w:cs="Times New Roman"/>
          <w:highlight w:val="none"/>
          <w:lang w:eastAsia="zh-CN"/>
        </w:rPr>
        <w:t>粉的生产。</w:t>
      </w:r>
    </w:p>
    <w:p w14:paraId="5A2770F9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</w:rPr>
      </w:pPr>
      <w:bookmarkStart w:id="6" w:name="_Toc441594991"/>
      <w:bookmarkStart w:id="7" w:name="_Toc441595374"/>
      <w:r>
        <w:rPr>
          <w:rFonts w:hint="default" w:ascii="Times New Roman" w:hAnsi="Times New Roman" w:cs="Times New Roman"/>
        </w:rPr>
        <w:t>2  规范性引用文件</w:t>
      </w:r>
      <w:bookmarkEnd w:id="6"/>
      <w:bookmarkEnd w:id="7"/>
    </w:p>
    <w:p w14:paraId="18718E11">
      <w:pPr>
        <w:pStyle w:val="13"/>
        <w:adjustRightInd w:val="0"/>
        <w:snapToGrid w:val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下列文件对于本文件的应用是必不可少的。凡是注日期的引用文件，仅注日期的版本适用于本文件。凡是不注日期的引用文件，其最新版本（包括所有的修改单）适用于本文件。</w:t>
      </w:r>
    </w:p>
    <w:p w14:paraId="3847E2F3">
      <w:pPr>
        <w:pStyle w:val="13"/>
        <w:rPr>
          <w:rFonts w:hint="default" w:ascii="Times New Roman" w:hAnsi="Times New Roman" w:cs="Times New Roman"/>
          <w:highlight w:val="none"/>
        </w:rPr>
      </w:pPr>
      <w:bookmarkStart w:id="8" w:name="_Toc441594992"/>
      <w:bookmarkEnd w:id="8"/>
      <w:bookmarkStart w:id="9" w:name="_Toc441595375"/>
      <w:bookmarkStart w:id="10" w:name="_Toc351049074"/>
      <w:r>
        <w:rPr>
          <w:rFonts w:hint="default" w:ascii="Times New Roman" w:hAnsi="Times New Roman" w:cs="Times New Roman"/>
          <w:highlight w:val="none"/>
        </w:rPr>
        <w:t>GB/T 6432  饲料中粗蛋白测定方法</w:t>
      </w:r>
    </w:p>
    <w:p w14:paraId="4FB78070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6433  饲料中粗脂肪的测定方法</w:t>
      </w:r>
    </w:p>
    <w:p w14:paraId="168B331C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6434  饲料中粗纤维的测定方法</w:t>
      </w:r>
    </w:p>
    <w:p w14:paraId="78543521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6435  饲料中水分的测定</w:t>
      </w:r>
    </w:p>
    <w:p w14:paraId="72C91B54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6438  饲料中粗灰分的测定</w:t>
      </w:r>
    </w:p>
    <w:p w14:paraId="25329FF6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6682  分析实验室用水规格和试验方法</w:t>
      </w:r>
    </w:p>
    <w:p w14:paraId="4B568A71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8170  数值修约规则与极限数值的表示和判定</w:t>
      </w:r>
    </w:p>
    <w:p w14:paraId="7918A4C4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 10648   饲料标签</w:t>
      </w:r>
    </w:p>
    <w:p w14:paraId="090A2212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 13078   饲料卫生标准</w:t>
      </w:r>
    </w:p>
    <w:p w14:paraId="7F01C39F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13091   饲料中沙门氏菌的测定方法</w:t>
      </w:r>
    </w:p>
    <w:p w14:paraId="6BD2E9FA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13092   饲料中霉菌的测定方法</w:t>
      </w:r>
    </w:p>
    <w:p w14:paraId="55146D5D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14699.1  饲料 采样</w:t>
      </w:r>
    </w:p>
    <w:p w14:paraId="2DC10241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18823  饲料检测结果判定的允许误差</w:t>
      </w:r>
    </w:p>
    <w:p w14:paraId="059622D7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GB/T 20195  动物饲料 试样的制备</w:t>
      </w:r>
    </w:p>
    <w:p w14:paraId="7B3B788F">
      <w:pPr>
        <w:pStyle w:val="13"/>
        <w:rPr>
          <w:rFonts w:hint="default" w:ascii="Times New Roman" w:hAnsi="Times New Roman" w:eastAsia="宋体" w:cs="Times New Roman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>GB/T</w:t>
      </w:r>
      <w:r>
        <w:rPr>
          <w:rFonts w:hint="eastAsia" w:ascii="Times New Roman" w:cs="Times New Roman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 xml:space="preserve">23884 </w:t>
      </w:r>
      <w:r>
        <w:rPr>
          <w:rFonts w:hint="eastAsia" w:ascii="Times New Roman" w:cs="Times New Roman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>动物源性饲料中生物胺的测定 高效液相色谱法</w:t>
      </w:r>
    </w:p>
    <w:p w14:paraId="71F46906">
      <w:pPr>
        <w:pStyle w:val="13"/>
        <w:rPr>
          <w:rFonts w:hint="default" w:ascii="Times New Roman" w:hAnsi="Times New Roman" w:cs="Times New Roman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>GB/T</w:t>
      </w:r>
      <w:r>
        <w:rPr>
          <w:rFonts w:hint="eastAsia" w:ascii="Times New Roman" w:cs="Times New Roman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 xml:space="preserve">28717  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饲料中丙二醛的测定 高效液相色谱法</w:t>
      </w:r>
    </w:p>
    <w:p w14:paraId="19DDD197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3  术语和定义</w:t>
      </w:r>
      <w:bookmarkEnd w:id="9"/>
    </w:p>
    <w:p w14:paraId="1F9E68C4">
      <w:pPr>
        <w:pStyle w:val="13"/>
        <w:snapToGrid w:val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下列术语和定义适用于本文件。</w:t>
      </w:r>
    </w:p>
    <w:p w14:paraId="5BB7C2E2">
      <w:pPr>
        <w:pStyle w:val="17"/>
        <w:adjustRightInd w:val="0"/>
        <w:snapToGrid w:val="0"/>
        <w:spacing w:line="72" w:lineRule="auto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</w:rPr>
        <w:t>3.1</w:t>
      </w:r>
    </w:p>
    <w:p w14:paraId="4BC4DE5A">
      <w:pPr>
        <w:pStyle w:val="13"/>
        <w:rPr>
          <w:rFonts w:hint="default" w:ascii="Times New Roman" w:hAnsi="Times New Roman" w:eastAsia="黑体" w:cs="Times New Roman"/>
          <w:szCs w:val="21"/>
          <w:lang w:val="en-US" w:eastAsia="zh-CN"/>
        </w:rPr>
      </w:pPr>
      <w:r>
        <w:rPr>
          <w:rFonts w:hint="default" w:ascii="Times New Roman" w:hAnsi="Times New Roman" w:eastAsia="黑体" w:cs="Times New Roman"/>
          <w:sz w:val="21"/>
          <w:lang w:val="en-US" w:eastAsia="zh-CN" w:bidi="ar-SA"/>
        </w:rPr>
        <w:t>黑水虻虫干</w:t>
      </w:r>
      <w:r>
        <w:rPr>
          <w:rFonts w:hint="default" w:ascii="Times New Roman" w:hAnsi="Times New Roman" w:eastAsia="黑体" w:cs="Times New Roman"/>
          <w:szCs w:val="21"/>
          <w:lang w:val="en-US" w:eastAsia="zh-CN"/>
        </w:rPr>
        <w:t xml:space="preserve"> </w:t>
      </w:r>
    </w:p>
    <w:p w14:paraId="4C7601D1">
      <w:pPr>
        <w:pStyle w:val="1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以黑水</w:t>
      </w:r>
      <w:r>
        <w:rPr>
          <w:rFonts w:hint="default" w:ascii="Times New Roman" w:hAnsi="Times New Roman" w:cs="Times New Roman"/>
          <w:highlight w:val="none"/>
        </w:rPr>
        <w:t>虻幼虫为原料，经去杂</w:t>
      </w:r>
      <w:r>
        <w:rPr>
          <w:rFonts w:hint="default" w:ascii="Times New Roman" w:hAnsi="Times New Roman" w:cs="Times New Roman"/>
          <w:highlight w:val="none"/>
          <w:lang w:eastAsia="zh-CN"/>
        </w:rPr>
        <w:t>、</w:t>
      </w:r>
      <w:r>
        <w:rPr>
          <w:rFonts w:hint="default" w:ascii="Times New Roman" w:hAnsi="Times New Roman" w:cs="Times New Roman"/>
          <w:highlight w:val="none"/>
        </w:rPr>
        <w:t>冲洗、干燥</w:t>
      </w:r>
      <w:r>
        <w:rPr>
          <w:rFonts w:hint="default" w:ascii="Times New Roman" w:hAnsi="Times New Roman" w:cs="Times New Roman"/>
        </w:rPr>
        <w:t>等工艺制成的</w:t>
      </w:r>
      <w:r>
        <w:rPr>
          <w:rFonts w:hint="default" w:ascii="Times New Roman" w:hAnsi="Times New Roman" w:cs="Times New Roman"/>
          <w:lang w:val="en-US" w:eastAsia="zh-CN"/>
        </w:rPr>
        <w:t>产品</w:t>
      </w:r>
      <w:r>
        <w:rPr>
          <w:rFonts w:hint="default" w:ascii="Times New Roman" w:hAnsi="Times New Roman" w:cs="Times New Roman"/>
        </w:rPr>
        <w:t>。</w:t>
      </w:r>
    </w:p>
    <w:p w14:paraId="037137F5">
      <w:pPr>
        <w:pStyle w:val="17"/>
        <w:adjustRightInd w:val="0"/>
        <w:snapToGrid w:val="0"/>
        <w:spacing w:line="72" w:lineRule="auto"/>
        <w:rPr>
          <w:rFonts w:hint="default" w:ascii="Times New Roman" w:hAnsi="Times New Roman" w:eastAsia="黑体" w:cs="Times New Roman"/>
          <w:szCs w:val="21"/>
          <w:lang w:eastAsia="zh-CN"/>
        </w:rPr>
      </w:pPr>
      <w:r>
        <w:rPr>
          <w:rFonts w:hint="default" w:ascii="Times New Roman" w:hAnsi="Times New Roman" w:cs="Times New Roman"/>
          <w:szCs w:val="21"/>
        </w:rPr>
        <w:t>3.</w:t>
      </w:r>
      <w:r>
        <w:rPr>
          <w:rFonts w:hint="default" w:ascii="Times New Roman" w:hAnsi="Times New Roman" w:cs="Times New Roman"/>
          <w:szCs w:val="21"/>
          <w:lang w:val="en-US" w:eastAsia="zh-CN"/>
        </w:rPr>
        <w:t>2</w:t>
      </w:r>
    </w:p>
    <w:p w14:paraId="786307B9">
      <w:pPr>
        <w:pStyle w:val="13"/>
        <w:rPr>
          <w:rFonts w:hint="default" w:ascii="Times New Roman" w:hAnsi="Times New Roman" w:eastAsia="黑体" w:cs="Times New Roman"/>
          <w:sz w:val="21"/>
          <w:lang w:val="en-US" w:eastAsia="zh-CN" w:bidi="ar-SA"/>
        </w:rPr>
      </w:pPr>
      <w:r>
        <w:rPr>
          <w:rFonts w:hint="default" w:ascii="Times New Roman" w:hAnsi="Times New Roman" w:eastAsia="黑体" w:cs="Times New Roman"/>
          <w:sz w:val="21"/>
          <w:lang w:val="en-US" w:eastAsia="zh-CN" w:bidi="ar-SA"/>
        </w:rPr>
        <w:t>黑水虻全脂虫粉</w:t>
      </w:r>
    </w:p>
    <w:p w14:paraId="44AA2B5B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highlight w:val="none"/>
        </w:rPr>
      </w:pPr>
      <w:r>
        <w:rPr>
          <w:rFonts w:hint="default" w:ascii="Times New Roman" w:hAnsi="Times New Roman" w:cs="Times New Roman"/>
          <w:sz w:val="21"/>
          <w:szCs w:val="21"/>
          <w:highlight w:val="none"/>
        </w:rPr>
        <w:t>以黑水虻幼虫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的鲜虫或干虫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为原料，经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过干燥、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粉碎等工艺加工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制成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的产品。</w:t>
      </w:r>
    </w:p>
    <w:p w14:paraId="0936260F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</w:pPr>
    </w:p>
    <w:p w14:paraId="72A23635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default" w:ascii="Times New Roman" w:hAnsi="Times New Roman" w:cs="Times New Roman"/>
          <w:szCs w:val="21"/>
          <w:lang w:val="en-US" w:eastAsia="zh-CN"/>
        </w:rPr>
      </w:pPr>
      <w:r>
        <w:rPr>
          <w:rFonts w:hint="default" w:ascii="Times New Roman" w:hAnsi="Times New Roman" w:cs="Times New Roman"/>
          <w:szCs w:val="21"/>
          <w:lang w:val="en-US" w:eastAsia="zh-CN"/>
        </w:rPr>
        <w:t>3.3</w:t>
      </w:r>
    </w:p>
    <w:p w14:paraId="1B5D2ACB">
      <w:pPr>
        <w:pStyle w:val="13"/>
        <w:rPr>
          <w:rFonts w:hint="default" w:ascii="Times New Roman" w:hAnsi="Times New Roman" w:eastAsia="仿宋" w:cs="Times New Roman"/>
          <w:lang w:val="en-US" w:eastAsia="zh-CN"/>
        </w:rPr>
      </w:pPr>
      <w:r>
        <w:rPr>
          <w:rFonts w:hint="default" w:ascii="Times New Roman" w:hAnsi="Times New Roman" w:eastAsia="黑体" w:cs="Times New Roman"/>
          <w:sz w:val="21"/>
          <w:lang w:val="en-US" w:eastAsia="zh-CN" w:bidi="ar-SA"/>
        </w:rPr>
        <w:t>黑水虻脱脂虫粉</w:t>
      </w:r>
      <w:r>
        <w:rPr>
          <w:rFonts w:hint="default" w:ascii="Times New Roman" w:hAnsi="Times New Roman" w:eastAsia="黑体" w:cs="Times New Roman"/>
          <w:szCs w:val="21"/>
          <w:lang w:val="en-US" w:eastAsia="zh-CN"/>
        </w:rPr>
        <w:t xml:space="preserve"> </w:t>
      </w:r>
    </w:p>
    <w:p w14:paraId="16EC5B7C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highlight w:val="none"/>
        </w:rPr>
      </w:pPr>
      <w:r>
        <w:rPr>
          <w:rFonts w:hint="default" w:ascii="Times New Roman" w:hAnsi="Times New Roman" w:cs="Times New Roman"/>
          <w:sz w:val="21"/>
          <w:szCs w:val="21"/>
          <w:highlight w:val="none"/>
        </w:rPr>
        <w:t>以黑水虻幼虫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的鲜虫或干虫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为原料，经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过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脱脂、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干燥、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粉碎等工艺加工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制成</w:t>
      </w:r>
      <w:r>
        <w:rPr>
          <w:rFonts w:hint="default" w:ascii="Times New Roman" w:hAnsi="Times New Roman" w:cs="Times New Roman"/>
          <w:sz w:val="21"/>
          <w:szCs w:val="21"/>
          <w:highlight w:val="none"/>
        </w:rPr>
        <w:t>的产品。</w:t>
      </w:r>
    </w:p>
    <w:p w14:paraId="0D3E8F16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1"/>
          <w:szCs w:val="21"/>
        </w:rPr>
      </w:pPr>
      <w:bookmarkStart w:id="11" w:name="_Toc441595376"/>
      <w:r>
        <w:rPr>
          <w:rFonts w:hint="default" w:ascii="Times New Roman" w:hAnsi="Times New Roman" w:cs="Times New Roman"/>
          <w:sz w:val="21"/>
          <w:szCs w:val="21"/>
        </w:rPr>
        <w:t>4  要求</w:t>
      </w:r>
      <w:bookmarkEnd w:id="11"/>
    </w:p>
    <w:p w14:paraId="0BAF5044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40" w:lineRule="exact"/>
        <w:ind w:left="0" w:leftChars="0" w:firstLine="0" w:firstLine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 xml:space="preserve">4.1 </w:t>
      </w:r>
      <w:r>
        <w:rPr>
          <w:rFonts w:hint="default" w:ascii="Times New Roman" w:hAnsi="Times New Roman" w:eastAsia="黑体" w:cs="Times New Roman"/>
          <w:sz w:val="21"/>
          <w:szCs w:val="21"/>
          <w:lang w:val="en-US" w:eastAsia="zh-CN" w:bidi="ar-SA"/>
        </w:rPr>
        <w:t>养殖环境</w:t>
      </w:r>
    </w:p>
    <w:p w14:paraId="1A72331A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养殖场交通便利，远离居民区，周围无污染源。</w:t>
      </w:r>
    </w:p>
    <w:p w14:paraId="7F16123F">
      <w:pPr>
        <w:pStyle w:val="15"/>
        <w:adjustRightInd w:val="0"/>
        <w:snapToGrid w:val="0"/>
        <w:rPr>
          <w:rFonts w:hint="default" w:ascii="Times New Roman" w:hAnsi="Times New Roman" w:cs="Times New Roman"/>
          <w:sz w:val="21"/>
          <w:szCs w:val="21"/>
        </w:rPr>
      </w:pPr>
      <w:r>
        <w:rPr>
          <w:rFonts w:hint="default" w:ascii="Times New Roman" w:hAnsi="Times New Roman" w:cs="Times New Roman"/>
          <w:sz w:val="21"/>
          <w:szCs w:val="21"/>
        </w:rPr>
        <w:t>4.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2</w:t>
      </w:r>
      <w:r>
        <w:rPr>
          <w:rFonts w:hint="default" w:ascii="Times New Roman" w:hAnsi="Times New Roman" w:cs="Times New Roman"/>
          <w:sz w:val="21"/>
          <w:szCs w:val="21"/>
        </w:rPr>
        <w:t xml:space="preserve">  </w:t>
      </w:r>
      <w:r>
        <w:rPr>
          <w:rFonts w:hint="default" w:ascii="Times New Roman" w:hAnsi="Times New Roman" w:cs="Times New Roman"/>
          <w:sz w:val="21"/>
          <w:szCs w:val="21"/>
          <w:lang w:eastAsia="zh-CN"/>
        </w:rPr>
        <w:t>饲养</w:t>
      </w:r>
      <w:r>
        <w:rPr>
          <w:rFonts w:hint="default" w:ascii="Times New Roman" w:hAnsi="Times New Roman" w:cs="Times New Roman"/>
          <w:sz w:val="21"/>
          <w:szCs w:val="21"/>
        </w:rPr>
        <w:t>原料</w:t>
      </w:r>
    </w:p>
    <w:p w14:paraId="12C8F20A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eastAsia="zh-CN"/>
        </w:rPr>
        <w:t>以餐</w:t>
      </w:r>
      <w:r>
        <w:rPr>
          <w:rFonts w:hint="eastAsia" w:ascii="Times New Roman" w:cs="Times New Roman"/>
          <w:lang w:val="en-US" w:eastAsia="zh-CN"/>
        </w:rPr>
        <w:t>余产物</w:t>
      </w:r>
      <w:r>
        <w:rPr>
          <w:rFonts w:ascii="Times New Roman"/>
        </w:rPr>
        <w:t>、食品加工副产物和农副产品</w:t>
      </w:r>
      <w:r>
        <w:rPr>
          <w:rFonts w:hint="default" w:ascii="Times New Roman" w:hAnsi="Times New Roman" w:eastAsia="宋体" w:cs="Times New Roman"/>
          <w:lang w:eastAsia="zh-CN"/>
        </w:rPr>
        <w:t>等有机质为原料。</w:t>
      </w:r>
      <w:r>
        <w:rPr>
          <w:rFonts w:hint="default" w:ascii="Times New Roman" w:hAnsi="Times New Roman" w:eastAsia="宋体" w:cs="Times New Roman"/>
          <w:lang w:val="en-US" w:eastAsia="zh-CN"/>
        </w:rPr>
        <w:t>严禁使用国家明令禁止的物质与化学制品。</w:t>
      </w:r>
    </w:p>
    <w:p w14:paraId="0C01156C">
      <w:pPr>
        <w:pStyle w:val="15"/>
        <w:adjustRightInd w:val="0"/>
        <w:snapToGrid w:val="0"/>
        <w:rPr>
          <w:rFonts w:hint="default" w:ascii="Times New Roman" w:hAnsi="Times New Roman" w:cs="Times New Roman"/>
          <w:sz w:val="21"/>
          <w:szCs w:val="21"/>
          <w:lang w:eastAsia="zh-CN"/>
        </w:rPr>
      </w:pPr>
      <w:r>
        <w:rPr>
          <w:rFonts w:hint="default" w:ascii="Times New Roman" w:hAnsi="Times New Roman" w:cs="Times New Roman"/>
          <w:sz w:val="21"/>
          <w:szCs w:val="21"/>
        </w:rPr>
        <w:t>4.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3</w:t>
      </w:r>
      <w:r>
        <w:rPr>
          <w:rFonts w:hint="default" w:ascii="Times New Roman" w:hAnsi="Times New Roman" w:cs="Times New Roman"/>
          <w:sz w:val="21"/>
          <w:szCs w:val="21"/>
        </w:rPr>
        <w:t xml:space="preserve">  </w:t>
      </w:r>
      <w:r>
        <w:rPr>
          <w:rFonts w:hint="default" w:ascii="Times New Roman" w:hAnsi="Times New Roman" w:cs="Times New Roman"/>
          <w:sz w:val="21"/>
          <w:szCs w:val="21"/>
          <w:lang w:eastAsia="zh-CN"/>
        </w:rPr>
        <w:t>生产流程</w:t>
      </w:r>
    </w:p>
    <w:p w14:paraId="52624F3D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生产工艺包括饲养基质、幼虫饲养、商品虫预处理、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商品虫粉加工</w:t>
      </w:r>
      <w:r>
        <w:rPr>
          <w:rFonts w:hint="default" w:ascii="Times New Roman" w:hAnsi="Times New Roman" w:eastAsia="宋体" w:cs="Times New Roman"/>
          <w:lang w:val="en-US" w:eastAsia="zh-CN"/>
        </w:rPr>
        <w:t>等。</w:t>
      </w:r>
    </w:p>
    <w:p w14:paraId="67199762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 4.3.1 饲养基质</w:t>
      </w:r>
    </w:p>
    <w:p w14:paraId="4AE21243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利用符合国家要求的</w:t>
      </w:r>
      <w:r>
        <w:rPr>
          <w:rFonts w:hint="eastAsia" w:ascii="Times New Roman" w:cs="Times New Roman"/>
          <w:lang w:val="en-US" w:eastAsia="zh-CN"/>
        </w:rPr>
        <w:t>饲养原料</w:t>
      </w:r>
      <w:r>
        <w:rPr>
          <w:rFonts w:hint="default" w:ascii="Times New Roman" w:hAnsi="Times New Roman" w:eastAsia="宋体" w:cs="Times New Roman"/>
          <w:lang w:val="en-US" w:eastAsia="zh-CN"/>
        </w:rPr>
        <w:t>，经去杂、脱水、脱油等处理后，粉碎，调节含水率为60</w:t>
      </w:r>
      <w:r>
        <w:rPr>
          <w:rFonts w:hint="default" w:ascii="Times New Roman" w:hAnsi="Times New Roman" w:eastAsia="宋体" w:cs="Times New Roman"/>
        </w:rPr>
        <w:t>%</w:t>
      </w:r>
      <w:r>
        <w:rPr>
          <w:rFonts w:hint="default" w:ascii="Times New Roman" w:hAnsi="Times New Roman" w:eastAsia="宋体" w:cs="Times New Roman"/>
          <w:lang w:eastAsia="zh-CN"/>
        </w:rPr>
        <w:t>～</w:t>
      </w:r>
      <w:r>
        <w:rPr>
          <w:rFonts w:hint="default" w:ascii="Times New Roman" w:hAnsi="Times New Roman" w:eastAsia="宋体" w:cs="Times New Roman"/>
        </w:rPr>
        <w:t>70%左右</w:t>
      </w:r>
      <w:r>
        <w:rPr>
          <w:rFonts w:hint="default" w:ascii="Times New Roman" w:hAnsi="Times New Roman" w:eastAsia="宋体" w:cs="Times New Roman"/>
          <w:lang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可以添加微生物预处理</w:t>
      </w:r>
      <w:r>
        <w:rPr>
          <w:rFonts w:hint="default" w:ascii="Times New Roman" w:hAnsi="Times New Roman" w:eastAsia="宋体" w:cs="Times New Roman"/>
          <w:lang w:eastAsia="zh-CN"/>
        </w:rPr>
        <w:t>。</w:t>
      </w:r>
    </w:p>
    <w:p w14:paraId="403E356D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4.3.2 </w:t>
      </w:r>
      <w:r>
        <w:rPr>
          <w:rFonts w:hint="default" w:ascii="Times New Roman" w:hAnsi="Times New Roman" w:eastAsia="宋体" w:cs="Times New Roman"/>
        </w:rPr>
        <w:t>虫卵</w:t>
      </w:r>
      <w:r>
        <w:rPr>
          <w:rFonts w:hint="default" w:ascii="Times New Roman" w:hAnsi="Times New Roman" w:eastAsia="宋体" w:cs="Times New Roman"/>
          <w:lang w:val="en-US" w:eastAsia="zh-CN"/>
        </w:rPr>
        <w:t>孵化</w:t>
      </w:r>
    </w:p>
    <w:p w14:paraId="3D766810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</w:rPr>
        <w:t>在适宜条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件下（环境温度2</w:t>
      </w:r>
      <w:r>
        <w:rPr>
          <w:rFonts w:hint="default" w:ascii="Times New Roman" w:hAnsi="Times New Roman" w:eastAsia="宋体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ºC</w:t>
      </w:r>
      <w:r>
        <w:rPr>
          <w:rFonts w:hint="default" w:ascii="Times New Roman" w:hAnsi="Times New Roman" w:eastAsia="宋体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～31ºC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宋体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相对湿度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70%</w:t>
      </w:r>
      <w:r>
        <w:rPr>
          <w:rFonts w:hint="default" w:ascii="Times New Roman" w:hAnsi="Times New Roman" w:eastAsia="宋体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～</w:t>
      </w:r>
      <w:r>
        <w:rPr>
          <w:rFonts w:hint="default" w:ascii="Times New Roman" w:hAnsi="Times New Roman" w:eastAsia="宋体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75%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避光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，虫卵</w:t>
      </w:r>
      <w:r>
        <w:rPr>
          <w:rFonts w:hint="default" w:ascii="Times New Roman" w:hAnsi="Times New Roman" w:eastAsia="宋体" w:cs="Times New Roman"/>
          <w:lang w:val="en-US" w:eastAsia="zh-CN"/>
        </w:rPr>
        <w:t>孵化</w:t>
      </w:r>
      <w:r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  <w:t>发育4 d</w:t>
      </w:r>
      <w:r>
        <w:rPr>
          <w:rFonts w:hint="default" w:ascii="Times New Roman" w:hAnsi="Times New Roman" w:eastAsia="宋体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F3F9A8F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4.3.3 幼虫饲养</w:t>
      </w:r>
    </w:p>
    <w:p w14:paraId="1F6E3617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控制</w:t>
      </w:r>
      <w:r>
        <w:rPr>
          <w:rFonts w:hint="default" w:ascii="Times New Roman" w:hAnsi="Times New Roman" w:eastAsia="宋体" w:cs="Times New Roman"/>
        </w:rPr>
        <w:t>环境温度2</w:t>
      </w:r>
      <w:r>
        <w:rPr>
          <w:rFonts w:hint="eastAsia" w:ascii="Times New Roman" w:cs="Times New Roman"/>
          <w:lang w:val="en-US" w:eastAsia="zh-CN"/>
        </w:rPr>
        <w:t>5</w:t>
      </w:r>
      <w:r>
        <w:rPr>
          <w:rFonts w:hint="default" w:ascii="Times New Roman" w:hAnsi="Times New Roman" w:eastAsia="宋体" w:cs="Times New Roman"/>
        </w:rPr>
        <w:t>ºC</w:t>
      </w:r>
      <w:r>
        <w:rPr>
          <w:rFonts w:hint="default" w:ascii="Times New Roman" w:hAnsi="Times New Roman" w:eastAsia="宋体" w:cs="Times New Roman"/>
          <w:lang w:eastAsia="zh-CN"/>
        </w:rPr>
        <w:t>～</w:t>
      </w:r>
      <w:r>
        <w:rPr>
          <w:rFonts w:hint="default" w:ascii="Times New Roman" w:hAnsi="Times New Roman" w:eastAsia="宋体" w:cs="Times New Roman"/>
        </w:rPr>
        <w:t>30ºC，</w:t>
      </w:r>
      <w:r>
        <w:rPr>
          <w:rFonts w:hint="default" w:ascii="Times New Roman" w:hAnsi="Times New Roman" w:eastAsia="宋体" w:cs="Times New Roman"/>
          <w:lang w:val="en-US" w:eastAsia="zh-CN"/>
        </w:rPr>
        <w:t>湿度60</w:t>
      </w:r>
      <w:r>
        <w:rPr>
          <w:rFonts w:hint="default" w:ascii="Times New Roman" w:hAnsi="Times New Roman" w:eastAsia="宋体" w:cs="Times New Roman"/>
        </w:rPr>
        <w:t>%</w:t>
      </w:r>
      <w:r>
        <w:rPr>
          <w:rFonts w:hint="default" w:ascii="Times New Roman" w:hAnsi="Times New Roman" w:eastAsia="宋体" w:cs="Times New Roman"/>
          <w:lang w:eastAsia="zh-CN"/>
        </w:rPr>
        <w:t>～</w:t>
      </w:r>
      <w:r>
        <w:rPr>
          <w:rFonts w:hint="default" w:ascii="Times New Roman" w:hAnsi="Times New Roman" w:eastAsia="宋体" w:cs="Times New Roman"/>
          <w:lang w:val="en-US" w:eastAsia="zh-CN"/>
        </w:rPr>
        <w:t>7</w:t>
      </w:r>
      <w:r>
        <w:rPr>
          <w:rFonts w:hint="default" w:ascii="Times New Roman" w:hAnsi="Times New Roman" w:eastAsia="宋体" w:cs="Times New Roman"/>
        </w:rPr>
        <w:t>0</w:t>
      </w:r>
      <w:r>
        <w:rPr>
          <w:rFonts w:hint="default" w:ascii="Times New Roman" w:hAnsi="Times New Roman" w:eastAsia="宋体" w:cs="Times New Roman"/>
          <w:lang w:val="en-US" w:eastAsia="zh-CN"/>
        </w:rPr>
        <w:t>%。饲养基质含水率65</w:t>
      </w:r>
      <w:r>
        <w:rPr>
          <w:rFonts w:hint="default" w:ascii="Times New Roman" w:hAnsi="Times New Roman" w:eastAsia="宋体" w:cs="Times New Roman"/>
        </w:rPr>
        <w:t>%</w:t>
      </w:r>
      <w:r>
        <w:rPr>
          <w:rFonts w:hint="default" w:ascii="Times New Roman" w:hAnsi="Times New Roman" w:eastAsia="宋体" w:cs="Times New Roman"/>
          <w:lang w:eastAsia="zh-CN"/>
        </w:rPr>
        <w:t>～</w:t>
      </w:r>
      <w:r>
        <w:rPr>
          <w:rFonts w:hint="default" w:ascii="Times New Roman" w:hAnsi="Times New Roman" w:eastAsia="宋体" w:cs="Times New Roman"/>
          <w:lang w:val="en-US" w:eastAsia="zh-CN"/>
        </w:rPr>
        <w:t>70%</w:t>
      </w:r>
      <w:r>
        <w:rPr>
          <w:rFonts w:hint="default" w:ascii="Times New Roman" w:hAnsi="Times New Roman" w:eastAsia="宋体" w:cs="Times New Roma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控制饲养基质</w:t>
      </w:r>
      <w:r>
        <w:rPr>
          <w:rFonts w:hint="eastAsia" w:ascii="Times New Roman" w:cs="Times New Roman"/>
          <w:lang w:val="en-US" w:eastAsia="zh-CN"/>
        </w:rPr>
        <w:t>厚度，不超过</w:t>
      </w:r>
      <w:r>
        <w:rPr>
          <w:rFonts w:hint="default" w:ascii="Times New Roman" w:hAnsi="Times New Roman" w:eastAsia="宋体" w:cs="Times New Roman"/>
          <w:lang w:val="en-US" w:eastAsia="zh-CN"/>
        </w:rPr>
        <w:t>15 cm</w:t>
      </w:r>
      <w:r>
        <w:rPr>
          <w:rFonts w:hint="eastAsia" w:asci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控</w:t>
      </w: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>制</w:t>
      </w:r>
      <w:r>
        <w:rPr>
          <w:rFonts w:hint="eastAsia" w:ascii="Times New Roman" w:cs="Times New Roman"/>
          <w:highlight w:val="none"/>
          <w:lang w:val="en-US" w:eastAsia="zh-CN"/>
        </w:rPr>
        <w:t>适宜的</w:t>
      </w:r>
      <w:r>
        <w:rPr>
          <w:rFonts w:hint="default" w:ascii="Times New Roman" w:hAnsi="Times New Roman" w:eastAsia="宋体" w:cs="Times New Roman"/>
          <w:lang w:val="en-US" w:eastAsia="zh-CN"/>
        </w:rPr>
        <w:t>黑水虻幼虫</w:t>
      </w:r>
      <w:r>
        <w:rPr>
          <w:rFonts w:hint="default" w:ascii="Times New Roman" w:hAnsi="Times New Roman" w:eastAsia="宋体" w:cs="Times New Roman"/>
          <w:highlight w:val="none"/>
          <w:lang w:val="en-US" w:eastAsia="zh-CN"/>
        </w:rPr>
        <w:t>养殖密度</w:t>
      </w:r>
      <w:r>
        <w:rPr>
          <w:rFonts w:hint="eastAsia" w:asci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饲养幼虫至5龄期。</w:t>
      </w:r>
    </w:p>
    <w:p w14:paraId="1122663B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4.3.4 商品虫预处理</w:t>
      </w:r>
    </w:p>
    <w:p w14:paraId="7FF3ADBF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4.3.4.1 筛分</w:t>
      </w:r>
    </w:p>
    <w:p w14:paraId="58684A5A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筛分前控制饲养</w:t>
      </w:r>
      <w:r>
        <w:rPr>
          <w:rFonts w:hint="default" w:ascii="Times New Roman" w:hAnsi="Times New Roman" w:eastAsia="宋体" w:cs="Times New Roman"/>
          <w:color w:val="000000"/>
          <w:sz w:val="21"/>
          <w:szCs w:val="21"/>
          <w:lang w:val="en-US" w:eastAsia="zh-CN"/>
        </w:rPr>
        <w:t>基质含水率降低到60%以下，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通过筛分设备分离幼虫与虫沙。幼虫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经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分拣处理除去杂质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，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虫沙经发酵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等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处理后作有机肥利用。</w:t>
      </w:r>
    </w:p>
    <w:p w14:paraId="7FC9D52D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4.3.4.2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 xml:space="preserve"> 消毒</w:t>
      </w:r>
    </w:p>
    <w:p w14:paraId="19B4ADD8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幼虫经空腹饥饿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6 h</w:t>
      </w:r>
      <w:r>
        <w:rPr>
          <w:rFonts w:hint="default" w:ascii="Times New Roman" w:hAnsi="Times New Roman" w:eastAsia="宋体" w:cs="Times New Roman"/>
          <w:color w:val="000000"/>
          <w:sz w:val="21"/>
          <w:szCs w:val="21"/>
          <w:highlight w:val="none"/>
          <w:lang w:eastAsia="zh-CN"/>
        </w:rPr>
        <w:t>～</w:t>
      </w:r>
      <w:r>
        <w:rPr>
          <w:rFonts w:hint="default" w:ascii="Times New Roman" w:hAnsi="Times New Roman" w:cs="Times New Roman"/>
          <w:sz w:val="21"/>
          <w:szCs w:val="21"/>
          <w:highlight w:val="none"/>
          <w:lang w:val="en-US" w:eastAsia="zh-CN"/>
        </w:rPr>
        <w:t>12 h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，排除肠道内容物。经过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适当的清洗、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消毒</w:t>
      </w:r>
      <w:r>
        <w:rPr>
          <w:rFonts w:hint="eastAsia" w:ascii="Times New Roman"/>
          <w:lang w:val="en-US" w:eastAsia="zh-CN"/>
        </w:rPr>
        <w:t>处理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，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杀灭病原微生物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。</w:t>
      </w:r>
    </w:p>
    <w:p w14:paraId="026C2A1C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4.3.5 商品虫粉加工</w:t>
      </w:r>
    </w:p>
    <w:p w14:paraId="02B06C13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eastAsia" w:asci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 xml:space="preserve">4.3.5.1 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加工原料要求</w:t>
      </w:r>
    </w:p>
    <w:p w14:paraId="5073B6F2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选取健康5龄期~6龄期</w:t>
      </w:r>
      <w:r>
        <w:rPr>
          <w:rFonts w:hint="default" w:ascii="Times New Roman" w:hAnsi="Times New Roman" w:cs="Times New Roman"/>
          <w:sz w:val="21"/>
          <w:szCs w:val="21"/>
        </w:rPr>
        <w:t>黑水虻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幼虫，无杂质、无变质、无污染、无病变。</w:t>
      </w:r>
    </w:p>
    <w:p w14:paraId="761D161B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4.3.5.</w:t>
      </w:r>
      <w:r>
        <w:rPr>
          <w:rFonts w:hint="eastAsia" w:ascii="Times New Roman" w:cs="Times New Roman"/>
          <w:sz w:val="21"/>
          <w:szCs w:val="21"/>
          <w:lang w:val="en-US" w:eastAsia="zh-CN"/>
        </w:rPr>
        <w:t xml:space="preserve">2 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黑水虻全脂虫粉加工</w:t>
      </w:r>
    </w:p>
    <w:p w14:paraId="27B1961A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采用干燥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、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粉碎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等处理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后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，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制成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黑水虻全脂虫粉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。</w:t>
      </w:r>
    </w:p>
    <w:p w14:paraId="7BBBF492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4.3.5.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 xml:space="preserve"> 黑水虻脱脂虫粉加工</w:t>
      </w:r>
    </w:p>
    <w:p w14:paraId="6C890BE1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sz w:val="21"/>
          <w:szCs w:val="21"/>
          <w:lang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黑水虻幼虫鲜虫或虫干经过脱脂、干燥、粉碎等处理，制成黑水虻脱脂虫粉。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脱脂采用压榨、浸提或萃取等工艺处理。</w:t>
      </w:r>
    </w:p>
    <w:bookmarkEnd w:id="10"/>
    <w:p w14:paraId="56E6DC08">
      <w:pPr>
        <w:pStyle w:val="15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4.</w:t>
      </w:r>
      <w:r>
        <w:rPr>
          <w:rFonts w:hint="default" w:ascii="Times New Roman" w:hAnsi="Times New Roman" w:cs="Times New Roman"/>
          <w:lang w:val="en-US" w:eastAsia="zh-CN"/>
        </w:rPr>
        <w:t>4 质量控制</w:t>
      </w:r>
    </w:p>
    <w:p w14:paraId="612F7667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《动物源性饲料产品安全卫生管理办法》（中华人民共和国农业农村部令[2004]第40号）的</w:t>
      </w:r>
      <w:r>
        <w:rPr>
          <w:rFonts w:hint="default" w:ascii="Times New Roman" w:hAnsi="Times New Roman" w:cs="Times New Roman"/>
          <w:lang w:val="en-US" w:eastAsia="zh-CN"/>
        </w:rPr>
        <w:t>有关规定；应符合国家检疫有关规定。不得使用发生疫病的动物组织或排泄物养殖黑水虻。</w:t>
      </w:r>
    </w:p>
    <w:p w14:paraId="7F51221F">
      <w:pPr>
        <w:pStyle w:val="15"/>
        <w:rPr>
          <w:rFonts w:hint="default" w:ascii="Times New Roman" w:hAnsi="Times New Roman" w:eastAsia="黑体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4.4.1 </w:t>
      </w:r>
      <w:r>
        <w:rPr>
          <w:rFonts w:hint="default" w:ascii="Times New Roman" w:hAnsi="Times New Roman" w:cs="Times New Roman"/>
          <w:lang w:eastAsia="zh-CN"/>
        </w:rPr>
        <w:t>虫</w:t>
      </w:r>
      <w:r>
        <w:rPr>
          <w:rFonts w:hint="default" w:ascii="Times New Roman" w:hAnsi="Times New Roman" w:cs="Times New Roman"/>
          <w:lang w:val="en-US" w:eastAsia="zh-CN"/>
        </w:rPr>
        <w:t>粉</w:t>
      </w:r>
      <w:r>
        <w:rPr>
          <w:rFonts w:hint="default" w:ascii="Times New Roman" w:hAnsi="Times New Roman" w:cs="Times New Roman"/>
        </w:rPr>
        <w:t>感官</w:t>
      </w:r>
      <w:r>
        <w:rPr>
          <w:rFonts w:hint="default" w:ascii="Times New Roman" w:hAnsi="Times New Roman" w:cs="Times New Roman"/>
          <w:lang w:val="en-US" w:eastAsia="zh-CN"/>
        </w:rPr>
        <w:t>评价</w:t>
      </w:r>
    </w:p>
    <w:p w14:paraId="58DA2DFD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呈棕黄色或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黑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褐色，色泽一致，具有昆虫蛋白的特殊香味，</w:t>
      </w:r>
      <w:r>
        <w:rPr>
          <w:rFonts w:hint="eastAsia" w:ascii="Times New Roman" w:cs="Times New Roman"/>
          <w:sz w:val="21"/>
          <w:szCs w:val="21"/>
          <w:lang w:val="en-US" w:eastAsia="zh-CN"/>
        </w:rPr>
        <w:t>流动性好，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不结块，无霉变、无腐败、无异臭，无杂质。</w:t>
      </w:r>
    </w:p>
    <w:p w14:paraId="506BB918">
      <w:pPr>
        <w:pStyle w:val="15"/>
        <w:adjustRightInd w:val="0"/>
        <w:snapToGrid w:val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4</w:t>
      </w:r>
      <w:r>
        <w:rPr>
          <w:rFonts w:hint="default" w:ascii="Times New Roman" w:hAnsi="Times New Roman" w:cs="Times New Roman"/>
          <w:lang w:val="en-US" w:eastAsia="zh-CN"/>
        </w:rPr>
        <w:t>.4.2</w:t>
      </w:r>
      <w:r>
        <w:rPr>
          <w:rFonts w:hint="default" w:ascii="Times New Roman" w:hAnsi="Times New Roman" w:cs="Times New Roman"/>
        </w:rPr>
        <w:t xml:space="preserve">  理化指标</w:t>
      </w:r>
    </w:p>
    <w:p w14:paraId="46CEC350">
      <w:pPr>
        <w:pStyle w:val="13"/>
        <w:spacing w:line="240" w:lineRule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应符合表1</w:t>
      </w:r>
      <w:r>
        <w:rPr>
          <w:rFonts w:hint="default" w:ascii="Times New Roman" w:hAnsi="Times New Roman" w:cs="Times New Roman"/>
          <w:lang w:eastAsia="zh-CN"/>
        </w:rPr>
        <w:t>、</w:t>
      </w:r>
      <w:r>
        <w:rPr>
          <w:rFonts w:hint="default" w:ascii="Times New Roman" w:hAnsi="Times New Roman" w:cs="Times New Roman"/>
          <w:lang w:val="en-US" w:eastAsia="zh-CN"/>
        </w:rPr>
        <w:t>表2</w:t>
      </w:r>
      <w:r>
        <w:rPr>
          <w:rFonts w:hint="default" w:ascii="Times New Roman" w:hAnsi="Times New Roman" w:cs="Times New Roman"/>
        </w:rPr>
        <w:t>要求。</w:t>
      </w:r>
    </w:p>
    <w:p w14:paraId="30A02B51">
      <w:pPr>
        <w:pStyle w:val="13"/>
        <w:spacing w:line="240" w:lineRule="auto"/>
        <w:ind w:left="0" w:leftChars="0" w:firstLine="0" w:firstLineChars="0"/>
        <w:jc w:val="center"/>
        <w:rPr>
          <w:rFonts w:hint="default" w:ascii="Times New Roman" w:hAnsi="Times New Roman" w:eastAsia="黑体" w:cs="Times New Roman"/>
          <w:sz w:val="21"/>
          <w:highlight w:val="none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sz w:val="21"/>
          <w:highlight w:val="none"/>
          <w:lang w:val="en-US" w:eastAsia="zh-CN" w:bidi="ar-SA"/>
        </w:rPr>
        <w:t xml:space="preserve">表1 </w:t>
      </w:r>
      <w:r>
        <w:rPr>
          <w:rFonts w:hint="default" w:ascii="Times New Roman" w:hAnsi="Times New Roman" w:eastAsia="黑体" w:cs="Times New Roman"/>
          <w:sz w:val="21"/>
          <w:highlight w:val="none"/>
          <w:lang w:val="en-US" w:eastAsia="zh-CN" w:bidi="ar-SA"/>
        </w:rPr>
        <w:t>黑水虻全脂虫粉理化指标及分级</w:t>
      </w:r>
    </w:p>
    <w:tbl>
      <w:tblPr>
        <w:tblStyle w:val="8"/>
        <w:tblW w:w="4996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6"/>
        <w:gridCol w:w="1427"/>
        <w:gridCol w:w="1440"/>
        <w:gridCol w:w="2900"/>
      </w:tblGrid>
      <w:tr w14:paraId="41D2D6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</w:trPr>
        <w:tc>
          <w:tcPr>
            <w:tcW w:w="1985" w:type="pct"/>
            <w:vMerge w:val="restart"/>
            <w:noWrap w:val="0"/>
            <w:vAlign w:val="center"/>
          </w:tcPr>
          <w:p w14:paraId="49C6580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</w:rPr>
              <w:t>项目</w:t>
            </w:r>
          </w:p>
        </w:tc>
        <w:tc>
          <w:tcPr>
            <w:tcW w:w="3014" w:type="pct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C9B9623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</w:rPr>
              <w:t>指标</w:t>
            </w:r>
          </w:p>
        </w:tc>
      </w:tr>
      <w:tr w14:paraId="79AAED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</w:trPr>
        <w:tc>
          <w:tcPr>
            <w:tcW w:w="1985" w:type="pct"/>
            <w:vMerge w:val="continue"/>
            <w:noWrap w:val="0"/>
            <w:vAlign w:val="center"/>
          </w:tcPr>
          <w:p w14:paraId="4E505E4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46" w:type="pct"/>
            <w:tcBorders>
              <w:top w:val="single" w:color="auto" w:sz="4" w:space="0"/>
            </w:tcBorders>
            <w:noWrap w:val="0"/>
            <w:vAlign w:val="center"/>
          </w:tcPr>
          <w:p w14:paraId="4E23966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</w:rPr>
              <w:t>一级</w:t>
            </w:r>
          </w:p>
        </w:tc>
        <w:tc>
          <w:tcPr>
            <w:tcW w:w="753" w:type="pct"/>
            <w:tcBorders>
              <w:top w:val="single" w:color="auto" w:sz="4" w:space="0"/>
            </w:tcBorders>
            <w:noWrap w:val="0"/>
            <w:vAlign w:val="center"/>
          </w:tcPr>
          <w:p w14:paraId="13A13F2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</w:rPr>
              <w:t>二级</w:t>
            </w:r>
          </w:p>
        </w:tc>
        <w:tc>
          <w:tcPr>
            <w:tcW w:w="1514" w:type="pct"/>
            <w:tcBorders>
              <w:top w:val="single" w:color="auto" w:sz="4" w:space="0"/>
            </w:tcBorders>
            <w:noWrap w:val="0"/>
            <w:vAlign w:val="center"/>
          </w:tcPr>
          <w:p w14:paraId="01F77A1E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三</w:t>
            </w:r>
            <w:r>
              <w:rPr>
                <w:rFonts w:hint="default" w:ascii="Times New Roman" w:hAnsi="Times New Roman" w:cs="Times New Roman"/>
                <w:sz w:val="21"/>
                <w:szCs w:val="21"/>
              </w:rPr>
              <w:t>级</w:t>
            </w:r>
          </w:p>
        </w:tc>
      </w:tr>
      <w:tr w14:paraId="1ED774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1E5DD0D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</w:rPr>
              <w:t>水分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</w:rPr>
              <w:t xml:space="preserve">% </w:t>
            </w:r>
          </w:p>
        </w:tc>
        <w:tc>
          <w:tcPr>
            <w:tcW w:w="3014" w:type="pct"/>
            <w:gridSpan w:val="3"/>
            <w:noWrap w:val="0"/>
            <w:vAlign w:val="center"/>
          </w:tcPr>
          <w:p w14:paraId="32308E1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.0</w:t>
            </w:r>
          </w:p>
        </w:tc>
      </w:tr>
      <w:tr w14:paraId="79999A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259DE7BA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粗蛋白质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746" w:type="pct"/>
            <w:noWrap w:val="0"/>
            <w:vAlign w:val="center"/>
          </w:tcPr>
          <w:p w14:paraId="1AC5DAD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0.0</w:t>
            </w:r>
          </w:p>
        </w:tc>
        <w:tc>
          <w:tcPr>
            <w:tcW w:w="753" w:type="pct"/>
            <w:noWrap w:val="0"/>
            <w:vAlign w:val="center"/>
          </w:tcPr>
          <w:p w14:paraId="7EB6A0F4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5.0</w:t>
            </w:r>
          </w:p>
        </w:tc>
        <w:tc>
          <w:tcPr>
            <w:tcW w:w="1514" w:type="pct"/>
            <w:noWrap w:val="0"/>
            <w:vAlign w:val="center"/>
          </w:tcPr>
          <w:p w14:paraId="07C7D59D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30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</w:tr>
      <w:tr w14:paraId="0575F6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0807AD7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粗脂肪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746" w:type="pct"/>
            <w:noWrap w:val="0"/>
            <w:vAlign w:val="center"/>
          </w:tcPr>
          <w:p w14:paraId="2800C03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12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753" w:type="pct"/>
            <w:noWrap w:val="0"/>
            <w:vAlign w:val="center"/>
          </w:tcPr>
          <w:p w14:paraId="68A4CBA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1514" w:type="pct"/>
            <w:noWrap w:val="0"/>
            <w:vAlign w:val="center"/>
          </w:tcPr>
          <w:p w14:paraId="14ED419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20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</w:tr>
      <w:tr w14:paraId="0B03B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shd w:val="clear" w:color="auto" w:fill="auto"/>
            <w:noWrap w:val="0"/>
            <w:vAlign w:val="center"/>
          </w:tcPr>
          <w:p w14:paraId="091B3A0E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粗灰分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746" w:type="pct"/>
            <w:shd w:val="clear" w:color="auto" w:fill="auto"/>
            <w:noWrap w:val="0"/>
            <w:vAlign w:val="center"/>
          </w:tcPr>
          <w:p w14:paraId="0D03E55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753" w:type="pct"/>
            <w:shd w:val="clear" w:color="auto" w:fill="auto"/>
            <w:noWrap w:val="0"/>
            <w:vAlign w:val="center"/>
          </w:tcPr>
          <w:p w14:paraId="636801A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20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1514" w:type="pct"/>
            <w:shd w:val="clear" w:color="auto" w:fill="auto"/>
            <w:noWrap w:val="0"/>
            <w:vAlign w:val="center"/>
          </w:tcPr>
          <w:p w14:paraId="18D1F28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20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</w:tr>
      <w:tr w14:paraId="3904D5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1680436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几丁质氮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746" w:type="pct"/>
            <w:noWrap w:val="0"/>
            <w:vAlign w:val="center"/>
          </w:tcPr>
          <w:p w14:paraId="6B86022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0.65</w:t>
            </w:r>
          </w:p>
        </w:tc>
        <w:tc>
          <w:tcPr>
            <w:tcW w:w="753" w:type="pct"/>
            <w:noWrap w:val="0"/>
            <w:vAlign w:val="center"/>
          </w:tcPr>
          <w:p w14:paraId="1D964D8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0.75</w:t>
            </w:r>
          </w:p>
        </w:tc>
        <w:tc>
          <w:tcPr>
            <w:tcW w:w="1514" w:type="pct"/>
            <w:noWrap w:val="0"/>
            <w:vAlign w:val="center"/>
          </w:tcPr>
          <w:p w14:paraId="0ABFA3E8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0.85</w:t>
            </w:r>
          </w:p>
        </w:tc>
      </w:tr>
      <w:tr w14:paraId="517744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47F8A8B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胃蛋白酶消化率/%</w:t>
            </w:r>
          </w:p>
        </w:tc>
        <w:tc>
          <w:tcPr>
            <w:tcW w:w="746" w:type="pct"/>
            <w:noWrap w:val="0"/>
            <w:vAlign w:val="center"/>
          </w:tcPr>
          <w:p w14:paraId="626697F3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7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53" w:type="pct"/>
            <w:noWrap w:val="0"/>
            <w:vAlign w:val="center"/>
          </w:tcPr>
          <w:p w14:paraId="55382388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65</w:t>
            </w:r>
          </w:p>
        </w:tc>
        <w:tc>
          <w:tcPr>
            <w:tcW w:w="1514" w:type="pct"/>
            <w:noWrap w:val="0"/>
            <w:vAlign w:val="center"/>
          </w:tcPr>
          <w:p w14:paraId="55B1D0AD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60</w:t>
            </w:r>
          </w:p>
        </w:tc>
      </w:tr>
      <w:tr w14:paraId="14D81B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0D4DE3B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挥发性盐基氮/mg/100g</w:t>
            </w:r>
          </w:p>
        </w:tc>
        <w:tc>
          <w:tcPr>
            <w:tcW w:w="746" w:type="pct"/>
            <w:noWrap w:val="0"/>
            <w:vAlign w:val="center"/>
          </w:tcPr>
          <w:p w14:paraId="03F33330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160</w:t>
            </w:r>
          </w:p>
        </w:tc>
        <w:tc>
          <w:tcPr>
            <w:tcW w:w="753" w:type="pct"/>
            <w:noWrap w:val="0"/>
            <w:vAlign w:val="center"/>
          </w:tcPr>
          <w:p w14:paraId="53C2E59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200</w:t>
            </w:r>
          </w:p>
        </w:tc>
        <w:tc>
          <w:tcPr>
            <w:tcW w:w="1514" w:type="pct"/>
            <w:noWrap w:val="0"/>
            <w:vAlign w:val="center"/>
          </w:tcPr>
          <w:p w14:paraId="2F4C7C29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 w14:paraId="5EA658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noWrap w:val="0"/>
            <w:vAlign w:val="center"/>
          </w:tcPr>
          <w:p w14:paraId="4324E3C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组胺/mg/kg</w:t>
            </w:r>
          </w:p>
        </w:tc>
        <w:tc>
          <w:tcPr>
            <w:tcW w:w="746" w:type="pct"/>
            <w:noWrap w:val="0"/>
            <w:vAlign w:val="center"/>
          </w:tcPr>
          <w:p w14:paraId="53714F5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753" w:type="pct"/>
            <w:noWrap w:val="0"/>
            <w:vAlign w:val="center"/>
          </w:tcPr>
          <w:p w14:paraId="08AF27A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≤1500</w:t>
            </w:r>
          </w:p>
        </w:tc>
        <w:tc>
          <w:tcPr>
            <w:tcW w:w="1514" w:type="pct"/>
            <w:noWrap w:val="0"/>
            <w:vAlign w:val="center"/>
          </w:tcPr>
          <w:p w14:paraId="119012AF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15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00</w:t>
            </w:r>
          </w:p>
        </w:tc>
      </w:tr>
      <w:tr w14:paraId="15C87C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985" w:type="pct"/>
            <w:shd w:val="clear" w:color="auto" w:fill="auto"/>
            <w:noWrap w:val="0"/>
            <w:vAlign w:val="center"/>
          </w:tcPr>
          <w:p w14:paraId="43715CB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丙二醛（以占粗脂肪的比例计）/mg/kg</w:t>
            </w:r>
          </w:p>
        </w:tc>
        <w:tc>
          <w:tcPr>
            <w:tcW w:w="746" w:type="pct"/>
            <w:shd w:val="clear" w:color="auto" w:fill="auto"/>
            <w:noWrap w:val="0"/>
            <w:vAlign w:val="center"/>
          </w:tcPr>
          <w:p w14:paraId="155846E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753" w:type="pct"/>
            <w:shd w:val="clear" w:color="auto" w:fill="auto"/>
            <w:noWrap w:val="0"/>
            <w:vAlign w:val="center"/>
          </w:tcPr>
          <w:p w14:paraId="6871B89A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</w:t>
            </w:r>
          </w:p>
        </w:tc>
        <w:tc>
          <w:tcPr>
            <w:tcW w:w="1514" w:type="pct"/>
            <w:shd w:val="clear" w:color="auto" w:fill="auto"/>
            <w:noWrap w:val="0"/>
            <w:vAlign w:val="center"/>
          </w:tcPr>
          <w:p w14:paraId="141F0A4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30</w:t>
            </w:r>
          </w:p>
        </w:tc>
      </w:tr>
      <w:tr w14:paraId="52DA76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00" w:type="pct"/>
            <w:gridSpan w:val="4"/>
            <w:noWrap w:val="0"/>
            <w:vAlign w:val="center"/>
          </w:tcPr>
          <w:p w14:paraId="0FB63AE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0" w:leftChars="0" w:firstLine="420" w:firstLineChars="200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highlight w:val="none"/>
              </w:rPr>
              <w:t>注：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粗蛋白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质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、粗脂肪和粗灰分均以干物质为基础计算；水分以风干基础计算。</w:t>
            </w:r>
          </w:p>
        </w:tc>
      </w:tr>
    </w:tbl>
    <w:p w14:paraId="1DFBB6CA">
      <w:pPr>
        <w:pStyle w:val="21"/>
        <w:numPr>
          <w:ilvl w:val="0"/>
          <w:numId w:val="0"/>
        </w:numPr>
        <w:tabs>
          <w:tab w:val="left" w:pos="360"/>
        </w:tabs>
        <w:ind w:leftChars="0"/>
        <w:jc w:val="center"/>
        <w:rPr>
          <w:rFonts w:hint="default" w:ascii="Times New Roman" w:hAnsi="Times New Roman" w:cs="Times New Roman"/>
          <w:highlight w:val="none"/>
        </w:rPr>
      </w:pPr>
      <w:bookmarkStart w:id="12" w:name="_Toc441595377"/>
      <w:bookmarkStart w:id="13" w:name="_Toc351049075"/>
      <w:r>
        <w:rPr>
          <w:rFonts w:hint="eastAsia" w:ascii="Times New Roman" w:cs="Times New Roman"/>
          <w:highlight w:val="none"/>
          <w:lang w:val="en-US" w:eastAsia="zh-CN"/>
        </w:rPr>
        <w:t xml:space="preserve">表2 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黑水虻</w:t>
      </w:r>
      <w:r>
        <w:rPr>
          <w:rFonts w:hint="default" w:ascii="Times New Roman" w:hAnsi="Times New Roman" w:cs="Times New Roman"/>
          <w:highlight w:val="none"/>
          <w:lang w:eastAsia="zh-CN"/>
        </w:rPr>
        <w:t>脱脂虫粉</w:t>
      </w:r>
      <w:r>
        <w:rPr>
          <w:rFonts w:hint="default" w:ascii="Times New Roman" w:hAnsi="Times New Roman" w:cs="Times New Roman"/>
          <w:highlight w:val="none"/>
        </w:rPr>
        <w:t>理化指标及分级</w:t>
      </w:r>
    </w:p>
    <w:tbl>
      <w:tblPr>
        <w:tblStyle w:val="8"/>
        <w:tblW w:w="4996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5"/>
        <w:gridCol w:w="1679"/>
        <w:gridCol w:w="1693"/>
        <w:gridCol w:w="1716"/>
      </w:tblGrid>
      <w:tr w14:paraId="2BF275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</w:trPr>
        <w:tc>
          <w:tcPr>
            <w:tcW w:w="2340" w:type="pct"/>
            <w:noWrap w:val="0"/>
            <w:vAlign w:val="center"/>
          </w:tcPr>
          <w:p w14:paraId="45EE48C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项目</w:t>
            </w:r>
          </w:p>
        </w:tc>
        <w:tc>
          <w:tcPr>
            <w:tcW w:w="2659" w:type="pct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6619854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指标</w:t>
            </w:r>
          </w:p>
        </w:tc>
      </w:tr>
      <w:tr w14:paraId="239ADA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</w:trPr>
        <w:tc>
          <w:tcPr>
            <w:tcW w:w="2340" w:type="pct"/>
            <w:noWrap w:val="0"/>
            <w:vAlign w:val="center"/>
          </w:tcPr>
          <w:p w14:paraId="38BF699E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</w:p>
        </w:tc>
        <w:tc>
          <w:tcPr>
            <w:tcW w:w="878" w:type="pct"/>
            <w:tcBorders>
              <w:top w:val="single" w:color="auto" w:sz="4" w:space="0"/>
            </w:tcBorders>
            <w:noWrap w:val="0"/>
            <w:vAlign w:val="center"/>
          </w:tcPr>
          <w:p w14:paraId="4DE3E024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一级</w:t>
            </w:r>
          </w:p>
        </w:tc>
        <w:tc>
          <w:tcPr>
            <w:tcW w:w="885" w:type="pct"/>
            <w:tcBorders>
              <w:top w:val="single" w:color="auto" w:sz="4" w:space="0"/>
            </w:tcBorders>
            <w:noWrap w:val="0"/>
            <w:vAlign w:val="center"/>
          </w:tcPr>
          <w:p w14:paraId="26798B2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二级</w:t>
            </w:r>
          </w:p>
        </w:tc>
        <w:tc>
          <w:tcPr>
            <w:tcW w:w="895" w:type="pct"/>
            <w:tcBorders>
              <w:top w:val="single" w:color="auto" w:sz="4" w:space="0"/>
            </w:tcBorders>
            <w:noWrap w:val="0"/>
            <w:vAlign w:val="center"/>
          </w:tcPr>
          <w:p w14:paraId="5832495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三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级</w:t>
            </w:r>
          </w:p>
        </w:tc>
      </w:tr>
      <w:tr w14:paraId="26116C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noWrap w:val="0"/>
            <w:vAlign w:val="center"/>
          </w:tcPr>
          <w:p w14:paraId="7295958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水分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2659" w:type="pct"/>
            <w:gridSpan w:val="3"/>
            <w:noWrap w:val="0"/>
            <w:vAlign w:val="center"/>
          </w:tcPr>
          <w:p w14:paraId="29A81D84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.0</w:t>
            </w:r>
          </w:p>
        </w:tc>
      </w:tr>
      <w:tr w14:paraId="56556F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noWrap w:val="0"/>
            <w:vAlign w:val="center"/>
          </w:tcPr>
          <w:p w14:paraId="0D6FAFA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粗蛋白质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878" w:type="pct"/>
            <w:noWrap w:val="0"/>
            <w:vAlign w:val="center"/>
          </w:tcPr>
          <w:p w14:paraId="324A7EBB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≥50.0</w:t>
            </w:r>
          </w:p>
        </w:tc>
        <w:tc>
          <w:tcPr>
            <w:tcW w:w="885" w:type="pct"/>
            <w:noWrap w:val="0"/>
            <w:vAlign w:val="center"/>
          </w:tcPr>
          <w:p w14:paraId="1F3BA5B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5.0</w:t>
            </w:r>
          </w:p>
        </w:tc>
        <w:tc>
          <w:tcPr>
            <w:tcW w:w="895" w:type="pct"/>
            <w:noWrap w:val="0"/>
            <w:vAlign w:val="center"/>
          </w:tcPr>
          <w:p w14:paraId="5413D090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0.0</w:t>
            </w:r>
          </w:p>
        </w:tc>
      </w:tr>
      <w:tr w14:paraId="125178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noWrap w:val="0"/>
            <w:vAlign w:val="center"/>
          </w:tcPr>
          <w:p w14:paraId="168ED3B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粗脂肪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878" w:type="pct"/>
            <w:noWrap w:val="0"/>
            <w:vAlign w:val="center"/>
          </w:tcPr>
          <w:p w14:paraId="22B8F68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885" w:type="pct"/>
            <w:noWrap w:val="0"/>
            <w:vAlign w:val="center"/>
          </w:tcPr>
          <w:p w14:paraId="01082DD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895" w:type="pct"/>
            <w:noWrap w:val="0"/>
            <w:vAlign w:val="center"/>
          </w:tcPr>
          <w:p w14:paraId="37E4D9BC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20.0</w:t>
            </w:r>
          </w:p>
        </w:tc>
      </w:tr>
      <w:tr w14:paraId="6FAE1C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noWrap w:val="0"/>
            <w:vAlign w:val="center"/>
          </w:tcPr>
          <w:p w14:paraId="570F1BE8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</w:rPr>
              <w:t>粗灰分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</w:rPr>
              <w:t>%</w:t>
            </w:r>
          </w:p>
        </w:tc>
        <w:tc>
          <w:tcPr>
            <w:tcW w:w="878" w:type="pct"/>
            <w:noWrap w:val="0"/>
            <w:vAlign w:val="center"/>
          </w:tcPr>
          <w:p w14:paraId="2BFE869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885" w:type="pct"/>
            <w:noWrap w:val="0"/>
            <w:vAlign w:val="center"/>
          </w:tcPr>
          <w:p w14:paraId="19CFC35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20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  <w:tc>
          <w:tcPr>
            <w:tcW w:w="895" w:type="pct"/>
            <w:noWrap w:val="0"/>
            <w:vAlign w:val="center"/>
          </w:tcPr>
          <w:p w14:paraId="7CD640A0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.0</w:t>
            </w:r>
          </w:p>
        </w:tc>
      </w:tr>
      <w:tr w14:paraId="083BDF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shd w:val="clear" w:color="auto" w:fill="auto"/>
            <w:noWrap w:val="0"/>
            <w:vAlign w:val="center"/>
          </w:tcPr>
          <w:p w14:paraId="34343C33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几丁质氮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%</w:t>
            </w:r>
          </w:p>
        </w:tc>
        <w:tc>
          <w:tcPr>
            <w:tcW w:w="878" w:type="pct"/>
            <w:shd w:val="clear" w:color="auto" w:fill="auto"/>
            <w:noWrap w:val="0"/>
            <w:vAlign w:val="center"/>
          </w:tcPr>
          <w:p w14:paraId="4892BD0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0.70</w:t>
            </w:r>
          </w:p>
        </w:tc>
        <w:tc>
          <w:tcPr>
            <w:tcW w:w="885" w:type="pct"/>
            <w:shd w:val="clear" w:color="auto" w:fill="auto"/>
            <w:noWrap w:val="0"/>
            <w:vAlign w:val="center"/>
          </w:tcPr>
          <w:p w14:paraId="773874F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0.80</w:t>
            </w:r>
          </w:p>
        </w:tc>
        <w:tc>
          <w:tcPr>
            <w:tcW w:w="895" w:type="pct"/>
            <w:shd w:val="clear" w:color="auto" w:fill="auto"/>
            <w:noWrap w:val="0"/>
            <w:vAlign w:val="center"/>
          </w:tcPr>
          <w:p w14:paraId="74F5E26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Times New Roman" w:cs="Times New Roman"/>
                <w:sz w:val="21"/>
                <w:szCs w:val="21"/>
                <w:highlight w:val="none"/>
                <w:lang w:val="en-US" w:eastAsia="zh-CN"/>
              </w:rPr>
              <w:t>0.90</w:t>
            </w:r>
          </w:p>
        </w:tc>
      </w:tr>
      <w:tr w14:paraId="07095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shd w:val="clear" w:color="auto" w:fill="auto"/>
            <w:noWrap w:val="0"/>
            <w:vAlign w:val="center"/>
          </w:tcPr>
          <w:p w14:paraId="5ECC9BE8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胃蛋白酶消化率/%</w:t>
            </w:r>
          </w:p>
        </w:tc>
        <w:tc>
          <w:tcPr>
            <w:tcW w:w="878" w:type="pct"/>
            <w:shd w:val="clear" w:color="auto" w:fill="auto"/>
            <w:noWrap w:val="0"/>
            <w:vAlign w:val="center"/>
          </w:tcPr>
          <w:p w14:paraId="13E9863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80</w:t>
            </w:r>
          </w:p>
        </w:tc>
        <w:tc>
          <w:tcPr>
            <w:tcW w:w="885" w:type="pct"/>
            <w:shd w:val="clear" w:color="auto" w:fill="auto"/>
            <w:noWrap w:val="0"/>
            <w:vAlign w:val="center"/>
          </w:tcPr>
          <w:p w14:paraId="1CD7F28A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75</w:t>
            </w:r>
          </w:p>
        </w:tc>
        <w:tc>
          <w:tcPr>
            <w:tcW w:w="895" w:type="pct"/>
            <w:shd w:val="clear" w:color="auto" w:fill="auto"/>
            <w:noWrap w:val="0"/>
            <w:vAlign w:val="center"/>
          </w:tcPr>
          <w:p w14:paraId="268B2977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≥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75</w:t>
            </w:r>
          </w:p>
        </w:tc>
      </w:tr>
      <w:tr w14:paraId="1E7478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shd w:val="clear" w:color="auto" w:fill="auto"/>
            <w:noWrap w:val="0"/>
            <w:vAlign w:val="center"/>
          </w:tcPr>
          <w:p w14:paraId="1BAEC92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挥发性盐基氮/mg/100g</w:t>
            </w:r>
          </w:p>
        </w:tc>
        <w:tc>
          <w:tcPr>
            <w:tcW w:w="878" w:type="pct"/>
            <w:shd w:val="clear" w:color="auto" w:fill="auto"/>
            <w:noWrap w:val="0"/>
            <w:vAlign w:val="center"/>
          </w:tcPr>
          <w:p w14:paraId="3016450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100</w:t>
            </w:r>
          </w:p>
        </w:tc>
        <w:tc>
          <w:tcPr>
            <w:tcW w:w="885" w:type="pct"/>
            <w:shd w:val="clear" w:color="auto" w:fill="auto"/>
            <w:noWrap w:val="0"/>
            <w:vAlign w:val="center"/>
          </w:tcPr>
          <w:p w14:paraId="7BC9E9E1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130</w:t>
            </w:r>
          </w:p>
        </w:tc>
        <w:tc>
          <w:tcPr>
            <w:tcW w:w="895" w:type="pct"/>
            <w:shd w:val="clear" w:color="auto" w:fill="auto"/>
            <w:noWrap w:val="0"/>
            <w:vAlign w:val="center"/>
          </w:tcPr>
          <w:p w14:paraId="5DB82A80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160</w:t>
            </w:r>
          </w:p>
        </w:tc>
      </w:tr>
      <w:tr w14:paraId="0B0A27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shd w:val="clear" w:color="auto" w:fill="auto"/>
            <w:noWrap w:val="0"/>
            <w:vAlign w:val="center"/>
          </w:tcPr>
          <w:p w14:paraId="0E9F9AD8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组胺/mg/kg</w:t>
            </w:r>
          </w:p>
        </w:tc>
        <w:tc>
          <w:tcPr>
            <w:tcW w:w="878" w:type="pct"/>
            <w:shd w:val="clear" w:color="auto" w:fill="auto"/>
            <w:noWrap w:val="0"/>
            <w:vAlign w:val="center"/>
          </w:tcPr>
          <w:p w14:paraId="6D47415E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500</w:t>
            </w:r>
          </w:p>
        </w:tc>
        <w:tc>
          <w:tcPr>
            <w:tcW w:w="885" w:type="pct"/>
            <w:shd w:val="clear" w:color="auto" w:fill="auto"/>
            <w:noWrap w:val="0"/>
            <w:vAlign w:val="center"/>
          </w:tcPr>
          <w:p w14:paraId="56B32D4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895" w:type="pct"/>
            <w:shd w:val="clear" w:color="auto" w:fill="auto"/>
            <w:noWrap w:val="0"/>
            <w:vAlign w:val="center"/>
          </w:tcPr>
          <w:p w14:paraId="0C431498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15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0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  <w:tr w14:paraId="6CD345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340" w:type="pct"/>
            <w:shd w:val="clear" w:color="auto" w:fill="auto"/>
            <w:noWrap w:val="0"/>
            <w:vAlign w:val="center"/>
          </w:tcPr>
          <w:p w14:paraId="6853C94B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highlight w:val="none"/>
                <w:lang w:val="en-US" w:eastAsia="zh-CN"/>
              </w:rPr>
              <w:t>丙二醛（以占粗脂肪的比例计）/mg/kg</w:t>
            </w:r>
          </w:p>
        </w:tc>
        <w:tc>
          <w:tcPr>
            <w:tcW w:w="878" w:type="pct"/>
            <w:shd w:val="clear" w:color="auto" w:fill="auto"/>
            <w:noWrap w:val="0"/>
            <w:vAlign w:val="center"/>
          </w:tcPr>
          <w:p w14:paraId="6E21B4AD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885" w:type="pct"/>
            <w:shd w:val="clear" w:color="auto" w:fill="auto"/>
            <w:noWrap w:val="0"/>
            <w:vAlign w:val="center"/>
          </w:tcPr>
          <w:p w14:paraId="548D4ED6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20</w:t>
            </w:r>
          </w:p>
        </w:tc>
        <w:tc>
          <w:tcPr>
            <w:tcW w:w="895" w:type="pct"/>
            <w:shd w:val="clear" w:color="auto" w:fill="auto"/>
            <w:noWrap w:val="0"/>
            <w:vAlign w:val="center"/>
          </w:tcPr>
          <w:p w14:paraId="70B83FF5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</w:rPr>
              <w:t>≤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highlight w:val="none"/>
                <w:lang w:val="en-US" w:eastAsia="zh-CN"/>
              </w:rPr>
              <w:t>30</w:t>
            </w:r>
          </w:p>
        </w:tc>
      </w:tr>
      <w:tr w14:paraId="13AC3A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00" w:type="pct"/>
            <w:gridSpan w:val="4"/>
            <w:noWrap w:val="0"/>
            <w:vAlign w:val="center"/>
          </w:tcPr>
          <w:p w14:paraId="6F47EB52">
            <w:pPr>
              <w:pStyle w:val="1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注：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粗蛋白</w:t>
            </w:r>
            <w:r>
              <w:rPr>
                <w:rFonts w:hint="eastAsia" w:ascii="Times New Roman" w:cs="Times New Roman"/>
                <w:sz w:val="21"/>
                <w:szCs w:val="21"/>
                <w:lang w:val="en-US" w:eastAsia="zh-CN"/>
              </w:rPr>
              <w:t>质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、粗脂肪和粗灰分均以干物质为基础计算；水分以风干基础计算。</w:t>
            </w:r>
          </w:p>
        </w:tc>
      </w:tr>
    </w:tbl>
    <w:p w14:paraId="27A43FFD">
      <w:pPr>
        <w:pStyle w:val="18"/>
        <w:spacing w:before="156" w:after="156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</w:rPr>
        <w:t>4.</w:t>
      </w:r>
      <w:r>
        <w:rPr>
          <w:rFonts w:hint="default" w:ascii="Times New Roman" w:hAnsi="Times New Roman" w:cs="Times New Roman"/>
          <w:lang w:val="en-US" w:eastAsia="zh-CN"/>
        </w:rPr>
        <w:t>4.3</w:t>
      </w:r>
      <w:r>
        <w:rPr>
          <w:rFonts w:hint="default" w:ascii="Times New Roman" w:hAnsi="Times New Roman" w:cs="Times New Roman"/>
        </w:rPr>
        <w:t xml:space="preserve">  </w:t>
      </w:r>
      <w:r>
        <w:rPr>
          <w:rFonts w:hint="default" w:ascii="Times New Roman" w:hAnsi="Times New Roman" w:cs="Times New Roman"/>
          <w:highlight w:val="none"/>
        </w:rPr>
        <w:t>卫生指标</w:t>
      </w:r>
    </w:p>
    <w:p w14:paraId="0FED268D">
      <w:pPr>
        <w:pStyle w:val="13"/>
        <w:rPr>
          <w:rFonts w:hint="default" w:ascii="Times New Roman" w:hAnsi="Times New Roman" w:cs="Times New Roman"/>
          <w:highlight w:val="none"/>
        </w:rPr>
      </w:pPr>
      <w:r>
        <w:rPr>
          <w:rFonts w:hint="default" w:ascii="Times New Roman" w:hAnsi="Times New Roman" w:cs="Times New Roman"/>
          <w:highlight w:val="none"/>
        </w:rPr>
        <w:t>应符合GB 13078的有关规定。</w:t>
      </w:r>
    </w:p>
    <w:p w14:paraId="47B15A1F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5  </w:t>
      </w:r>
      <w:bookmarkEnd w:id="12"/>
      <w:bookmarkEnd w:id="13"/>
      <w:r>
        <w:rPr>
          <w:rFonts w:hint="default" w:ascii="Times New Roman" w:hAnsi="Times New Roman" w:cs="Times New Roman"/>
        </w:rPr>
        <w:t>检验规则</w:t>
      </w:r>
    </w:p>
    <w:p w14:paraId="1B8B2518">
      <w:pPr>
        <w:pStyle w:val="18"/>
        <w:spacing w:before="156" w:after="15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5.1  试验试剂</w:t>
      </w:r>
    </w:p>
    <w:p w14:paraId="39DEB1FB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试验中所用所有试剂，在未注明其他要求时，均使用分析纯试剂，试验用水应使用GB/T 6682中规定的三级水。</w:t>
      </w:r>
    </w:p>
    <w:p w14:paraId="316526A6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5.2  </w:t>
      </w:r>
      <w:r>
        <w:rPr>
          <w:rFonts w:hint="default" w:ascii="Times New Roman" w:hAnsi="Times New Roman" w:cs="Times New Roman"/>
          <w:lang w:val="en-US" w:eastAsia="zh-CN"/>
        </w:rPr>
        <w:t>外观与</w:t>
      </w:r>
      <w:r>
        <w:rPr>
          <w:rFonts w:hint="default" w:ascii="Times New Roman" w:hAnsi="Times New Roman" w:cs="Times New Roman"/>
        </w:rPr>
        <w:t>性状</w:t>
      </w:r>
    </w:p>
    <w:p w14:paraId="7C18557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取适量样品放置在白瓷盘内，在非直射阳光、光线充足、无异味的环境中，感观检查颜色、霉变、杂质和气味。</w:t>
      </w:r>
    </w:p>
    <w:p w14:paraId="1B03B21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显微镜检查按GB/T14698的规定执行。</w:t>
      </w:r>
    </w:p>
    <w:p w14:paraId="067A748C">
      <w:pPr>
        <w:pStyle w:val="1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宋体" w:cs="Times New Roman"/>
        </w:rPr>
      </w:pPr>
    </w:p>
    <w:p w14:paraId="28AA12B2">
      <w:pPr>
        <w:pStyle w:val="18"/>
        <w:spacing w:before="156" w:after="156"/>
        <w:rPr>
          <w:rFonts w:hint="default" w:ascii="Times New Roman" w:hAnsi="Times New Roman" w:eastAsia="黑体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5</w:t>
      </w:r>
      <w:r>
        <w:rPr>
          <w:rFonts w:hint="default" w:ascii="Times New Roman" w:hAnsi="Times New Roman" w:cs="Times New Roman"/>
          <w:lang w:val="en-US" w:eastAsia="zh-CN"/>
        </w:rPr>
        <w:t>.3</w:t>
      </w:r>
      <w:r>
        <w:rPr>
          <w:rFonts w:hint="default" w:ascii="Times New Roman" w:hAnsi="Times New Roman" w:cs="Times New Roman"/>
        </w:rPr>
        <w:t xml:space="preserve">  </w:t>
      </w:r>
      <w:r>
        <w:rPr>
          <w:rFonts w:hint="default" w:ascii="Times New Roman" w:hAnsi="Times New Roman" w:cs="Times New Roman"/>
          <w:lang w:val="en-US" w:eastAsia="zh-CN"/>
        </w:rPr>
        <w:t>样品处理</w:t>
      </w:r>
    </w:p>
    <w:p w14:paraId="1625AE6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采样微生物项目按GB/T 42959规定执行，其他采样按GB/T 14699.1规定执行，样品粉碎后粒径按GB/T 5917.1规定测定，</w:t>
      </w:r>
      <w:r>
        <w:rPr>
          <w:rFonts w:hint="default" w:ascii="Times New Roman" w:hAnsi="Times New Roman" w:eastAsia="宋体" w:cs="Times New Roman"/>
        </w:rPr>
        <w:t>试样的制备</w:t>
      </w:r>
      <w:r>
        <w:rPr>
          <w:rFonts w:hint="default" w:ascii="Times New Roman" w:hAnsi="Times New Roman" w:eastAsia="宋体" w:cs="Times New Roman"/>
          <w:lang w:val="en-US" w:eastAsia="zh-CN"/>
        </w:rPr>
        <w:t>按</w:t>
      </w:r>
      <w:r>
        <w:rPr>
          <w:rFonts w:hint="default" w:ascii="Times New Roman" w:hAnsi="Times New Roman" w:eastAsia="宋体" w:cs="Times New Roman"/>
        </w:rPr>
        <w:t>GB/T 20195</w:t>
      </w:r>
      <w:r>
        <w:rPr>
          <w:rFonts w:hint="default" w:ascii="Times New Roman" w:hAnsi="Times New Roman" w:eastAsia="宋体" w:cs="Times New Roman"/>
          <w:lang w:val="en-US" w:eastAsia="zh-CN"/>
        </w:rPr>
        <w:t>进行</w:t>
      </w:r>
      <w:r>
        <w:rPr>
          <w:rFonts w:hint="default" w:ascii="Times New Roman" w:hAnsi="Times New Roman" w:eastAsia="宋体" w:cs="Times New Roman"/>
          <w:lang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混合均匀后用于理化指标的测定。水分按 GB/T6435规定执行，粗蛋白质按GB/T 6432规定执行，粗脂肪按GB/T 6433规定执行，粗纤维按GB/T 6434规定执行，粗灰分按GB/T 6438规定执行，</w:t>
      </w:r>
      <w:r>
        <w:rPr>
          <w:rFonts w:hint="eastAsia" w:cs="Times New Roman"/>
          <w:lang w:val="en-US" w:eastAsia="zh-CN"/>
        </w:rPr>
        <w:t>几丁质氮按附录A</w:t>
      </w:r>
      <w:r>
        <w:rPr>
          <w:rFonts w:hint="default" w:ascii="Times New Roman" w:hAnsi="Times New Roman" w:eastAsia="宋体" w:cs="Times New Roman"/>
          <w:lang w:val="en-US" w:eastAsia="zh-CN"/>
        </w:rPr>
        <w:t>的规定执行，胃蛋白酶消化率按 GB/T 17811的规定执行。 挥发性盐基氮按附录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的规定执行，组胺按 GB/T23884规定执行，丙二醛按附录</w:t>
      </w:r>
      <w:r>
        <w:rPr>
          <w:rFonts w:hint="eastAsia" w:cs="Times New Roman"/>
          <w:lang w:val="en-US" w:eastAsia="zh-CN"/>
        </w:rPr>
        <w:t>C</w:t>
      </w:r>
      <w:r>
        <w:rPr>
          <w:rFonts w:hint="default" w:ascii="Times New Roman" w:hAnsi="Times New Roman" w:eastAsia="宋体" w:cs="Times New Roman"/>
          <w:lang w:val="en-US" w:eastAsia="zh-CN"/>
        </w:rPr>
        <w:t>的规定执行。卫生指标按GB13078规定执行。</w:t>
      </w:r>
    </w:p>
    <w:p w14:paraId="7D4609F5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5.4</w:t>
      </w:r>
      <w:r>
        <w:rPr>
          <w:rFonts w:hint="default" w:ascii="Times New Roman" w:hAnsi="Times New Roman" w:cs="Times New Roman"/>
        </w:rPr>
        <w:t xml:space="preserve">  组批</w:t>
      </w:r>
    </w:p>
    <w:p w14:paraId="7F599271">
      <w:pPr>
        <w:pStyle w:val="1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原料相同，以同一班次、同一生产工艺生产的成品为一个检验批次。</w:t>
      </w:r>
    </w:p>
    <w:p w14:paraId="07059418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5.5</w:t>
      </w:r>
      <w:r>
        <w:rPr>
          <w:rFonts w:hint="default" w:ascii="Times New Roman" w:hAnsi="Times New Roman" w:cs="Times New Roman"/>
        </w:rPr>
        <w:t xml:space="preserve">  出厂检验</w:t>
      </w:r>
    </w:p>
    <w:p w14:paraId="56387F89">
      <w:pPr>
        <w:pStyle w:val="1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水分、粗蛋白</w:t>
      </w:r>
      <w:r>
        <w:rPr>
          <w:rFonts w:hint="default" w:ascii="Times New Roman" w:hAnsi="Times New Roman" w:cs="Times New Roman"/>
          <w:lang w:val="en-US" w:eastAsia="zh-CN"/>
        </w:rPr>
        <w:t>质</w:t>
      </w:r>
      <w:r>
        <w:rPr>
          <w:rFonts w:hint="default" w:ascii="Times New Roman" w:hAnsi="Times New Roman" w:cs="Times New Roman"/>
        </w:rPr>
        <w:t>、粗脂肪、粗灰分</w:t>
      </w:r>
      <w:r>
        <w:rPr>
          <w:rFonts w:hint="default" w:ascii="Times New Roman" w:hAnsi="Times New Roman" w:cs="Times New Roman"/>
          <w:lang w:eastAsia="zh-CN"/>
        </w:rPr>
        <w:t>、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挥发性盐基氮</w:t>
      </w:r>
      <w:r>
        <w:rPr>
          <w:rFonts w:hint="default" w:ascii="Times New Roman" w:hAnsi="Times New Roman" w:cs="Times New Roman"/>
        </w:rPr>
        <w:t>为出厂检验指标。</w:t>
      </w:r>
    </w:p>
    <w:p w14:paraId="6AC2BC08">
      <w:pPr>
        <w:pStyle w:val="18"/>
        <w:spacing w:before="156" w:after="156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5.6</w:t>
      </w: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cs="Times New Roman"/>
          <w:lang w:val="en-US" w:eastAsia="zh-CN"/>
        </w:rPr>
        <w:t xml:space="preserve"> 定期检验</w:t>
      </w:r>
    </w:p>
    <w:p w14:paraId="666E3606">
      <w:pPr>
        <w:pStyle w:val="13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a）</w:t>
      </w:r>
      <w:r>
        <w:rPr>
          <w:rFonts w:hint="default" w:ascii="Times New Roman" w:hAnsi="Times New Roman" w:cs="Times New Roman"/>
          <w:lang w:val="en-US" w:eastAsia="zh-CN"/>
        </w:rPr>
        <w:t xml:space="preserve">正常生产时，每2个月至少进行一次4.4质量控制的全部项目； </w:t>
      </w:r>
    </w:p>
    <w:p w14:paraId="480FE116">
      <w:pPr>
        <w:pStyle w:val="13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b）</w:t>
      </w:r>
      <w:r>
        <w:rPr>
          <w:rFonts w:hint="default" w:ascii="Times New Roman" w:hAnsi="Times New Roman" w:cs="Times New Roman"/>
          <w:lang w:val="en-US" w:eastAsia="zh-CN"/>
        </w:rPr>
        <w:t>更换原料供应商时，要连续检验至少3个批次的产品，检验4.4质量控制的全部项目；</w:t>
      </w:r>
    </w:p>
    <w:p w14:paraId="117EDB2F">
      <w:pPr>
        <w:pStyle w:val="13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c）</w:t>
      </w:r>
      <w:r>
        <w:rPr>
          <w:rFonts w:hint="default" w:ascii="Times New Roman" w:hAnsi="Times New Roman" w:cs="Times New Roman"/>
          <w:lang w:val="en-US" w:eastAsia="zh-CN"/>
        </w:rPr>
        <w:t>设备更新换代时，要连续检验至少3个批次的产品，检验4.4质量控制的全部项目</w:t>
      </w:r>
    </w:p>
    <w:p w14:paraId="055C008D">
      <w:pPr>
        <w:pStyle w:val="18"/>
        <w:spacing w:before="156" w:after="156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5.7  </w:t>
      </w:r>
      <w:r>
        <w:rPr>
          <w:rFonts w:hint="default" w:ascii="Times New Roman" w:hAnsi="Times New Roman" w:cs="Times New Roman"/>
        </w:rPr>
        <w:t>型式检验</w:t>
      </w:r>
    </w:p>
    <w:p w14:paraId="6E5F7286">
      <w:pPr>
        <w:ind w:firstLine="42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型式检验项目为本标准</w:t>
      </w:r>
      <w:r>
        <w:rPr>
          <w:rFonts w:hint="default" w:ascii="Times New Roman" w:hAnsi="Times New Roman" w:cs="Times New Roman"/>
          <w:lang w:eastAsia="zh-CN"/>
        </w:rPr>
        <w:t>理化指标、卫生指标中所有指标</w:t>
      </w:r>
      <w:r>
        <w:rPr>
          <w:rFonts w:hint="default" w:ascii="Times New Roman" w:hAnsi="Times New Roman" w:cs="Times New Roman"/>
        </w:rPr>
        <w:t>。在正常生产情况下，每半年至少进行1次型式检验。有下列情况之一时，亦应进行型式检验：</w:t>
      </w:r>
    </w:p>
    <w:p w14:paraId="63A7B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a）产品定型投产时；</w:t>
      </w:r>
    </w:p>
    <w:p w14:paraId="71A1E7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b）生产工艺有较大改变，可能影响产品质量时；</w:t>
      </w:r>
    </w:p>
    <w:p w14:paraId="54772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c）停产3个月，重新恢复生产时；</w:t>
      </w:r>
    </w:p>
    <w:p w14:paraId="41D3F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d）出厂检验结果与上次型式检验结果有较大差异时；</w:t>
      </w:r>
    </w:p>
    <w:p w14:paraId="79319E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e）产品质量监督机构或行政主管部门提出检验要求时；</w:t>
      </w:r>
    </w:p>
    <w:p w14:paraId="1772DB6C">
      <w:pPr>
        <w:pStyle w:val="13"/>
        <w:ind w:firstLineChars="0"/>
        <w:rPr>
          <w:rFonts w:hint="default" w:ascii="Times New Roman" w:hAnsi="Times New Roman" w:eastAsia="宋体" w:cs="Times New Roman"/>
          <w:color w:val="000000"/>
          <w:lang w:eastAsia="zh-CN"/>
        </w:rPr>
      </w:pPr>
      <w:r>
        <w:rPr>
          <w:rFonts w:hint="default" w:ascii="Times New Roman" w:hAnsi="Times New Roman" w:cs="Times New Roman"/>
          <w:color w:val="000000"/>
        </w:rPr>
        <w:t>f</w:t>
      </w:r>
      <w:r>
        <w:rPr>
          <w:rFonts w:hint="default" w:ascii="Times New Roman" w:hAnsi="Times New Roman" w:cs="Times New Roman"/>
        </w:rPr>
        <w:t>）</w:t>
      </w:r>
      <w:r>
        <w:rPr>
          <w:rFonts w:hint="default" w:ascii="Times New Roman" w:hAnsi="Times New Roman" w:cs="Times New Roman"/>
          <w:color w:val="000000"/>
        </w:rPr>
        <w:t>进行生产许可证的发放和复查时</w:t>
      </w:r>
      <w:r>
        <w:rPr>
          <w:rFonts w:hint="default" w:ascii="Times New Roman" w:hAnsi="Times New Roman" w:cs="Times New Roman"/>
          <w:color w:val="000000"/>
          <w:lang w:eastAsia="zh-CN"/>
        </w:rPr>
        <w:t>。</w:t>
      </w:r>
    </w:p>
    <w:p w14:paraId="2D89336F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5.8</w:t>
      </w:r>
      <w:r>
        <w:rPr>
          <w:rFonts w:hint="default" w:ascii="Times New Roman" w:hAnsi="Times New Roman" w:cs="Times New Roman"/>
        </w:rPr>
        <w:t xml:space="preserve">  判定规则</w:t>
      </w:r>
    </w:p>
    <w:p w14:paraId="5FC65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cs="Times New Roman"/>
        </w:rPr>
        <w:t>所验项目全部合格，判定为该批次产品合格。微生物指标不得复验，其余指标有一项不合格的，可重新加倍取样进行复验，复验结果中有一项不符合标准即判定为不合格。</w:t>
      </w:r>
    </w:p>
    <w:p w14:paraId="32583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cs="Times New Roman"/>
        </w:rPr>
        <w:t>各项目指标的极限数值判定</w:t>
      </w:r>
      <w:r>
        <w:rPr>
          <w:rFonts w:hint="default" w:ascii="Times New Roman" w:hAnsi="Times New Roman" w:cs="Times New Roman"/>
          <w:highlight w:val="none"/>
        </w:rPr>
        <w:t>按GB/T 8170中</w:t>
      </w:r>
      <w:r>
        <w:rPr>
          <w:rFonts w:hint="default" w:ascii="Times New Roman" w:hAnsi="Times New Roman" w:cs="Times New Roman"/>
          <w:highlight w:val="none"/>
          <w:lang w:eastAsia="zh-CN"/>
        </w:rPr>
        <w:t>数值</w:t>
      </w:r>
      <w:r>
        <w:rPr>
          <w:rFonts w:hint="default" w:ascii="Times New Roman" w:hAnsi="Times New Roman" w:cs="Times New Roman"/>
          <w:highlight w:val="none"/>
        </w:rPr>
        <w:t>修约</w:t>
      </w:r>
      <w:r>
        <w:rPr>
          <w:rFonts w:hint="default" w:ascii="Times New Roman" w:hAnsi="Times New Roman" w:cs="Times New Roman"/>
          <w:highlight w:val="none"/>
          <w:lang w:eastAsia="zh-CN"/>
        </w:rPr>
        <w:t>规则</w:t>
      </w:r>
      <w:r>
        <w:rPr>
          <w:rFonts w:hint="default" w:ascii="Times New Roman" w:hAnsi="Times New Roman" w:cs="Times New Roman"/>
          <w:highlight w:val="none"/>
        </w:rPr>
        <w:t>执行。检验结果判定的允许误差按GB/T 18823规</w:t>
      </w:r>
      <w:r>
        <w:rPr>
          <w:rFonts w:hint="default" w:ascii="Times New Roman" w:hAnsi="Times New Roman" w:cs="Times New Roman"/>
        </w:rPr>
        <w:t>定执行。</w:t>
      </w:r>
    </w:p>
    <w:p w14:paraId="6D485ACB"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</w:rPr>
      </w:pPr>
      <w:bookmarkStart w:id="14" w:name="_Toc441595379"/>
      <w:bookmarkStart w:id="15" w:name="_Toc351049077"/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</w:rPr>
        <w:t xml:space="preserve">  包装、标签、运输、贮存</w:t>
      </w:r>
      <w:bookmarkEnd w:id="14"/>
      <w:bookmarkEnd w:id="15"/>
      <w:r>
        <w:rPr>
          <w:rFonts w:hint="default" w:ascii="Times New Roman" w:hAnsi="Times New Roman" w:cs="Times New Roman"/>
        </w:rPr>
        <w:t>和保质期</w:t>
      </w:r>
    </w:p>
    <w:p w14:paraId="0918EEA5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</w:rPr>
        <w:t>.</w:t>
      </w:r>
      <w:r>
        <w:rPr>
          <w:rFonts w:hint="eastAsia" w:ascii="Times New Roman" w:cs="Times New Roman"/>
          <w:lang w:val="en-US" w:eastAsia="zh-CN"/>
        </w:rPr>
        <w:t>1</w:t>
      </w:r>
      <w:r>
        <w:rPr>
          <w:rFonts w:hint="default" w:ascii="Times New Roman" w:hAnsi="Times New Roman" w:cs="Times New Roman"/>
        </w:rPr>
        <w:t xml:space="preserve">  包装</w:t>
      </w:r>
    </w:p>
    <w:p w14:paraId="394AEAA4">
      <w:pPr>
        <w:pStyle w:val="1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采用内衬塑料膜的</w:t>
      </w:r>
      <w:r>
        <w:rPr>
          <w:rFonts w:hint="default" w:ascii="Times New Roman" w:hAnsi="Times New Roman" w:cs="Times New Roman"/>
          <w:lang w:val="en-US" w:eastAsia="zh-CN"/>
        </w:rPr>
        <w:t>双层</w:t>
      </w:r>
      <w:r>
        <w:rPr>
          <w:rFonts w:hint="default" w:ascii="Times New Roman" w:hAnsi="Times New Roman" w:cs="Times New Roman"/>
        </w:rPr>
        <w:t>包装，包装材料应无毒、无害、防潮。</w:t>
      </w:r>
    </w:p>
    <w:p w14:paraId="5174CAF4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</w:rPr>
        <w:t>.</w:t>
      </w:r>
      <w:r>
        <w:rPr>
          <w:rFonts w:hint="eastAsia" w:ascii="Times New Roman" w:cs="Times New Roman"/>
          <w:lang w:val="en-US" w:eastAsia="zh-CN"/>
        </w:rPr>
        <w:t>2</w:t>
      </w:r>
      <w:r>
        <w:rPr>
          <w:rFonts w:hint="default" w:ascii="Times New Roman" w:hAnsi="Times New Roman" w:cs="Times New Roman"/>
        </w:rPr>
        <w:t xml:space="preserve">  标志、标签</w:t>
      </w:r>
    </w:p>
    <w:p w14:paraId="5F8416D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left"/>
        <w:textAlignment w:val="auto"/>
        <w:rPr>
          <w:rFonts w:hint="default" w:ascii="Times New Roman" w:hAnsi="Times New Roman" w:cs="Times New Roman"/>
          <w:lang w:val="en-US"/>
        </w:rPr>
      </w:pPr>
      <w:r>
        <w:rPr>
          <w:rFonts w:hint="default" w:ascii="Times New Roman" w:hAnsi="Times New Roman" w:cs="Times New Roman"/>
        </w:rPr>
        <w:t>产品标志、标签按GB 10648的规定执</w:t>
      </w:r>
      <w:r>
        <w:rPr>
          <w:rFonts w:hint="default" w:ascii="Times New Roman" w:hAnsi="Times New Roman" w:cs="Times New Roman"/>
          <w:highlight w:val="none"/>
        </w:rPr>
        <w:t>行。</w:t>
      </w:r>
      <w:r>
        <w:rPr>
          <w:rFonts w:hint="default" w:ascii="Times New Roman" w:hAnsi="Times New Roman" w:eastAsia="宋体" w:cs="Times New Roman"/>
          <w:sz w:val="21"/>
          <w:szCs w:val="21"/>
          <w:highlight w:val="none"/>
          <w:lang w:val="en-US" w:eastAsia="zh-CN"/>
        </w:rPr>
        <w:t>虫粉中若加入抗氧化剂、防霉剂等，其使用见《饲料添加剂品种目录》和《饲料添加剂安全使用规范》，且需要在标签中说明。</w:t>
      </w:r>
    </w:p>
    <w:p w14:paraId="0BB0FC75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</w:rPr>
        <w:t>.3  运输</w:t>
      </w:r>
    </w:p>
    <w:p w14:paraId="4679797A">
      <w:pPr>
        <w:pStyle w:val="15"/>
        <w:ind w:firstLine="424" w:firstLineChars="202"/>
        <w:rPr>
          <w:rFonts w:hint="default" w:ascii="Times New Roman" w:hAnsi="Times New Roman" w:eastAsia="宋体" w:cs="Times New Roman"/>
          <w:szCs w:val="20"/>
        </w:rPr>
      </w:pPr>
      <w:r>
        <w:rPr>
          <w:rFonts w:hint="default" w:ascii="Times New Roman" w:hAnsi="Times New Roman" w:eastAsia="宋体" w:cs="Times New Roman"/>
          <w:szCs w:val="20"/>
        </w:rPr>
        <w:t>产品运输应保证运输工具的洁净</w:t>
      </w:r>
      <w:r>
        <w:rPr>
          <w:rFonts w:hint="default" w:ascii="Times New Roman" w:hAnsi="Times New Roman" w:eastAsia="宋体" w:cs="Times New Roman"/>
          <w:szCs w:val="20"/>
          <w:lang w:eastAsia="zh-CN"/>
        </w:rPr>
        <w:t>，</w:t>
      </w:r>
      <w:r>
        <w:rPr>
          <w:rFonts w:hint="default" w:ascii="Times New Roman" w:hAnsi="Times New Roman" w:eastAsia="宋体" w:cs="Times New Roman"/>
          <w:szCs w:val="20"/>
        </w:rPr>
        <w:t>禁止与有毒有害物</w:t>
      </w:r>
      <w:r>
        <w:rPr>
          <w:rFonts w:hint="default" w:ascii="Times New Roman" w:hAnsi="Times New Roman" w:eastAsia="宋体" w:cs="Times New Roman"/>
          <w:szCs w:val="20"/>
          <w:lang w:val="en-US" w:eastAsia="zh-CN"/>
        </w:rPr>
        <w:t>品与其他有污染的物品</w:t>
      </w:r>
      <w:r>
        <w:rPr>
          <w:rFonts w:hint="default" w:ascii="Times New Roman" w:hAnsi="Times New Roman" w:eastAsia="宋体" w:cs="Times New Roman"/>
          <w:szCs w:val="20"/>
        </w:rPr>
        <w:t>共</w:t>
      </w:r>
      <w:r>
        <w:rPr>
          <w:rFonts w:hint="default" w:ascii="Times New Roman" w:hAnsi="Times New Roman" w:eastAsia="宋体" w:cs="Times New Roman"/>
          <w:szCs w:val="20"/>
          <w:lang w:eastAsia="zh-CN"/>
        </w:rPr>
        <w:t>同</w:t>
      </w:r>
      <w:r>
        <w:rPr>
          <w:rFonts w:hint="default" w:ascii="Times New Roman" w:hAnsi="Times New Roman" w:eastAsia="宋体" w:cs="Times New Roman"/>
          <w:szCs w:val="20"/>
        </w:rPr>
        <w:t>运</w:t>
      </w:r>
      <w:r>
        <w:rPr>
          <w:rFonts w:hint="default" w:ascii="Times New Roman" w:hAnsi="Times New Roman" w:eastAsia="宋体" w:cs="Times New Roman"/>
          <w:szCs w:val="20"/>
          <w:lang w:eastAsia="zh-CN"/>
        </w:rPr>
        <w:t>输，</w:t>
      </w:r>
      <w:r>
        <w:rPr>
          <w:rFonts w:hint="default" w:ascii="Times New Roman" w:hAnsi="Times New Roman" w:eastAsia="宋体" w:cs="Times New Roman"/>
          <w:szCs w:val="20"/>
        </w:rPr>
        <w:t>防止有毒物质的污染；</w:t>
      </w:r>
      <w:r>
        <w:rPr>
          <w:rFonts w:hint="default" w:ascii="Times New Roman" w:hAnsi="Times New Roman" w:eastAsia="宋体" w:cs="Times New Roman"/>
          <w:szCs w:val="20"/>
          <w:lang w:eastAsia="zh-CN"/>
        </w:rPr>
        <w:t>预</w:t>
      </w:r>
      <w:r>
        <w:rPr>
          <w:rFonts w:hint="default" w:ascii="Times New Roman" w:hAnsi="Times New Roman" w:eastAsia="宋体" w:cs="Times New Roman"/>
          <w:szCs w:val="20"/>
        </w:rPr>
        <w:t>防包装破损</w:t>
      </w:r>
      <w:r>
        <w:rPr>
          <w:rFonts w:hint="default" w:ascii="Times New Roman" w:hAnsi="Times New Roman" w:eastAsia="宋体" w:cs="Times New Roman"/>
          <w:szCs w:val="20"/>
          <w:lang w:eastAsia="zh-CN"/>
        </w:rPr>
        <w:t>，</w:t>
      </w:r>
      <w:r>
        <w:rPr>
          <w:rFonts w:hint="default" w:ascii="Times New Roman" w:hAnsi="Times New Roman" w:eastAsia="宋体" w:cs="Times New Roman"/>
          <w:szCs w:val="20"/>
        </w:rPr>
        <w:t>防止日晒、雨淋，防霉防潮。</w:t>
      </w:r>
    </w:p>
    <w:p w14:paraId="40F93C78">
      <w:pPr>
        <w:pStyle w:val="1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</w:rPr>
        <w:t>.4  贮存</w:t>
      </w:r>
    </w:p>
    <w:p w14:paraId="4E210376">
      <w:pPr>
        <w:pStyle w:val="13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贮存仓库应清洁、干燥、阴凉通风，堆放时应离开墙壁20 cm以上，底</w:t>
      </w:r>
      <w:r>
        <w:rPr>
          <w:rFonts w:hint="default" w:ascii="Times New Roman" w:hAnsi="Times New Roman" w:cs="Times New Roman"/>
          <w:lang w:eastAsia="zh-CN"/>
        </w:rPr>
        <w:t>层放置</w:t>
      </w:r>
      <w:r>
        <w:rPr>
          <w:rFonts w:hint="default" w:ascii="Times New Roman" w:hAnsi="Times New Roman" w:cs="Times New Roman"/>
        </w:rPr>
        <w:t>垫板与地面隔开。防止受潮、霉变</w:t>
      </w:r>
      <w:r>
        <w:rPr>
          <w:rFonts w:hint="default" w:ascii="Times New Roman" w:hAnsi="Times New Roman" w:cs="Times New Roman"/>
          <w:lang w:eastAsia="zh-CN"/>
        </w:rPr>
        <w:t>，防</w:t>
      </w:r>
      <w:r>
        <w:rPr>
          <w:rFonts w:hint="default" w:ascii="Times New Roman" w:hAnsi="Times New Roman" w:cs="Times New Roman"/>
        </w:rPr>
        <w:t>虫</w:t>
      </w:r>
      <w:r>
        <w:rPr>
          <w:rFonts w:hint="default" w:ascii="Times New Roman" w:hAnsi="Times New Roman" w:cs="Times New Roman"/>
          <w:lang w:eastAsia="zh-CN"/>
        </w:rPr>
        <w:t>害</w:t>
      </w:r>
      <w:r>
        <w:rPr>
          <w:rFonts w:hint="default" w:ascii="Times New Roman" w:hAnsi="Times New Roman" w:cs="Times New Roman"/>
        </w:rPr>
        <w:t>、鼠害，防止日晒、雨淋，禁止与有毒有害物质混</w:t>
      </w:r>
      <w:r>
        <w:rPr>
          <w:rFonts w:hint="default" w:ascii="Times New Roman" w:hAnsi="Times New Roman" w:cs="Times New Roman"/>
          <w:lang w:eastAsia="zh-CN"/>
        </w:rPr>
        <w:t>合</w:t>
      </w:r>
      <w:r>
        <w:rPr>
          <w:rFonts w:hint="default" w:ascii="Times New Roman" w:hAnsi="Times New Roman" w:cs="Times New Roman"/>
        </w:rPr>
        <w:t>贮</w:t>
      </w:r>
      <w:r>
        <w:rPr>
          <w:rFonts w:hint="default" w:ascii="Times New Roman" w:hAnsi="Times New Roman" w:cs="Times New Roman"/>
          <w:lang w:eastAsia="zh-CN"/>
        </w:rPr>
        <w:t>存</w:t>
      </w:r>
      <w:r>
        <w:rPr>
          <w:rFonts w:hint="default" w:ascii="Times New Roman" w:hAnsi="Times New Roman" w:cs="Times New Roman"/>
        </w:rPr>
        <w:t>。</w:t>
      </w:r>
      <w:bookmarkStart w:id="16" w:name="_Toc441595380"/>
      <w:bookmarkStart w:id="17" w:name="_Toc351049078"/>
    </w:p>
    <w:bookmarkEnd w:id="16"/>
    <w:bookmarkEnd w:id="17"/>
    <w:p w14:paraId="1AB18D6D">
      <w:pPr>
        <w:pStyle w:val="1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after="63" w:afterLines="20"/>
        <w:jc w:val="center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br w:type="page"/>
      </w:r>
      <w:r>
        <w:rPr>
          <w:rFonts w:hint="default" w:ascii="Times New Roman" w:hAnsi="Times New Roman" w:cs="Times New Roman"/>
          <w:lang w:val="en-US" w:eastAsia="zh-CN"/>
        </w:rPr>
        <w:t>附 录 A</w:t>
      </w:r>
    </w:p>
    <w:p w14:paraId="61995623">
      <w:pPr>
        <w:pStyle w:val="1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after="63" w:afterLines="20"/>
        <w:jc w:val="center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(规范性)</w:t>
      </w:r>
    </w:p>
    <w:p w14:paraId="431098D7">
      <w:pPr>
        <w:pStyle w:val="1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after="63" w:afterLines="20"/>
        <w:jc w:val="center"/>
        <w:textAlignment w:val="auto"/>
        <w:rPr>
          <w:rFonts w:hint="eastAsia" w:asci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几丁质氮</w:t>
      </w:r>
      <w:r>
        <w:rPr>
          <w:rFonts w:hint="default" w:ascii="Times New Roman" w:hAnsi="Times New Roman" w:cs="Times New Roman"/>
          <w:lang w:val="en-US" w:eastAsia="zh-CN"/>
        </w:rPr>
        <w:t>的</w:t>
      </w:r>
      <w:r>
        <w:rPr>
          <w:rFonts w:hint="eastAsia" w:ascii="Times New Roman" w:cs="Times New Roman"/>
          <w:lang w:val="en-US" w:eastAsia="zh-CN"/>
        </w:rPr>
        <w:t>测定</w:t>
      </w:r>
    </w:p>
    <w:p w14:paraId="1C6BA435">
      <w:pPr>
        <w:pStyle w:val="18"/>
        <w:spacing w:before="156" w:after="156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A.1 原理 </w:t>
      </w:r>
    </w:p>
    <w:p w14:paraId="719C8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用</w:t>
      </w:r>
      <w:r>
        <w:rPr>
          <w:rFonts w:hint="default" w:ascii="Times New Roman" w:hAnsi="Times New Roman" w:eastAsia="宋体" w:cs="Times New Roman"/>
          <w:lang w:val="en-US" w:eastAsia="zh-CN"/>
        </w:rPr>
        <w:t>碱水解</w:t>
      </w:r>
      <w:r>
        <w:rPr>
          <w:rFonts w:hint="eastAsia" w:cs="Times New Roman"/>
          <w:lang w:val="en-US" w:eastAsia="zh-CN"/>
        </w:rPr>
        <w:t>法</w:t>
      </w:r>
      <w:r>
        <w:rPr>
          <w:rFonts w:hint="default" w:ascii="Times New Roman" w:hAnsi="Times New Roman" w:eastAsia="宋体" w:cs="Times New Roman"/>
          <w:lang w:val="en-US" w:eastAsia="zh-CN"/>
        </w:rPr>
        <w:t>去除</w:t>
      </w:r>
      <w:r>
        <w:rPr>
          <w:rFonts w:hint="eastAsia" w:cs="Times New Roman"/>
          <w:lang w:val="en-US" w:eastAsia="zh-CN"/>
        </w:rPr>
        <w:t>样品中的</w:t>
      </w:r>
      <w:r>
        <w:rPr>
          <w:rFonts w:hint="default" w:ascii="Times New Roman" w:hAnsi="Times New Roman" w:eastAsia="宋体" w:cs="Times New Roman"/>
          <w:lang w:val="en-US" w:eastAsia="zh-CN"/>
        </w:rPr>
        <w:t>真蛋白质</w:t>
      </w:r>
      <w:r>
        <w:rPr>
          <w:rFonts w:hint="eastAsia" w:cs="Times New Roman"/>
          <w:lang w:val="en-US" w:eastAsia="zh-CN"/>
        </w:rPr>
        <w:t>，剩余样品用凯氏定氮法测出的氮即为样品中的几丁质氮。</w:t>
      </w:r>
    </w:p>
    <w:p w14:paraId="0EA016D1">
      <w:pPr>
        <w:pStyle w:val="18"/>
        <w:spacing w:before="156" w:after="156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A.2 试剂或材料 </w:t>
      </w:r>
    </w:p>
    <w:p w14:paraId="22E27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除非另有规定，仅使用分析纯试剂。 </w:t>
      </w:r>
    </w:p>
    <w:p w14:paraId="116076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A.2.1 </w:t>
      </w:r>
      <w:r>
        <w:rPr>
          <w:rFonts w:hint="eastAsia" w:cs="Times New Roman"/>
          <w:lang w:val="en-US" w:eastAsia="zh-CN"/>
        </w:rPr>
        <w:t>氢氧化钠</w:t>
      </w:r>
      <w:r>
        <w:rPr>
          <w:rFonts w:hint="default" w:ascii="Times New Roman" w:hAnsi="Times New Roman" w:eastAsia="宋体" w:cs="Times New Roman"/>
          <w:lang w:val="en-US" w:eastAsia="zh-CN"/>
        </w:rPr>
        <w:t>(</w:t>
      </w:r>
      <w:r>
        <w:rPr>
          <w:rFonts w:hint="eastAsia" w:cs="Times New Roman"/>
          <w:lang w:val="en-US" w:eastAsia="zh-CN"/>
        </w:rPr>
        <w:t>1</w:t>
      </w:r>
      <w:r>
        <w:rPr>
          <w:rFonts w:hint="default" w:ascii="Times New Roman" w:hAnsi="Times New Roman" w:eastAsia="宋体" w:cs="Times New Roman"/>
          <w:lang w:val="en-US" w:eastAsia="zh-CN"/>
        </w:rPr>
        <w:t>0g/L)：称取</w:t>
      </w:r>
      <w:r>
        <w:rPr>
          <w:rFonts w:hint="eastAsia" w:cs="Times New Roman"/>
          <w:lang w:val="en-US" w:eastAsia="zh-CN"/>
        </w:rPr>
        <w:t>氢氧化钠1</w:t>
      </w:r>
      <w:r>
        <w:rPr>
          <w:rFonts w:hint="default" w:ascii="Times New Roman" w:hAnsi="Times New Roman" w:eastAsia="宋体" w:cs="Times New Roman"/>
          <w:lang w:val="en-US" w:eastAsia="zh-CN"/>
        </w:rPr>
        <w:t>0g，加1000mL</w:t>
      </w:r>
      <w:r>
        <w:rPr>
          <w:rFonts w:hint="eastAsia" w:cs="Times New Roman"/>
          <w:lang w:val="en-US" w:eastAsia="zh-CN"/>
        </w:rPr>
        <w:t>蒸馏</w:t>
      </w:r>
      <w:r>
        <w:rPr>
          <w:rFonts w:hint="default" w:ascii="Times New Roman" w:hAnsi="Times New Roman" w:eastAsia="宋体" w:cs="Times New Roman"/>
          <w:lang w:val="en-US" w:eastAsia="zh-CN"/>
        </w:rPr>
        <w:t>水溶解。</w:t>
      </w:r>
    </w:p>
    <w:p w14:paraId="013AC3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A.2.</w:t>
      </w:r>
      <w:r>
        <w:rPr>
          <w:rFonts w:hint="eastAsia" w:cs="Times New Roman"/>
          <w:lang w:val="en-US" w:eastAsia="zh-CN"/>
        </w:rPr>
        <w:t>2 石油醚（沸程60</w:t>
      </w:r>
      <w:r>
        <w:rPr>
          <w:rFonts w:hint="default" w:ascii="Times New Roman" w:hAnsi="Times New Roman" w:eastAsia="宋体" w:cs="Times New Roman"/>
          <w:lang w:val="en-US" w:eastAsia="zh-CN"/>
        </w:rPr>
        <w:t>℃～</w:t>
      </w:r>
      <w:r>
        <w:rPr>
          <w:rFonts w:hint="eastAsia" w:cs="Times New Roman"/>
          <w:lang w:val="en-US" w:eastAsia="zh-CN"/>
        </w:rPr>
        <w:t>90</w:t>
      </w:r>
      <w:r>
        <w:rPr>
          <w:rFonts w:hint="default" w:ascii="Times New Roman" w:hAnsi="Times New Roman" w:eastAsia="宋体" w:cs="Times New Roman"/>
          <w:lang w:val="en-US" w:eastAsia="zh-CN"/>
        </w:rPr>
        <w:t>℃</w:t>
      </w:r>
      <w:r>
        <w:rPr>
          <w:rFonts w:hint="eastAsia" w:cs="Times New Roman"/>
          <w:lang w:val="en-US" w:eastAsia="zh-CN"/>
        </w:rPr>
        <w:t>）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 </w:t>
      </w:r>
    </w:p>
    <w:p w14:paraId="1A2E46E3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A.3 仪器设备 </w:t>
      </w:r>
    </w:p>
    <w:p w14:paraId="37E82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A.3.1 半微量定氮装置</w:t>
      </w:r>
      <w:r>
        <w:rPr>
          <w:rFonts w:hint="eastAsia" w:ascii="Times New Roman" w:hAnsi="Times New Roman" w:eastAsia="宋体" w:cs="Times New Roman"/>
          <w:lang w:val="en-US" w:eastAsia="zh-CN"/>
        </w:rPr>
        <w:t>或</w:t>
      </w:r>
      <w:r>
        <w:rPr>
          <w:rFonts w:hint="default" w:ascii="Times New Roman" w:hAnsi="Times New Roman" w:eastAsia="宋体" w:cs="Times New Roman"/>
          <w:lang w:val="en-US" w:eastAsia="zh-CN"/>
        </w:rPr>
        <w:t>凯氏定氮仪</w:t>
      </w:r>
      <w:r>
        <w:rPr>
          <w:rFonts w:hint="eastAsia" w:ascii="Times New Roman" w:hAnsi="Times New Roman" w:eastAsia="宋体" w:cs="Times New Roman"/>
          <w:lang w:val="en-US" w:eastAsia="zh-CN"/>
        </w:rPr>
        <w:t>或杜马氏定氮仪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。 </w:t>
      </w:r>
    </w:p>
    <w:p w14:paraId="296F77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</w:t>
      </w:r>
      <w:r>
        <w:rPr>
          <w:rFonts w:hint="eastAsia" w:ascii="Times New Roman" w:hAnsi="Times New Roman" w:eastAsia="宋体" w:cs="Times New Roman"/>
          <w:lang w:val="en-US" w:eastAsia="zh-CN"/>
        </w:rPr>
        <w:t>2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lang w:val="en-US" w:eastAsia="zh-CN"/>
        </w:rPr>
        <w:t>分析天平：精度0.0001。</w:t>
      </w:r>
    </w:p>
    <w:p w14:paraId="1D858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</w:t>
      </w:r>
      <w:r>
        <w:rPr>
          <w:rFonts w:hint="eastAsia" w:ascii="Times New Roman" w:hAnsi="Times New Roman" w:eastAsia="宋体" w:cs="Times New Roman"/>
          <w:lang w:val="en-US" w:eastAsia="zh-CN"/>
        </w:rPr>
        <w:t>3干燥箱：控</w:t>
      </w:r>
      <w:r>
        <w:rPr>
          <w:rFonts w:hint="default" w:ascii="Times New Roman" w:hAnsi="Times New Roman" w:eastAsia="宋体" w:cs="Times New Roman"/>
          <w:lang w:val="en-US" w:eastAsia="zh-CN"/>
        </w:rPr>
        <w:t>温精度士</w:t>
      </w:r>
      <w:r>
        <w:rPr>
          <w:rFonts w:hint="default" w:ascii="Times New Roman" w:hAnsi="Times New Roman" w:cs="Times New Roman"/>
          <w:lang w:val="en-US" w:eastAsia="zh-CN"/>
        </w:rPr>
        <w:t>2</w:t>
      </w:r>
      <w:r>
        <w:rPr>
          <w:rFonts w:hint="default" w:ascii="Times New Roman" w:hAnsi="Times New Roman" w:eastAsia="宋体" w:cs="Times New Roman"/>
          <w:lang w:val="en-US" w:eastAsia="zh-CN"/>
        </w:rPr>
        <w:t>℃。</w:t>
      </w:r>
    </w:p>
    <w:p w14:paraId="0C25C4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A.3.4 烧杯：</w:t>
      </w:r>
      <w:r>
        <w:rPr>
          <w:rFonts w:hint="default" w:ascii="Times New Roman" w:hAnsi="Times New Roman" w:cs="Times New Roman"/>
          <w:lang w:val="en-US" w:eastAsia="zh-CN"/>
        </w:rPr>
        <w:t>1L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。 </w:t>
      </w:r>
    </w:p>
    <w:p w14:paraId="56BEF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A.3.5 滤袋：孔径20μm～25μm，受热温度，而酸、碱水煮。</w:t>
      </w:r>
    </w:p>
    <w:p w14:paraId="06751A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</w:t>
      </w:r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lang w:val="en-US" w:eastAsia="zh-CN"/>
        </w:rPr>
        <w:t>干燥器。</w:t>
      </w:r>
    </w:p>
    <w:p w14:paraId="43FCCF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</w:t>
      </w:r>
      <w:r>
        <w:rPr>
          <w:rFonts w:hint="default" w:ascii="Times New Roman" w:hAnsi="Times New Roman" w:cs="Times New Roman"/>
          <w:lang w:val="en-US" w:eastAsia="zh-CN"/>
        </w:rPr>
        <w:t>7 滤纸。</w:t>
      </w:r>
    </w:p>
    <w:p w14:paraId="241959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A.3.</w:t>
      </w:r>
      <w:r>
        <w:rPr>
          <w:rFonts w:hint="default" w:ascii="Times New Roman" w:hAnsi="Times New Roman" w:cs="Times New Roman"/>
          <w:lang w:val="en-US" w:eastAsia="zh-CN"/>
        </w:rPr>
        <w:t xml:space="preserve">8 </w:t>
      </w:r>
      <w:r>
        <w:rPr>
          <w:rFonts w:hint="default" w:ascii="Times New Roman" w:hAnsi="Times New Roman" w:eastAsia="宋体" w:cs="Times New Roman"/>
          <w:lang w:val="en-US" w:eastAsia="zh-CN"/>
        </w:rPr>
        <w:t>冷却装置</w:t>
      </w:r>
      <w:r>
        <w:rPr>
          <w:rFonts w:hint="default" w:ascii="Times New Roman" w:hAnsi="Times New Roman" w:cs="Times New Roman"/>
          <w:lang w:val="en-US" w:eastAsia="zh-CN"/>
        </w:rPr>
        <w:t>。</w:t>
      </w:r>
    </w:p>
    <w:p w14:paraId="0F891880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A.4 样品 </w:t>
      </w:r>
    </w:p>
    <w:p w14:paraId="1D0AB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按 GB/T20195制备样品至少200g，粉碎使其全部通过1mm 孔径的分析筛，充分混匀，装入</w:t>
      </w:r>
      <w:r>
        <w:rPr>
          <w:rFonts w:hint="default" w:ascii="Times New Roman" w:hAnsi="Times New Roman" w:cs="Times New Roman"/>
          <w:lang w:val="en-US" w:eastAsia="zh-CN"/>
        </w:rPr>
        <w:t>密闭容器</w:t>
      </w:r>
      <w:r>
        <w:rPr>
          <w:rFonts w:hint="default" w:ascii="Times New Roman" w:hAnsi="Times New Roman" w:eastAsia="宋体" w:cs="Times New Roman"/>
          <w:lang w:val="en-US" w:eastAsia="zh-CN"/>
        </w:rPr>
        <w:t>中，</w:t>
      </w:r>
      <w:r>
        <w:rPr>
          <w:rFonts w:hint="default" w:ascii="Times New Roman" w:hAnsi="Times New Roman" w:cs="Times New Roman"/>
          <w:lang w:val="en-US" w:eastAsia="zh-CN"/>
        </w:rPr>
        <w:t>备用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。 </w:t>
      </w:r>
    </w:p>
    <w:p w14:paraId="1412D74F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A.5 试验步骤 </w:t>
      </w:r>
    </w:p>
    <w:p w14:paraId="5164E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A.5.1 </w:t>
      </w:r>
      <w:r>
        <w:rPr>
          <w:rFonts w:hint="default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称样</w:t>
      </w:r>
    </w:p>
    <w:p w14:paraId="0D9CBF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平行做两份试验。取经105°C士2°C干燥2h、在干燥器中冷却至室温的滤袋(</w:t>
      </w:r>
      <w:r>
        <w:rPr>
          <w:rFonts w:hint="default" w:ascii="Times New Roman" w:hAnsi="Times New Roman" w:cs="Times New Roman"/>
          <w:lang w:val="en-US" w:eastAsia="zh-CN"/>
        </w:rPr>
        <w:t>A3.5</w:t>
      </w:r>
      <w:r>
        <w:rPr>
          <w:rFonts w:hint="default" w:ascii="Times New Roman" w:hAnsi="Times New Roman" w:eastAsia="宋体" w:cs="Times New Roman"/>
          <w:lang w:val="en-US" w:eastAsia="zh-CN"/>
        </w:rPr>
        <w:t>)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称量，精确至0.0001g。称取试样1g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精确至0.0001g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装</w:t>
      </w:r>
      <w:r>
        <w:rPr>
          <w:rFonts w:hint="default" w:ascii="Times New Roman" w:hAnsi="Times New Roman" w:cs="Times New Roman"/>
          <w:lang w:val="en-US" w:eastAsia="zh-CN"/>
        </w:rPr>
        <w:t>入</w:t>
      </w:r>
      <w:r>
        <w:rPr>
          <w:rFonts w:hint="default" w:ascii="Times New Roman" w:hAnsi="Times New Roman" w:eastAsia="宋体" w:cs="Times New Roman"/>
          <w:lang w:val="en-US" w:eastAsia="zh-CN"/>
        </w:rPr>
        <w:t>滤袋内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试样体积一般不超过滤袋容量的1/2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封口。若试样脂肪含量超过5%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从</w:t>
      </w:r>
      <w:r>
        <w:rPr>
          <w:rFonts w:hint="default" w:ascii="Times New Roman" w:hAnsi="Times New Roman" w:cs="Times New Roman"/>
          <w:lang w:val="en-US" w:eastAsia="zh-CN"/>
        </w:rPr>
        <w:t>A.5.2</w:t>
      </w:r>
      <w:r>
        <w:rPr>
          <w:rFonts w:hint="default" w:ascii="Times New Roman" w:hAnsi="Times New Roman" w:eastAsia="宋体" w:cs="Times New Roman"/>
          <w:lang w:val="en-US" w:eastAsia="zh-CN"/>
        </w:rPr>
        <w:t>开始处理</w:t>
      </w:r>
      <w:r>
        <w:rPr>
          <w:rFonts w:hint="default" w:ascii="Times New Roman" w:hAnsi="Times New Roman" w:cs="Times New Roman"/>
          <w:lang w:val="en-US" w:eastAsia="zh-CN"/>
        </w:rPr>
        <w:t>；</w:t>
      </w:r>
      <w:r>
        <w:rPr>
          <w:rFonts w:hint="default" w:ascii="Times New Roman" w:hAnsi="Times New Roman" w:eastAsia="宋体" w:cs="Times New Roman"/>
          <w:lang w:val="en-US" w:eastAsia="zh-CN"/>
        </w:rPr>
        <w:t>若试样脂肪含量低于5%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从</w:t>
      </w:r>
      <w:r>
        <w:rPr>
          <w:rFonts w:hint="default" w:ascii="Times New Roman" w:hAnsi="Times New Roman" w:cs="Times New Roman"/>
          <w:lang w:val="en-US" w:eastAsia="zh-CN"/>
        </w:rPr>
        <w:t>A.5.3</w:t>
      </w:r>
      <w:r>
        <w:rPr>
          <w:rFonts w:hint="default" w:ascii="Times New Roman" w:hAnsi="Times New Roman" w:eastAsia="宋体" w:cs="Times New Roman"/>
          <w:lang w:val="en-US" w:eastAsia="zh-CN"/>
        </w:rPr>
        <w:t>开始处理。</w:t>
      </w:r>
    </w:p>
    <w:p w14:paraId="036EDB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A.5.2 </w:t>
      </w:r>
      <w:r>
        <w:rPr>
          <w:rFonts w:hint="default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预先脱脂</w:t>
      </w:r>
    </w:p>
    <w:p w14:paraId="4037EA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将装有试样的滤袋放入烧杯(A.3.4)中，置于通风橱内，加入石油醚(A.2.</w:t>
      </w:r>
      <w:r>
        <w:rPr>
          <w:rFonts w:hint="default" w:ascii="Times New Roman" w:hAnsi="Times New Roman" w:cs="Times New Roman"/>
          <w:lang w:val="en-US" w:eastAsia="zh-CN"/>
        </w:rPr>
        <w:t>2</w:t>
      </w:r>
      <w:r>
        <w:rPr>
          <w:rFonts w:hint="default" w:ascii="Times New Roman" w:hAnsi="Times New Roman" w:eastAsia="宋体" w:cs="Times New Roman"/>
          <w:lang w:val="en-US" w:eastAsia="zh-CN"/>
        </w:rPr>
        <w:t>)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使样品完全浸没，浸泡5min，期间用玻璃棒轻轻搅拌翻动2次，倒去烧杯中的石油醚。重复操作3次。取出滤袋，放在滤纸(A.3.</w:t>
      </w:r>
      <w:r>
        <w:rPr>
          <w:rFonts w:hint="default" w:ascii="Times New Roman" w:hAnsi="Times New Roman" w:cs="Times New Roman"/>
          <w:lang w:val="en-US" w:eastAsia="zh-CN"/>
        </w:rPr>
        <w:t xml:space="preserve">7 </w:t>
      </w:r>
      <w:r>
        <w:rPr>
          <w:rFonts w:hint="default" w:ascii="Times New Roman" w:hAnsi="Times New Roman" w:eastAsia="宋体" w:cs="Times New Roman"/>
          <w:lang w:val="en-US" w:eastAsia="zh-CN"/>
        </w:rPr>
        <w:t>)上，轻轻挤压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去除滤袋上的石油醚，在通风橱中挥发30min，去除残余的石油醚。</w:t>
      </w:r>
    </w:p>
    <w:p w14:paraId="4E4677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A.5.3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</w:t>
      </w:r>
      <w:r>
        <w:rPr>
          <w:rFonts w:hint="default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氢氧化钠消煮</w:t>
      </w:r>
    </w:p>
    <w:p w14:paraId="1756E6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将装有试样的滤袋放入烧杯(A.3.4)中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按每个滤袋100mL的量加</w:t>
      </w:r>
      <w:r>
        <w:rPr>
          <w:rFonts w:hint="default" w:ascii="Times New Roman" w:hAnsi="Times New Roman" w:cs="Times New Roman"/>
          <w:lang w:val="en-US" w:eastAsia="zh-CN"/>
        </w:rPr>
        <w:t>入氢氧化钠</w:t>
      </w:r>
      <w:r>
        <w:rPr>
          <w:rFonts w:hint="default" w:ascii="Times New Roman" w:hAnsi="Times New Roman" w:eastAsia="宋体" w:cs="Times New Roman"/>
          <w:lang w:val="en-US" w:eastAsia="zh-CN"/>
        </w:rPr>
        <w:t>溶液(A.2.1)，加热至微沸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保持</w:t>
      </w:r>
      <w:r>
        <w:rPr>
          <w:rFonts w:hint="default" w:ascii="Times New Roman" w:hAnsi="Times New Roman" w:cs="Times New Roman"/>
          <w:lang w:val="en-US" w:eastAsia="zh-CN"/>
        </w:rPr>
        <w:t>1h</w:t>
      </w:r>
      <w:r>
        <w:rPr>
          <w:rFonts w:hint="default" w:ascii="Times New Roman" w:hAnsi="Times New Roman" w:eastAsia="宋体" w:cs="Times New Roman"/>
          <w:lang w:val="en-US" w:eastAsia="zh-CN"/>
        </w:rPr>
        <w:t>。沸腾期间开启冷却装置(A.3.</w:t>
      </w:r>
      <w:r>
        <w:rPr>
          <w:rFonts w:hint="default" w:ascii="Times New Roman" w:hAnsi="Times New Roman" w:cs="Times New Roman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lang w:val="en-US" w:eastAsia="zh-CN"/>
        </w:rPr>
        <w:t>)</w:t>
      </w:r>
      <w:r>
        <w:rPr>
          <w:rFonts w:hint="default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保持消煮液体积恒定。煮沸完毕取出滤袋，用热水洗至中性，再用滤纸(A.3.</w:t>
      </w:r>
      <w:r>
        <w:rPr>
          <w:rFonts w:hint="default" w:ascii="Times New Roman" w:hAnsi="Times New Roman" w:cs="Times New Roman"/>
          <w:lang w:val="en-US" w:eastAsia="zh-CN"/>
        </w:rPr>
        <w:t>7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)把袋内水分轻轻挤干。 </w:t>
      </w:r>
    </w:p>
    <w:p w14:paraId="202A3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A.5.4 </w:t>
      </w:r>
      <w:r>
        <w:rPr>
          <w:rFonts w:hint="default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烘干</w:t>
      </w:r>
    </w:p>
    <w:p w14:paraId="24664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将脱脂后的滤袋于105°C士2°C干燥4h</w:t>
      </w:r>
      <w:r>
        <w:rPr>
          <w:rFonts w:hint="eastAsia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取出，置于干燥器(A.3.</w:t>
      </w:r>
      <w:r>
        <w:rPr>
          <w:rFonts w:hint="default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lang w:val="en-US" w:eastAsia="zh-CN"/>
        </w:rPr>
        <w:t>)中冷却至室温，迅速称量，精确至0.0001g</w:t>
      </w:r>
      <w:r>
        <w:rPr>
          <w:rFonts w:hint="eastAsia" w:ascii="Times New Roman" w:hAnsi="Times New Roman" w:cs="Times New Roman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lang w:val="en-US" w:eastAsia="zh-CN"/>
        </w:rPr>
        <w:t>直至连续2次称重的差值不超过2mg。</w:t>
      </w:r>
    </w:p>
    <w:p w14:paraId="5AF97C55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A.5.</w:t>
      </w:r>
      <w:r>
        <w:rPr>
          <w:rFonts w:hint="eastAsia" w:ascii="Times New Roman" w:cs="Times New Roman"/>
          <w:lang w:val="en-US" w:eastAsia="zh-CN"/>
        </w:rPr>
        <w:t>5</w:t>
      </w:r>
      <w:r>
        <w:rPr>
          <w:rFonts w:ascii="微软雅黑" w:hAnsi="微软雅黑" w:eastAsia="微软雅黑" w:cs="微软雅黑"/>
          <w:i w:val="0"/>
          <w:iCs w:val="0"/>
          <w:caps w:val="0"/>
          <w:color w:val="606266"/>
          <w:spacing w:val="0"/>
          <w:sz w:val="18"/>
          <w:szCs w:val="18"/>
          <w:shd w:val="clear" w:fill="FCFCFC"/>
        </w:rPr>
        <w:t> 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试样的消煮</w:t>
      </w:r>
      <w:r>
        <w:rPr>
          <w:rFonts w:hint="eastAsia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、</w:t>
      </w:r>
      <w:r>
        <w:rPr>
          <w:rFonts w:hint="default" w:ascii="Times New Roman" w:hAnsi="Times New Roman" w:eastAsia="黑体" w:cs="Times New Roman"/>
          <w:kern w:val="0"/>
          <w:sz w:val="21"/>
          <w:szCs w:val="21"/>
          <w:lang w:val="en-US" w:eastAsia="zh-CN" w:bidi="ar-SA"/>
        </w:rPr>
        <w:t>蒸馏</w:t>
      </w:r>
      <w:r>
        <w:rPr>
          <w:rFonts w:hint="eastAsia" w:eastAsia="黑体" w:cs="Times New Roman"/>
          <w:kern w:val="0"/>
          <w:sz w:val="21"/>
          <w:szCs w:val="21"/>
          <w:lang w:val="en-US" w:eastAsia="zh-CN" w:bidi="ar-SA"/>
        </w:rPr>
        <w:t>、滴定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</w:p>
    <w:p w14:paraId="23A38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按照 GB/T6432规定</w:t>
      </w:r>
      <w:r>
        <w:rPr>
          <w:rFonts w:hint="eastAsia" w:cs="Times New Roman"/>
          <w:lang w:val="en-US" w:eastAsia="zh-CN"/>
        </w:rPr>
        <w:t>进行测定，测得样品中几丁质氮的含量。</w:t>
      </w:r>
    </w:p>
    <w:p w14:paraId="32787F3D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 w14:paraId="0B09864C">
      <w:pPr>
        <w:pStyle w:val="18"/>
        <w:spacing w:before="156" w:after="156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附 录 </w:t>
      </w:r>
      <w:r>
        <w:rPr>
          <w:rFonts w:hint="eastAsia" w:ascii="Times New Roman" w:cs="Times New Roman"/>
          <w:lang w:val="en-US" w:eastAsia="zh-CN"/>
        </w:rPr>
        <w:t>B</w:t>
      </w:r>
    </w:p>
    <w:p w14:paraId="4314A5FB">
      <w:pPr>
        <w:pStyle w:val="18"/>
        <w:spacing w:before="156" w:after="156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(规范性)</w:t>
      </w:r>
    </w:p>
    <w:p w14:paraId="419B3A36">
      <w:pPr>
        <w:pStyle w:val="18"/>
        <w:spacing w:before="156" w:after="156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挥发性盐基氮(VBN)的测定</w:t>
      </w:r>
    </w:p>
    <w:p w14:paraId="3A652A0A">
      <w:pPr>
        <w:pStyle w:val="18"/>
        <w:spacing w:before="156" w:after="156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.1 原理 </w:t>
      </w:r>
    </w:p>
    <w:p w14:paraId="7D506B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挥发性盐基氮在碱性溶液中蒸出，硼酸溶液吸收后，用盐酸标准滴定溶液滴定，依据氮的含量计算出挥发性盐基氮含量。 </w:t>
      </w:r>
    </w:p>
    <w:p w14:paraId="02AD5D89">
      <w:pPr>
        <w:pStyle w:val="18"/>
        <w:spacing w:before="156" w:after="156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.2 试剂或材料 </w:t>
      </w:r>
    </w:p>
    <w:p w14:paraId="549F30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除非另有规定，仅使用分析纯试剂。 </w:t>
      </w:r>
    </w:p>
    <w:p w14:paraId="667EF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.2.1 水：GB/T6682，三级。 </w:t>
      </w:r>
    </w:p>
    <w:p w14:paraId="1E672E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.2.2 硼酸溶液(20g/L)：称取硼酸20g，加水溶解后定容至1000mL。 </w:t>
      </w:r>
    </w:p>
    <w:p w14:paraId="23E698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.2.3 氧化镁混悬液(10g/L)：称取氧化镁10g，加1000mL水，摇匀。 </w:t>
      </w:r>
    </w:p>
    <w:p w14:paraId="1D1A94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.2.4 盐酸标准滴定溶液(c(HCl)=0.1mol/L)：按 GB/T601 配制、标定。 </w:t>
      </w:r>
    </w:p>
    <w:p w14:paraId="09AC81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.2.5 盐酸标准滴定溶液(c(HCl)=0.01mol/L)：用0.1mol/L盐酸标准滴定溶液(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.2.4)稀释。 </w:t>
      </w:r>
    </w:p>
    <w:p w14:paraId="535F4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.2.6 盐酸标准滴定溶液(c(HCl)=0.02mol/L)：用0.1mol/L盐酸标准滴定溶液(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.2.4)稀释。 </w:t>
      </w:r>
    </w:p>
    <w:p w14:paraId="578AA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.2.7 甲基红乙醇溶液：称取0.1g甲基红，用乙醇(95%)溶解并定容至100mL。 </w:t>
      </w:r>
    </w:p>
    <w:p w14:paraId="713363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.2.8 溴甲酚绿乙醇溶液：称取0.5g溴甲酚绿，用乙醇(95%)溶解并定容至100mL。 </w:t>
      </w:r>
    </w:p>
    <w:p w14:paraId="31F913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.2.9 甲基红-溴甲酚绿混合指示剂：将甲基红乙醇溶液(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.2.7)与溴甲酚绿乙醇溶液(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.2.8)等体积混合，临用现配。 </w:t>
      </w:r>
    </w:p>
    <w:p w14:paraId="44E5B0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.2.10 消泡剂：硅油。 </w:t>
      </w:r>
    </w:p>
    <w:p w14:paraId="138123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.2.11 pH试纸：1-14。 </w:t>
      </w:r>
    </w:p>
    <w:p w14:paraId="1D20FAD3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.3 仪器设备 </w:t>
      </w:r>
    </w:p>
    <w:p w14:paraId="20AFA4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.3.1 电子天平：感量0.1g、0.0001g。 </w:t>
      </w:r>
    </w:p>
    <w:p w14:paraId="1E5F1F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.3.2 往复式振荡器：不低于120次/min。 </w:t>
      </w:r>
    </w:p>
    <w:p w14:paraId="4C5B36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.3.3 半微量定氮装置。 </w:t>
      </w:r>
    </w:p>
    <w:p w14:paraId="5D60EF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.3.4 半自动凯氏定氮仪。 </w:t>
      </w:r>
    </w:p>
    <w:p w14:paraId="3DB88C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.3.5 全自动凯氏定氮仪。 </w:t>
      </w:r>
    </w:p>
    <w:p w14:paraId="17D396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.3.6 酸式滴定管：10mL。 </w:t>
      </w:r>
    </w:p>
    <w:p w14:paraId="1228D0FC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.4 样品 </w:t>
      </w:r>
    </w:p>
    <w:p w14:paraId="6FBEB6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按 GB/T20195制备样品至少200g，粉碎使其全部通过1mm 孔径的分析筛，充分混匀，装入磨口瓶中，立即检测。 </w:t>
      </w:r>
    </w:p>
    <w:p w14:paraId="10932C31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 试验步骤 </w:t>
      </w:r>
    </w:p>
    <w:p w14:paraId="0FBF57A1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.5.1 半微量法(仲裁法) </w:t>
      </w:r>
    </w:p>
    <w:p w14:paraId="0AFFB71F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.5.1.1 提取 </w:t>
      </w:r>
    </w:p>
    <w:p w14:paraId="5EBA63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平行做两份试验。称取试样5g(精确至0.0001g)置于300mL具塞锥形瓶中，准确加入100mL水，盖上瓶塞，以120次/min室温下振摇30min，静置5min，干过滤，滤液为试样提取液。 </w:t>
      </w:r>
    </w:p>
    <w:p w14:paraId="35A6B786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.5.1.2 蒸馏 </w:t>
      </w:r>
    </w:p>
    <w:p w14:paraId="024709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按照 GB/T6432规定检查定氮装置气密性。将半微量定氮装置(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.3.3)的冷凝管下端浸入盛有30mL硼酸溶液(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.2.2)和3滴甲基红-溴甲酚绿混合指示剂(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.2.9)的锥形瓶中。准确移取提取液(见 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.5.1.1)10mL注入定氮装置反应室中，用10mL水冲洗试样入口，滴加2滴消泡剂(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.2.10)，塞好试样入口玻璃塞，再加入15mL氧化镁混悬液(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.2.3，用前摇匀)，小心提起玻璃塞使氧化镁混悬液流入反应室，待混悬液接近全部流入反应室时，塞紧玻璃塞，并在入口处加水密封，防止漏气。打开蒸气开关，立即蒸馏。蒸馏3min后，用pH 试纸测定馏出液的pH值，当馏出液pH 值为中性时达到蒸馏终点。 </w:t>
      </w:r>
    </w:p>
    <w:p w14:paraId="7ABE57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取下锥形瓶，使冷凝管末端离开液面，并用水冲洗冷凝管末端2次~3次，得到吸收液，待滴定。同时做试剂空白试验。 </w:t>
      </w:r>
    </w:p>
    <w:p w14:paraId="3F74E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蒸馏结束后对设备管路进行清洁。在反应室中加水20mL~30mL，蒸馏3min~5min，保证馏出液pH 为中性，确保蒸馏设备清洁无污染。 </w:t>
      </w:r>
    </w:p>
    <w:p w14:paraId="40A257C9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.5.1.3 滴定 </w:t>
      </w:r>
    </w:p>
    <w:p w14:paraId="369BE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蒸馏得到的吸收液立即用0.01mol/L盐酸标准滴定溶液(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.2.5)滴定，由蓝绿色变成灰红色为滴定终点。 </w:t>
      </w:r>
    </w:p>
    <w:p w14:paraId="2C48B091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.5.2 半自动凯氏定氮仪法 </w:t>
      </w:r>
    </w:p>
    <w:p w14:paraId="74657A02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.5.2.1 提取 </w:t>
      </w:r>
    </w:p>
    <w:p w14:paraId="3400B5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按 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.5.1.1步骤进行。 </w:t>
      </w:r>
    </w:p>
    <w:p w14:paraId="6311D55D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.5.2.2 蒸馏 </w:t>
      </w:r>
    </w:p>
    <w:p w14:paraId="74D453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按照 GB/T6432规定检查仪器气密性。按照仪器说明书进行操作。将仪器冷凝管下端浸入盛有30mL硼酸溶液(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.2.2)和3滴甲基红-溴甲酚绿混合指示剂(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.2.9)的锥形瓶中。准确移取提取液(见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.5.1.1)20mL置于蒸馏管中，加水20 mL，滴加2滴消泡剂(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.2.10)，再加入30 mL 氧化镁混悬液(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2.3，用前摇匀)，立即连接到蒸馏器上开始蒸馏。蒸馏3min后，用pH试纸测定馏出液的pH值，当馏出液pH值为中性时达到蒸馏终点。取下锥形瓶，使冷凝管末端离开液面，并用水冲洗冷凝管末端2次~3次，得到吸收液，待滴定。同时做试剂空白试验。 </w:t>
      </w:r>
    </w:p>
    <w:p w14:paraId="1B270F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蒸馏结束后对设备管路进行清洁。在蒸馏管中加水20mL~30mL，蒸馏3min~5min，保证馏出液pH值为中性，确保蒸馏设备清洁无污染。 </w:t>
      </w:r>
    </w:p>
    <w:p w14:paraId="3CB17932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.5.2.3 滴定 </w:t>
      </w:r>
    </w:p>
    <w:p w14:paraId="296586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蒸馏得到的吸收液立即用0.02mol/L盐酸标准滴定溶液(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.2.6)滴定，由蓝绿色变成灰红色为滴定终点。 </w:t>
      </w:r>
    </w:p>
    <w:p w14:paraId="3632F470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.5.3 全自动凯氏定氮仪法 </w:t>
      </w:r>
    </w:p>
    <w:p w14:paraId="5384FBF5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.5.3.1 提取 </w:t>
      </w:r>
    </w:p>
    <w:p w14:paraId="318146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按 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.5.1.1步骤进行。 </w:t>
      </w:r>
    </w:p>
    <w:p w14:paraId="7BFAC7C7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.5.3.2 蒸馏和滴定 </w:t>
      </w:r>
    </w:p>
    <w:p w14:paraId="1C072F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按照 GB/T6432规定检查仪器气密性。使用0.02mol/L盐酸标准滴定溶液(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.2.6)。按照仪器说明书操作。首先进行试剂空白测定，取得空白值。准确移取提取液(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.5.1.1)20mL 于蒸馏管中，加水20mL，滴加2滴消泡剂(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>.2.10)，再加入30mL氧化镁混悬液(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.2.3，用前摇匀)，立即连接到蒸馏器上，开始测定。测定完毕及时清洗和疏通加液管路和蒸馏系统。 </w:t>
      </w:r>
    </w:p>
    <w:p w14:paraId="59B7CF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注：为防止管路堵塞，手动添加氧化镁混悬液。 </w:t>
      </w:r>
    </w:p>
    <w:p w14:paraId="605E4460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.6 试验数据处理 </w:t>
      </w:r>
    </w:p>
    <w:p w14:paraId="784A2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试样中挥发性盐基氮的含量以质量分数W计，数值以mg/100g表示，按公式(</w:t>
      </w:r>
      <w:r>
        <w:rPr>
          <w:rFonts w:hint="eastAsia" w:cs="Times New Roman"/>
          <w:lang w:val="en-US" w:eastAsia="zh-CN"/>
        </w:rPr>
        <w:t>B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.1)计算: </w:t>
      </w:r>
    </w:p>
    <w:p w14:paraId="3AE5C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</w:p>
    <w:p w14:paraId="27D0DE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center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cs="Times New Roman"/>
          <w:i w:val="0"/>
          <w:sz w:val="28"/>
          <w:szCs w:val="28"/>
          <w:lang w:val="en-US" w:eastAsia="zh-CN"/>
        </w:rPr>
        <w:t>w</w:t>
      </w:r>
      <m:oMath>
        <m:r>
          <m:rPr>
            <m:nor/>
            <m:sty m:val="p"/>
          </m:rPr>
          <w:rPr>
            <w:rFonts w:hint="default" w:ascii="Times New Roman" w:hAnsi="Times New Roman" w:cs="Times New Roman"/>
            <w:b w:val="0"/>
            <w:i w:val="0"/>
            <w:sz w:val="28"/>
            <w:szCs w:val="28"/>
            <w:lang w:val="en-US"/>
          </w:rPr>
          <m:t>=</m:t>
        </m:r>
        <m:f>
          <m:fPr>
            <m:ctrlPr>
              <w:rPr>
                <w:rFonts w:hint="default"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m:rPr>
                <m:nor/>
                <m:sty m:val="p"/>
              </m:rPr>
              <w:rPr>
                <w:rFonts w:hint="default" w:ascii="Times New Roman" w:hAnsi="Times New Roman" w:eastAsia="宋体" w:cs="Times New Roman"/>
                <w:b w:val="0"/>
                <w:i w:val="0"/>
                <w:sz w:val="28"/>
                <w:szCs w:val="28"/>
              </w:rPr>
              <m:t>(V₁ - V₀) × c × 14</m:t>
            </m:r>
            <m:ctrlPr>
              <w:rPr>
                <w:rFonts w:hint="default" w:ascii="Cambria Math" w:hAnsi="Cambria Math" w:cs="Times New Roman"/>
                <w:i/>
                <w:sz w:val="28"/>
                <w:szCs w:val="28"/>
                <w:lang w:val="en-US"/>
              </w:rPr>
            </m:ctrlPr>
          </m:num>
          <m:den>
            <m:r>
              <m:rPr>
                <m:nor/>
                <m:sty m:val="p"/>
              </m:rPr>
              <w:rPr>
                <w:rFonts w:hint="default" w:ascii="Times New Roman" w:hAnsi="Times New Roman" w:eastAsia="宋体" w:cs="Times New Roman"/>
                <w:b w:val="0"/>
                <w:i w:val="0"/>
                <w:sz w:val="28"/>
                <w:szCs w:val="28"/>
              </w:rPr>
              <m:t xml:space="preserve"> m × V₃</m:t>
            </m:r>
            <m:r>
              <m:rPr>
                <m:nor/>
                <m:sty m:val="p"/>
              </m:rPr>
              <w:rPr>
                <w:rFonts w:hint="default" w:ascii="Times New Roman" w:hAnsi="Times New Roman" w:eastAsia="宋体" w:cs="Times New Roman"/>
                <w:b w:val="0"/>
                <w:i w:val="0"/>
                <w:sz w:val="28"/>
                <w:szCs w:val="28"/>
                <w:lang w:val="en-US" w:eastAsia="zh-CN"/>
              </w:rPr>
              <m:t>/</m:t>
            </m:r>
            <m:r>
              <m:rPr>
                <m:nor/>
                <m:sty m:val="p"/>
              </m:rPr>
              <w:rPr>
                <w:rFonts w:hint="default" w:ascii="Times New Roman" w:hAnsi="Times New Roman" w:eastAsia="宋体" w:cs="Times New Roman"/>
                <w:b w:val="0"/>
                <w:i w:val="0"/>
                <w:sz w:val="28"/>
                <w:szCs w:val="28"/>
              </w:rPr>
              <m:t>V₂</m:t>
            </m:r>
            <m:ctrlPr>
              <w:rPr>
                <w:rFonts w:hint="default" w:ascii="Cambria Math" w:hAnsi="Cambria Math" w:cs="Times New Roman"/>
                <w:i/>
                <w:sz w:val="28"/>
                <w:szCs w:val="28"/>
                <w:lang w:val="en-US"/>
              </w:rPr>
            </m:ctrlPr>
          </m:den>
        </m:f>
      </m:oMath>
      <w:r>
        <w:rPr>
          <w:rFonts w:hint="default" w:ascii="Times New Roman" w:hAnsi="Times New Roman" w:eastAsia="宋体" w:cs="Times New Roman"/>
          <w:lang w:val="en-US" w:eastAsia="zh-CN"/>
        </w:rPr>
        <w:t>×100………………………………(C.1)</w:t>
      </w:r>
    </w:p>
    <w:p w14:paraId="3619AA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式中： </w:t>
      </w:r>
    </w:p>
    <w:p w14:paraId="76D90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c ———盐酸标准滴定溶液的浓度，单位为摩尔每升(mol/L)； </w:t>
      </w:r>
    </w:p>
    <w:p w14:paraId="5D6242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V</w:t>
      </w:r>
      <w:r>
        <w:rPr>
          <w:rFonts w:hint="default" w:ascii="Times New Roman" w:hAnsi="Times New Roman" w:eastAsia="宋体" w:cs="Times New Roman"/>
          <w:vertAlign w:val="subscript"/>
          <w:lang w:val="en-US" w:eastAsia="zh-CN"/>
        </w:rPr>
        <w:t>0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———试剂空白消耗盐酸标准滴定溶液的体积，单位为毫升(mL)； </w:t>
      </w:r>
    </w:p>
    <w:p w14:paraId="7A5827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V</w:t>
      </w:r>
      <w:r>
        <w:rPr>
          <w:rFonts w:hint="default" w:ascii="Times New Roman" w:hAnsi="Times New Roman" w:eastAsia="宋体" w:cs="Times New Roman"/>
          <w:vertAlign w:val="subscript"/>
          <w:lang w:val="en-US" w:eastAsia="zh-CN"/>
        </w:rPr>
        <w:t>1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———试液消耗盐酸标准滴定溶液的体积，单位为毫升(mL)；</w:t>
      </w:r>
    </w:p>
    <w:p w14:paraId="603767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V</w:t>
      </w:r>
      <w:r>
        <w:rPr>
          <w:rFonts w:hint="default" w:ascii="Times New Roman" w:hAnsi="Times New Roman" w:eastAsia="宋体" w:cs="Times New Roman"/>
          <w:vertAlign w:val="subscript"/>
          <w:lang w:val="en-US" w:eastAsia="zh-CN"/>
        </w:rPr>
        <w:t>2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———提取时加水的体积，单位为毫升(mL)； </w:t>
      </w:r>
    </w:p>
    <w:p w14:paraId="251AC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V</w:t>
      </w:r>
      <w:r>
        <w:rPr>
          <w:rFonts w:hint="default" w:ascii="Times New Roman" w:hAnsi="Times New Roman" w:eastAsia="宋体" w:cs="Times New Roman"/>
          <w:vertAlign w:val="subscript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lang w:val="en-US" w:eastAsia="zh-CN"/>
        </w:rPr>
        <w:t xml:space="preserve"> ———移取提取液的体积，单位为毫升(mL)； </w:t>
      </w:r>
    </w:p>
    <w:p w14:paraId="486FF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14 ———氮的摩尔质量，单位为克每摩尔(g/mol)；</w:t>
      </w:r>
    </w:p>
    <w:p w14:paraId="1CD2B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m ———试样质量，单位为克(g)； </w:t>
      </w:r>
    </w:p>
    <w:p w14:paraId="70CB73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100———计算结果换算为mg/100g的换算系数。 </w:t>
      </w:r>
    </w:p>
    <w:p w14:paraId="58779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 xml:space="preserve">测定结果以平行测定的算术平均值表示，保留3位有效数字。 </w:t>
      </w:r>
    </w:p>
    <w:p w14:paraId="732FB79A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cs="Times New Roman"/>
          <w:lang w:val="en-US" w:eastAsia="zh-CN"/>
        </w:rPr>
        <w:t>B</w:t>
      </w:r>
      <w:r>
        <w:rPr>
          <w:rFonts w:hint="default" w:ascii="Times New Roman" w:hAnsi="Times New Roman" w:cs="Times New Roman"/>
          <w:lang w:val="en-US" w:eastAsia="zh-CN"/>
        </w:rPr>
        <w:t xml:space="preserve">.7 精密度 </w:t>
      </w:r>
    </w:p>
    <w:p w14:paraId="62B45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在重复性条件下，两次独立测定结果的绝对差值不大于其算术平均值的10%。</w:t>
      </w:r>
    </w:p>
    <w:p w14:paraId="7CC92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</w:rPr>
      </w:pPr>
    </w:p>
    <w:p w14:paraId="5CC098FF">
      <w:pPr>
        <w:rPr>
          <w:rFonts w:hint="default" w:ascii="Times New Roman" w:hAnsi="Times New Roman" w:eastAsia="宋体" w:cs="Times New Roman"/>
        </w:rPr>
      </w:pPr>
      <w:r>
        <w:rPr>
          <w:rFonts w:hint="default" w:ascii="Times New Roman" w:hAnsi="Times New Roman" w:eastAsia="宋体" w:cs="Times New Roman"/>
        </w:rPr>
        <w:br w:type="page"/>
      </w:r>
    </w:p>
    <w:p w14:paraId="2673ACBA">
      <w:pPr>
        <w:pStyle w:val="18"/>
        <w:spacing w:before="156" w:after="156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附 录</w:t>
      </w:r>
      <w:r>
        <w:rPr>
          <w:rFonts w:hint="eastAsia" w:ascii="Times New Roman" w:cs="Times New Roman"/>
          <w:lang w:val="en-US" w:eastAsia="zh-CN"/>
        </w:rPr>
        <w:t>C</w:t>
      </w:r>
    </w:p>
    <w:p w14:paraId="6BF20A15">
      <w:pPr>
        <w:pStyle w:val="18"/>
        <w:spacing w:before="156" w:after="156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(规范性)</w:t>
      </w:r>
    </w:p>
    <w:p w14:paraId="57CB99EF">
      <w:pPr>
        <w:pStyle w:val="18"/>
        <w:spacing w:before="156" w:after="156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丙二醛的测定</w:t>
      </w:r>
    </w:p>
    <w:p w14:paraId="1CAC6A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宋体" w:cs="Times New Roman"/>
        </w:rPr>
      </w:pPr>
    </w:p>
    <w:p w14:paraId="6CC74997">
      <w:pPr>
        <w:pStyle w:val="18"/>
        <w:spacing w:before="156" w:after="156"/>
        <w:jc w:val="lef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丙二醛(以粗脂肪为基础计) </w:t>
      </w:r>
    </w:p>
    <w:p w14:paraId="6ECB2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在测定粗脂肪过程中，提取试样中粗脂肪后，立即称取粗脂肪1g(精确至0.0001g)于具塞三角瓶中，按照 GB/T28717中7.1的规定，准确加入50mL三氯乙酸-EDTA 混合溶液，于25 ℃下以180 次/min振摇30min。取约20mL提取液于50mL离心管中，5000r/min离心5min，取上清液按GB/T28717自7.2开始操作。</w:t>
      </w:r>
    </w:p>
    <w:p w14:paraId="33E7F8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</w:p>
    <w:p w14:paraId="535B59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</w:p>
    <w:sectPr>
      <w:footerReference r:id="rId7" w:type="default"/>
      <w:pgSz w:w="11906" w:h="16838"/>
      <w:pgMar w:top="1417" w:right="1134" w:bottom="1134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49216E">
    <w:pPr>
      <w:pStyle w:val="16"/>
      <w:rPr>
        <w:rFonts w:hint="eastAsia" w:eastAsia="宋体"/>
        <w:lang w:val="en-US" w:eastAsia="zh-CN"/>
      </w:rPr>
    </w:pPr>
    <w:r>
      <w:rPr>
        <w:rFonts w:hint="eastAsia"/>
        <w:sz w:val="18"/>
        <w:lang w:val="en-US" w:eastAsia="zh-CN"/>
      </w:rPr>
      <w:t>I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2C3E97">
    <w:pPr>
      <w:pStyle w:val="16"/>
      <w:rPr>
        <w:rFonts w:hint="default" w:eastAsia="宋体"/>
        <w:lang w:val="en-US" w:eastAsia="zh-CN"/>
      </w:rPr>
    </w:pPr>
    <w:r>
      <w:rPr>
        <w:rFonts w:hint="eastAsia"/>
        <w:lang w:val="en-US" w:eastAsia="zh-CN"/>
      </w:rPr>
      <w:t>II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093932">
    <w:pPr>
      <w:pStyle w:val="1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57245A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57245A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C1EDB">
    <w:pPr>
      <w:pStyle w:val="6"/>
      <w:pBdr>
        <w:bottom w:val="none" w:color="auto" w:sz="0" w:space="1"/>
      </w:pBdr>
      <w:jc w:val="right"/>
      <w:rPr>
        <w:rFonts w:hint="default" w:ascii="Times New Roman" w:hAnsi="Times New Roman" w:eastAsia="宋体" w:cs="Times New Roman"/>
        <w:sz w:val="24"/>
        <w:szCs w:val="24"/>
        <w:lang w:val="en-US" w:eastAsia="zh-CN"/>
      </w:rPr>
    </w:pPr>
    <w:r>
      <w:rPr>
        <w:rFonts w:hint="default" w:ascii="Times New Roman" w:hAnsi="Times New Roman" w:eastAsia="微软雅黑" w:cs="Times New Roman"/>
        <w:color w:val="000000" w:themeColor="text1"/>
        <w:sz w:val="24"/>
        <w:szCs w:val="24"/>
        <w:lang w:val="en-US" w:eastAsia="zh-CN"/>
        <w14:textFill>
          <w14:solidFill>
            <w14:schemeClr w14:val="tx1"/>
          </w14:solidFill>
        </w14:textFill>
      </w:rPr>
      <w:t>T/CFNA   168</w:t>
    </w:r>
    <w:r>
      <w:rPr>
        <w:rFonts w:hint="eastAsia" w:ascii="Times New Roman" w:hAnsi="Times New Roman" w:eastAsia="微软雅黑" w:cs="Times New Roman"/>
        <w:color w:val="000000" w:themeColor="text1"/>
        <w:sz w:val="24"/>
        <w:szCs w:val="24"/>
        <w:lang w:val="en-US" w:eastAsia="zh-CN"/>
        <w14:textFill>
          <w14:solidFill>
            <w14:schemeClr w14:val="tx1"/>
          </w14:solidFill>
        </w14:textFill>
      </w:rPr>
      <w:t>4</w:t>
    </w:r>
    <w:r>
      <w:rPr>
        <w:rFonts w:hint="default" w:ascii="Times New Roman" w:hAnsi="Times New Roman" w:eastAsia="微软雅黑" w:cs="Times New Roman"/>
        <w:color w:val="000000" w:themeColor="text1"/>
        <w:sz w:val="24"/>
        <w:szCs w:val="24"/>
        <w:lang w:val="en-US" w:eastAsia="zh-CN"/>
        <w14:textFill>
          <w14:solidFill>
            <w14:schemeClr w14:val="tx1"/>
          </w14:solidFill>
        </w14:textFill>
      </w:rPr>
      <w:t>-2025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4BD8F4">
    <w:pPr>
      <w:pStyle w:val="6"/>
      <w:pBdr>
        <w:bottom w:val="single" w:color="auto" w:sz="4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3609"/>
    <w:rsid w:val="0000176A"/>
    <w:rsid w:val="0002410E"/>
    <w:rsid w:val="00032EDB"/>
    <w:rsid w:val="00035B1C"/>
    <w:rsid w:val="00041195"/>
    <w:rsid w:val="0004724E"/>
    <w:rsid w:val="000701E1"/>
    <w:rsid w:val="00076022"/>
    <w:rsid w:val="00077886"/>
    <w:rsid w:val="00081E3C"/>
    <w:rsid w:val="00090E4A"/>
    <w:rsid w:val="000942B7"/>
    <w:rsid w:val="000949E0"/>
    <w:rsid w:val="000B0E56"/>
    <w:rsid w:val="000B44D3"/>
    <w:rsid w:val="000B5609"/>
    <w:rsid w:val="000C18F7"/>
    <w:rsid w:val="000C24C3"/>
    <w:rsid w:val="000C5DD3"/>
    <w:rsid w:val="000D7314"/>
    <w:rsid w:val="000E18E7"/>
    <w:rsid w:val="000F06A5"/>
    <w:rsid w:val="0010401C"/>
    <w:rsid w:val="0011194D"/>
    <w:rsid w:val="00113C3F"/>
    <w:rsid w:val="00115FD1"/>
    <w:rsid w:val="00122465"/>
    <w:rsid w:val="001258A2"/>
    <w:rsid w:val="001326D9"/>
    <w:rsid w:val="00132A21"/>
    <w:rsid w:val="00133387"/>
    <w:rsid w:val="00134925"/>
    <w:rsid w:val="00146F00"/>
    <w:rsid w:val="00153069"/>
    <w:rsid w:val="00162997"/>
    <w:rsid w:val="00163DF1"/>
    <w:rsid w:val="001674C3"/>
    <w:rsid w:val="001725B2"/>
    <w:rsid w:val="00180CFF"/>
    <w:rsid w:val="0019575D"/>
    <w:rsid w:val="001A01A4"/>
    <w:rsid w:val="001A3DB5"/>
    <w:rsid w:val="001A70BA"/>
    <w:rsid w:val="001B4EC8"/>
    <w:rsid w:val="001B5AE2"/>
    <w:rsid w:val="001C18BE"/>
    <w:rsid w:val="001C7800"/>
    <w:rsid w:val="001D0531"/>
    <w:rsid w:val="001D46CF"/>
    <w:rsid w:val="001E0D61"/>
    <w:rsid w:val="001E161D"/>
    <w:rsid w:val="00201874"/>
    <w:rsid w:val="002047DE"/>
    <w:rsid w:val="00207341"/>
    <w:rsid w:val="00235F94"/>
    <w:rsid w:val="0026063F"/>
    <w:rsid w:val="00267791"/>
    <w:rsid w:val="00274A24"/>
    <w:rsid w:val="002913C7"/>
    <w:rsid w:val="00292BAB"/>
    <w:rsid w:val="00293C3A"/>
    <w:rsid w:val="00321246"/>
    <w:rsid w:val="00326D68"/>
    <w:rsid w:val="00340285"/>
    <w:rsid w:val="00356199"/>
    <w:rsid w:val="00362ACB"/>
    <w:rsid w:val="003960A2"/>
    <w:rsid w:val="00396871"/>
    <w:rsid w:val="00397B0C"/>
    <w:rsid w:val="003A170C"/>
    <w:rsid w:val="003A19A7"/>
    <w:rsid w:val="003A7FF6"/>
    <w:rsid w:val="003B7201"/>
    <w:rsid w:val="003C0FA8"/>
    <w:rsid w:val="003D5AC0"/>
    <w:rsid w:val="003E69B6"/>
    <w:rsid w:val="003F33E8"/>
    <w:rsid w:val="003F496C"/>
    <w:rsid w:val="004069BD"/>
    <w:rsid w:val="00410A1D"/>
    <w:rsid w:val="00413933"/>
    <w:rsid w:val="004203D1"/>
    <w:rsid w:val="00437939"/>
    <w:rsid w:val="004401B5"/>
    <w:rsid w:val="004479E5"/>
    <w:rsid w:val="00452DA3"/>
    <w:rsid w:val="00453461"/>
    <w:rsid w:val="0045738D"/>
    <w:rsid w:val="00461689"/>
    <w:rsid w:val="004826C5"/>
    <w:rsid w:val="0049029E"/>
    <w:rsid w:val="00496F47"/>
    <w:rsid w:val="004A1397"/>
    <w:rsid w:val="004A21C1"/>
    <w:rsid w:val="004B3A83"/>
    <w:rsid w:val="004B475B"/>
    <w:rsid w:val="004C729F"/>
    <w:rsid w:val="004D4941"/>
    <w:rsid w:val="004D5BE8"/>
    <w:rsid w:val="004F2270"/>
    <w:rsid w:val="00501FC8"/>
    <w:rsid w:val="0050280D"/>
    <w:rsid w:val="00502D42"/>
    <w:rsid w:val="00510A3E"/>
    <w:rsid w:val="00514734"/>
    <w:rsid w:val="005178BE"/>
    <w:rsid w:val="00526DEB"/>
    <w:rsid w:val="005359B9"/>
    <w:rsid w:val="00535C59"/>
    <w:rsid w:val="00537E77"/>
    <w:rsid w:val="00547BD8"/>
    <w:rsid w:val="00553922"/>
    <w:rsid w:val="0055414B"/>
    <w:rsid w:val="00590AFD"/>
    <w:rsid w:val="00591730"/>
    <w:rsid w:val="005C5339"/>
    <w:rsid w:val="005D29B0"/>
    <w:rsid w:val="005D7447"/>
    <w:rsid w:val="005F0E74"/>
    <w:rsid w:val="005F731E"/>
    <w:rsid w:val="00600BF1"/>
    <w:rsid w:val="00601E19"/>
    <w:rsid w:val="00604D05"/>
    <w:rsid w:val="00605C3D"/>
    <w:rsid w:val="00613261"/>
    <w:rsid w:val="00633B18"/>
    <w:rsid w:val="0064076E"/>
    <w:rsid w:val="006513A5"/>
    <w:rsid w:val="00666FD3"/>
    <w:rsid w:val="006775E5"/>
    <w:rsid w:val="00683A61"/>
    <w:rsid w:val="0069744B"/>
    <w:rsid w:val="006A006F"/>
    <w:rsid w:val="006A13C0"/>
    <w:rsid w:val="006A6633"/>
    <w:rsid w:val="006B211D"/>
    <w:rsid w:val="006B34D0"/>
    <w:rsid w:val="006B413F"/>
    <w:rsid w:val="006B6C7B"/>
    <w:rsid w:val="006C3137"/>
    <w:rsid w:val="006C3F64"/>
    <w:rsid w:val="006D30E9"/>
    <w:rsid w:val="006E1C3D"/>
    <w:rsid w:val="006E3E39"/>
    <w:rsid w:val="00701886"/>
    <w:rsid w:val="007065B9"/>
    <w:rsid w:val="00714A41"/>
    <w:rsid w:val="007168FF"/>
    <w:rsid w:val="00735A5A"/>
    <w:rsid w:val="00744968"/>
    <w:rsid w:val="00750A68"/>
    <w:rsid w:val="00752299"/>
    <w:rsid w:val="00761BFB"/>
    <w:rsid w:val="00765686"/>
    <w:rsid w:val="0078513E"/>
    <w:rsid w:val="00792C39"/>
    <w:rsid w:val="00794259"/>
    <w:rsid w:val="0079428A"/>
    <w:rsid w:val="00796CEF"/>
    <w:rsid w:val="007A3C33"/>
    <w:rsid w:val="007B11FC"/>
    <w:rsid w:val="007C0719"/>
    <w:rsid w:val="007C2C95"/>
    <w:rsid w:val="007D1EE5"/>
    <w:rsid w:val="007D4501"/>
    <w:rsid w:val="007F209A"/>
    <w:rsid w:val="007F2791"/>
    <w:rsid w:val="007F6A3D"/>
    <w:rsid w:val="00805FC5"/>
    <w:rsid w:val="008079E9"/>
    <w:rsid w:val="0081146C"/>
    <w:rsid w:val="00813E14"/>
    <w:rsid w:val="00817478"/>
    <w:rsid w:val="008213B4"/>
    <w:rsid w:val="00831600"/>
    <w:rsid w:val="00853609"/>
    <w:rsid w:val="0085529C"/>
    <w:rsid w:val="00855589"/>
    <w:rsid w:val="00863C5B"/>
    <w:rsid w:val="00866E3C"/>
    <w:rsid w:val="008778B7"/>
    <w:rsid w:val="008A682D"/>
    <w:rsid w:val="008D1036"/>
    <w:rsid w:val="008D205F"/>
    <w:rsid w:val="008D438A"/>
    <w:rsid w:val="008D5CF2"/>
    <w:rsid w:val="008F2D1F"/>
    <w:rsid w:val="009039B9"/>
    <w:rsid w:val="009107BB"/>
    <w:rsid w:val="009146FE"/>
    <w:rsid w:val="00927089"/>
    <w:rsid w:val="0092726B"/>
    <w:rsid w:val="00934D72"/>
    <w:rsid w:val="00934EFB"/>
    <w:rsid w:val="0094412D"/>
    <w:rsid w:val="00996689"/>
    <w:rsid w:val="009B13C2"/>
    <w:rsid w:val="009B424E"/>
    <w:rsid w:val="009B771F"/>
    <w:rsid w:val="009D1E80"/>
    <w:rsid w:val="009E0621"/>
    <w:rsid w:val="009E325C"/>
    <w:rsid w:val="009E5347"/>
    <w:rsid w:val="009E65B2"/>
    <w:rsid w:val="009F2E37"/>
    <w:rsid w:val="009F45B7"/>
    <w:rsid w:val="009F71B6"/>
    <w:rsid w:val="009F76BB"/>
    <w:rsid w:val="00A026C3"/>
    <w:rsid w:val="00A110C5"/>
    <w:rsid w:val="00A17EB7"/>
    <w:rsid w:val="00A204AD"/>
    <w:rsid w:val="00A2062B"/>
    <w:rsid w:val="00A27B9C"/>
    <w:rsid w:val="00A30A14"/>
    <w:rsid w:val="00A3353E"/>
    <w:rsid w:val="00A34637"/>
    <w:rsid w:val="00A51C28"/>
    <w:rsid w:val="00A56426"/>
    <w:rsid w:val="00A66AAA"/>
    <w:rsid w:val="00A768A8"/>
    <w:rsid w:val="00A80317"/>
    <w:rsid w:val="00A93B6B"/>
    <w:rsid w:val="00AA1D09"/>
    <w:rsid w:val="00AD0618"/>
    <w:rsid w:val="00AD1BAD"/>
    <w:rsid w:val="00AD40F1"/>
    <w:rsid w:val="00AE2716"/>
    <w:rsid w:val="00AE2B83"/>
    <w:rsid w:val="00AE4E5E"/>
    <w:rsid w:val="00AE723A"/>
    <w:rsid w:val="00AF4A1A"/>
    <w:rsid w:val="00AF5BD3"/>
    <w:rsid w:val="00AF6394"/>
    <w:rsid w:val="00B10056"/>
    <w:rsid w:val="00B22CD2"/>
    <w:rsid w:val="00B2797B"/>
    <w:rsid w:val="00B423E1"/>
    <w:rsid w:val="00B550CA"/>
    <w:rsid w:val="00B6637F"/>
    <w:rsid w:val="00B71D33"/>
    <w:rsid w:val="00B73378"/>
    <w:rsid w:val="00B73481"/>
    <w:rsid w:val="00B90EC1"/>
    <w:rsid w:val="00BA6325"/>
    <w:rsid w:val="00BA720B"/>
    <w:rsid w:val="00BB0C04"/>
    <w:rsid w:val="00BD0FF4"/>
    <w:rsid w:val="00BD56F3"/>
    <w:rsid w:val="00BE154E"/>
    <w:rsid w:val="00BF66CE"/>
    <w:rsid w:val="00BF7750"/>
    <w:rsid w:val="00C07EFD"/>
    <w:rsid w:val="00C1062B"/>
    <w:rsid w:val="00C325A2"/>
    <w:rsid w:val="00C32FC1"/>
    <w:rsid w:val="00C51C0B"/>
    <w:rsid w:val="00C53249"/>
    <w:rsid w:val="00C54BB1"/>
    <w:rsid w:val="00C56850"/>
    <w:rsid w:val="00C628A2"/>
    <w:rsid w:val="00C63482"/>
    <w:rsid w:val="00C70D1F"/>
    <w:rsid w:val="00C87DBD"/>
    <w:rsid w:val="00CA124F"/>
    <w:rsid w:val="00CA4563"/>
    <w:rsid w:val="00CA65F1"/>
    <w:rsid w:val="00CB52ED"/>
    <w:rsid w:val="00CC2F2D"/>
    <w:rsid w:val="00CC77B9"/>
    <w:rsid w:val="00CE3C17"/>
    <w:rsid w:val="00CE61C4"/>
    <w:rsid w:val="00CF720A"/>
    <w:rsid w:val="00D0613D"/>
    <w:rsid w:val="00D20539"/>
    <w:rsid w:val="00D21446"/>
    <w:rsid w:val="00D440AB"/>
    <w:rsid w:val="00D4428A"/>
    <w:rsid w:val="00D44EA9"/>
    <w:rsid w:val="00D5052B"/>
    <w:rsid w:val="00D60A4D"/>
    <w:rsid w:val="00D66287"/>
    <w:rsid w:val="00D72607"/>
    <w:rsid w:val="00D77B2D"/>
    <w:rsid w:val="00D850BA"/>
    <w:rsid w:val="00D878C6"/>
    <w:rsid w:val="00D972A7"/>
    <w:rsid w:val="00DA5123"/>
    <w:rsid w:val="00DB32DE"/>
    <w:rsid w:val="00DB76E0"/>
    <w:rsid w:val="00DC1EF0"/>
    <w:rsid w:val="00DC7D9D"/>
    <w:rsid w:val="00DD0605"/>
    <w:rsid w:val="00DD4831"/>
    <w:rsid w:val="00DE1719"/>
    <w:rsid w:val="00DE28E7"/>
    <w:rsid w:val="00DE2C16"/>
    <w:rsid w:val="00DE3E9E"/>
    <w:rsid w:val="00DF7BE1"/>
    <w:rsid w:val="00E02BB8"/>
    <w:rsid w:val="00E1072C"/>
    <w:rsid w:val="00E11AAF"/>
    <w:rsid w:val="00E25119"/>
    <w:rsid w:val="00E33332"/>
    <w:rsid w:val="00E34494"/>
    <w:rsid w:val="00E34DCD"/>
    <w:rsid w:val="00E4002E"/>
    <w:rsid w:val="00E53576"/>
    <w:rsid w:val="00E6782C"/>
    <w:rsid w:val="00E67ACA"/>
    <w:rsid w:val="00E7476B"/>
    <w:rsid w:val="00E865C2"/>
    <w:rsid w:val="00E90946"/>
    <w:rsid w:val="00EA0C45"/>
    <w:rsid w:val="00EB59DB"/>
    <w:rsid w:val="00ED7943"/>
    <w:rsid w:val="00EE518A"/>
    <w:rsid w:val="00EE654A"/>
    <w:rsid w:val="00EF64E3"/>
    <w:rsid w:val="00F00D10"/>
    <w:rsid w:val="00F00DCA"/>
    <w:rsid w:val="00F02765"/>
    <w:rsid w:val="00F04ADD"/>
    <w:rsid w:val="00F10D74"/>
    <w:rsid w:val="00F2410A"/>
    <w:rsid w:val="00F35E0C"/>
    <w:rsid w:val="00F37BC3"/>
    <w:rsid w:val="00F53FE8"/>
    <w:rsid w:val="00F60C02"/>
    <w:rsid w:val="00F61C53"/>
    <w:rsid w:val="00F6425E"/>
    <w:rsid w:val="00F6500A"/>
    <w:rsid w:val="00F728B4"/>
    <w:rsid w:val="00F83581"/>
    <w:rsid w:val="00F86752"/>
    <w:rsid w:val="00F9280F"/>
    <w:rsid w:val="00FB2E9F"/>
    <w:rsid w:val="00FB6D88"/>
    <w:rsid w:val="00FD0760"/>
    <w:rsid w:val="00FD55BF"/>
    <w:rsid w:val="00FE42DB"/>
    <w:rsid w:val="010351AA"/>
    <w:rsid w:val="01255120"/>
    <w:rsid w:val="012617C3"/>
    <w:rsid w:val="012C2953"/>
    <w:rsid w:val="015754F6"/>
    <w:rsid w:val="015974C0"/>
    <w:rsid w:val="016C71F3"/>
    <w:rsid w:val="017B2F92"/>
    <w:rsid w:val="018C1643"/>
    <w:rsid w:val="019468D5"/>
    <w:rsid w:val="01987FE8"/>
    <w:rsid w:val="01AC3A93"/>
    <w:rsid w:val="01B701A0"/>
    <w:rsid w:val="01EF3980"/>
    <w:rsid w:val="01FB40D3"/>
    <w:rsid w:val="01FF1E15"/>
    <w:rsid w:val="02184C85"/>
    <w:rsid w:val="022165AB"/>
    <w:rsid w:val="0257299E"/>
    <w:rsid w:val="026149DE"/>
    <w:rsid w:val="02663C42"/>
    <w:rsid w:val="0278250A"/>
    <w:rsid w:val="027B3D56"/>
    <w:rsid w:val="029307AF"/>
    <w:rsid w:val="02A91D81"/>
    <w:rsid w:val="02B01361"/>
    <w:rsid w:val="02D52B76"/>
    <w:rsid w:val="02DE7C7D"/>
    <w:rsid w:val="02EB4148"/>
    <w:rsid w:val="02F07504"/>
    <w:rsid w:val="02F4124E"/>
    <w:rsid w:val="032863FA"/>
    <w:rsid w:val="03367AB9"/>
    <w:rsid w:val="03417D87"/>
    <w:rsid w:val="03440487"/>
    <w:rsid w:val="03442DE6"/>
    <w:rsid w:val="035E700F"/>
    <w:rsid w:val="036A00FB"/>
    <w:rsid w:val="03822CFE"/>
    <w:rsid w:val="038E2A31"/>
    <w:rsid w:val="039561A9"/>
    <w:rsid w:val="03A2514E"/>
    <w:rsid w:val="03AD4821"/>
    <w:rsid w:val="03BC7892"/>
    <w:rsid w:val="03C36E72"/>
    <w:rsid w:val="03DD01C7"/>
    <w:rsid w:val="03EE372A"/>
    <w:rsid w:val="04025BED"/>
    <w:rsid w:val="04074FB1"/>
    <w:rsid w:val="043164D2"/>
    <w:rsid w:val="04357D70"/>
    <w:rsid w:val="043C2389"/>
    <w:rsid w:val="044B1342"/>
    <w:rsid w:val="044C330C"/>
    <w:rsid w:val="045D72C7"/>
    <w:rsid w:val="04616968"/>
    <w:rsid w:val="04730898"/>
    <w:rsid w:val="0475232B"/>
    <w:rsid w:val="04936845"/>
    <w:rsid w:val="049802FF"/>
    <w:rsid w:val="04A15406"/>
    <w:rsid w:val="04A647CA"/>
    <w:rsid w:val="04BA28BF"/>
    <w:rsid w:val="04D56E5D"/>
    <w:rsid w:val="04E478A0"/>
    <w:rsid w:val="04E86B91"/>
    <w:rsid w:val="04EB47D4"/>
    <w:rsid w:val="05595CE0"/>
    <w:rsid w:val="055C757F"/>
    <w:rsid w:val="05624EF4"/>
    <w:rsid w:val="05B13057"/>
    <w:rsid w:val="05BF4603"/>
    <w:rsid w:val="05CA273A"/>
    <w:rsid w:val="05D215EF"/>
    <w:rsid w:val="05EB6551"/>
    <w:rsid w:val="06127C3D"/>
    <w:rsid w:val="0621607B"/>
    <w:rsid w:val="06336531"/>
    <w:rsid w:val="067A4160"/>
    <w:rsid w:val="068428E9"/>
    <w:rsid w:val="068621B7"/>
    <w:rsid w:val="06A92350"/>
    <w:rsid w:val="06C04B42"/>
    <w:rsid w:val="06E614A9"/>
    <w:rsid w:val="07155C37"/>
    <w:rsid w:val="071D689A"/>
    <w:rsid w:val="071F7265"/>
    <w:rsid w:val="075E313A"/>
    <w:rsid w:val="07666493"/>
    <w:rsid w:val="07A1571D"/>
    <w:rsid w:val="07C66F31"/>
    <w:rsid w:val="07CA07CF"/>
    <w:rsid w:val="07D72BEC"/>
    <w:rsid w:val="08017F69"/>
    <w:rsid w:val="082425D6"/>
    <w:rsid w:val="08314CF2"/>
    <w:rsid w:val="084A7B62"/>
    <w:rsid w:val="084C38DA"/>
    <w:rsid w:val="084D0D93"/>
    <w:rsid w:val="085E716A"/>
    <w:rsid w:val="08A45FE0"/>
    <w:rsid w:val="08BA0844"/>
    <w:rsid w:val="08BC14A2"/>
    <w:rsid w:val="08C94F2B"/>
    <w:rsid w:val="08FD2E27"/>
    <w:rsid w:val="0900400C"/>
    <w:rsid w:val="092B1742"/>
    <w:rsid w:val="09434CDD"/>
    <w:rsid w:val="09540C99"/>
    <w:rsid w:val="096B4234"/>
    <w:rsid w:val="0983157E"/>
    <w:rsid w:val="098A290C"/>
    <w:rsid w:val="098F05E9"/>
    <w:rsid w:val="09AD47BD"/>
    <w:rsid w:val="09CF6571"/>
    <w:rsid w:val="09E46C23"/>
    <w:rsid w:val="0A014251"/>
    <w:rsid w:val="0A054BE4"/>
    <w:rsid w:val="0A2C5771"/>
    <w:rsid w:val="0A375EC4"/>
    <w:rsid w:val="0A883B4D"/>
    <w:rsid w:val="0A8C7FBE"/>
    <w:rsid w:val="0A937386"/>
    <w:rsid w:val="0AA7304A"/>
    <w:rsid w:val="0B0E4E77"/>
    <w:rsid w:val="0B143B8D"/>
    <w:rsid w:val="0B3B07CF"/>
    <w:rsid w:val="0B6032EA"/>
    <w:rsid w:val="0B61251A"/>
    <w:rsid w:val="0B6279EA"/>
    <w:rsid w:val="0B925AA8"/>
    <w:rsid w:val="0BA63302"/>
    <w:rsid w:val="0BBB3692"/>
    <w:rsid w:val="0BEB51B8"/>
    <w:rsid w:val="0BF25C68"/>
    <w:rsid w:val="0BF84E2F"/>
    <w:rsid w:val="0C105683"/>
    <w:rsid w:val="0C2073C0"/>
    <w:rsid w:val="0C300E1D"/>
    <w:rsid w:val="0C3C3C66"/>
    <w:rsid w:val="0C5E574B"/>
    <w:rsid w:val="0C5E598A"/>
    <w:rsid w:val="0C6311F3"/>
    <w:rsid w:val="0C654F6B"/>
    <w:rsid w:val="0C6D2071"/>
    <w:rsid w:val="0C6F1945"/>
    <w:rsid w:val="0CA44632"/>
    <w:rsid w:val="0CA5180B"/>
    <w:rsid w:val="0CF307C8"/>
    <w:rsid w:val="0CF92A3E"/>
    <w:rsid w:val="0CFB767D"/>
    <w:rsid w:val="0D3B5CCB"/>
    <w:rsid w:val="0D4C612B"/>
    <w:rsid w:val="0D581341"/>
    <w:rsid w:val="0D613984"/>
    <w:rsid w:val="0D67495A"/>
    <w:rsid w:val="0DB9005A"/>
    <w:rsid w:val="0E023521"/>
    <w:rsid w:val="0E0802A4"/>
    <w:rsid w:val="0E356BBF"/>
    <w:rsid w:val="0E3643A8"/>
    <w:rsid w:val="0E3771A3"/>
    <w:rsid w:val="0E515F49"/>
    <w:rsid w:val="0E6A2D0C"/>
    <w:rsid w:val="0E833DCE"/>
    <w:rsid w:val="0EB36461"/>
    <w:rsid w:val="0EB94B40"/>
    <w:rsid w:val="0EBD108E"/>
    <w:rsid w:val="0EDD34DE"/>
    <w:rsid w:val="0EE06B2A"/>
    <w:rsid w:val="0EEA5BFB"/>
    <w:rsid w:val="0EF35889"/>
    <w:rsid w:val="0F2A2657"/>
    <w:rsid w:val="0F362BEE"/>
    <w:rsid w:val="0F386966"/>
    <w:rsid w:val="0F557518"/>
    <w:rsid w:val="0F7A0D2D"/>
    <w:rsid w:val="0F9A317D"/>
    <w:rsid w:val="0FA91612"/>
    <w:rsid w:val="0FB54672"/>
    <w:rsid w:val="0FF56606"/>
    <w:rsid w:val="10123FFD"/>
    <w:rsid w:val="102659DB"/>
    <w:rsid w:val="10285956"/>
    <w:rsid w:val="102D3FF1"/>
    <w:rsid w:val="103F0670"/>
    <w:rsid w:val="10523A58"/>
    <w:rsid w:val="10613C9B"/>
    <w:rsid w:val="10615A49"/>
    <w:rsid w:val="106C5F4C"/>
    <w:rsid w:val="108A4FA0"/>
    <w:rsid w:val="10F13C45"/>
    <w:rsid w:val="11146F5F"/>
    <w:rsid w:val="11405FA6"/>
    <w:rsid w:val="116752E1"/>
    <w:rsid w:val="118C378C"/>
    <w:rsid w:val="119B31DD"/>
    <w:rsid w:val="11B85B3D"/>
    <w:rsid w:val="11CE5360"/>
    <w:rsid w:val="11DC7581"/>
    <w:rsid w:val="11FD79F3"/>
    <w:rsid w:val="123C49C0"/>
    <w:rsid w:val="125F420A"/>
    <w:rsid w:val="126D2DCB"/>
    <w:rsid w:val="127203E1"/>
    <w:rsid w:val="12753A2E"/>
    <w:rsid w:val="1282698C"/>
    <w:rsid w:val="12892ECE"/>
    <w:rsid w:val="12922832"/>
    <w:rsid w:val="12AB56A1"/>
    <w:rsid w:val="12AC44E8"/>
    <w:rsid w:val="12B75DF4"/>
    <w:rsid w:val="12BC340B"/>
    <w:rsid w:val="12D322B2"/>
    <w:rsid w:val="12F77DF7"/>
    <w:rsid w:val="13024715"/>
    <w:rsid w:val="1326261C"/>
    <w:rsid w:val="13472AAF"/>
    <w:rsid w:val="134A0B53"/>
    <w:rsid w:val="13531204"/>
    <w:rsid w:val="136E2957"/>
    <w:rsid w:val="13837C04"/>
    <w:rsid w:val="13871C6A"/>
    <w:rsid w:val="139525D9"/>
    <w:rsid w:val="13AA28FF"/>
    <w:rsid w:val="13B14F39"/>
    <w:rsid w:val="13BD55DC"/>
    <w:rsid w:val="13C06F2A"/>
    <w:rsid w:val="13C133CE"/>
    <w:rsid w:val="13DC7CBE"/>
    <w:rsid w:val="13E470BD"/>
    <w:rsid w:val="13F35552"/>
    <w:rsid w:val="141D25CF"/>
    <w:rsid w:val="14263231"/>
    <w:rsid w:val="14301B0C"/>
    <w:rsid w:val="14432035"/>
    <w:rsid w:val="14515DD5"/>
    <w:rsid w:val="146C6567"/>
    <w:rsid w:val="14720225"/>
    <w:rsid w:val="148B578A"/>
    <w:rsid w:val="149C7998"/>
    <w:rsid w:val="14A16D5C"/>
    <w:rsid w:val="14AC5D2B"/>
    <w:rsid w:val="14C904F8"/>
    <w:rsid w:val="14D031F3"/>
    <w:rsid w:val="14F96B98"/>
    <w:rsid w:val="15170DCC"/>
    <w:rsid w:val="1554409C"/>
    <w:rsid w:val="15593193"/>
    <w:rsid w:val="15783F61"/>
    <w:rsid w:val="157D1577"/>
    <w:rsid w:val="159854FE"/>
    <w:rsid w:val="15A379A5"/>
    <w:rsid w:val="15B036FB"/>
    <w:rsid w:val="161672D6"/>
    <w:rsid w:val="162E2603"/>
    <w:rsid w:val="163360DA"/>
    <w:rsid w:val="164724EC"/>
    <w:rsid w:val="16610551"/>
    <w:rsid w:val="167E335F"/>
    <w:rsid w:val="16B9038D"/>
    <w:rsid w:val="16D43DC5"/>
    <w:rsid w:val="16D707D7"/>
    <w:rsid w:val="17127177"/>
    <w:rsid w:val="171E39EB"/>
    <w:rsid w:val="173C2D6C"/>
    <w:rsid w:val="176A78D9"/>
    <w:rsid w:val="176E561B"/>
    <w:rsid w:val="177B63C6"/>
    <w:rsid w:val="17836BED"/>
    <w:rsid w:val="178E5214"/>
    <w:rsid w:val="17A4103D"/>
    <w:rsid w:val="17A50638"/>
    <w:rsid w:val="17A50911"/>
    <w:rsid w:val="17A62A94"/>
    <w:rsid w:val="17AF79E2"/>
    <w:rsid w:val="17BD20FF"/>
    <w:rsid w:val="17DD454F"/>
    <w:rsid w:val="18016378"/>
    <w:rsid w:val="182F467F"/>
    <w:rsid w:val="18463EA2"/>
    <w:rsid w:val="18574301"/>
    <w:rsid w:val="18641B32"/>
    <w:rsid w:val="187F1162"/>
    <w:rsid w:val="188E4CE1"/>
    <w:rsid w:val="18A320C3"/>
    <w:rsid w:val="18B1372F"/>
    <w:rsid w:val="18D73665"/>
    <w:rsid w:val="18E436BB"/>
    <w:rsid w:val="18ED2570"/>
    <w:rsid w:val="190470B1"/>
    <w:rsid w:val="19133B2F"/>
    <w:rsid w:val="194859F8"/>
    <w:rsid w:val="19513079"/>
    <w:rsid w:val="19524AC9"/>
    <w:rsid w:val="196005BD"/>
    <w:rsid w:val="19704F75"/>
    <w:rsid w:val="198D5B01"/>
    <w:rsid w:val="199D21E8"/>
    <w:rsid w:val="19A8293B"/>
    <w:rsid w:val="19B7492C"/>
    <w:rsid w:val="19DB061A"/>
    <w:rsid w:val="19ED3B3B"/>
    <w:rsid w:val="19F618F8"/>
    <w:rsid w:val="19FA13E8"/>
    <w:rsid w:val="1A0C111B"/>
    <w:rsid w:val="1A1E745A"/>
    <w:rsid w:val="1A3908A8"/>
    <w:rsid w:val="1A400CBF"/>
    <w:rsid w:val="1A645A38"/>
    <w:rsid w:val="1A6920CA"/>
    <w:rsid w:val="1A7B1DFD"/>
    <w:rsid w:val="1A8D5EED"/>
    <w:rsid w:val="1A911621"/>
    <w:rsid w:val="1AA475A6"/>
    <w:rsid w:val="1AA85C69"/>
    <w:rsid w:val="1AB33345"/>
    <w:rsid w:val="1AC269DD"/>
    <w:rsid w:val="1ACD2659"/>
    <w:rsid w:val="1AD1220A"/>
    <w:rsid w:val="1B097409"/>
    <w:rsid w:val="1B0E1D56"/>
    <w:rsid w:val="1B355E23"/>
    <w:rsid w:val="1B495A57"/>
    <w:rsid w:val="1B530478"/>
    <w:rsid w:val="1B5669EE"/>
    <w:rsid w:val="1B650AE3"/>
    <w:rsid w:val="1B8C2514"/>
    <w:rsid w:val="1B9118D8"/>
    <w:rsid w:val="1BA23AE5"/>
    <w:rsid w:val="1BA627C3"/>
    <w:rsid w:val="1BB57F95"/>
    <w:rsid w:val="1BD16179"/>
    <w:rsid w:val="1C1918CE"/>
    <w:rsid w:val="1C2C1601"/>
    <w:rsid w:val="1C3F4120"/>
    <w:rsid w:val="1C5841A4"/>
    <w:rsid w:val="1C6E062E"/>
    <w:rsid w:val="1C7B4373"/>
    <w:rsid w:val="1C8834C4"/>
    <w:rsid w:val="1C9F0025"/>
    <w:rsid w:val="1CA13D9D"/>
    <w:rsid w:val="1CBE3199"/>
    <w:rsid w:val="1CDB6B83"/>
    <w:rsid w:val="1CDC4DD5"/>
    <w:rsid w:val="1CDD28FB"/>
    <w:rsid w:val="1CF2284B"/>
    <w:rsid w:val="1CFC7225"/>
    <w:rsid w:val="1D1722B1"/>
    <w:rsid w:val="1D1B6C8D"/>
    <w:rsid w:val="1D1C78C7"/>
    <w:rsid w:val="1D296B32"/>
    <w:rsid w:val="1D422CD5"/>
    <w:rsid w:val="1D46626F"/>
    <w:rsid w:val="1D5A03F0"/>
    <w:rsid w:val="1D6D3C7F"/>
    <w:rsid w:val="1D7768AC"/>
    <w:rsid w:val="1D813BCE"/>
    <w:rsid w:val="1D863B00"/>
    <w:rsid w:val="1D864AAA"/>
    <w:rsid w:val="1DD84838"/>
    <w:rsid w:val="1DDE6A62"/>
    <w:rsid w:val="1E0565AE"/>
    <w:rsid w:val="1E0A3BC4"/>
    <w:rsid w:val="1E110AAE"/>
    <w:rsid w:val="1E1D3D89"/>
    <w:rsid w:val="1E2A7DC2"/>
    <w:rsid w:val="1E2E3FC6"/>
    <w:rsid w:val="1E303662"/>
    <w:rsid w:val="1E353D6D"/>
    <w:rsid w:val="1E3A1628"/>
    <w:rsid w:val="1E6F1C79"/>
    <w:rsid w:val="1E84307A"/>
    <w:rsid w:val="1EAC2BFE"/>
    <w:rsid w:val="1EAC4C7B"/>
    <w:rsid w:val="1EB1619D"/>
    <w:rsid w:val="1EDE3BF5"/>
    <w:rsid w:val="1EEE2B9E"/>
    <w:rsid w:val="1F0F207A"/>
    <w:rsid w:val="1F244029"/>
    <w:rsid w:val="1F364D21"/>
    <w:rsid w:val="1F602E7C"/>
    <w:rsid w:val="1F6410B2"/>
    <w:rsid w:val="1F756DB0"/>
    <w:rsid w:val="1F7D5D76"/>
    <w:rsid w:val="1F813A12"/>
    <w:rsid w:val="1F9E2816"/>
    <w:rsid w:val="1FA046FB"/>
    <w:rsid w:val="1FDD07CD"/>
    <w:rsid w:val="1FE67D19"/>
    <w:rsid w:val="1FE92902"/>
    <w:rsid w:val="1FF73CD4"/>
    <w:rsid w:val="20230F6D"/>
    <w:rsid w:val="203C3DDD"/>
    <w:rsid w:val="20542ED4"/>
    <w:rsid w:val="20631369"/>
    <w:rsid w:val="2079293B"/>
    <w:rsid w:val="20847C5E"/>
    <w:rsid w:val="209D6898"/>
    <w:rsid w:val="20C067BC"/>
    <w:rsid w:val="20C73DEA"/>
    <w:rsid w:val="20D609C4"/>
    <w:rsid w:val="20D96F19"/>
    <w:rsid w:val="20FC3C98"/>
    <w:rsid w:val="21130FE1"/>
    <w:rsid w:val="211B39F2"/>
    <w:rsid w:val="21352D06"/>
    <w:rsid w:val="213E0ADE"/>
    <w:rsid w:val="21555156"/>
    <w:rsid w:val="215869F4"/>
    <w:rsid w:val="21674E89"/>
    <w:rsid w:val="21690C01"/>
    <w:rsid w:val="21703D3E"/>
    <w:rsid w:val="21713C63"/>
    <w:rsid w:val="217A23C3"/>
    <w:rsid w:val="21846149"/>
    <w:rsid w:val="2186530F"/>
    <w:rsid w:val="218D48F0"/>
    <w:rsid w:val="219F2875"/>
    <w:rsid w:val="21A97250"/>
    <w:rsid w:val="21B51EA8"/>
    <w:rsid w:val="21BF4CC5"/>
    <w:rsid w:val="21C3661B"/>
    <w:rsid w:val="21CD2F3E"/>
    <w:rsid w:val="21F4496F"/>
    <w:rsid w:val="21F6651A"/>
    <w:rsid w:val="21F92F73"/>
    <w:rsid w:val="21FC7CC7"/>
    <w:rsid w:val="220D04CE"/>
    <w:rsid w:val="2210107D"/>
    <w:rsid w:val="221F7512"/>
    <w:rsid w:val="22271A2F"/>
    <w:rsid w:val="224D22D1"/>
    <w:rsid w:val="22513B6F"/>
    <w:rsid w:val="22596EC8"/>
    <w:rsid w:val="225C2514"/>
    <w:rsid w:val="22840D37"/>
    <w:rsid w:val="22A31EF1"/>
    <w:rsid w:val="22CE7EF1"/>
    <w:rsid w:val="22DD7A16"/>
    <w:rsid w:val="22EB3FC4"/>
    <w:rsid w:val="22EC5646"/>
    <w:rsid w:val="22F51542"/>
    <w:rsid w:val="22FD3CF7"/>
    <w:rsid w:val="231177A3"/>
    <w:rsid w:val="2329689A"/>
    <w:rsid w:val="232E5A64"/>
    <w:rsid w:val="233C481F"/>
    <w:rsid w:val="23447230"/>
    <w:rsid w:val="234E6301"/>
    <w:rsid w:val="23547806"/>
    <w:rsid w:val="23600F5A"/>
    <w:rsid w:val="23713D9D"/>
    <w:rsid w:val="23930753"/>
    <w:rsid w:val="23B0095A"/>
    <w:rsid w:val="23B5012E"/>
    <w:rsid w:val="23B95E70"/>
    <w:rsid w:val="23C1633C"/>
    <w:rsid w:val="23C16AD3"/>
    <w:rsid w:val="23C232D7"/>
    <w:rsid w:val="23DA7B95"/>
    <w:rsid w:val="23DE7685"/>
    <w:rsid w:val="23F8626D"/>
    <w:rsid w:val="24334D2E"/>
    <w:rsid w:val="244A6D4B"/>
    <w:rsid w:val="24704055"/>
    <w:rsid w:val="248F5FCC"/>
    <w:rsid w:val="2492221D"/>
    <w:rsid w:val="24B623B0"/>
    <w:rsid w:val="24BC54EC"/>
    <w:rsid w:val="24C85C3F"/>
    <w:rsid w:val="24D42DE8"/>
    <w:rsid w:val="24DA7BC0"/>
    <w:rsid w:val="24EF7670"/>
    <w:rsid w:val="24F663A1"/>
    <w:rsid w:val="251A293E"/>
    <w:rsid w:val="255A71DF"/>
    <w:rsid w:val="256B13EC"/>
    <w:rsid w:val="259F2E44"/>
    <w:rsid w:val="25A42208"/>
    <w:rsid w:val="25C24D84"/>
    <w:rsid w:val="25E82A3D"/>
    <w:rsid w:val="25F131B3"/>
    <w:rsid w:val="26072B40"/>
    <w:rsid w:val="26101026"/>
    <w:rsid w:val="261849A4"/>
    <w:rsid w:val="263E2AAA"/>
    <w:rsid w:val="26BB5A5B"/>
    <w:rsid w:val="26CD7F89"/>
    <w:rsid w:val="27090EBD"/>
    <w:rsid w:val="27196C26"/>
    <w:rsid w:val="27277595"/>
    <w:rsid w:val="27356372"/>
    <w:rsid w:val="274517C9"/>
    <w:rsid w:val="279B3ADF"/>
    <w:rsid w:val="27C6290A"/>
    <w:rsid w:val="27EE1B64"/>
    <w:rsid w:val="27F42B67"/>
    <w:rsid w:val="28155CD7"/>
    <w:rsid w:val="28212236"/>
    <w:rsid w:val="282D0BDB"/>
    <w:rsid w:val="28302479"/>
    <w:rsid w:val="28333610"/>
    <w:rsid w:val="284952E9"/>
    <w:rsid w:val="2851514D"/>
    <w:rsid w:val="28665E9B"/>
    <w:rsid w:val="287A1946"/>
    <w:rsid w:val="287C121A"/>
    <w:rsid w:val="2880399B"/>
    <w:rsid w:val="28874914"/>
    <w:rsid w:val="2899001E"/>
    <w:rsid w:val="28BD518D"/>
    <w:rsid w:val="28C17453"/>
    <w:rsid w:val="28D56B7C"/>
    <w:rsid w:val="28FE4325"/>
    <w:rsid w:val="290A0F1C"/>
    <w:rsid w:val="29363ABF"/>
    <w:rsid w:val="295126A7"/>
    <w:rsid w:val="297E0FC2"/>
    <w:rsid w:val="299627B0"/>
    <w:rsid w:val="29A339CF"/>
    <w:rsid w:val="29A6360B"/>
    <w:rsid w:val="29DB6414"/>
    <w:rsid w:val="2A3F0751"/>
    <w:rsid w:val="2A570191"/>
    <w:rsid w:val="2A662182"/>
    <w:rsid w:val="2A73489F"/>
    <w:rsid w:val="2AA65BEB"/>
    <w:rsid w:val="2ADB491E"/>
    <w:rsid w:val="2AE32E3F"/>
    <w:rsid w:val="2AED28A3"/>
    <w:rsid w:val="2B2F6A18"/>
    <w:rsid w:val="2B335B90"/>
    <w:rsid w:val="2B4A66E7"/>
    <w:rsid w:val="2B4D50F0"/>
    <w:rsid w:val="2B6E2CE5"/>
    <w:rsid w:val="2B717030"/>
    <w:rsid w:val="2BD870AF"/>
    <w:rsid w:val="2BE76A31"/>
    <w:rsid w:val="2C2C11A9"/>
    <w:rsid w:val="2C4E6B71"/>
    <w:rsid w:val="2C5A1872"/>
    <w:rsid w:val="2C624BCB"/>
    <w:rsid w:val="2C9C1E8B"/>
    <w:rsid w:val="2CCD64E8"/>
    <w:rsid w:val="2CCE400E"/>
    <w:rsid w:val="2CD930DF"/>
    <w:rsid w:val="2CDD6541"/>
    <w:rsid w:val="2CED26E7"/>
    <w:rsid w:val="2CF061F0"/>
    <w:rsid w:val="2CFC5020"/>
    <w:rsid w:val="2CFF066C"/>
    <w:rsid w:val="2D0068BE"/>
    <w:rsid w:val="2D03015C"/>
    <w:rsid w:val="2D177764"/>
    <w:rsid w:val="2D214A86"/>
    <w:rsid w:val="2D825525"/>
    <w:rsid w:val="2D9E34CC"/>
    <w:rsid w:val="2DF47AA5"/>
    <w:rsid w:val="2DFB0E33"/>
    <w:rsid w:val="2E110D58"/>
    <w:rsid w:val="2E383E35"/>
    <w:rsid w:val="2E3D144C"/>
    <w:rsid w:val="2E4C78E1"/>
    <w:rsid w:val="2E5A0250"/>
    <w:rsid w:val="2E6C1D31"/>
    <w:rsid w:val="2E7035CF"/>
    <w:rsid w:val="2E9A4AF0"/>
    <w:rsid w:val="2EA63356"/>
    <w:rsid w:val="2EE263F6"/>
    <w:rsid w:val="2F065CE2"/>
    <w:rsid w:val="2F266384"/>
    <w:rsid w:val="2F350375"/>
    <w:rsid w:val="2F430CE4"/>
    <w:rsid w:val="2F601896"/>
    <w:rsid w:val="2F723377"/>
    <w:rsid w:val="2F843AFF"/>
    <w:rsid w:val="2F8F6D1C"/>
    <w:rsid w:val="2F9B0B20"/>
    <w:rsid w:val="2F9C3BC3"/>
    <w:rsid w:val="2FA554FB"/>
    <w:rsid w:val="2FA71273"/>
    <w:rsid w:val="2FAD1DFD"/>
    <w:rsid w:val="2FCA6D0F"/>
    <w:rsid w:val="2FCF2577"/>
    <w:rsid w:val="2FD14330"/>
    <w:rsid w:val="2FDC6A42"/>
    <w:rsid w:val="2FE801F3"/>
    <w:rsid w:val="2FEF49C8"/>
    <w:rsid w:val="302954BA"/>
    <w:rsid w:val="303F6DB8"/>
    <w:rsid w:val="30406FD1"/>
    <w:rsid w:val="304940D8"/>
    <w:rsid w:val="305D5DD5"/>
    <w:rsid w:val="305E594B"/>
    <w:rsid w:val="30843362"/>
    <w:rsid w:val="3091782D"/>
    <w:rsid w:val="30A6777C"/>
    <w:rsid w:val="30AB4D93"/>
    <w:rsid w:val="30CC52AD"/>
    <w:rsid w:val="30DD2A72"/>
    <w:rsid w:val="310B3A83"/>
    <w:rsid w:val="313B4368"/>
    <w:rsid w:val="31464ABB"/>
    <w:rsid w:val="314B0324"/>
    <w:rsid w:val="315034D2"/>
    <w:rsid w:val="31692558"/>
    <w:rsid w:val="31C81974"/>
    <w:rsid w:val="31D45FF1"/>
    <w:rsid w:val="31E367AE"/>
    <w:rsid w:val="31F6028F"/>
    <w:rsid w:val="322272D6"/>
    <w:rsid w:val="32537490"/>
    <w:rsid w:val="32694FCA"/>
    <w:rsid w:val="32A95302"/>
    <w:rsid w:val="32AE7C17"/>
    <w:rsid w:val="32B54A22"/>
    <w:rsid w:val="32B85545"/>
    <w:rsid w:val="32D16607"/>
    <w:rsid w:val="32D54349"/>
    <w:rsid w:val="32FA3DAF"/>
    <w:rsid w:val="32FD564D"/>
    <w:rsid w:val="33163192"/>
    <w:rsid w:val="33291F9F"/>
    <w:rsid w:val="332D7CE1"/>
    <w:rsid w:val="33631954"/>
    <w:rsid w:val="3369683F"/>
    <w:rsid w:val="33751688"/>
    <w:rsid w:val="3381002D"/>
    <w:rsid w:val="338D69D1"/>
    <w:rsid w:val="33D068BE"/>
    <w:rsid w:val="33DE722D"/>
    <w:rsid w:val="33EB57CA"/>
    <w:rsid w:val="33ED2723"/>
    <w:rsid w:val="33F11C49"/>
    <w:rsid w:val="33F90690"/>
    <w:rsid w:val="342033A2"/>
    <w:rsid w:val="342C61EA"/>
    <w:rsid w:val="345179FF"/>
    <w:rsid w:val="34601B4D"/>
    <w:rsid w:val="34A55F9D"/>
    <w:rsid w:val="34D50630"/>
    <w:rsid w:val="34D83C7C"/>
    <w:rsid w:val="34FD1935"/>
    <w:rsid w:val="353B53D3"/>
    <w:rsid w:val="354F14A6"/>
    <w:rsid w:val="35675000"/>
    <w:rsid w:val="35A26038"/>
    <w:rsid w:val="35B069A7"/>
    <w:rsid w:val="35BC534C"/>
    <w:rsid w:val="35E6061B"/>
    <w:rsid w:val="35E87EEF"/>
    <w:rsid w:val="35FF348B"/>
    <w:rsid w:val="36032F7B"/>
    <w:rsid w:val="362353CB"/>
    <w:rsid w:val="36321AB2"/>
    <w:rsid w:val="3632560E"/>
    <w:rsid w:val="36696F60"/>
    <w:rsid w:val="36723C5D"/>
    <w:rsid w:val="36877708"/>
    <w:rsid w:val="36910091"/>
    <w:rsid w:val="369167D9"/>
    <w:rsid w:val="369C2F39"/>
    <w:rsid w:val="36AA5AEC"/>
    <w:rsid w:val="36D23C26"/>
    <w:rsid w:val="36E3440F"/>
    <w:rsid w:val="371232F8"/>
    <w:rsid w:val="37225683"/>
    <w:rsid w:val="37340C8E"/>
    <w:rsid w:val="373F476F"/>
    <w:rsid w:val="375A12C0"/>
    <w:rsid w:val="377A726D"/>
    <w:rsid w:val="378B147A"/>
    <w:rsid w:val="37B85359"/>
    <w:rsid w:val="37C60704"/>
    <w:rsid w:val="37CF580A"/>
    <w:rsid w:val="37E666B0"/>
    <w:rsid w:val="3801798E"/>
    <w:rsid w:val="38123949"/>
    <w:rsid w:val="38211DDE"/>
    <w:rsid w:val="382F52B4"/>
    <w:rsid w:val="385555E4"/>
    <w:rsid w:val="386D00FB"/>
    <w:rsid w:val="388A7983"/>
    <w:rsid w:val="388F4F9A"/>
    <w:rsid w:val="38961E84"/>
    <w:rsid w:val="38AC5B4C"/>
    <w:rsid w:val="38C34C43"/>
    <w:rsid w:val="39205BF2"/>
    <w:rsid w:val="39227BBC"/>
    <w:rsid w:val="39535238"/>
    <w:rsid w:val="397D4DF2"/>
    <w:rsid w:val="39871270"/>
    <w:rsid w:val="39F96B6F"/>
    <w:rsid w:val="3A1F5EA9"/>
    <w:rsid w:val="3A2D6818"/>
    <w:rsid w:val="3A86417A"/>
    <w:rsid w:val="3A9C7D01"/>
    <w:rsid w:val="3AB40CFA"/>
    <w:rsid w:val="3AB82828"/>
    <w:rsid w:val="3AB900AC"/>
    <w:rsid w:val="3ABC7B9C"/>
    <w:rsid w:val="3ACF78CF"/>
    <w:rsid w:val="3AE113B1"/>
    <w:rsid w:val="3B003F2D"/>
    <w:rsid w:val="3B007A89"/>
    <w:rsid w:val="3B0C4680"/>
    <w:rsid w:val="3B4D02BA"/>
    <w:rsid w:val="3B6256D4"/>
    <w:rsid w:val="3B783AC3"/>
    <w:rsid w:val="3B8763FC"/>
    <w:rsid w:val="3B8A1EDE"/>
    <w:rsid w:val="3B9823B7"/>
    <w:rsid w:val="3BA1126C"/>
    <w:rsid w:val="3BA72032"/>
    <w:rsid w:val="3BB00C1C"/>
    <w:rsid w:val="3BBA0580"/>
    <w:rsid w:val="3BC431AC"/>
    <w:rsid w:val="3BF27D19"/>
    <w:rsid w:val="3C074FB6"/>
    <w:rsid w:val="3C092149"/>
    <w:rsid w:val="3C237ED3"/>
    <w:rsid w:val="3C3A3510"/>
    <w:rsid w:val="3C5207B8"/>
    <w:rsid w:val="3C5C5193"/>
    <w:rsid w:val="3C7F0E81"/>
    <w:rsid w:val="3CA31014"/>
    <w:rsid w:val="3CC1149A"/>
    <w:rsid w:val="3CED04E1"/>
    <w:rsid w:val="3CEE5629"/>
    <w:rsid w:val="3CEF24AB"/>
    <w:rsid w:val="3D141F11"/>
    <w:rsid w:val="3D22462E"/>
    <w:rsid w:val="3D2F3F50"/>
    <w:rsid w:val="3D337994"/>
    <w:rsid w:val="3D5B369C"/>
    <w:rsid w:val="3D6F7148"/>
    <w:rsid w:val="3D750CC2"/>
    <w:rsid w:val="3D804EB1"/>
    <w:rsid w:val="3D863752"/>
    <w:rsid w:val="3D930759"/>
    <w:rsid w:val="3DC2371B"/>
    <w:rsid w:val="3E1B52F1"/>
    <w:rsid w:val="3E1C72D0"/>
    <w:rsid w:val="3E2B66CE"/>
    <w:rsid w:val="3E34386A"/>
    <w:rsid w:val="3E3F4D6C"/>
    <w:rsid w:val="3E495BEB"/>
    <w:rsid w:val="3E5A3954"/>
    <w:rsid w:val="3E5F0F6A"/>
    <w:rsid w:val="3E6447D3"/>
    <w:rsid w:val="3E92414F"/>
    <w:rsid w:val="3E9E5F37"/>
    <w:rsid w:val="3EA517DA"/>
    <w:rsid w:val="3EB968CD"/>
    <w:rsid w:val="3EBC29A0"/>
    <w:rsid w:val="3EBD6E70"/>
    <w:rsid w:val="3EC139D3"/>
    <w:rsid w:val="3ECB2EE3"/>
    <w:rsid w:val="3ED01E68"/>
    <w:rsid w:val="3ED25BE0"/>
    <w:rsid w:val="3F035D9A"/>
    <w:rsid w:val="3F0D09C6"/>
    <w:rsid w:val="3F1B7587"/>
    <w:rsid w:val="3F347E15"/>
    <w:rsid w:val="3F6F342F"/>
    <w:rsid w:val="3F7E650B"/>
    <w:rsid w:val="3F8A2017"/>
    <w:rsid w:val="3F9C695E"/>
    <w:rsid w:val="3FB253FB"/>
    <w:rsid w:val="3FB53538"/>
    <w:rsid w:val="3FBD419A"/>
    <w:rsid w:val="3FC45529"/>
    <w:rsid w:val="3FCF2120"/>
    <w:rsid w:val="3FDB6D16"/>
    <w:rsid w:val="3FDD2A8F"/>
    <w:rsid w:val="3FEA0D08"/>
    <w:rsid w:val="3FFF2A05"/>
    <w:rsid w:val="400242A3"/>
    <w:rsid w:val="4004001B"/>
    <w:rsid w:val="40093EB5"/>
    <w:rsid w:val="4013025E"/>
    <w:rsid w:val="405132A9"/>
    <w:rsid w:val="40552625"/>
    <w:rsid w:val="407707ED"/>
    <w:rsid w:val="407A652F"/>
    <w:rsid w:val="408D183C"/>
    <w:rsid w:val="40A35A86"/>
    <w:rsid w:val="40C25A49"/>
    <w:rsid w:val="40C477AB"/>
    <w:rsid w:val="40CB28E7"/>
    <w:rsid w:val="40E13EB9"/>
    <w:rsid w:val="40FF07E3"/>
    <w:rsid w:val="41076CBB"/>
    <w:rsid w:val="41250B35"/>
    <w:rsid w:val="41450FD9"/>
    <w:rsid w:val="414660A0"/>
    <w:rsid w:val="4191233A"/>
    <w:rsid w:val="41C2051C"/>
    <w:rsid w:val="41E20926"/>
    <w:rsid w:val="420100AB"/>
    <w:rsid w:val="42075BA1"/>
    <w:rsid w:val="4223420F"/>
    <w:rsid w:val="422760F2"/>
    <w:rsid w:val="422D771F"/>
    <w:rsid w:val="42894808"/>
    <w:rsid w:val="429513FF"/>
    <w:rsid w:val="42A41642"/>
    <w:rsid w:val="42A72EE0"/>
    <w:rsid w:val="42B31885"/>
    <w:rsid w:val="42B5384F"/>
    <w:rsid w:val="42C35F6C"/>
    <w:rsid w:val="42E12896"/>
    <w:rsid w:val="431762B8"/>
    <w:rsid w:val="43234C5C"/>
    <w:rsid w:val="43290E88"/>
    <w:rsid w:val="432A5FEB"/>
    <w:rsid w:val="432B3B11"/>
    <w:rsid w:val="436239D7"/>
    <w:rsid w:val="438374A9"/>
    <w:rsid w:val="43880F63"/>
    <w:rsid w:val="438C104B"/>
    <w:rsid w:val="438F3163"/>
    <w:rsid w:val="43931DE2"/>
    <w:rsid w:val="43B34232"/>
    <w:rsid w:val="43CF6B92"/>
    <w:rsid w:val="43F403A7"/>
    <w:rsid w:val="440E1469"/>
    <w:rsid w:val="44134CD1"/>
    <w:rsid w:val="4427077C"/>
    <w:rsid w:val="44446C38"/>
    <w:rsid w:val="44564BBE"/>
    <w:rsid w:val="445C6678"/>
    <w:rsid w:val="448E6105"/>
    <w:rsid w:val="44B518E4"/>
    <w:rsid w:val="44BE2E8F"/>
    <w:rsid w:val="44FF34A7"/>
    <w:rsid w:val="452151CC"/>
    <w:rsid w:val="454A4722"/>
    <w:rsid w:val="454D4212"/>
    <w:rsid w:val="454D7C42"/>
    <w:rsid w:val="455C6204"/>
    <w:rsid w:val="4570781E"/>
    <w:rsid w:val="45717F01"/>
    <w:rsid w:val="45961498"/>
    <w:rsid w:val="459E05CA"/>
    <w:rsid w:val="45C2075D"/>
    <w:rsid w:val="45EF52CA"/>
    <w:rsid w:val="45F66658"/>
    <w:rsid w:val="46075E14"/>
    <w:rsid w:val="460C5E7C"/>
    <w:rsid w:val="460F14C8"/>
    <w:rsid w:val="46160AA8"/>
    <w:rsid w:val="46224090"/>
    <w:rsid w:val="4631143E"/>
    <w:rsid w:val="463B406B"/>
    <w:rsid w:val="468A66B9"/>
    <w:rsid w:val="468F76F1"/>
    <w:rsid w:val="46B75DE7"/>
    <w:rsid w:val="46C71DA3"/>
    <w:rsid w:val="46CF7A29"/>
    <w:rsid w:val="46F000D2"/>
    <w:rsid w:val="46F34946"/>
    <w:rsid w:val="46FD57C4"/>
    <w:rsid w:val="47255440"/>
    <w:rsid w:val="472B0C5A"/>
    <w:rsid w:val="472B40E0"/>
    <w:rsid w:val="47321CEB"/>
    <w:rsid w:val="47513B31"/>
    <w:rsid w:val="47665118"/>
    <w:rsid w:val="477041E8"/>
    <w:rsid w:val="47A81209"/>
    <w:rsid w:val="47D50512"/>
    <w:rsid w:val="47E32C0C"/>
    <w:rsid w:val="48030BB8"/>
    <w:rsid w:val="480A1F47"/>
    <w:rsid w:val="482D3E87"/>
    <w:rsid w:val="48341DE7"/>
    <w:rsid w:val="48362D3C"/>
    <w:rsid w:val="48376AB4"/>
    <w:rsid w:val="48561630"/>
    <w:rsid w:val="485F6737"/>
    <w:rsid w:val="48B85E47"/>
    <w:rsid w:val="4913307D"/>
    <w:rsid w:val="4922756D"/>
    <w:rsid w:val="49415E3C"/>
    <w:rsid w:val="4945187D"/>
    <w:rsid w:val="495A6EFE"/>
    <w:rsid w:val="495E5359"/>
    <w:rsid w:val="49676BEC"/>
    <w:rsid w:val="496B1F5D"/>
    <w:rsid w:val="49706721"/>
    <w:rsid w:val="49883A6B"/>
    <w:rsid w:val="499B1BBB"/>
    <w:rsid w:val="49C34AA3"/>
    <w:rsid w:val="49C425C9"/>
    <w:rsid w:val="49CF3448"/>
    <w:rsid w:val="4A1043C2"/>
    <w:rsid w:val="4A130C33"/>
    <w:rsid w:val="4A175819"/>
    <w:rsid w:val="4A29004F"/>
    <w:rsid w:val="4A317C5F"/>
    <w:rsid w:val="4A4831FA"/>
    <w:rsid w:val="4A5971B6"/>
    <w:rsid w:val="4A7B35D0"/>
    <w:rsid w:val="4A7D1E9B"/>
    <w:rsid w:val="4A881849"/>
    <w:rsid w:val="4A8C1339"/>
    <w:rsid w:val="4AAC5537"/>
    <w:rsid w:val="4AD14F9E"/>
    <w:rsid w:val="4AF84C20"/>
    <w:rsid w:val="4B1E5AAA"/>
    <w:rsid w:val="4B2B0B52"/>
    <w:rsid w:val="4B5F2E5D"/>
    <w:rsid w:val="4B625664"/>
    <w:rsid w:val="4B69167A"/>
    <w:rsid w:val="4B78366B"/>
    <w:rsid w:val="4B7C7600"/>
    <w:rsid w:val="4B95421D"/>
    <w:rsid w:val="4BA3693A"/>
    <w:rsid w:val="4BA44460"/>
    <w:rsid w:val="4BD016F9"/>
    <w:rsid w:val="4BD034A7"/>
    <w:rsid w:val="4BE551A5"/>
    <w:rsid w:val="4C1B2975"/>
    <w:rsid w:val="4C3B4A29"/>
    <w:rsid w:val="4C3E48B5"/>
    <w:rsid w:val="4C51283A"/>
    <w:rsid w:val="4C583BC9"/>
    <w:rsid w:val="4C8200C3"/>
    <w:rsid w:val="4C862C0F"/>
    <w:rsid w:val="4CB642C1"/>
    <w:rsid w:val="4CBA487D"/>
    <w:rsid w:val="4CFD63FA"/>
    <w:rsid w:val="4D203FBB"/>
    <w:rsid w:val="4D3006A2"/>
    <w:rsid w:val="4D302ECC"/>
    <w:rsid w:val="4D4C41F0"/>
    <w:rsid w:val="4D5A571F"/>
    <w:rsid w:val="4D987FF5"/>
    <w:rsid w:val="4D9D37AB"/>
    <w:rsid w:val="4DC31516"/>
    <w:rsid w:val="4DC40DEA"/>
    <w:rsid w:val="4DEE7533"/>
    <w:rsid w:val="4DF06083"/>
    <w:rsid w:val="4E0D09E3"/>
    <w:rsid w:val="4E140C20"/>
    <w:rsid w:val="4E5A633C"/>
    <w:rsid w:val="4E5C4D9A"/>
    <w:rsid w:val="4E6D5684"/>
    <w:rsid w:val="4E7A4E88"/>
    <w:rsid w:val="4E7E543D"/>
    <w:rsid w:val="4E91394D"/>
    <w:rsid w:val="4EA76741"/>
    <w:rsid w:val="4ED137BE"/>
    <w:rsid w:val="4ED95028"/>
    <w:rsid w:val="4EDB288F"/>
    <w:rsid w:val="4EFE032C"/>
    <w:rsid w:val="4F0C47F7"/>
    <w:rsid w:val="4F714FA1"/>
    <w:rsid w:val="4F7B372A"/>
    <w:rsid w:val="4FA15887"/>
    <w:rsid w:val="4FAB18F7"/>
    <w:rsid w:val="4FE439C5"/>
    <w:rsid w:val="4FE90FDC"/>
    <w:rsid w:val="502838B2"/>
    <w:rsid w:val="5031210E"/>
    <w:rsid w:val="503712DE"/>
    <w:rsid w:val="50466073"/>
    <w:rsid w:val="504A7CCC"/>
    <w:rsid w:val="50566671"/>
    <w:rsid w:val="506863A4"/>
    <w:rsid w:val="50D17AA6"/>
    <w:rsid w:val="50D35F69"/>
    <w:rsid w:val="50D476A7"/>
    <w:rsid w:val="50DB3D9F"/>
    <w:rsid w:val="50F360E5"/>
    <w:rsid w:val="50F72525"/>
    <w:rsid w:val="50FB0FC7"/>
    <w:rsid w:val="51134562"/>
    <w:rsid w:val="512E4EF8"/>
    <w:rsid w:val="51514E21"/>
    <w:rsid w:val="51735001"/>
    <w:rsid w:val="51764AF1"/>
    <w:rsid w:val="517B0995"/>
    <w:rsid w:val="51C27D36"/>
    <w:rsid w:val="51DF61F2"/>
    <w:rsid w:val="51E27A91"/>
    <w:rsid w:val="52021EE1"/>
    <w:rsid w:val="52171E30"/>
    <w:rsid w:val="521D477A"/>
    <w:rsid w:val="52662470"/>
    <w:rsid w:val="5285323E"/>
    <w:rsid w:val="528D3EA0"/>
    <w:rsid w:val="529C0587"/>
    <w:rsid w:val="52A03BD4"/>
    <w:rsid w:val="52B34B6D"/>
    <w:rsid w:val="52E15F9A"/>
    <w:rsid w:val="52E22421"/>
    <w:rsid w:val="53195734"/>
    <w:rsid w:val="53530C46"/>
    <w:rsid w:val="53566988"/>
    <w:rsid w:val="535844AE"/>
    <w:rsid w:val="535C1D26"/>
    <w:rsid w:val="538C5F06"/>
    <w:rsid w:val="53937294"/>
    <w:rsid w:val="53C2102F"/>
    <w:rsid w:val="53EB36A7"/>
    <w:rsid w:val="540E7126"/>
    <w:rsid w:val="546B31A6"/>
    <w:rsid w:val="547F47A7"/>
    <w:rsid w:val="54A0435F"/>
    <w:rsid w:val="54D04518"/>
    <w:rsid w:val="54D7298C"/>
    <w:rsid w:val="54DE20EF"/>
    <w:rsid w:val="54F91B48"/>
    <w:rsid w:val="55012924"/>
    <w:rsid w:val="551F7CED"/>
    <w:rsid w:val="553700F3"/>
    <w:rsid w:val="55782BE6"/>
    <w:rsid w:val="55915A56"/>
    <w:rsid w:val="55B81234"/>
    <w:rsid w:val="55CA5144"/>
    <w:rsid w:val="561D378D"/>
    <w:rsid w:val="56244B1C"/>
    <w:rsid w:val="564B654C"/>
    <w:rsid w:val="56741CA8"/>
    <w:rsid w:val="567E247E"/>
    <w:rsid w:val="569752EE"/>
    <w:rsid w:val="569F0646"/>
    <w:rsid w:val="56AB6FEB"/>
    <w:rsid w:val="56F444EE"/>
    <w:rsid w:val="56FE536D"/>
    <w:rsid w:val="5753390A"/>
    <w:rsid w:val="57643855"/>
    <w:rsid w:val="57713D91"/>
    <w:rsid w:val="57811AFA"/>
    <w:rsid w:val="578D049F"/>
    <w:rsid w:val="57914433"/>
    <w:rsid w:val="57947A7F"/>
    <w:rsid w:val="57A53F82"/>
    <w:rsid w:val="57A557E8"/>
    <w:rsid w:val="57B44EC0"/>
    <w:rsid w:val="57BA79E3"/>
    <w:rsid w:val="57D52571"/>
    <w:rsid w:val="57D60097"/>
    <w:rsid w:val="57E74053"/>
    <w:rsid w:val="58006EC2"/>
    <w:rsid w:val="58044C05"/>
    <w:rsid w:val="580A7D41"/>
    <w:rsid w:val="582726A1"/>
    <w:rsid w:val="583A23D4"/>
    <w:rsid w:val="58403763"/>
    <w:rsid w:val="58483E59"/>
    <w:rsid w:val="58496ABB"/>
    <w:rsid w:val="586E6522"/>
    <w:rsid w:val="58A43CF2"/>
    <w:rsid w:val="58C97BB5"/>
    <w:rsid w:val="58D02D39"/>
    <w:rsid w:val="58EB4BB9"/>
    <w:rsid w:val="59101387"/>
    <w:rsid w:val="592B61C1"/>
    <w:rsid w:val="59462FFB"/>
    <w:rsid w:val="595219A0"/>
    <w:rsid w:val="595B4CF8"/>
    <w:rsid w:val="597726BB"/>
    <w:rsid w:val="598C3104"/>
    <w:rsid w:val="59AF0BA0"/>
    <w:rsid w:val="59D2488F"/>
    <w:rsid w:val="59FF3680"/>
    <w:rsid w:val="5A224803"/>
    <w:rsid w:val="5A252C10"/>
    <w:rsid w:val="5A2570B4"/>
    <w:rsid w:val="5A2A7696"/>
    <w:rsid w:val="5A2C0443"/>
    <w:rsid w:val="5A470DD9"/>
    <w:rsid w:val="5A56309C"/>
    <w:rsid w:val="5A5E20BE"/>
    <w:rsid w:val="5A67147B"/>
    <w:rsid w:val="5A6B2CE6"/>
    <w:rsid w:val="5A6E2809"/>
    <w:rsid w:val="5A946C67"/>
    <w:rsid w:val="5AE42ACB"/>
    <w:rsid w:val="5AF01470"/>
    <w:rsid w:val="5AF55909"/>
    <w:rsid w:val="5AF80325"/>
    <w:rsid w:val="5AFC7E15"/>
    <w:rsid w:val="5B0867BA"/>
    <w:rsid w:val="5B152C85"/>
    <w:rsid w:val="5B1E5FDD"/>
    <w:rsid w:val="5B266C40"/>
    <w:rsid w:val="5B2B06FA"/>
    <w:rsid w:val="5B323837"/>
    <w:rsid w:val="5B433C96"/>
    <w:rsid w:val="5B44356A"/>
    <w:rsid w:val="5B482A95"/>
    <w:rsid w:val="5B490B80"/>
    <w:rsid w:val="5B4A4EFA"/>
    <w:rsid w:val="5B991BA7"/>
    <w:rsid w:val="5BA30291"/>
    <w:rsid w:val="5BAD110F"/>
    <w:rsid w:val="5BBE331C"/>
    <w:rsid w:val="5BC76675"/>
    <w:rsid w:val="5BD82630"/>
    <w:rsid w:val="5BF1724E"/>
    <w:rsid w:val="5BFB631F"/>
    <w:rsid w:val="5C001082"/>
    <w:rsid w:val="5C0276AD"/>
    <w:rsid w:val="5C11169E"/>
    <w:rsid w:val="5C210B18"/>
    <w:rsid w:val="5C245875"/>
    <w:rsid w:val="5C3E7C3A"/>
    <w:rsid w:val="5C4429C0"/>
    <w:rsid w:val="5C4557EC"/>
    <w:rsid w:val="5C574941"/>
    <w:rsid w:val="5C651F02"/>
    <w:rsid w:val="5C67244C"/>
    <w:rsid w:val="5C755E79"/>
    <w:rsid w:val="5C9F6CAA"/>
    <w:rsid w:val="5CA00C74"/>
    <w:rsid w:val="5CA37228"/>
    <w:rsid w:val="5CA611A4"/>
    <w:rsid w:val="5CAA564F"/>
    <w:rsid w:val="5CAC13C7"/>
    <w:rsid w:val="5CAC412B"/>
    <w:rsid w:val="5CBA3AE4"/>
    <w:rsid w:val="5CC2508E"/>
    <w:rsid w:val="5CE2128D"/>
    <w:rsid w:val="5CFD30EC"/>
    <w:rsid w:val="5D3C274B"/>
    <w:rsid w:val="5D41435A"/>
    <w:rsid w:val="5D551A5E"/>
    <w:rsid w:val="5D5E4DB7"/>
    <w:rsid w:val="5D746389"/>
    <w:rsid w:val="5D77335B"/>
    <w:rsid w:val="5D942587"/>
    <w:rsid w:val="5DC23FA4"/>
    <w:rsid w:val="5DCB3ACF"/>
    <w:rsid w:val="5E27164D"/>
    <w:rsid w:val="5E385608"/>
    <w:rsid w:val="5E5D6E1D"/>
    <w:rsid w:val="5E655CD1"/>
    <w:rsid w:val="5E6F4DA2"/>
    <w:rsid w:val="5E8C14B0"/>
    <w:rsid w:val="5E912F6A"/>
    <w:rsid w:val="5EA7453C"/>
    <w:rsid w:val="5EAA7C48"/>
    <w:rsid w:val="5EAB402C"/>
    <w:rsid w:val="5EE673AD"/>
    <w:rsid w:val="5EE94B54"/>
    <w:rsid w:val="5EEB4428"/>
    <w:rsid w:val="5EFA466C"/>
    <w:rsid w:val="5F15689B"/>
    <w:rsid w:val="5F2636B2"/>
    <w:rsid w:val="5F2C0259"/>
    <w:rsid w:val="5F4B136B"/>
    <w:rsid w:val="5F5909B6"/>
    <w:rsid w:val="5F775CBC"/>
    <w:rsid w:val="5F797C86"/>
    <w:rsid w:val="5F7A39FE"/>
    <w:rsid w:val="5F7F7267"/>
    <w:rsid w:val="5F8473FA"/>
    <w:rsid w:val="5F85487D"/>
    <w:rsid w:val="5F8F7A6E"/>
    <w:rsid w:val="5F97183F"/>
    <w:rsid w:val="5FAF36A8"/>
    <w:rsid w:val="5FCB6008"/>
    <w:rsid w:val="5FD4377C"/>
    <w:rsid w:val="600734E4"/>
    <w:rsid w:val="600B28A8"/>
    <w:rsid w:val="605F4298"/>
    <w:rsid w:val="606E21E0"/>
    <w:rsid w:val="60714E01"/>
    <w:rsid w:val="60741C65"/>
    <w:rsid w:val="607448F1"/>
    <w:rsid w:val="60A54AAB"/>
    <w:rsid w:val="60B42F40"/>
    <w:rsid w:val="60B7783F"/>
    <w:rsid w:val="60C03267"/>
    <w:rsid w:val="60D039F0"/>
    <w:rsid w:val="60D1764E"/>
    <w:rsid w:val="60D61108"/>
    <w:rsid w:val="60F40564"/>
    <w:rsid w:val="60F47672"/>
    <w:rsid w:val="61161505"/>
    <w:rsid w:val="611834CF"/>
    <w:rsid w:val="612E1517"/>
    <w:rsid w:val="61300332"/>
    <w:rsid w:val="61355E2F"/>
    <w:rsid w:val="61695482"/>
    <w:rsid w:val="619A0388"/>
    <w:rsid w:val="61CB73F0"/>
    <w:rsid w:val="61D05B58"/>
    <w:rsid w:val="61E41603"/>
    <w:rsid w:val="61F01D56"/>
    <w:rsid w:val="624125B1"/>
    <w:rsid w:val="6285677F"/>
    <w:rsid w:val="62970423"/>
    <w:rsid w:val="62B66AFB"/>
    <w:rsid w:val="62D13F91"/>
    <w:rsid w:val="62D17DD9"/>
    <w:rsid w:val="62D2496B"/>
    <w:rsid w:val="62E419D3"/>
    <w:rsid w:val="62E56100"/>
    <w:rsid w:val="62F85366"/>
    <w:rsid w:val="62F91AE9"/>
    <w:rsid w:val="62FE4D74"/>
    <w:rsid w:val="63187F8E"/>
    <w:rsid w:val="631B72A6"/>
    <w:rsid w:val="63497970"/>
    <w:rsid w:val="63AB687C"/>
    <w:rsid w:val="63B82D47"/>
    <w:rsid w:val="63CD05A1"/>
    <w:rsid w:val="63F024E1"/>
    <w:rsid w:val="63F21DB5"/>
    <w:rsid w:val="64214F93"/>
    <w:rsid w:val="64281C7B"/>
    <w:rsid w:val="642F353F"/>
    <w:rsid w:val="64454D98"/>
    <w:rsid w:val="64487C27"/>
    <w:rsid w:val="645B6346"/>
    <w:rsid w:val="64774B91"/>
    <w:rsid w:val="64783E0E"/>
    <w:rsid w:val="648516CE"/>
    <w:rsid w:val="648F3AA8"/>
    <w:rsid w:val="649068E9"/>
    <w:rsid w:val="64986E00"/>
    <w:rsid w:val="64990483"/>
    <w:rsid w:val="64AB1D46"/>
    <w:rsid w:val="64B17EC2"/>
    <w:rsid w:val="64F63B27"/>
    <w:rsid w:val="64F943AD"/>
    <w:rsid w:val="654E3963"/>
    <w:rsid w:val="657A6506"/>
    <w:rsid w:val="65B52A75"/>
    <w:rsid w:val="65C77271"/>
    <w:rsid w:val="65CD0D2C"/>
    <w:rsid w:val="65FF2BD8"/>
    <w:rsid w:val="660D2ED6"/>
    <w:rsid w:val="6614623D"/>
    <w:rsid w:val="662B70D7"/>
    <w:rsid w:val="66501015"/>
    <w:rsid w:val="66880618"/>
    <w:rsid w:val="66FE4F15"/>
    <w:rsid w:val="670E2580"/>
    <w:rsid w:val="67197683"/>
    <w:rsid w:val="673979C5"/>
    <w:rsid w:val="67542D87"/>
    <w:rsid w:val="676B36AE"/>
    <w:rsid w:val="678E6299"/>
    <w:rsid w:val="67A300C5"/>
    <w:rsid w:val="67C577E1"/>
    <w:rsid w:val="67D0065F"/>
    <w:rsid w:val="67DB0DB2"/>
    <w:rsid w:val="67E10ABE"/>
    <w:rsid w:val="682D5AB2"/>
    <w:rsid w:val="689C2C37"/>
    <w:rsid w:val="68AF296B"/>
    <w:rsid w:val="68B3085A"/>
    <w:rsid w:val="68C77C72"/>
    <w:rsid w:val="68E51EE8"/>
    <w:rsid w:val="69140A20"/>
    <w:rsid w:val="693D1D24"/>
    <w:rsid w:val="693E2E18"/>
    <w:rsid w:val="694D3AC3"/>
    <w:rsid w:val="69605006"/>
    <w:rsid w:val="69753984"/>
    <w:rsid w:val="69780FAF"/>
    <w:rsid w:val="69872FA0"/>
    <w:rsid w:val="69AE677E"/>
    <w:rsid w:val="69AF0748"/>
    <w:rsid w:val="69C26D7F"/>
    <w:rsid w:val="69DA187A"/>
    <w:rsid w:val="69E83878"/>
    <w:rsid w:val="69F92941"/>
    <w:rsid w:val="6A0C5941"/>
    <w:rsid w:val="6A1862EE"/>
    <w:rsid w:val="6A2014CC"/>
    <w:rsid w:val="6A4A3BE5"/>
    <w:rsid w:val="6A70612A"/>
    <w:rsid w:val="6A840A9A"/>
    <w:rsid w:val="6A897D1D"/>
    <w:rsid w:val="6AA85E77"/>
    <w:rsid w:val="6AC54E72"/>
    <w:rsid w:val="6ACA3A8C"/>
    <w:rsid w:val="6AE663EC"/>
    <w:rsid w:val="6AF26B3F"/>
    <w:rsid w:val="6B225676"/>
    <w:rsid w:val="6B2C02A3"/>
    <w:rsid w:val="6B3E7FD6"/>
    <w:rsid w:val="6B427C02"/>
    <w:rsid w:val="6B7A2928"/>
    <w:rsid w:val="6B9419A4"/>
    <w:rsid w:val="6B9F6CC6"/>
    <w:rsid w:val="6BAA102D"/>
    <w:rsid w:val="6BC95AF1"/>
    <w:rsid w:val="6BE741CA"/>
    <w:rsid w:val="6BFE3303"/>
    <w:rsid w:val="6BFF59B7"/>
    <w:rsid w:val="6C00528B"/>
    <w:rsid w:val="6C0134DD"/>
    <w:rsid w:val="6C506213"/>
    <w:rsid w:val="6C573492"/>
    <w:rsid w:val="6C615D2A"/>
    <w:rsid w:val="6C700663"/>
    <w:rsid w:val="6C7553FD"/>
    <w:rsid w:val="6C7A503E"/>
    <w:rsid w:val="6C8B0FF9"/>
    <w:rsid w:val="6CBF5146"/>
    <w:rsid w:val="6CCB5899"/>
    <w:rsid w:val="6CDA15EA"/>
    <w:rsid w:val="6CE1330F"/>
    <w:rsid w:val="6CED1CB3"/>
    <w:rsid w:val="6D34343E"/>
    <w:rsid w:val="6D5F6632"/>
    <w:rsid w:val="6D635AD2"/>
    <w:rsid w:val="6D7777CF"/>
    <w:rsid w:val="6D7955B3"/>
    <w:rsid w:val="6D852AC0"/>
    <w:rsid w:val="6D94212F"/>
    <w:rsid w:val="6DCA5B51"/>
    <w:rsid w:val="6DD1786E"/>
    <w:rsid w:val="6DD30EA9"/>
    <w:rsid w:val="6DE228A9"/>
    <w:rsid w:val="6E05302D"/>
    <w:rsid w:val="6E0949F7"/>
    <w:rsid w:val="6E69536A"/>
    <w:rsid w:val="6E82120A"/>
    <w:rsid w:val="6EB56977"/>
    <w:rsid w:val="6EB72579"/>
    <w:rsid w:val="6EC1417A"/>
    <w:rsid w:val="6EC72090"/>
    <w:rsid w:val="6EFA06B8"/>
    <w:rsid w:val="6F133948"/>
    <w:rsid w:val="6F25749E"/>
    <w:rsid w:val="6F715165"/>
    <w:rsid w:val="6F854425"/>
    <w:rsid w:val="6F871F4B"/>
    <w:rsid w:val="6FC86D89"/>
    <w:rsid w:val="6FD577DD"/>
    <w:rsid w:val="6FE63F4F"/>
    <w:rsid w:val="6FEC0000"/>
    <w:rsid w:val="70027FD6"/>
    <w:rsid w:val="70052E70"/>
    <w:rsid w:val="70093435"/>
    <w:rsid w:val="70205EFC"/>
    <w:rsid w:val="70293003"/>
    <w:rsid w:val="70335C2F"/>
    <w:rsid w:val="7035071A"/>
    <w:rsid w:val="709976F3"/>
    <w:rsid w:val="70E138DD"/>
    <w:rsid w:val="70E84C6C"/>
    <w:rsid w:val="70ED2282"/>
    <w:rsid w:val="70FF3CCF"/>
    <w:rsid w:val="7104137A"/>
    <w:rsid w:val="710B6BAC"/>
    <w:rsid w:val="71327C95"/>
    <w:rsid w:val="715A35D7"/>
    <w:rsid w:val="718B2B4F"/>
    <w:rsid w:val="71A32941"/>
    <w:rsid w:val="71B66810"/>
    <w:rsid w:val="71CD0394"/>
    <w:rsid w:val="71DD22F7"/>
    <w:rsid w:val="71E66C33"/>
    <w:rsid w:val="71F46CA1"/>
    <w:rsid w:val="71F96A05"/>
    <w:rsid w:val="72404633"/>
    <w:rsid w:val="7242215A"/>
    <w:rsid w:val="72485A68"/>
    <w:rsid w:val="725974A3"/>
    <w:rsid w:val="725B76BF"/>
    <w:rsid w:val="726F4F19"/>
    <w:rsid w:val="728F1BF4"/>
    <w:rsid w:val="72A44BC2"/>
    <w:rsid w:val="72C45265"/>
    <w:rsid w:val="73005444"/>
    <w:rsid w:val="731004AA"/>
    <w:rsid w:val="73182AB2"/>
    <w:rsid w:val="73310977"/>
    <w:rsid w:val="735A7977"/>
    <w:rsid w:val="73734595"/>
    <w:rsid w:val="738D5656"/>
    <w:rsid w:val="73AA26AC"/>
    <w:rsid w:val="740022CC"/>
    <w:rsid w:val="74024296"/>
    <w:rsid w:val="740873D3"/>
    <w:rsid w:val="742A559B"/>
    <w:rsid w:val="744321B9"/>
    <w:rsid w:val="747B7BA5"/>
    <w:rsid w:val="74AB66DC"/>
    <w:rsid w:val="74F6722B"/>
    <w:rsid w:val="7503583D"/>
    <w:rsid w:val="750C2CDE"/>
    <w:rsid w:val="750C6581"/>
    <w:rsid w:val="75497D25"/>
    <w:rsid w:val="754C6AAA"/>
    <w:rsid w:val="754D7793"/>
    <w:rsid w:val="7564688B"/>
    <w:rsid w:val="75706FDE"/>
    <w:rsid w:val="757E4740"/>
    <w:rsid w:val="7592164A"/>
    <w:rsid w:val="75A82C1C"/>
    <w:rsid w:val="75AD0232"/>
    <w:rsid w:val="75B23A9A"/>
    <w:rsid w:val="75D457BF"/>
    <w:rsid w:val="75FC2F67"/>
    <w:rsid w:val="762B296B"/>
    <w:rsid w:val="763B583E"/>
    <w:rsid w:val="76402E54"/>
    <w:rsid w:val="76487F5B"/>
    <w:rsid w:val="76582727"/>
    <w:rsid w:val="76864646"/>
    <w:rsid w:val="768F2F04"/>
    <w:rsid w:val="769D02A6"/>
    <w:rsid w:val="76AA29C3"/>
    <w:rsid w:val="76C728C1"/>
    <w:rsid w:val="76D2655D"/>
    <w:rsid w:val="76D8308D"/>
    <w:rsid w:val="76E25CB9"/>
    <w:rsid w:val="76F93003"/>
    <w:rsid w:val="771D13E7"/>
    <w:rsid w:val="77244524"/>
    <w:rsid w:val="77274014"/>
    <w:rsid w:val="774C5829"/>
    <w:rsid w:val="777A05E8"/>
    <w:rsid w:val="77846D70"/>
    <w:rsid w:val="778B28B2"/>
    <w:rsid w:val="77974CF6"/>
    <w:rsid w:val="77AB3A64"/>
    <w:rsid w:val="77B92B7C"/>
    <w:rsid w:val="77D637C2"/>
    <w:rsid w:val="780305DD"/>
    <w:rsid w:val="78232A2D"/>
    <w:rsid w:val="782B18E2"/>
    <w:rsid w:val="784604CA"/>
    <w:rsid w:val="78540E39"/>
    <w:rsid w:val="78756096"/>
    <w:rsid w:val="78882890"/>
    <w:rsid w:val="788F60CF"/>
    <w:rsid w:val="78C134D4"/>
    <w:rsid w:val="78C84569"/>
    <w:rsid w:val="78D43D28"/>
    <w:rsid w:val="78DB50B6"/>
    <w:rsid w:val="78F50B34"/>
    <w:rsid w:val="79390854"/>
    <w:rsid w:val="79696255"/>
    <w:rsid w:val="799017DB"/>
    <w:rsid w:val="79A656C4"/>
    <w:rsid w:val="79B871A5"/>
    <w:rsid w:val="79C1605A"/>
    <w:rsid w:val="79C36276"/>
    <w:rsid w:val="79D35D8D"/>
    <w:rsid w:val="79EF706B"/>
    <w:rsid w:val="79F53F55"/>
    <w:rsid w:val="79FE72AE"/>
    <w:rsid w:val="7A0B19CB"/>
    <w:rsid w:val="7A195E96"/>
    <w:rsid w:val="7A2B7977"/>
    <w:rsid w:val="7A2D7B93"/>
    <w:rsid w:val="7A5F3749"/>
    <w:rsid w:val="7A807C8B"/>
    <w:rsid w:val="7AD61FD9"/>
    <w:rsid w:val="7AE83ABA"/>
    <w:rsid w:val="7AF72429"/>
    <w:rsid w:val="7B0271A1"/>
    <w:rsid w:val="7B113FDC"/>
    <w:rsid w:val="7B27514F"/>
    <w:rsid w:val="7B4231CA"/>
    <w:rsid w:val="7B4E6013"/>
    <w:rsid w:val="7B642F91"/>
    <w:rsid w:val="7B707C65"/>
    <w:rsid w:val="7B897725"/>
    <w:rsid w:val="7BE06B38"/>
    <w:rsid w:val="7BFF10BB"/>
    <w:rsid w:val="7C0466D2"/>
    <w:rsid w:val="7C1728A9"/>
    <w:rsid w:val="7C452AA4"/>
    <w:rsid w:val="7C4D62CB"/>
    <w:rsid w:val="7C556F2D"/>
    <w:rsid w:val="7C5E0568"/>
    <w:rsid w:val="7C63789C"/>
    <w:rsid w:val="7C684EB3"/>
    <w:rsid w:val="7C953FC9"/>
    <w:rsid w:val="7CCF6CE0"/>
    <w:rsid w:val="7CE81B50"/>
    <w:rsid w:val="7CEA58C8"/>
    <w:rsid w:val="7D060228"/>
    <w:rsid w:val="7D0F532E"/>
    <w:rsid w:val="7D1B1B29"/>
    <w:rsid w:val="7D220DCD"/>
    <w:rsid w:val="7D230DDA"/>
    <w:rsid w:val="7D2863F0"/>
    <w:rsid w:val="7D787377"/>
    <w:rsid w:val="7D7D37EF"/>
    <w:rsid w:val="7DA4016C"/>
    <w:rsid w:val="7DAC11D0"/>
    <w:rsid w:val="7DCB55B3"/>
    <w:rsid w:val="7DCD148E"/>
    <w:rsid w:val="7DFA6F07"/>
    <w:rsid w:val="7E087D35"/>
    <w:rsid w:val="7E396311"/>
    <w:rsid w:val="7E3C2153"/>
    <w:rsid w:val="7E3E236F"/>
    <w:rsid w:val="7EA45F4A"/>
    <w:rsid w:val="7EB443DF"/>
    <w:rsid w:val="7ECD54A1"/>
    <w:rsid w:val="7EE822DB"/>
    <w:rsid w:val="7EFE38AC"/>
    <w:rsid w:val="7F311EF5"/>
    <w:rsid w:val="7F6556D9"/>
    <w:rsid w:val="7F8042C1"/>
    <w:rsid w:val="7F8503AD"/>
    <w:rsid w:val="7F853FCE"/>
    <w:rsid w:val="7F871AF4"/>
    <w:rsid w:val="7FA2692E"/>
    <w:rsid w:val="7FA73F44"/>
    <w:rsid w:val="7FD50C43"/>
    <w:rsid w:val="7FF058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4">
    <w:name w:val="Date"/>
    <w:basedOn w:val="1"/>
    <w:next w:val="1"/>
    <w:link w:val="12"/>
    <w:unhideWhenUsed/>
    <w:qFormat/>
    <w:uiPriority w:val="99"/>
    <w:pPr>
      <w:ind w:left="100" w:leftChars="2500"/>
    </w:pPr>
  </w:style>
  <w:style w:type="paragraph" w:styleId="5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Strong"/>
    <w:basedOn w:val="9"/>
    <w:qFormat/>
    <w:uiPriority w:val="22"/>
    <w:rPr>
      <w:b/>
    </w:rPr>
  </w:style>
  <w:style w:type="character" w:styleId="11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2">
    <w:name w:val="日期 Char"/>
    <w:link w:val="4"/>
    <w:semiHidden/>
    <w:qFormat/>
    <w:uiPriority w:val="99"/>
    <w:rPr>
      <w:rFonts w:ascii="Times New Roman" w:hAnsi="Times New Roman"/>
      <w:kern w:val="2"/>
      <w:sz w:val="21"/>
      <w:szCs w:val="24"/>
    </w:rPr>
  </w:style>
  <w:style w:type="paragraph" w:customStyle="1" w:styleId="13">
    <w:name w:val="段"/>
    <w:link w:val="14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14">
    <w:name w:val="段 Char"/>
    <w:link w:val="13"/>
    <w:qFormat/>
    <w:uiPriority w:val="0"/>
    <w:rPr>
      <w:rFonts w:ascii="宋体" w:hAnsi="Times New Roman" w:eastAsia="宋体" w:cs="Times New Roman"/>
      <w:kern w:val="0"/>
      <w:szCs w:val="20"/>
    </w:rPr>
  </w:style>
  <w:style w:type="paragraph" w:customStyle="1" w:styleId="15">
    <w:name w:val="一级条标题"/>
    <w:next w:val="13"/>
    <w:qFormat/>
    <w:uiPriority w:val="0"/>
    <w:p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16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17">
    <w:name w:val="章标题"/>
    <w:next w:val="13"/>
    <w:qFormat/>
    <w:uiPriority w:val="0"/>
    <w:pPr>
      <w:spacing w:before="312" w:beforeLines="100" w:after="312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8">
    <w:name w:val="二级条标题"/>
    <w:basedOn w:val="15"/>
    <w:next w:val="13"/>
    <w:qFormat/>
    <w:uiPriority w:val="0"/>
    <w:pPr>
      <w:spacing w:before="50" w:after="50"/>
      <w:outlineLvl w:val="3"/>
    </w:pPr>
  </w:style>
  <w:style w:type="paragraph" w:customStyle="1" w:styleId="19">
    <w:name w:val="目次、标准名称标题"/>
    <w:basedOn w:val="1"/>
    <w:next w:val="13"/>
    <w:qFormat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20">
    <w:name w:val="前言、引言标题"/>
    <w:next w:val="13"/>
    <w:qFormat/>
    <w:uiPriority w:val="0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21">
    <w:name w:val="正文表标题"/>
    <w:next w:val="13"/>
    <w:qFormat/>
    <w:uiPriority w:val="0"/>
    <w:pPr>
      <w:spacing w:before="156" w:beforeLines="50" w:after="156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styleId="22">
    <w:name w:val="List Paragraph"/>
    <w:basedOn w:val="1"/>
    <w:qFormat/>
    <w:uiPriority w:val="34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5407</Words>
  <Characters>7107</Characters>
  <Lines>19</Lines>
  <Paragraphs>5</Paragraphs>
  <TotalTime>4</TotalTime>
  <ScaleCrop>false</ScaleCrop>
  <LinksUpToDate>false</LinksUpToDate>
  <CharactersWithSpaces>7478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2018-10-31T12:51:00Z</dcterms:created>
  <dc:creator>lenovo05</dc:creator>
  <cp:lastModifiedBy>Mincy^</cp:lastModifiedBy>
  <cp:lastPrinted>2026-06-24T08:43:09Z</cp:lastPrinted>
  <dcterms:modified xsi:type="dcterms:W3CDTF">2026-06-24T08:44:13Z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eyJoZGlkIjoiZWYxMjBhZTcyZWMxODM4YjA3MmQ3ZDE5YTQ4NTBkYzQiLCJ1c2VySWQiOiI0MjA1NTI2NTUifQ==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5B152AAA971F4027A32301AE4FA06067_13</vt:lpwstr>
  </property>
</Properties>
</file>