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282407">
      <w:pPr>
        <w:pStyle w:val="5"/>
        <w:spacing w:line="242" w:lineRule="auto"/>
      </w:pPr>
    </w:p>
    <w:p w14:paraId="254DD304">
      <w:pPr>
        <w:pStyle w:val="5"/>
        <w:spacing w:line="242" w:lineRule="auto"/>
      </w:pPr>
    </w:p>
    <w:p w14:paraId="064E24A3">
      <w:pPr>
        <w:pStyle w:val="5"/>
        <w:spacing w:line="243" w:lineRule="auto"/>
      </w:pPr>
    </w:p>
    <w:p w14:paraId="28954437">
      <w:pPr>
        <w:pStyle w:val="5"/>
        <w:spacing w:line="243" w:lineRule="auto"/>
      </w:pPr>
    </w:p>
    <w:p w14:paraId="3872E74F">
      <w:pPr>
        <w:pStyle w:val="5"/>
        <w:spacing w:line="243" w:lineRule="auto"/>
      </w:pPr>
      <w:r>
        <w:pict>
          <v:shape id="_x0000_s1026" o:spid="_x0000_s1026" style="position:absolute;left:0pt;margin-left:0pt;margin-top:5.25pt;height:0.75pt;width:487.5pt;z-index:251660288;mso-width-relative:page;mso-height-relative:page;" fillcolor="#000000" filled="t" stroked="f" coordsize="9750,15" path="m0,0l9750,0,9750,14,0,14,0,0xe">
            <v:path/>
            <v:fill on="t" focussize="0,0"/>
            <v:stroke on="f"/>
            <v:imagedata o:title=""/>
            <o:lock v:ext="edit"/>
          </v:shape>
        </w:pict>
      </w:r>
    </w:p>
    <w:p w14:paraId="70C7B95D">
      <w:pPr>
        <w:pStyle w:val="5"/>
        <w:spacing w:line="243" w:lineRule="auto"/>
      </w:pPr>
    </w:p>
    <w:p w14:paraId="310018AE">
      <w:pPr>
        <w:pStyle w:val="5"/>
        <w:spacing w:line="243" w:lineRule="auto"/>
      </w:pPr>
    </w:p>
    <w:p w14:paraId="74ECFB70">
      <w:pPr>
        <w:pStyle w:val="5"/>
        <w:spacing w:line="243" w:lineRule="auto"/>
      </w:pPr>
    </w:p>
    <w:p w14:paraId="6C0FEAC4">
      <w:pPr>
        <w:pStyle w:val="5"/>
        <w:spacing w:line="243" w:lineRule="auto"/>
      </w:pPr>
    </w:p>
    <w:p w14:paraId="4AE28C22">
      <w:pPr>
        <w:pStyle w:val="5"/>
        <w:spacing w:line="243" w:lineRule="auto"/>
      </w:pPr>
    </w:p>
    <w:p w14:paraId="3FD59DE0">
      <w:pPr>
        <w:spacing w:before="169" w:line="221" w:lineRule="auto"/>
        <w:ind w:left="1020"/>
        <w:rPr>
          <w:rFonts w:ascii="黑体" w:hAnsi="黑体" w:eastAsia="黑体" w:cs="黑体"/>
          <w:sz w:val="52"/>
          <w:szCs w:val="52"/>
        </w:rPr>
      </w:pPr>
      <w:r>
        <w:rPr>
          <w:rFonts w:ascii="黑体" w:hAnsi="黑体" w:eastAsia="黑体" w:cs="黑体"/>
          <w:b/>
          <w:bCs/>
          <w:spacing w:val="-8"/>
          <w:sz w:val="52"/>
          <w:szCs w:val="52"/>
        </w:rPr>
        <w:t>中国食品土畜进出口商会团体标准</w:t>
      </w:r>
    </w:p>
    <w:p w14:paraId="450C038A">
      <w:pPr>
        <w:pStyle w:val="5"/>
        <w:spacing w:line="478" w:lineRule="auto"/>
      </w:pPr>
    </w:p>
    <w:p w14:paraId="5342D9AC">
      <w:pPr>
        <w:spacing w:before="122" w:line="167" w:lineRule="auto"/>
        <w:ind w:left="6442"/>
        <w:rPr>
          <w:rFonts w:hint="default" w:ascii="Arial Unicode MS" w:hAnsi="Arial Unicode MS" w:eastAsia="Arial Unicode MS" w:cs="Arial Unicode MS"/>
          <w:sz w:val="28"/>
          <w:szCs w:val="28"/>
          <w:lang w:val="en-US" w:eastAsia="zh-CN"/>
        </w:rPr>
      </w:pPr>
      <w:r>
        <w:rPr>
          <w:rFonts w:ascii="Arial Unicode MS" w:hAnsi="Arial Unicode MS" w:eastAsia="Arial Unicode MS" w:cs="Arial Unicode MS"/>
          <w:b/>
          <w:bCs/>
          <w:spacing w:val="-3"/>
          <w:sz w:val="28"/>
          <w:szCs w:val="28"/>
        </w:rPr>
        <w:t>T/CFNA</w:t>
      </w:r>
      <w:r>
        <w:rPr>
          <w:rFonts w:ascii="Arial Unicode MS" w:hAnsi="Arial Unicode MS" w:eastAsia="Arial Unicode MS" w:cs="Arial Unicode MS"/>
          <w:spacing w:val="-3"/>
          <w:sz w:val="28"/>
          <w:szCs w:val="28"/>
        </w:rPr>
        <w:t xml:space="preserve">   </w:t>
      </w:r>
      <w:r>
        <w:rPr>
          <w:rFonts w:hint="eastAsia" w:ascii="Arial Unicode MS" w:hAnsi="Arial Unicode MS" w:eastAsia="Arial Unicode MS" w:cs="Arial Unicode MS"/>
          <w:b/>
          <w:bCs/>
          <w:spacing w:val="-3"/>
          <w:sz w:val="28"/>
          <w:szCs w:val="28"/>
          <w:lang w:val="en-US" w:eastAsia="zh-CN"/>
        </w:rPr>
        <w:t>1683-2025</w:t>
      </w:r>
    </w:p>
    <w:p w14:paraId="17C807DB">
      <w:pPr>
        <w:pStyle w:val="5"/>
        <w:spacing w:line="258" w:lineRule="auto"/>
      </w:pPr>
    </w:p>
    <w:p w14:paraId="408A217C">
      <w:pPr>
        <w:pStyle w:val="5"/>
        <w:spacing w:line="258" w:lineRule="auto"/>
      </w:pPr>
      <w:r>
        <w:pict>
          <v:shape id="_x0000_s1027" o:spid="_x0000_s1027" style="position:absolute;left:0pt;margin-left:0.2pt;margin-top:1.2pt;height:0.5pt;width:487.45pt;z-index:251661312;mso-width-relative:page;mso-height-relative:page;" filled="f" stroked="t" coordsize="9749,10" path="m0,4l9748,4e">
            <v:fill on="f" focussize="0,0"/>
            <v:stroke weight="0.48pt" color="#000000" miterlimit="2" joinstyle="bevel"/>
            <v:imagedata o:title=""/>
            <o:lock v:ext="edit"/>
          </v:shape>
        </w:pict>
      </w:r>
    </w:p>
    <w:p w14:paraId="28754971">
      <w:pPr>
        <w:pStyle w:val="5"/>
        <w:spacing w:line="259" w:lineRule="auto"/>
      </w:pPr>
    </w:p>
    <w:p w14:paraId="07D58044">
      <w:pPr>
        <w:pStyle w:val="5"/>
        <w:spacing w:line="259" w:lineRule="auto"/>
      </w:pPr>
    </w:p>
    <w:p w14:paraId="1FEFC65C">
      <w:pPr>
        <w:pStyle w:val="5"/>
        <w:spacing w:line="259" w:lineRule="auto"/>
      </w:pPr>
    </w:p>
    <w:p w14:paraId="65A43CE3">
      <w:pPr>
        <w:pStyle w:val="5"/>
        <w:spacing w:line="259" w:lineRule="auto"/>
      </w:pPr>
    </w:p>
    <w:p w14:paraId="3717AD40">
      <w:pPr>
        <w:pStyle w:val="5"/>
        <w:spacing w:line="259" w:lineRule="auto"/>
      </w:pPr>
    </w:p>
    <w:p w14:paraId="3C519688">
      <w:pPr>
        <w:pStyle w:val="5"/>
        <w:spacing w:line="259" w:lineRule="auto"/>
      </w:pPr>
    </w:p>
    <w:p w14:paraId="50C74304">
      <w:pPr>
        <w:pStyle w:val="5"/>
        <w:spacing w:line="259" w:lineRule="auto"/>
      </w:pPr>
    </w:p>
    <w:p w14:paraId="1EBF7BA0">
      <w:pPr>
        <w:pStyle w:val="5"/>
        <w:spacing w:line="259" w:lineRule="auto"/>
      </w:pPr>
    </w:p>
    <w:p w14:paraId="6F62F4D4">
      <w:pPr>
        <w:pStyle w:val="5"/>
        <w:spacing w:line="259" w:lineRule="auto"/>
      </w:pPr>
    </w:p>
    <w:p w14:paraId="04D8160B">
      <w:pPr>
        <w:pStyle w:val="5"/>
        <w:spacing w:line="259" w:lineRule="auto"/>
      </w:pPr>
    </w:p>
    <w:p w14:paraId="6C128A61">
      <w:pPr>
        <w:spacing w:before="140" w:line="225" w:lineRule="auto"/>
        <w:ind w:left="2253"/>
        <w:rPr>
          <w:rFonts w:hint="eastAsia" w:ascii="黑体" w:hAnsi="黑体" w:eastAsia="黑体" w:cs="黑体"/>
          <w:sz w:val="43"/>
          <w:szCs w:val="43"/>
          <w:lang w:eastAsia="zh-CN"/>
        </w:rPr>
      </w:pPr>
      <w:r>
        <w:rPr>
          <w:rFonts w:hint="eastAsia" w:ascii="黑体" w:hAnsi="黑体" w:eastAsia="黑体" w:cs="黑体"/>
          <w:b/>
          <w:bCs/>
          <w:spacing w:val="4"/>
          <w:sz w:val="43"/>
          <w:szCs w:val="43"/>
        </w:rPr>
        <w:t>黑水虻虫油生产技术</w:t>
      </w:r>
      <w:r>
        <w:rPr>
          <w:rFonts w:hint="eastAsia" w:ascii="黑体" w:hAnsi="黑体" w:eastAsia="黑体" w:cs="黑体"/>
          <w:b/>
          <w:bCs/>
          <w:spacing w:val="4"/>
          <w:sz w:val="43"/>
          <w:szCs w:val="43"/>
          <w:lang w:val="en-US" w:eastAsia="zh-CN"/>
        </w:rPr>
        <w:t>规程</w:t>
      </w:r>
    </w:p>
    <w:p w14:paraId="01F03D2D">
      <w:pPr>
        <w:pStyle w:val="5"/>
        <w:spacing w:line="270" w:lineRule="auto"/>
      </w:pPr>
    </w:p>
    <w:p w14:paraId="71916A16">
      <w:pPr>
        <w:spacing w:before="283" w:line="222" w:lineRule="auto"/>
        <w:ind w:left="220" w:leftChars="0" w:firstLine="0" w:firstLineChars="0"/>
        <w:jc w:val="center"/>
        <w:rPr>
          <w:rFonts w:hint="eastAsia" w:ascii="Arial Unicode MS" w:hAnsi="Arial Unicode MS" w:eastAsia="Arial Unicode MS" w:cs="Arial Unicode MS"/>
          <w:b/>
          <w:bCs/>
          <w:sz w:val="43"/>
          <w:szCs w:val="43"/>
        </w:rPr>
      </w:pPr>
      <w:r>
        <w:rPr>
          <w:rFonts w:hint="eastAsia" w:ascii="Arial Unicode MS" w:hAnsi="Arial Unicode MS" w:eastAsia="Arial Unicode MS" w:cs="Arial Unicode MS"/>
          <w:b/>
          <w:bCs/>
          <w:sz w:val="43"/>
          <w:szCs w:val="43"/>
        </w:rPr>
        <w:t>Technical regulations  for production of black soldier fly (</w:t>
      </w:r>
      <w:r>
        <w:rPr>
          <w:rFonts w:hint="eastAsia" w:ascii="Arial Unicode MS" w:hAnsi="Arial Unicode MS" w:eastAsia="Arial Unicode MS" w:cs="Arial Unicode MS"/>
          <w:b/>
          <w:bCs/>
          <w:i/>
          <w:iCs/>
          <w:sz w:val="43"/>
          <w:szCs w:val="43"/>
        </w:rPr>
        <w:t>Hermetia illucens</w:t>
      </w:r>
      <w:r>
        <w:rPr>
          <w:rFonts w:hint="eastAsia" w:ascii="Arial Unicode MS" w:hAnsi="Arial Unicode MS" w:eastAsia="Arial Unicode MS" w:cs="Arial Unicode MS"/>
          <w:b/>
          <w:bCs/>
          <w:sz w:val="43"/>
          <w:szCs w:val="43"/>
        </w:rPr>
        <w:t>) larvae oil</w:t>
      </w:r>
    </w:p>
    <w:p w14:paraId="7DE1820C">
      <w:pPr>
        <w:spacing w:before="283" w:line="222" w:lineRule="auto"/>
        <w:ind w:left="220" w:leftChars="0" w:firstLine="0" w:firstLineChars="0"/>
        <w:jc w:val="center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b/>
          <w:bCs/>
          <w:spacing w:val="-7"/>
          <w:sz w:val="28"/>
          <w:szCs w:val="28"/>
        </w:rPr>
        <w:t>（</w:t>
      </w:r>
      <w:r>
        <w:rPr>
          <w:rFonts w:hint="eastAsia" w:ascii="黑体" w:hAnsi="黑体" w:eastAsia="黑体" w:cs="黑体"/>
          <w:b/>
          <w:bCs/>
          <w:spacing w:val="-7"/>
          <w:sz w:val="28"/>
          <w:szCs w:val="28"/>
          <w:lang w:val="en-US" w:eastAsia="zh-CN"/>
        </w:rPr>
        <w:t>征求意见</w:t>
      </w:r>
      <w:r>
        <w:rPr>
          <w:rFonts w:ascii="黑体" w:hAnsi="黑体" w:eastAsia="黑体" w:cs="黑体"/>
          <w:b/>
          <w:bCs/>
          <w:spacing w:val="-7"/>
          <w:sz w:val="28"/>
          <w:szCs w:val="28"/>
        </w:rPr>
        <w:t>稿）</w:t>
      </w:r>
    </w:p>
    <w:p w14:paraId="5002F51E">
      <w:pPr>
        <w:pStyle w:val="5"/>
        <w:spacing w:line="248" w:lineRule="auto"/>
      </w:pPr>
    </w:p>
    <w:p w14:paraId="6D936D38">
      <w:pPr>
        <w:pStyle w:val="5"/>
        <w:spacing w:line="248" w:lineRule="auto"/>
      </w:pPr>
    </w:p>
    <w:p w14:paraId="46E08A30">
      <w:pPr>
        <w:pStyle w:val="5"/>
        <w:spacing w:line="248" w:lineRule="auto"/>
      </w:pPr>
    </w:p>
    <w:p w14:paraId="76F2BE20">
      <w:pPr>
        <w:pStyle w:val="5"/>
        <w:spacing w:line="248" w:lineRule="auto"/>
      </w:pPr>
    </w:p>
    <w:p w14:paraId="318AAE72">
      <w:pPr>
        <w:pStyle w:val="5"/>
        <w:spacing w:line="249" w:lineRule="auto"/>
      </w:pPr>
    </w:p>
    <w:p w14:paraId="330A35AF">
      <w:pPr>
        <w:pStyle w:val="5"/>
        <w:spacing w:line="249" w:lineRule="auto"/>
      </w:pPr>
    </w:p>
    <w:p w14:paraId="463A3ED2">
      <w:pPr>
        <w:pStyle w:val="5"/>
        <w:spacing w:line="249" w:lineRule="auto"/>
      </w:pPr>
    </w:p>
    <w:p w14:paraId="1756AD29">
      <w:pPr>
        <w:pStyle w:val="5"/>
        <w:spacing w:line="249" w:lineRule="auto"/>
      </w:pPr>
    </w:p>
    <w:p w14:paraId="7B69AB90">
      <w:pPr>
        <w:pStyle w:val="5"/>
        <w:spacing w:line="249" w:lineRule="auto"/>
      </w:pPr>
    </w:p>
    <w:p w14:paraId="67D250B4">
      <w:pPr>
        <w:pStyle w:val="5"/>
        <w:spacing w:line="249" w:lineRule="auto"/>
      </w:pPr>
    </w:p>
    <w:p w14:paraId="71CABD59">
      <w:pPr>
        <w:pStyle w:val="5"/>
        <w:spacing w:line="249" w:lineRule="auto"/>
      </w:pPr>
    </w:p>
    <w:p w14:paraId="4C98E942">
      <w:pPr>
        <w:pStyle w:val="5"/>
        <w:spacing w:line="249" w:lineRule="auto"/>
      </w:pPr>
    </w:p>
    <w:p w14:paraId="7BFC829E">
      <w:pPr>
        <w:pStyle w:val="5"/>
        <w:spacing w:line="249" w:lineRule="auto"/>
      </w:pPr>
    </w:p>
    <w:p w14:paraId="6731F2AB">
      <w:pPr>
        <w:spacing w:before="91" w:line="222" w:lineRule="auto"/>
        <w:ind w:left="882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202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5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**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发布</w:t>
      </w:r>
      <w:r>
        <w:rPr>
          <w:rFonts w:ascii="黑体" w:hAnsi="黑体" w:eastAsia="黑体" w:cs="黑体"/>
          <w:spacing w:val="-1"/>
          <w:sz w:val="28"/>
          <w:szCs w:val="28"/>
        </w:rPr>
        <w:t xml:space="preserve">                        </w:t>
      </w:r>
      <w:r>
        <w:rPr>
          <w:rFonts w:ascii="黑体" w:hAnsi="黑体" w:eastAsia="黑体" w:cs="黑体"/>
          <w:spacing w:val="-2"/>
          <w:sz w:val="28"/>
          <w:szCs w:val="28"/>
        </w:rPr>
        <w:t xml:space="preserve">   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202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6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spacing w:val="-53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实施</w:t>
      </w:r>
    </w:p>
    <w:p w14:paraId="6B0285C3">
      <w:pPr>
        <w:pStyle w:val="5"/>
        <w:spacing w:line="271" w:lineRule="auto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106680</wp:posOffset>
            </wp:positionH>
            <wp:positionV relativeFrom="paragraph">
              <wp:posOffset>106045</wp:posOffset>
            </wp:positionV>
            <wp:extent cx="6120130" cy="9525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129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756D86">
      <w:pPr>
        <w:spacing w:before="101" w:line="226" w:lineRule="auto"/>
        <w:ind w:left="2030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b/>
          <w:bCs/>
          <w:spacing w:val="59"/>
          <w:w w:val="111"/>
          <w:sz w:val="31"/>
          <w:szCs w:val="31"/>
        </w:rPr>
        <w:t>中国食品土畜进出口商会</w:t>
      </w:r>
      <w:r>
        <w:rPr>
          <w:rFonts w:ascii="黑体" w:hAnsi="黑体" w:eastAsia="黑体" w:cs="黑体"/>
          <w:spacing w:val="59"/>
          <w:w w:val="111"/>
          <w:sz w:val="31"/>
          <w:szCs w:val="31"/>
        </w:rPr>
        <w:t xml:space="preserve">  </w:t>
      </w:r>
      <w:r>
        <w:rPr>
          <w:rFonts w:ascii="黑体" w:hAnsi="黑体" w:eastAsia="黑体" w:cs="黑体"/>
          <w:b/>
          <w:bCs/>
          <w:spacing w:val="59"/>
          <w:w w:val="111"/>
          <w:sz w:val="24"/>
          <w:szCs w:val="24"/>
        </w:rPr>
        <w:t>发布</w:t>
      </w:r>
    </w:p>
    <w:p w14:paraId="5A81228F">
      <w:pPr>
        <w:spacing w:line="226" w:lineRule="auto"/>
        <w:rPr>
          <w:rFonts w:ascii="黑体" w:hAnsi="黑体" w:eastAsia="黑体" w:cs="黑体"/>
          <w:sz w:val="24"/>
          <w:szCs w:val="24"/>
        </w:rPr>
        <w:sectPr>
          <w:headerReference r:id="rId5" w:type="default"/>
          <w:pgSz w:w="11910" w:h="16840"/>
          <w:pgMar w:top="400" w:right="1024" w:bottom="0" w:left="1080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 w14:paraId="31EDC586">
      <w:pPr>
        <w:pStyle w:val="5"/>
        <w:spacing w:line="349" w:lineRule="auto"/>
      </w:pPr>
    </w:p>
    <w:p w14:paraId="5B62F374">
      <w:pPr>
        <w:pStyle w:val="5"/>
        <w:spacing w:line="350" w:lineRule="auto"/>
      </w:pPr>
    </w:p>
    <w:p w14:paraId="6D90D6AB">
      <w:pPr>
        <w:spacing w:before="122" w:line="167" w:lineRule="auto"/>
        <w:ind w:left="6442"/>
        <w:rPr>
          <w:rFonts w:hint="default" w:ascii="Times New Roman" w:hAnsi="Times New Roman" w:eastAsia="Arial Unicode MS" w:cs="Times New Roman"/>
          <w:b w:val="0"/>
          <w:bCs w:val="0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pacing w:val="-1"/>
          <w:sz w:val="24"/>
          <w:szCs w:val="24"/>
        </w:rPr>
        <w:t xml:space="preserve">T/CFNA   </w:t>
      </w:r>
      <w:r>
        <w:rPr>
          <w:rFonts w:hint="default" w:ascii="Times New Roman" w:hAnsi="Times New Roman" w:eastAsia="Arial Unicode MS" w:cs="Times New Roman"/>
          <w:b w:val="0"/>
          <w:bCs w:val="0"/>
          <w:spacing w:val="-3"/>
          <w:sz w:val="24"/>
          <w:szCs w:val="24"/>
          <w:lang w:val="en-US" w:eastAsia="zh-CN"/>
        </w:rPr>
        <w:t>16</w:t>
      </w:r>
      <w:r>
        <w:rPr>
          <w:rFonts w:hint="eastAsia" w:ascii="Times New Roman" w:hAnsi="Times New Roman" w:eastAsia="Arial Unicode MS" w:cs="Times New Roman"/>
          <w:b w:val="0"/>
          <w:bCs w:val="0"/>
          <w:spacing w:val="-3"/>
          <w:sz w:val="24"/>
          <w:szCs w:val="24"/>
          <w:lang w:val="en-US" w:eastAsia="zh-CN"/>
        </w:rPr>
        <w:t>83</w:t>
      </w:r>
      <w:r>
        <w:rPr>
          <w:rFonts w:hint="default" w:ascii="Times New Roman" w:hAnsi="Times New Roman" w:eastAsia="Arial Unicode MS" w:cs="Times New Roman"/>
          <w:b w:val="0"/>
          <w:bCs w:val="0"/>
          <w:spacing w:val="-3"/>
          <w:sz w:val="24"/>
          <w:szCs w:val="24"/>
          <w:lang w:val="en-US" w:eastAsia="zh-CN"/>
        </w:rPr>
        <w:t>-2025</w:t>
      </w:r>
    </w:p>
    <w:p w14:paraId="3052F936">
      <w:pPr>
        <w:spacing w:before="78" w:line="225" w:lineRule="auto"/>
        <w:ind w:left="6746"/>
        <w:rPr>
          <w:rFonts w:ascii="宋体" w:hAnsi="宋体" w:eastAsia="宋体" w:cs="宋体"/>
          <w:sz w:val="24"/>
          <w:szCs w:val="24"/>
        </w:rPr>
      </w:pPr>
    </w:p>
    <w:p w14:paraId="08E604F8">
      <w:pPr>
        <w:pStyle w:val="5"/>
        <w:spacing w:line="252" w:lineRule="auto"/>
      </w:pPr>
    </w:p>
    <w:p w14:paraId="0B28E3CA">
      <w:pPr>
        <w:pStyle w:val="5"/>
        <w:spacing w:line="252" w:lineRule="auto"/>
      </w:pPr>
    </w:p>
    <w:p w14:paraId="78D4C74B">
      <w:pPr>
        <w:pStyle w:val="5"/>
        <w:spacing w:line="253" w:lineRule="auto"/>
      </w:pPr>
    </w:p>
    <w:p w14:paraId="6779D851">
      <w:pPr>
        <w:pStyle w:val="5"/>
        <w:spacing w:line="253" w:lineRule="auto"/>
      </w:pPr>
    </w:p>
    <w:sdt>
      <w:sdtPr>
        <w:rPr>
          <w:rFonts w:ascii="宋体" w:hAnsi="宋体" w:eastAsia="宋体" w:cs="宋体"/>
          <w:sz w:val="31"/>
          <w:szCs w:val="31"/>
        </w:rPr>
        <w:id w:val="147474001"/>
        <w:docPartObj>
          <w:docPartGallery w:val="Table of Contents"/>
          <w:docPartUnique/>
        </w:docPartObj>
      </w:sdtPr>
      <w:sdtEndPr>
        <w:rPr>
          <w:rFonts w:ascii="宋体" w:hAnsi="宋体" w:eastAsia="宋体" w:cs="宋体"/>
          <w:sz w:val="24"/>
          <w:szCs w:val="24"/>
        </w:rPr>
      </w:sdtEndPr>
      <w:sdtContent>
        <w:p w14:paraId="3DC01145">
          <w:pPr>
            <w:spacing w:before="101" w:line="228" w:lineRule="auto"/>
            <w:ind w:left="4180"/>
            <w:rPr>
              <w:rFonts w:ascii="宋体" w:hAnsi="宋体" w:eastAsia="宋体" w:cs="宋体"/>
              <w:sz w:val="31"/>
              <w:szCs w:val="31"/>
            </w:rPr>
          </w:pPr>
          <w:bookmarkStart w:id="0" w:name="bookmark1"/>
          <w:bookmarkEnd w:id="0"/>
          <w:r>
            <w:rPr>
              <w:rFonts w:ascii="宋体" w:hAnsi="宋体" w:eastAsia="宋体" w:cs="宋体"/>
              <w:spacing w:val="-28"/>
              <w:sz w:val="31"/>
              <w:szCs w:val="31"/>
            </w:rPr>
            <w:t>目录</w:t>
          </w:r>
        </w:p>
        <w:p w14:paraId="05EDEA68">
          <w:pPr>
            <w:pStyle w:val="5"/>
            <w:spacing w:line="345" w:lineRule="auto"/>
          </w:pPr>
        </w:p>
        <w:p w14:paraId="68C9B132">
          <w:pPr>
            <w:pStyle w:val="5"/>
            <w:spacing w:line="345" w:lineRule="auto"/>
          </w:pPr>
        </w:p>
        <w:p w14:paraId="091BFE72">
          <w:pPr>
            <w:tabs>
              <w:tab w:val="right" w:leader="dot" w:pos="8820"/>
            </w:tabs>
            <w:spacing w:before="78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7"/>
              <w:sz w:val="24"/>
              <w:szCs w:val="24"/>
            </w:rPr>
            <w:t>前言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1"/>
              <w:sz w:val="24"/>
              <w:szCs w:val="24"/>
            </w:rPr>
            <w:t>II</w:t>
          </w:r>
          <w:r>
            <w:rPr>
              <w:rFonts w:ascii="宋体" w:hAnsi="宋体" w:eastAsia="宋体" w:cs="宋体"/>
              <w:spacing w:val="1"/>
              <w:sz w:val="24"/>
              <w:szCs w:val="24"/>
            </w:rPr>
            <w:fldChar w:fldCharType="end"/>
          </w:r>
        </w:p>
        <w:p w14:paraId="44B8556E">
          <w:pPr>
            <w:tabs>
              <w:tab w:val="right" w:leader="dot" w:pos="8820"/>
            </w:tabs>
            <w:spacing w:before="223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1"/>
              <w:sz w:val="24"/>
              <w:szCs w:val="24"/>
            </w:rPr>
            <w:t>1.</w:t>
          </w:r>
          <w:r>
            <w:rPr>
              <w:rFonts w:ascii="宋体" w:hAnsi="宋体" w:eastAsia="宋体" w:cs="宋体"/>
              <w:spacing w:val="8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11"/>
              <w:sz w:val="24"/>
              <w:szCs w:val="24"/>
            </w:rPr>
            <w:t>范围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3A667074">
          <w:pPr>
            <w:tabs>
              <w:tab w:val="right" w:leader="dot" w:pos="8820"/>
            </w:tabs>
            <w:spacing w:before="226" w:line="185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24"/>
              <w:szCs w:val="24"/>
            </w:rPr>
            <w:t>2.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3"/>
              <w:sz w:val="24"/>
              <w:szCs w:val="24"/>
            </w:rPr>
            <w:t>规范性引用文件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3542C224">
          <w:pPr>
            <w:tabs>
              <w:tab w:val="right" w:leader="dot" w:pos="8820"/>
            </w:tabs>
            <w:spacing w:before="225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3.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术语和定义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0590666C">
          <w:p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24"/>
              <w:szCs w:val="24"/>
            </w:rPr>
            <w:t>4.</w:t>
          </w:r>
          <w:r>
            <w:rPr>
              <w:rFonts w:ascii="宋体" w:hAnsi="宋体" w:eastAsia="宋体" w:cs="宋体"/>
              <w:spacing w:val="6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2"/>
              <w:sz w:val="24"/>
              <w:szCs w:val="24"/>
            </w:rPr>
            <w:t>一般要求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1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2827CD42">
          <w:pPr>
            <w:tabs>
              <w:tab w:val="right" w:leader="dot" w:pos="8820"/>
            </w:tabs>
            <w:spacing w:before="224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5.</w:t>
          </w:r>
          <w:r>
            <w:rPr>
              <w:rFonts w:ascii="宋体" w:hAnsi="宋体" w:eastAsia="宋体" w:cs="宋体"/>
              <w:spacing w:val="6"/>
              <w:sz w:val="24"/>
              <w:szCs w:val="24"/>
            </w:rPr>
            <w:t xml:space="preserve">   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</w:rPr>
            <w:t>检验方法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t>2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6C08E011">
          <w:p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6.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</w:rPr>
            <w:t>包装、标签、运输和贮存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t>2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667F9274">
          <w:pPr>
            <w:tabs>
              <w:tab w:val="right" w:leader="dot" w:pos="9354"/>
            </w:tabs>
            <w:spacing w:before="226" w:line="186" w:lineRule="auto"/>
            <w:ind w:left="1"/>
            <w:rPr>
              <w:rFonts w:ascii="宋体" w:hAnsi="宋体" w:eastAsia="宋体" w:cs="宋体"/>
              <w:sz w:val="24"/>
              <w:szCs w:val="24"/>
            </w:rPr>
          </w:pPr>
        </w:p>
        <w:p w14:paraId="3B1B0819">
          <w:pPr>
            <w:tabs>
              <w:tab w:val="right" w:leader="dot" w:pos="9354"/>
            </w:tabs>
            <w:spacing w:before="224" w:line="186" w:lineRule="auto"/>
            <w:ind w:left="19"/>
            <w:rPr>
              <w:rFonts w:ascii="宋体" w:hAnsi="宋体" w:eastAsia="宋体" w:cs="宋体"/>
              <w:sz w:val="24"/>
              <w:szCs w:val="24"/>
            </w:rPr>
          </w:pPr>
        </w:p>
        <w:p w14:paraId="776AC16F">
          <w:pPr>
            <w:tabs>
              <w:tab w:val="right" w:leader="dot" w:pos="9354"/>
            </w:tabs>
            <w:spacing w:before="224" w:line="220" w:lineRule="auto"/>
            <w:rPr>
              <w:rFonts w:ascii="宋体" w:hAnsi="宋体" w:eastAsia="宋体" w:cs="宋体"/>
              <w:sz w:val="24"/>
              <w:szCs w:val="24"/>
            </w:rPr>
          </w:pPr>
        </w:p>
      </w:sdtContent>
    </w:sdt>
    <w:p w14:paraId="72FC3DD9">
      <w:pPr>
        <w:spacing w:line="220" w:lineRule="auto"/>
        <w:rPr>
          <w:rFonts w:ascii="宋体" w:hAnsi="宋体" w:eastAsia="宋体" w:cs="宋体"/>
          <w:sz w:val="24"/>
          <w:szCs w:val="24"/>
        </w:rPr>
        <w:sectPr>
          <w:headerReference r:id="rId6" w:type="default"/>
          <w:footerReference r:id="rId7" w:type="default"/>
          <w:pgSz w:w="11910" w:h="16840"/>
          <w:pgMar w:top="400" w:right="1028" w:bottom="1340" w:left="1527" w:header="0" w:footer="1105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 w14:paraId="304EE6E9">
      <w:pPr>
        <w:pStyle w:val="5"/>
        <w:spacing w:line="294" w:lineRule="auto"/>
      </w:pPr>
    </w:p>
    <w:p w14:paraId="3A7BD879">
      <w:pPr>
        <w:pStyle w:val="5"/>
        <w:spacing w:line="294" w:lineRule="auto"/>
      </w:pPr>
    </w:p>
    <w:p w14:paraId="318111F0">
      <w:pPr>
        <w:spacing w:before="100" w:line="227" w:lineRule="auto"/>
        <w:ind w:left="4602"/>
        <w:outlineLvl w:val="0"/>
        <w:rPr>
          <w:rFonts w:hint="default" w:ascii="Times New Roman" w:hAnsi="Times New Roman" w:eastAsia="宋体" w:cs="Times New Roman"/>
          <w:sz w:val="31"/>
          <w:szCs w:val="31"/>
        </w:rPr>
      </w:pPr>
      <w:bookmarkStart w:id="1" w:name="bookmark2"/>
      <w:bookmarkEnd w:id="1"/>
      <w:r>
        <w:rPr>
          <w:rFonts w:hint="default" w:ascii="Times New Roman" w:hAnsi="Times New Roman" w:eastAsia="宋体" w:cs="Times New Roman"/>
          <w:b/>
          <w:bCs/>
          <w:spacing w:val="-2"/>
          <w:sz w:val="31"/>
          <w:szCs w:val="31"/>
        </w:rPr>
        <w:t>前言</w:t>
      </w:r>
    </w:p>
    <w:p w14:paraId="6A8F1515">
      <w:pPr>
        <w:pStyle w:val="5"/>
        <w:spacing w:line="288" w:lineRule="auto"/>
        <w:rPr>
          <w:rFonts w:hint="default" w:ascii="Times New Roman" w:hAnsi="Times New Roman" w:cs="Times New Roman"/>
        </w:rPr>
      </w:pPr>
    </w:p>
    <w:p w14:paraId="5CB3A1E0">
      <w:pPr>
        <w:pStyle w:val="5"/>
        <w:spacing w:line="288" w:lineRule="auto"/>
        <w:rPr>
          <w:rFonts w:hint="default" w:ascii="Times New Roman" w:hAnsi="Times New Roman" w:cs="Times New Roman"/>
        </w:rPr>
      </w:pPr>
    </w:p>
    <w:p w14:paraId="3C1017ED">
      <w:pPr>
        <w:pStyle w:val="5"/>
        <w:spacing w:line="289" w:lineRule="auto"/>
        <w:rPr>
          <w:rFonts w:hint="default" w:ascii="Times New Roman" w:hAnsi="Times New Roman" w:cs="Times New Roman"/>
        </w:rPr>
      </w:pPr>
    </w:p>
    <w:p w14:paraId="7E5CA271">
      <w:pPr>
        <w:spacing w:before="78" w:line="35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29"/>
          <w:sz w:val="24"/>
          <w:szCs w:val="24"/>
          <w:lang w:val="en-US" w:eastAsia="zh-CN"/>
        </w:rPr>
        <w:t>根据</w:t>
      </w:r>
      <w:r>
        <w:rPr>
          <w:rFonts w:hint="default" w:ascii="Times New Roman" w:hAnsi="Times New Roman" w:eastAsia="Calibri" w:cs="Times New Roman"/>
          <w:spacing w:val="-3"/>
          <w:sz w:val="24"/>
          <w:szCs w:val="24"/>
        </w:rPr>
        <w:t>GB/T</w:t>
      </w:r>
      <w:r>
        <w:rPr>
          <w:rFonts w:hint="default" w:ascii="Times New Roman" w:hAnsi="Times New Roman" w:eastAsia="Calibri" w:cs="Times New Roman"/>
          <w:spacing w:val="22"/>
          <w:sz w:val="24"/>
          <w:szCs w:val="24"/>
        </w:rPr>
        <w:t xml:space="preserve"> </w:t>
      </w:r>
      <w:r>
        <w:rPr>
          <w:rFonts w:hint="default" w:ascii="Times New Roman" w:hAnsi="Times New Roman" w:eastAsia="Calibri" w:cs="Times New Roman"/>
          <w:spacing w:val="-3"/>
          <w:sz w:val="24"/>
          <w:szCs w:val="24"/>
        </w:rPr>
        <w:t>1.1-2020</w:t>
      </w:r>
      <w:r>
        <w:rPr>
          <w:rFonts w:hint="default" w:ascii="Times New Roman" w:hAnsi="Times New Roman" w:eastAsia="Calibri" w:cs="Times New Roman"/>
          <w:sz w:val="24"/>
          <w:szCs w:val="24"/>
        </w:rPr>
        <w:t xml:space="preserve"> </w:t>
      </w:r>
      <w:r>
        <w:rPr>
          <w:rFonts w:hint="default" w:ascii="Times New Roman" w:hAnsi="Times New Roman" w:eastAsia="宋体" w:cs="Times New Roman"/>
          <w:spacing w:val="-3"/>
          <w:sz w:val="24"/>
          <w:szCs w:val="24"/>
        </w:rPr>
        <w:t>《标准化工作导则</w:t>
      </w:r>
      <w:r>
        <w:rPr>
          <w:rFonts w:hint="default" w:ascii="Times New Roman" w:hAnsi="Times New Roman" w:eastAsia="宋体" w:cs="Times New Roman"/>
          <w:spacing w:val="-34"/>
          <w:sz w:val="24"/>
          <w:szCs w:val="24"/>
        </w:rPr>
        <w:t xml:space="preserve"> </w:t>
      </w:r>
      <w:r>
        <w:rPr>
          <w:rFonts w:hint="default" w:ascii="Times New Roman" w:hAnsi="Times New Roman" w:eastAsia="宋体" w:cs="Times New Roman"/>
          <w:spacing w:val="-3"/>
          <w:sz w:val="24"/>
          <w:szCs w:val="24"/>
        </w:rPr>
        <w:t>第</w:t>
      </w:r>
      <w:r>
        <w:rPr>
          <w:rFonts w:hint="default" w:ascii="Times New Roman" w:hAnsi="Times New Roman" w:eastAsia="宋体" w:cs="Times New Roman"/>
          <w:spacing w:val="-39"/>
          <w:sz w:val="24"/>
          <w:szCs w:val="24"/>
        </w:rPr>
        <w:t xml:space="preserve"> </w:t>
      </w:r>
      <w:r>
        <w:rPr>
          <w:rFonts w:hint="default" w:ascii="Times New Roman" w:hAnsi="Times New Roman" w:eastAsia="Calibri" w:cs="Times New Roman"/>
          <w:spacing w:val="-3"/>
          <w:sz w:val="24"/>
          <w:szCs w:val="24"/>
        </w:rPr>
        <w:t>1</w:t>
      </w:r>
      <w:r>
        <w:rPr>
          <w:rFonts w:hint="default" w:ascii="Times New Roman" w:hAnsi="Times New Roman" w:eastAsia="Calibri" w:cs="Times New Roman"/>
          <w:spacing w:val="21"/>
          <w:sz w:val="24"/>
          <w:szCs w:val="24"/>
        </w:rPr>
        <w:t xml:space="preserve"> </w:t>
      </w:r>
      <w:r>
        <w:rPr>
          <w:rFonts w:hint="default" w:ascii="Times New Roman" w:hAnsi="Times New Roman" w:eastAsia="宋体" w:cs="Times New Roman"/>
          <w:spacing w:val="-3"/>
          <w:sz w:val="24"/>
          <w:szCs w:val="24"/>
        </w:rPr>
        <w:t>部分：标准化文件的结构和起草规则》给出的规则</w:t>
      </w:r>
      <w:r>
        <w:rPr>
          <w:rFonts w:hint="default" w:ascii="Times New Roman" w:hAnsi="Times New Roman" w:eastAsia="宋体" w:cs="Times New Roman"/>
          <w:spacing w:val="-4"/>
          <w:sz w:val="24"/>
          <w:szCs w:val="24"/>
        </w:rPr>
        <w:t>起草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。</w:t>
      </w:r>
    </w:p>
    <w:p w14:paraId="719047A1">
      <w:pPr>
        <w:spacing w:line="219" w:lineRule="auto"/>
        <w:ind w:left="420" w:leftChars="200" w:right="638" w:rightChars="304" w:firstLine="561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由中国食品土畜进出口商会提出，委托商会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昆虫蛋白产业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分会制定。</w:t>
      </w:r>
    </w:p>
    <w:p w14:paraId="347711E7">
      <w:pPr>
        <w:spacing w:before="183" w:line="35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  <w:t>主要</w:t>
      </w:r>
      <w:r>
        <w:rPr>
          <w:rFonts w:hint="default" w:ascii="Times New Roman" w:hAnsi="Times New Roman" w:eastAsia="宋体" w:cs="Times New Roman"/>
          <w:sz w:val="24"/>
          <w:szCs w:val="24"/>
        </w:rPr>
        <w:t>起草单位：广东省科学院动物研究所、万科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公益</w:t>
      </w:r>
      <w:r>
        <w:rPr>
          <w:rFonts w:hint="default" w:ascii="Times New Roman" w:hAnsi="Times New Roman" w:eastAsia="宋体" w:cs="Times New Roman"/>
          <w:sz w:val="24"/>
          <w:szCs w:val="24"/>
        </w:rPr>
        <w:t>基金会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、深圳安芮洁环保科技公司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。</w:t>
      </w:r>
    </w:p>
    <w:p w14:paraId="287EC224">
      <w:pPr>
        <w:spacing w:line="35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z w:val="24"/>
          <w:szCs w:val="24"/>
        </w:rPr>
        <w:t>起草单位：郑州尧安环保科技有限公司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、宁波良源恒茂生物科技有限公司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eastAsia="zh-CN"/>
        </w:rPr>
        <w:t>、西部虫谷（成都）生物科技有限公司</w:t>
      </w:r>
      <w:r>
        <w:rPr>
          <w:rFonts w:hint="default" w:ascii="Times New Roman" w:hAnsi="Times New Roman" w:eastAsia="宋体" w:cs="Times New Roman"/>
          <w:spacing w:val="-6"/>
          <w:sz w:val="24"/>
          <w:szCs w:val="24"/>
        </w:rPr>
        <w:t>。</w:t>
      </w:r>
    </w:p>
    <w:p w14:paraId="48CE33FD">
      <w:pPr>
        <w:spacing w:line="359" w:lineRule="auto"/>
        <w:ind w:left="420" w:leftChars="200" w:right="638" w:rightChars="304" w:firstLine="561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主要起草人：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徐齐云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、</w:t>
      </w:r>
      <w:r>
        <w:rPr>
          <w:rFonts w:hint="eastAsia" w:ascii="Times New Roman" w:hAnsi="Times New Roman" w:eastAsia="宋体" w:cs="Times New Roman"/>
          <w:spacing w:val="-1"/>
          <w:sz w:val="24"/>
          <w:szCs w:val="24"/>
          <w:lang w:val="en-US" w:eastAsia="zh-CN"/>
        </w:rPr>
        <w:t>谢晓慧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eastAsia="zh-CN"/>
        </w:rPr>
        <w:t>、钟利娜</w:t>
      </w:r>
      <w:r>
        <w:rPr>
          <w:rFonts w:hint="eastAsia" w:ascii="Times New Roman" w:hAnsi="Times New Roman" w:eastAsia="宋体" w:cs="Times New Roman"/>
          <w:spacing w:val="-1"/>
          <w:sz w:val="24"/>
          <w:szCs w:val="24"/>
          <w:lang w:eastAsia="zh-CN"/>
        </w:rPr>
        <w:t>、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连娟</w:t>
      </w:r>
      <w:r>
        <w:rPr>
          <w:rFonts w:hint="default" w:ascii="Times New Roman" w:hAnsi="Times New Roman" w:eastAsia="宋体" w:cs="Times New Roman"/>
          <w:spacing w:val="-3"/>
          <w:sz w:val="24"/>
          <w:szCs w:val="24"/>
        </w:rPr>
        <w:t>。</w:t>
      </w:r>
    </w:p>
    <w:p w14:paraId="1FE466EA">
      <w:pPr>
        <w:spacing w:line="21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z w:val="24"/>
          <w:szCs w:val="24"/>
        </w:rPr>
        <w:t>起草人：高上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、毛孟其、余家华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、邝文校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。</w:t>
      </w:r>
    </w:p>
    <w:p w14:paraId="4EC3301A">
      <w:pPr>
        <w:spacing w:before="181" w:line="219" w:lineRule="auto"/>
        <w:ind w:left="420" w:leftChars="200" w:right="638" w:rightChars="304" w:firstLine="561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由中国食品土畜进出口商会解释。</w:t>
      </w:r>
    </w:p>
    <w:p w14:paraId="0FE58E9E">
      <w:pPr>
        <w:spacing w:before="183" w:line="21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z w:val="24"/>
          <w:szCs w:val="24"/>
        </w:rPr>
        <w:t>由中国食品土畜进出口商会于202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年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月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日批准公示。</w:t>
      </w:r>
    </w:p>
    <w:p w14:paraId="0575D087">
      <w:pPr>
        <w:spacing w:before="181" w:line="219" w:lineRule="auto"/>
        <w:ind w:left="420" w:leftChars="200" w:right="638" w:rightChars="304" w:firstLine="561" w:firstLineChars="236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本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自202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年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月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  <w:lang w:val="en-US" w:eastAsia="zh-CN"/>
        </w:rPr>
        <w:t>**</w:t>
      </w:r>
      <w:r>
        <w:rPr>
          <w:rFonts w:hint="default" w:ascii="Times New Roman" w:hAnsi="Times New Roman" w:eastAsia="宋体" w:cs="Times New Roman"/>
          <w:spacing w:val="-1"/>
          <w:sz w:val="24"/>
          <w:szCs w:val="24"/>
        </w:rPr>
        <w:t>日起实施。</w:t>
      </w:r>
    </w:p>
    <w:p w14:paraId="7467C7D1">
      <w:pPr>
        <w:spacing w:line="219" w:lineRule="auto"/>
        <w:ind w:left="420" w:leftChars="200" w:right="638" w:rightChars="304" w:firstLine="566" w:firstLineChars="236"/>
        <w:rPr>
          <w:rFonts w:hint="default" w:ascii="Times New Roman" w:hAnsi="Times New Roman" w:eastAsia="宋体" w:cs="Times New Roman"/>
          <w:sz w:val="24"/>
          <w:szCs w:val="24"/>
        </w:rPr>
        <w:sectPr>
          <w:headerReference r:id="rId8" w:type="default"/>
          <w:footerReference r:id="rId9" w:type="default"/>
          <w:pgSz w:w="11910" w:h="16840"/>
          <w:pgMar w:top="1486" w:right="943" w:bottom="1340" w:left="1088" w:header="1117" w:footer="1105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 w14:paraId="0BD6C70B">
      <w:pPr>
        <w:pStyle w:val="17"/>
        <w:jc w:val="center"/>
        <w:rPr>
          <w:rFonts w:hint="eastAsia" w:ascii="Times New Roman" w:hAnsi="Times New Roman" w:eastAsia="黑体" w:cs="Times New Roman"/>
          <w:szCs w:val="32"/>
          <w:lang w:eastAsia="zh-CN"/>
        </w:rPr>
      </w:pPr>
      <w:bookmarkStart w:id="2" w:name="bookmark3"/>
      <w:bookmarkEnd w:id="2"/>
      <w:r>
        <w:rPr>
          <w:rFonts w:hint="default" w:ascii="Times New Roman" w:hAnsi="Times New Roman" w:cs="Times New Roman"/>
        </w:rPr>
        <w:t>黑水虻虫油生产技术</w:t>
      </w:r>
      <w:r>
        <w:rPr>
          <w:rFonts w:hint="eastAsia" w:ascii="Times New Roman" w:hAnsi="Times New Roman" w:cs="Times New Roman"/>
          <w:lang w:val="en-US" w:eastAsia="zh-CN"/>
        </w:rPr>
        <w:t>规程</w:t>
      </w:r>
    </w:p>
    <w:p w14:paraId="7070A8B0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范围</w:t>
      </w:r>
    </w:p>
    <w:p w14:paraId="0D3F97C7">
      <w:pPr>
        <w:pStyle w:val="5"/>
        <w:spacing w:line="240" w:lineRule="auto"/>
        <w:ind w:firstLine="416" w:firstLineChars="200"/>
        <w:rPr>
          <w:rFonts w:hint="default" w:ascii="Times New Roman" w:hAnsi="Times New Roman" w:eastAsia="宋体" w:cs="Times New Roman"/>
          <w:spacing w:val="-1"/>
          <w:sz w:val="21"/>
          <w:szCs w:val="21"/>
        </w:rPr>
      </w:pP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本</w:t>
      </w:r>
      <w:r>
        <w:rPr>
          <w:rFonts w:hint="eastAsia" w:ascii="Times New Roman" w:hAnsi="Times New Roman" w:eastAsia="宋体" w:cs="Times New Roman"/>
          <w:spacing w:val="-1"/>
          <w:sz w:val="21"/>
          <w:szCs w:val="21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规定了黑水虻（</w:t>
      </w:r>
      <w:r>
        <w:rPr>
          <w:rFonts w:hint="default" w:ascii="Times New Roman" w:hAnsi="Times New Roman" w:eastAsia="宋体" w:cs="Times New Roman"/>
          <w:i/>
          <w:iCs/>
          <w:spacing w:val="-1"/>
          <w:sz w:val="21"/>
          <w:szCs w:val="21"/>
        </w:rPr>
        <w:t>Hermetia illucens</w:t>
      </w: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）虫油生产的技术要求、检验方法以及包装、标签、运输和贮存的要求。</w:t>
      </w:r>
      <w:bookmarkStart w:id="5" w:name="_GoBack"/>
      <w:bookmarkEnd w:id="5"/>
    </w:p>
    <w:p w14:paraId="71F42055">
      <w:pPr>
        <w:pStyle w:val="5"/>
        <w:spacing w:line="240" w:lineRule="auto"/>
        <w:ind w:firstLine="416" w:firstLineChars="200"/>
        <w:rPr>
          <w:rFonts w:hint="default" w:ascii="Times New Roman" w:hAnsi="Times New Roman" w:cs="Times New Roman"/>
          <w:sz w:val="21"/>
          <w:szCs w:val="21"/>
        </w:rPr>
      </w:pP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本</w:t>
      </w:r>
      <w:r>
        <w:rPr>
          <w:rFonts w:hint="eastAsia" w:ascii="Times New Roman" w:hAnsi="Times New Roman" w:eastAsia="宋体" w:cs="Times New Roman"/>
          <w:spacing w:val="-1"/>
          <w:sz w:val="21"/>
          <w:szCs w:val="21"/>
          <w:lang w:val="en-US" w:eastAsia="zh-CN"/>
        </w:rPr>
        <w:t>文件</w:t>
      </w: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适用于以黑水虻幼虫为原料，工业用或饲料用黑水虻虫油的生产与质量控制。</w:t>
      </w:r>
    </w:p>
    <w:p w14:paraId="56DB3BFB">
      <w:pPr>
        <w:pStyle w:val="15"/>
        <w:rPr>
          <w:rFonts w:hint="default" w:ascii="Times New Roman" w:hAnsi="Times New Roman" w:cs="Times New Roman"/>
        </w:rPr>
      </w:pPr>
      <w:bookmarkStart w:id="3" w:name="bookmark4"/>
      <w:bookmarkEnd w:id="3"/>
      <w:r>
        <w:rPr>
          <w:rFonts w:hint="default" w:ascii="Times New Roman" w:hAnsi="Times New Roman" w:cs="Times New Roman"/>
        </w:rPr>
        <w:t>规范性引用文件</w:t>
      </w:r>
    </w:p>
    <w:p w14:paraId="1F74647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1" w:right="135" w:firstLine="486"/>
        <w:textAlignment w:val="baseline"/>
        <w:rPr>
          <w:rFonts w:hint="default" w:ascii="Times New Roman" w:hAnsi="Times New Roman" w:eastAsia="宋体" w:cs="Times New Roman"/>
          <w:sz w:val="21"/>
          <w:szCs w:val="21"/>
        </w:rPr>
      </w:pP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下列文件对于本文件的应用是必不可少的。凡是注日期的引用文件，仅注日期的</w:t>
      </w:r>
      <w:r>
        <w:rPr>
          <w:rFonts w:hint="default" w:ascii="Times New Roman" w:hAnsi="Times New Roman" w:eastAsia="宋体" w:cs="Times New Roman"/>
          <w:sz w:val="21"/>
          <w:szCs w:val="21"/>
        </w:rPr>
        <w:t>版本适用于本文件。凡是不注日期的引用文件，</w:t>
      </w:r>
      <w:r>
        <w:rPr>
          <w:rFonts w:hint="default" w:ascii="Times New Roman" w:hAnsi="Times New Roman" w:eastAsia="宋体" w:cs="Times New Roman"/>
          <w:spacing w:val="-1"/>
          <w:sz w:val="21"/>
          <w:szCs w:val="21"/>
        </w:rPr>
        <w:t>其最新版本适用于本文件。</w:t>
      </w:r>
    </w:p>
    <w:p w14:paraId="139FE035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bookmarkStart w:id="4" w:name="bookmark5"/>
      <w:bookmarkEnd w:id="4"/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GB 5009.236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-2016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动植物油脂水分及挥发物的测定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GB/T 5534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-2024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动植物油脂 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皂化值的测定</w:t>
      </w:r>
    </w:p>
    <w:p w14:paraId="127E9F34">
      <w:pPr>
        <w:pStyle w:val="7"/>
        <w:keepNext w:val="0"/>
        <w:keepLines w:val="0"/>
        <w:pageBreakBefore w:val="0"/>
        <w:widowControl/>
        <w:suppressLineNumbers w:val="0"/>
        <w:shd w:val="clear" w:fill="FFFFFF"/>
        <w:tabs>
          <w:tab w:val="left" w:pos="295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eastAsia="zh-CN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GB 5009.168 食品安全国家标准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食品中脂肪酸的测定</w:t>
      </w:r>
    </w:p>
    <w:p w14:paraId="579930EB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GB 5009.229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-2025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食品安全国家标准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食品中酸价的测定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GB/T 5535.2-2008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动植物油脂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不皂化物测定</w:t>
      </w:r>
    </w:p>
    <w:p w14:paraId="68DDDB53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GB/T 5532-2022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动植物油脂 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碘值的测定</w:t>
      </w:r>
    </w:p>
    <w:p w14:paraId="3E37E9C7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spacing w:val="-2"/>
          <w:sz w:val="21"/>
          <w:szCs w:val="21"/>
        </w:rPr>
      </w:pPr>
      <w:r>
        <w:rPr>
          <w:rFonts w:hint="default" w:ascii="Times New Roman" w:hAnsi="Times New Roman" w:eastAsia="宋体" w:cs="Times New Roman"/>
          <w:spacing w:val="-2"/>
          <w:sz w:val="21"/>
          <w:szCs w:val="21"/>
        </w:rPr>
        <w:t>GB 9683 复合食品包装袋、膜卫生标准</w:t>
      </w:r>
    </w:p>
    <w:p w14:paraId="0541CC57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SC/T 3504-2006  饲料用鱼油</w:t>
      </w:r>
    </w:p>
    <w:p w14:paraId="355C622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8"/>
        <w:textAlignment w:val="baseline"/>
        <w:outlineLvl w:val="0"/>
        <w:rPr>
          <w:rFonts w:hint="default" w:ascii="Times New Roman" w:hAnsi="Times New Roman" w:eastAsia="宋体" w:cs="Times New Roman"/>
          <w:spacing w:val="-2"/>
          <w:sz w:val="21"/>
          <w:szCs w:val="21"/>
        </w:rPr>
      </w:pPr>
    </w:p>
    <w:p w14:paraId="3D63CB9F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术语和定义</w:t>
      </w:r>
    </w:p>
    <w:p w14:paraId="0AC2EEA4">
      <w:pPr>
        <w:pStyle w:val="16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下列术语和定义适用于本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标准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。</w:t>
      </w:r>
    </w:p>
    <w:p w14:paraId="5E45C80F">
      <w:pPr>
        <w:pStyle w:val="2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</w:rPr>
      </w:pPr>
    </w:p>
    <w:p w14:paraId="6EB6C2DD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240" w:lineRule="auto"/>
        <w:ind w:left="0" w:leftChars="0" w:right="0" w:firstLine="420" w:firstLineChars="200"/>
        <w:textAlignment w:val="baseline"/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</w:pP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t>黑水虻虫油 black soldier fly larvae oil</w:t>
      </w:r>
    </w:p>
    <w:p w14:paraId="2836CE2D">
      <w:pPr>
        <w:pStyle w:val="16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以黑水虻幼虫为原料，经清洗、压榨或溶剂萃取、精炼等工艺制得的油脂。</w:t>
      </w:r>
    </w:p>
    <w:p w14:paraId="76D61E2E">
      <w:pPr>
        <w:pStyle w:val="20"/>
        <w:rPr>
          <w:rFonts w:hint="default" w:ascii="Times New Roman" w:hAnsi="Times New Roman" w:cs="Times New Roman"/>
        </w:rPr>
      </w:pPr>
    </w:p>
    <w:p w14:paraId="5FE7A22A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420" w:leftChars="200" w:right="0" w:firstLine="0" w:firstLineChars="0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</w:pP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t>粗虫油 crude insect oil</w:t>
      </w: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br w:type="textWrapping"/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从黑水虻幼虫原料中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分离得到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的油脂。</w:t>
      </w:r>
    </w:p>
    <w:p w14:paraId="0FEBAE6D">
      <w:pPr>
        <w:pStyle w:val="20"/>
        <w:rPr>
          <w:rStyle w:val="11"/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11"/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 xml:space="preserve"> </w:t>
      </w:r>
    </w:p>
    <w:p w14:paraId="3F09EEE4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420" w:leftChars="200" w:right="0" w:firstLine="0" w:firstLineChars="0"/>
        <w:rPr>
          <w:rFonts w:hint="default" w:ascii="Times New Roman" w:hAnsi="Times New Roman" w:eastAsia="Segoe UI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t>精制虫油 refined insect oil</w:t>
      </w: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br w:type="textWrapping"/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粗制虫油经去杂、脱酸等处理后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得到的油脂。</w:t>
      </w:r>
    </w:p>
    <w:p w14:paraId="415BD14E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一般</w:t>
      </w:r>
      <w:r>
        <w:rPr>
          <w:rStyle w:val="21"/>
          <w:rFonts w:hint="default"/>
        </w:rPr>
        <w:t>要求</w:t>
      </w:r>
    </w:p>
    <w:p w14:paraId="5E04FF52">
      <w:pPr>
        <w:pStyle w:val="2"/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after="0" w:afterLines="50" w:line="240" w:lineRule="auto"/>
        <w:textAlignment w:val="baseline"/>
        <w:rPr>
          <w:rFonts w:hint="default"/>
          <w:b w:val="0"/>
          <w:bCs/>
          <w:sz w:val="21"/>
          <w:szCs w:val="21"/>
        </w:rPr>
      </w:pPr>
      <w:r>
        <w:rPr>
          <w:rFonts w:hint="eastAsia"/>
          <w:b w:val="0"/>
          <w:bCs/>
          <w:sz w:val="21"/>
          <w:szCs w:val="21"/>
          <w:lang w:val="en-US" w:eastAsia="zh-CN"/>
        </w:rPr>
        <w:t xml:space="preserve">4.1 </w:t>
      </w:r>
      <w:r>
        <w:rPr>
          <w:rFonts w:hint="default"/>
          <w:b w:val="0"/>
          <w:bCs/>
          <w:sz w:val="21"/>
          <w:szCs w:val="21"/>
          <w:lang w:val="en-US" w:eastAsia="zh-CN"/>
        </w:rPr>
        <w:t>原料</w:t>
      </w:r>
      <w:r>
        <w:rPr>
          <w:rFonts w:hint="default"/>
          <w:b w:val="0"/>
          <w:bCs/>
          <w:sz w:val="21"/>
          <w:szCs w:val="21"/>
        </w:rPr>
        <w:t>要求</w:t>
      </w:r>
    </w:p>
    <w:p w14:paraId="0DFEE172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210" w:leftChars="0" w:right="0" w:rightChars="0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 xml:space="preserve">4.1.1 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黑水虻幼虫来源明确，健康鲜活或经规范冷冻保存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。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br w:type="textWrapping"/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 xml:space="preserve">4.1.2 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无腐败、霉变及异味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。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br w:type="textWrapping"/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4.1.3 不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en-US" w:bidi="ar-SA"/>
        </w:rPr>
        <w:t>应含有金属、玻璃等杂质。</w:t>
      </w:r>
    </w:p>
    <w:p w14:paraId="4D32E54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210" w:leftChars="0" w:right="0" w:rightChars="0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4.1.4 幼虫原料应经过分选、清洗，并脱水至水分含量低于15%。</w:t>
      </w:r>
    </w:p>
    <w:p w14:paraId="7E3C6DF6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210" w:leftChars="0" w:right="0" w:rightChars="0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</w:pPr>
    </w:p>
    <w:p w14:paraId="244C1B4E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210" w:leftChars="0" w:right="0" w:rightChars="0"/>
        <w:textAlignment w:val="baseline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</w:pPr>
    </w:p>
    <w:p w14:paraId="22DEA303">
      <w:pPr>
        <w:pStyle w:val="20"/>
        <w:bidi w:val="0"/>
        <w:ind w:left="0" w:leftChars="0" w:firstLine="0" w:firstLineChars="0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sectPr>
          <w:headerReference r:id="rId10" w:type="default"/>
          <w:footerReference r:id="rId11" w:type="default"/>
          <w:pgSz w:w="11910" w:h="16840"/>
          <w:pgMar w:top="1261" w:right="1334" w:bottom="1340" w:left="1611" w:header="892" w:footer="1106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</w:sectPr>
      </w:pPr>
    </w:p>
    <w:p w14:paraId="008F7584">
      <w:pPr>
        <w:pStyle w:val="20"/>
        <w:keepNext w:val="0"/>
        <w:keepLines w:val="0"/>
        <w:pageBreakBefore w:val="0"/>
        <w:widowControl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</w:pPr>
      <w:r>
        <w:rPr>
          <w:rFonts w:hint="eastAsia" w:ascii="Arial" w:hAnsi="Arial" w:eastAsia="黑体" w:cs="Arial"/>
          <w:b w:val="0"/>
          <w:bCs/>
          <w:snapToGrid w:val="0"/>
          <w:color w:val="000000"/>
          <w:kern w:val="0"/>
          <w:sz w:val="21"/>
          <w:szCs w:val="21"/>
          <w:lang w:val="en-US" w:eastAsia="zh-CN" w:bidi="ar-SA"/>
        </w:rPr>
        <w:t xml:space="preserve">4.2 </w:t>
      </w:r>
      <w:r>
        <w:rPr>
          <w:rFonts w:hint="default" w:ascii="Arial" w:hAnsi="Arial" w:eastAsia="黑体" w:cs="Arial"/>
          <w:b w:val="0"/>
          <w:bCs/>
          <w:snapToGrid w:val="0"/>
          <w:color w:val="000000"/>
          <w:kern w:val="0"/>
          <w:sz w:val="21"/>
          <w:szCs w:val="21"/>
          <w:lang w:val="en-US" w:eastAsia="zh-CN" w:bidi="ar-SA"/>
        </w:rPr>
        <w:t>感官要求</w:t>
      </w:r>
      <w:r>
        <w:rPr>
          <w:rFonts w:hint="default" w:ascii="Times New Roman" w:hAnsi="Times New Roman" w:cs="Times New Roman"/>
        </w:rPr>
        <w:br w:type="textWrapping"/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 xml:space="preserve">  黑水虻虫油的感官要求应符合表1的规定。</w:t>
      </w:r>
    </w:p>
    <w:p w14:paraId="39DAC6A3">
      <w:pPr>
        <w:pStyle w:val="20"/>
        <w:keepNext w:val="0"/>
        <w:keepLines w:val="0"/>
        <w:pageBreakBefore w:val="0"/>
        <w:widowControl/>
        <w:numPr>
          <w:ilvl w:val="1"/>
          <w:numId w:val="0"/>
        </w:numPr>
        <w:wordWrap/>
        <w:overflowPunct/>
        <w:topLinePunct w:val="0"/>
        <w:bidi w:val="0"/>
        <w:snapToGrid w:val="0"/>
        <w:spacing w:before="0" w:beforeLines="0" w:after="0" w:afterLines="0"/>
        <w:ind w:leftChars="0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表1 感官要求</w:t>
      </w:r>
    </w:p>
    <w:tbl>
      <w:tblPr>
        <w:tblStyle w:val="9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2"/>
        <w:gridCol w:w="3060"/>
        <w:gridCol w:w="4017"/>
      </w:tblGrid>
      <w:tr w14:paraId="39726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5" w:type="pct"/>
          </w:tcPr>
          <w:p w14:paraId="1F9285FF">
            <w:pPr>
              <w:pStyle w:val="16"/>
              <w:widowControl w:val="0"/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vertAlign w:val="baseline"/>
                <w:lang w:val="en-US" w:eastAsia="zh-CN"/>
              </w:rPr>
              <w:t>项目</w:t>
            </w:r>
          </w:p>
        </w:tc>
        <w:tc>
          <w:tcPr>
            <w:tcW w:w="1666" w:type="pct"/>
            <w:shd w:val="clear" w:color="auto" w:fill="auto"/>
            <w:vAlign w:val="center"/>
          </w:tcPr>
          <w:p w14:paraId="43608C7F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精制虫油</w:t>
            </w:r>
          </w:p>
        </w:tc>
        <w:tc>
          <w:tcPr>
            <w:tcW w:w="2187" w:type="pct"/>
            <w:shd w:val="clear" w:color="auto" w:fill="auto"/>
            <w:vAlign w:val="center"/>
          </w:tcPr>
          <w:p w14:paraId="7D320DBF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粗虫油</w:t>
            </w:r>
          </w:p>
        </w:tc>
      </w:tr>
      <w:tr w14:paraId="35F49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1145" w:type="pct"/>
            <w:vAlign w:val="center"/>
          </w:tcPr>
          <w:p w14:paraId="167D30A7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色泽</w:t>
            </w:r>
          </w:p>
        </w:tc>
        <w:tc>
          <w:tcPr>
            <w:tcW w:w="1666" w:type="pct"/>
            <w:vAlign w:val="center"/>
          </w:tcPr>
          <w:p w14:paraId="1A95AF58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textAlignment w:val="baseline"/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浅黄色至棕红色，透明油状液体</w:t>
            </w:r>
          </w:p>
        </w:tc>
        <w:tc>
          <w:tcPr>
            <w:tcW w:w="2187" w:type="pct"/>
            <w:shd w:val="clear" w:color="auto" w:fill="auto"/>
            <w:vAlign w:val="center"/>
          </w:tcPr>
          <w:p w14:paraId="13EF6530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textAlignment w:val="baseline"/>
              <w:rPr>
                <w:rFonts w:hint="default" w:ascii="Times New Roman" w:hAnsi="Times New Roman" w:eastAsia="Arial" w:cs="Times New Roman"/>
                <w:snapToGrid w:val="0"/>
                <w:color w:val="000000"/>
                <w:kern w:val="0"/>
                <w:sz w:val="24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浅黄色至棕褐色，微有浑浊，可有部分沉淀</w:t>
            </w:r>
          </w:p>
        </w:tc>
      </w:tr>
      <w:tr w14:paraId="68636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5" w:type="pct"/>
            <w:vAlign w:val="center"/>
          </w:tcPr>
          <w:p w14:paraId="2AD6AA52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气味</w:t>
            </w:r>
          </w:p>
        </w:tc>
        <w:tc>
          <w:tcPr>
            <w:tcW w:w="1666" w:type="pct"/>
            <w:vAlign w:val="center"/>
          </w:tcPr>
          <w:p w14:paraId="470094CB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textAlignment w:val="baseline"/>
              <w:rPr>
                <w:rFonts w:hint="default" w:ascii="Times New Roman" w:hAnsi="Times New Roman" w:cs="Times New Roman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具有黑水虻虫油固有的气味，无异味</w:t>
            </w:r>
          </w:p>
        </w:tc>
        <w:tc>
          <w:tcPr>
            <w:tcW w:w="2187" w:type="pct"/>
            <w:shd w:val="clear" w:color="auto" w:fill="auto"/>
            <w:vAlign w:val="center"/>
          </w:tcPr>
          <w:p w14:paraId="07365F62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textAlignment w:val="baseline"/>
              <w:rPr>
                <w:rFonts w:hint="default" w:ascii="Times New Roman" w:hAnsi="Times New Roman" w:eastAsia="Arial" w:cs="Times New Roman"/>
                <w:snapToGrid w:val="0"/>
                <w:color w:val="000000"/>
                <w:kern w:val="0"/>
                <w:sz w:val="24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具有黑水虻虫油固有的气味，稍有异味</w:t>
            </w:r>
          </w:p>
        </w:tc>
      </w:tr>
    </w:tbl>
    <w:p w14:paraId="52621A62">
      <w:pPr>
        <w:pStyle w:val="16"/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</w:p>
    <w:p w14:paraId="03B3212E"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Lines="50" w:after="0" w:afterLines="50" w:line="240" w:lineRule="auto"/>
        <w:ind w:left="0" w:leftChars="0" w:firstLine="0" w:firstLineChars="0"/>
        <w:textAlignment w:val="auto"/>
        <w:rPr>
          <w:rFonts w:hint="default" w:ascii="Arial" w:hAnsi="Arial" w:eastAsia="黑体" w:cs="Arial"/>
          <w:b w:val="0"/>
          <w:bCs/>
          <w:snapToGrid w:val="0"/>
          <w:color w:val="000000"/>
          <w:kern w:val="0"/>
          <w:sz w:val="21"/>
          <w:szCs w:val="21"/>
          <w:lang w:val="en-US" w:eastAsia="zh-CN" w:bidi="ar-SA"/>
        </w:rPr>
      </w:pPr>
      <w:r>
        <w:rPr>
          <w:rFonts w:hint="default" w:ascii="Arial" w:hAnsi="Arial" w:eastAsia="黑体" w:cs="Arial"/>
          <w:b w:val="0"/>
          <w:bCs/>
          <w:snapToGrid w:val="0"/>
          <w:color w:val="000000"/>
          <w:kern w:val="0"/>
          <w:sz w:val="21"/>
          <w:szCs w:val="21"/>
          <w:lang w:val="en-US" w:eastAsia="zh-CN" w:bidi="ar-SA"/>
        </w:rPr>
        <w:t>4.3 理化指标</w:t>
      </w:r>
    </w:p>
    <w:p w14:paraId="7C5A6DB9">
      <w:pPr>
        <w:pStyle w:val="7"/>
        <w:keepNext w:val="0"/>
        <w:keepLines w:val="0"/>
        <w:pageBreakBefore w:val="0"/>
        <w:widowControl/>
        <w:suppressLineNumbers w:val="0"/>
        <w:shd w:val="clear" w:fill="FFFFFF"/>
        <w:wordWrap/>
        <w:overflowPunct/>
        <w:topLinePunct w:val="0"/>
        <w:autoSpaceDE w:val="0"/>
        <w:autoSpaceDN w:val="0"/>
        <w:bidi w:val="0"/>
        <w:spacing w:beforeAutospacing="0" w:afterAutospacing="0" w:line="240" w:lineRule="auto"/>
        <w:ind w:left="0" w:right="0" w:firstLine="416" w:firstLineChars="200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snapToGrid w:val="0"/>
          <w:color w:val="000000"/>
          <w:spacing w:val="-1"/>
          <w:kern w:val="0"/>
          <w:sz w:val="21"/>
          <w:szCs w:val="21"/>
          <w:lang w:val="en-US" w:eastAsia="zh-CN" w:bidi="ar-SA"/>
        </w:rPr>
        <w:t>黑水虻虫油的理化指标应符合表2的规定。</w:t>
      </w:r>
    </w:p>
    <w:p w14:paraId="1C1913A2">
      <w:pPr>
        <w:pStyle w:val="7"/>
        <w:keepNext w:val="0"/>
        <w:keepLines w:val="0"/>
        <w:pageBreakBefore w:val="0"/>
        <w:widowControl/>
        <w:suppressLineNumbers w:val="0"/>
        <w:shd w:val="clear" w:fill="FFFFFF"/>
        <w:wordWrap/>
        <w:overflowPunct/>
        <w:topLinePunct w:val="0"/>
        <w:autoSpaceDE w:val="0"/>
        <w:autoSpaceDN w:val="0"/>
        <w:bidi w:val="0"/>
        <w:spacing w:beforeAutospacing="0" w:afterAutospacing="0" w:line="240" w:lineRule="auto"/>
        <w:ind w:left="0" w:right="0" w:firstLine="420" w:firstLineChars="200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t>表2 理化指标</w:t>
      </w:r>
    </w:p>
    <w:tbl>
      <w:tblPr>
        <w:tblStyle w:val="8"/>
        <w:tblW w:w="500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86"/>
        <w:gridCol w:w="1193"/>
        <w:gridCol w:w="1209"/>
        <w:gridCol w:w="1193"/>
        <w:gridCol w:w="2201"/>
      </w:tblGrid>
      <w:tr w14:paraId="36FDC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3" w:hRule="exact"/>
        </w:trPr>
        <w:tc>
          <w:tcPr>
            <w:tcW w:w="1773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40A6F737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项目</w:t>
            </w:r>
          </w:p>
        </w:tc>
        <w:tc>
          <w:tcPr>
            <w:tcW w:w="1337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D5F5B4C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精制虫油</w:t>
            </w:r>
          </w:p>
        </w:tc>
        <w:tc>
          <w:tcPr>
            <w:tcW w:w="1889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7FDCDD7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粗虫油</w:t>
            </w:r>
          </w:p>
        </w:tc>
      </w:tr>
      <w:tr w14:paraId="70074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240" w:hRule="exact"/>
        </w:trPr>
        <w:tc>
          <w:tcPr>
            <w:tcW w:w="1773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40E0C5A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784DD81C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一级</w:t>
            </w:r>
          </w:p>
        </w:tc>
        <w:tc>
          <w:tcPr>
            <w:tcW w:w="672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FB964BE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二级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6804A98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一级</w:t>
            </w:r>
          </w:p>
        </w:tc>
        <w:tc>
          <w:tcPr>
            <w:tcW w:w="1225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40CB5F07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二级</w:t>
            </w:r>
          </w:p>
        </w:tc>
      </w:tr>
      <w:tr w14:paraId="66A51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60DFEFD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水分及挥发物 / (%) 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E5AD63E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≤0.1</w:t>
            </w:r>
          </w:p>
        </w:tc>
        <w:tc>
          <w:tcPr>
            <w:tcW w:w="672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50B87B7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FF0000"/>
                <w:spacing w:val="-1"/>
                <w:kern w:val="0"/>
                <w:sz w:val="18"/>
                <w:szCs w:val="18"/>
                <w:lang w:val="en-US" w:eastAsia="zh-CN" w:bidi="ar-SA"/>
              </w:rPr>
              <w:t>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FF0000"/>
                <w:spacing w:val="-1"/>
                <w:kern w:val="0"/>
                <w:sz w:val="18"/>
                <w:szCs w:val="18"/>
                <w:lang w:val="en-US" w:eastAsia="zh-CN" w:bidi="ar-SA"/>
              </w:rPr>
              <w:t>.</w:t>
            </w:r>
            <w:r>
              <w:rPr>
                <w:rFonts w:hint="default" w:ascii="Times New Roman" w:hAnsi="Times New Roman" w:eastAsia="宋体" w:cs="Times New Roman"/>
                <w:snapToGrid w:val="0"/>
                <w:color w:val="FF0000"/>
                <w:spacing w:val="-1"/>
                <w:kern w:val="0"/>
                <w:sz w:val="18"/>
                <w:szCs w:val="18"/>
                <w:lang w:val="en-US" w:eastAsia="zh-CN" w:bidi="ar-SA"/>
              </w:rPr>
              <w:t>1-0.2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5E06786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0.2-0.3</w:t>
            </w:r>
          </w:p>
        </w:tc>
        <w:tc>
          <w:tcPr>
            <w:tcW w:w="1225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7464D3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0.3-0.4</w:t>
            </w:r>
          </w:p>
        </w:tc>
      </w:tr>
      <w:tr w14:paraId="3C7CF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5ED0CFB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皂化值（KOH）/ (mg/g) 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7BD3E90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≥190.0</w:t>
            </w:r>
          </w:p>
        </w:tc>
        <w:tc>
          <w:tcPr>
            <w:tcW w:w="672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C216166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180.0-190.0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3CB6567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170.0-180.0</w:t>
            </w:r>
          </w:p>
        </w:tc>
        <w:tc>
          <w:tcPr>
            <w:tcW w:w="1225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90E8249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≤170.0</w:t>
            </w:r>
          </w:p>
        </w:tc>
      </w:tr>
      <w:tr w14:paraId="0FEFD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5A73919F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月桂酸（C12:0）含量 / (%) 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61CB2C39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≥</w:t>
            </w:r>
            <w:r>
              <w:rPr>
                <w:rFonts w:hint="default" w:ascii="Times New Roman" w:hAnsi="Times New Roman" w:eastAsia="宋体" w:cs="Times New Roman"/>
                <w:snapToGrid w:val="0"/>
                <w:color w:val="auto"/>
                <w:spacing w:val="-1"/>
                <w:kern w:val="0"/>
                <w:sz w:val="18"/>
                <w:szCs w:val="18"/>
                <w:lang w:val="en-US" w:eastAsia="zh-CN" w:bidi="ar-SA"/>
              </w:rPr>
              <w:t>40.0</w:t>
            </w:r>
          </w:p>
        </w:tc>
        <w:tc>
          <w:tcPr>
            <w:tcW w:w="672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BD25850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30.0-40.0</w:t>
            </w:r>
          </w:p>
        </w:tc>
        <w:tc>
          <w:tcPr>
            <w:tcW w:w="664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A74C769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25.0-30.0</w:t>
            </w:r>
          </w:p>
        </w:tc>
        <w:tc>
          <w:tcPr>
            <w:tcW w:w="1225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CDDB62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≤25.0</w:t>
            </w:r>
          </w:p>
        </w:tc>
      </w:tr>
      <w:tr w14:paraId="49535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1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9E8D46D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酸价（KOH） / (mg/g) </w:t>
            </w:r>
          </w:p>
        </w:tc>
        <w:tc>
          <w:tcPr>
            <w:tcW w:w="1337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72C4740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≤1.0</w:t>
            </w:r>
          </w:p>
        </w:tc>
        <w:tc>
          <w:tcPr>
            <w:tcW w:w="1889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41D22D6E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&gt;1.0</w:t>
            </w:r>
          </w:p>
        </w:tc>
      </w:tr>
      <w:tr w14:paraId="5DD69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0FA88BA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过氧化值 / (g/100g) </w:t>
            </w:r>
          </w:p>
        </w:tc>
        <w:tc>
          <w:tcPr>
            <w:tcW w:w="1337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44250FBB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≤5.0</w:t>
            </w:r>
          </w:p>
        </w:tc>
        <w:tc>
          <w:tcPr>
            <w:tcW w:w="1889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012DA6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&gt;5.0</w:t>
            </w:r>
          </w:p>
        </w:tc>
      </w:tr>
      <w:tr w14:paraId="5BF00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75EC3014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rightChars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不皂化值 / (%) </w:t>
            </w:r>
          </w:p>
        </w:tc>
        <w:tc>
          <w:tcPr>
            <w:tcW w:w="1337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B3843F1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≤1.0</w:t>
            </w:r>
          </w:p>
        </w:tc>
        <w:tc>
          <w:tcPr>
            <w:tcW w:w="1889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20853D5C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&gt;1.0</w:t>
            </w:r>
          </w:p>
        </w:tc>
      </w:tr>
      <w:tr w14:paraId="58E75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exact"/>
        </w:trPr>
        <w:tc>
          <w:tcPr>
            <w:tcW w:w="1773" w:type="pct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387B7D1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218" w:leftChars="104" w:right="0" w:firstLine="0" w:firstLineChars="0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F1115"/>
                <w:spacing w:val="0"/>
                <w:sz w:val="21"/>
                <w:szCs w:val="21"/>
                <w:shd w:val="clear" w:fill="FFFFFF"/>
              </w:rPr>
              <w:t>碘</w:t>
            </w: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 xml:space="preserve">价/ (g/100g) </w:t>
            </w:r>
          </w:p>
        </w:tc>
        <w:tc>
          <w:tcPr>
            <w:tcW w:w="1337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8EAC9F8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≥80.0</w:t>
            </w:r>
          </w:p>
        </w:tc>
        <w:tc>
          <w:tcPr>
            <w:tcW w:w="1889" w:type="pct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B948E30">
            <w:pPr>
              <w:pStyle w:val="7"/>
              <w:keepNext w:val="0"/>
              <w:keepLines w:val="0"/>
              <w:pageBreakBefore w:val="0"/>
              <w:widowControl/>
              <w:suppressLineNumbers w:val="0"/>
              <w:shd w:val="clear" w:fill="FFFFFF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&lt;80.0</w:t>
            </w:r>
          </w:p>
        </w:tc>
      </w:tr>
    </w:tbl>
    <w:p w14:paraId="7634E56C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0" w:right="0" w:firstLine="0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5 检验方法</w:t>
      </w:r>
    </w:p>
    <w:p w14:paraId="26AAAA80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5.1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色泽测定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按照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SC/T 3504-2006  中规定的方法测定。</w:t>
      </w:r>
    </w:p>
    <w:p w14:paraId="159928A8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5.2 气味测定：按照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SC/T 3504-2006  中规定的方法测定。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5.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水分及挥发物：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按照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GB 5009.236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-2016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中规定的方法测定。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5.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皂化值测定：按照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GB/T 5534 中规定的方法测定。</w:t>
      </w:r>
    </w:p>
    <w:p w14:paraId="14779AD7">
      <w:pPr>
        <w:pStyle w:val="7"/>
        <w:keepNext w:val="0"/>
        <w:keepLines w:val="0"/>
        <w:pageBreakBefore w:val="0"/>
        <w:widowControl/>
        <w:suppressLineNumbers w:val="0"/>
        <w:shd w:val="clear" w:fill="FFFFFF"/>
        <w:tabs>
          <w:tab w:val="left" w:pos="295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eastAsia="zh-CN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5.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月桂酸含量：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按照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GB 5009.168 中规定的方法测定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eastAsia="zh-CN"/>
        </w:rPr>
        <w:t>。</w:t>
      </w:r>
    </w:p>
    <w:p w14:paraId="494ACCDB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5.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酸价、过氧化值：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按照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GB 5009.229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-2025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 xml:space="preserve"> 中规定的方法测定。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br w:type="textWrapping"/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5.7 不皂化值测定：按照 GB/T 5535.2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-2008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中规定的方法测定。</w:t>
      </w:r>
    </w:p>
    <w:p w14:paraId="07C78CCA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5.8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碘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价测定：按照 GB/T 5532</w:t>
      </w:r>
      <w:r>
        <w:rPr>
          <w:rFonts w:hint="eastAsia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>-2022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中规定的方法测定。</w:t>
      </w:r>
    </w:p>
    <w:p w14:paraId="2A3FFDCC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/>
        <w:ind w:left="0" w:right="0" w:firstLine="0"/>
        <w:textAlignment w:val="baseline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br w:type="textWrapping"/>
      </w:r>
      <w:r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6 包装、标签、运输和贮存</w:t>
      </w:r>
    </w:p>
    <w:p w14:paraId="58FE8BC6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422" w:leftChars="0" w:right="0" w:hanging="422" w:hangingChars="200"/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6.1 包装</w:t>
      </w:r>
    </w:p>
    <w:p w14:paraId="156E17EA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0" w:leftChars="0" w:right="0" w:firstLine="420" w:firstLineChars="200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应使用洁净、无损、符合食品卫生要求的容器（如不锈钢罐、食品级塑料桶）或包装袋（符合GB 9683要求）进行包装。包装容器应能确保产品在运输和贮存过程中的质量与安全。</w:t>
      </w:r>
    </w:p>
    <w:p w14:paraId="2AD51F30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211" w:leftChars="0" w:right="0" w:hanging="211" w:hangingChars="100"/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6.2 标签</w:t>
      </w:r>
    </w:p>
    <w:p w14:paraId="10AE2DBA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136" w:leftChars="65" w:right="0" w:firstLine="420" w:firstLineChars="200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产品标签应清晰、牢固，并至少标明以下信息：产品名称、生产日期和保质期、批号、净含量、生产者或经销者的名称和地址。</w:t>
      </w:r>
    </w:p>
    <w:p w14:paraId="1DCEAB1E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211" w:right="0" w:hanging="211" w:hangingChars="100"/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6.3 运输</w:t>
      </w:r>
    </w:p>
    <w:p w14:paraId="040B56E1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8" w:leftChars="0" w:right="0" w:firstLine="409" w:firstLineChars="195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运输工具应清洁、干燥、无污染。运输过程中应防止日晒、雨淋，不得与有毒、有害、有异味的物品混装运输。</w:t>
      </w:r>
    </w:p>
    <w:p w14:paraId="2D3C78CD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422" w:leftChars="0" w:right="0" w:hanging="422" w:hangingChars="200"/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Style w:val="11"/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6.4 贮存</w:t>
      </w:r>
    </w:p>
    <w:p w14:paraId="61C1BBA7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0" w:leftChars="0" w:right="0" w:firstLine="420" w:firstLineChars="200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  <w:t>产品应贮存于阴凉、干燥、通风、避光的仓库内。避免与有毒、有害、有异味的物品一同存放。</w:t>
      </w:r>
    </w:p>
    <w:p w14:paraId="517523E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80" w:beforeAutospacing="0" w:after="480" w:afterAutospacing="0"/>
        <w:ind w:left="0" w:right="0" w:firstLine="0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</w:p>
    <w:p w14:paraId="700633A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80" w:beforeAutospacing="0" w:after="480" w:afterAutospacing="0"/>
        <w:ind w:left="0" w:right="0" w:firstLine="0"/>
        <w:rPr>
          <w:rFonts w:hint="default" w:ascii="Times New Roman" w:hAnsi="Times New Roman" w:eastAsia="宋体" w:cs="Times New Roman"/>
          <w:i w:val="0"/>
          <w:iCs w:val="0"/>
          <w:caps w:val="0"/>
          <w:color w:val="0F1115"/>
          <w:spacing w:val="0"/>
          <w:sz w:val="21"/>
          <w:szCs w:val="21"/>
        </w:rPr>
      </w:pPr>
    </w:p>
    <w:p w14:paraId="3D71AA2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80" w:beforeAutospacing="0" w:after="480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F1115"/>
          <w:spacing w:val="0"/>
          <w:sz w:val="21"/>
          <w:szCs w:val="21"/>
        </w:rPr>
      </w:pPr>
    </w:p>
    <w:p w14:paraId="2F9F144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80" w:beforeAutospacing="0" w:after="480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F1115"/>
          <w:spacing w:val="0"/>
          <w:sz w:val="21"/>
          <w:szCs w:val="21"/>
        </w:rPr>
      </w:pPr>
    </w:p>
    <w:p w14:paraId="110C1D5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80" w:beforeAutospacing="0" w:after="480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F1115"/>
          <w:spacing w:val="0"/>
          <w:sz w:val="21"/>
          <w:szCs w:val="21"/>
        </w:rPr>
      </w:pPr>
    </w:p>
    <w:p w14:paraId="685CA429">
      <w:pPr>
        <w:pStyle w:val="7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F1115"/>
          <w:spacing w:val="0"/>
          <w:sz w:val="21"/>
          <w:szCs w:val="21"/>
          <w:shd w:val="clear" w:fill="FFFFFF"/>
        </w:rPr>
      </w:pPr>
    </w:p>
    <w:p w14:paraId="2A1FD912">
      <w:pPr>
        <w:pStyle w:val="5"/>
      </w:pPr>
    </w:p>
    <w:sectPr>
      <w:footerReference r:id="rId12" w:type="default"/>
      <w:pgSz w:w="11910" w:h="16840"/>
      <w:pgMar w:top="1261" w:right="1334" w:bottom="1340" w:left="1611" w:header="892" w:footer="1106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7F" w:usb3="00000000" w:csb0="203F01FF" w:csb1="DFFF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70EC79">
    <w:pPr>
      <w:spacing w:line="231" w:lineRule="auto"/>
      <w:ind w:left="8974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z w:val="18"/>
        <w:szCs w:val="18"/>
      </w:rPr>
      <w:t>I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CE0098">
    <w:pPr>
      <w:spacing w:line="231" w:lineRule="auto"/>
      <w:ind w:left="0" w:leftChars="0" w:firstLine="0" w:firstLineChars="0"/>
      <w:jc w:val="right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pacing w:val="-8"/>
        <w:sz w:val="18"/>
        <w:szCs w:val="18"/>
      </w:rPr>
      <w:t>II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5D4C69">
    <w:pPr>
      <w:pStyle w:val="6"/>
      <w:tabs>
        <w:tab w:val="right" w:pos="8965"/>
        <w:tab w:val="clear" w:pos="4153"/>
      </w:tabs>
      <w:jc w:val="right"/>
      <w:rPr>
        <w:rFonts w:hint="eastAsia"/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4B3FCF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4B3FCF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  <w:r>
      <w:rPr>
        <w:rFonts w:hint="eastAsia"/>
        <w:lang w:eastAsia="zh-CN"/>
      </w:rP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8EE375">
    <w:pPr>
      <w:pStyle w:val="6"/>
      <w:jc w:val="right"/>
      <w:rPr>
        <w:rFonts w:hint="eastAsia"/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D72C4B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D72C4B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C1EDB">
    <w:pPr>
      <w:pStyle w:val="5"/>
      <w:spacing w:line="14" w:lineRule="auto"/>
      <w:rPr>
        <w:sz w:val="2"/>
      </w:rPr>
    </w:pPr>
    <w:r>
      <w:pict>
        <v:shape id="WordPictureWatermark2" o:spid="_x0000_s2049" o:spt="75" type="#_x0000_t75" style="position:absolute;left:0pt;margin-left:100.55pt;margin-top:223.9pt;height:396.85pt;width:421pt;mso-position-horizontal-relative:page;mso-position-vertical-relative:page;z-index:-251657216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717525">
    <w:pPr>
      <w:pStyle w:val="5"/>
      <w:spacing w:line="14" w:lineRule="auto"/>
      <w:rPr>
        <w:sz w:val="2"/>
      </w:rPr>
    </w:pPr>
    <w:r>
      <w:pict>
        <v:shape id="WordPictureWatermark8" o:spid="_x0000_s2050" o:spt="75" type="#_x0000_t75" style="position:absolute;left:0pt;margin-left:100.55pt;margin-top:238.55pt;height:396.75pt;width:421pt;mso-position-horizontal-relative:page;mso-position-vertical-relative:page;z-index:-251656192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0061A3">
    <w:pPr>
      <w:spacing w:before="122" w:line="167" w:lineRule="auto"/>
      <w:ind w:left="6442"/>
      <w:rPr>
        <w:rFonts w:ascii="宋体" w:hAnsi="宋体" w:eastAsia="宋体" w:cs="宋体"/>
        <w:sz w:val="24"/>
        <w:szCs w:val="24"/>
      </w:rPr>
    </w:pPr>
    <w:r>
      <w:pict>
        <v:shape id="WordPictureWatermark10" o:spid="_x0000_s2051" o:spt="75" type="#_x0000_t75" style="position:absolute;left:0pt;margin-left:100.55pt;margin-top:238.55pt;height:396.75pt;width:421pt;mso-position-horizontal-relative:page;mso-position-vertical-relative:page;z-index:-251655168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  <w:r>
      <w:rPr>
        <w:rFonts w:ascii="宋体" w:hAnsi="宋体" w:eastAsia="宋体" w:cs="宋体"/>
        <w:spacing w:val="-1"/>
        <w:sz w:val="24"/>
        <w:szCs w:val="24"/>
      </w:rPr>
      <w:t xml:space="preserve">T/CFNA   </w:t>
    </w:r>
    <w:r>
      <w:rPr>
        <w:rFonts w:ascii="Arial Unicode MS" w:hAnsi="Arial Unicode MS" w:eastAsia="Arial Unicode MS" w:cs="Arial Unicode MS"/>
        <w:spacing w:val="-3"/>
        <w:sz w:val="28"/>
        <w:szCs w:val="28"/>
      </w:rPr>
      <w:t xml:space="preserve"> </w:t>
    </w:r>
    <w:r>
      <w:rPr>
        <w:rFonts w:hint="default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16</w:t>
    </w:r>
    <w:r>
      <w:rPr>
        <w:rFonts w:hint="eastAsia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83</w:t>
    </w:r>
    <w:r>
      <w:rPr>
        <w:rFonts w:hint="default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-2025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62E626">
    <w:pPr>
      <w:spacing w:before="122" w:line="167" w:lineRule="auto"/>
      <w:ind w:left="6442"/>
      <w:rPr>
        <w:rFonts w:hint="default" w:ascii="宋体" w:hAnsi="宋体" w:eastAsia="宋体" w:cs="宋体"/>
        <w:sz w:val="24"/>
        <w:szCs w:val="24"/>
        <w:lang w:val="en-US" w:eastAsia="zh-CN"/>
      </w:rPr>
    </w:pPr>
    <w:r>
      <w:pict>
        <v:shape id="WordPictureWatermark20" o:spid="_x0000_s2055" o:spt="75" type="#_x0000_t75" style="position:absolute;left:0pt;margin-left:107.6pt;margin-top:241.55pt;height:396.75pt;width:421pt;mso-position-horizontal-relative:page;mso-position-vertical-relative:page;z-index:-251654144;mso-width-relative:page;mso-height-relative:page;" filled="f" stroked="f" coordsize="21600,21600" o:allowincell="f">
          <v:path/>
          <v:fill on="f" focussize="0,0"/>
          <v:stroke on="f"/>
          <v:imagedata r:id="rId1" o:title=""/>
          <o:lock v:ext="edit" aspectratio="t"/>
        </v:shape>
      </w:pict>
    </w:r>
    <w:r>
      <w:rPr>
        <w:rFonts w:ascii="宋体" w:hAnsi="宋体" w:eastAsia="宋体" w:cs="宋体"/>
        <w:spacing w:val="-1"/>
        <w:sz w:val="24"/>
        <w:szCs w:val="24"/>
      </w:rPr>
      <w:t xml:space="preserve">T/CFNA    </w:t>
    </w:r>
    <w:r>
      <w:rPr>
        <w:rFonts w:hint="default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16</w:t>
    </w:r>
    <w:r>
      <w:rPr>
        <w:rFonts w:hint="eastAsia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83</w:t>
    </w:r>
    <w:r>
      <w:rPr>
        <w:rFonts w:hint="default" w:ascii="Times New Roman" w:hAnsi="Times New Roman" w:eastAsia="Arial Unicode MS" w:cs="Times New Roman"/>
        <w:b w:val="0"/>
        <w:bCs w:val="0"/>
        <w:spacing w:val="-3"/>
        <w:sz w:val="24"/>
        <w:szCs w:val="24"/>
        <w:lang w:val="en-US" w:eastAsia="zh-CN"/>
      </w:rPr>
      <w:t>-2025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5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20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suff w:val="nothing"/>
      <w:lvlText w:val="%1.%2.%3　"/>
      <w:lvlJc w:val="left"/>
      <w:pPr>
        <w:ind w:left="21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00D303B"/>
    <w:rsid w:val="004A0005"/>
    <w:rsid w:val="0351321A"/>
    <w:rsid w:val="03747A3A"/>
    <w:rsid w:val="04970A9E"/>
    <w:rsid w:val="04B213C1"/>
    <w:rsid w:val="04CB4B62"/>
    <w:rsid w:val="05C04234"/>
    <w:rsid w:val="06274E10"/>
    <w:rsid w:val="0633208D"/>
    <w:rsid w:val="0644652B"/>
    <w:rsid w:val="0F21498C"/>
    <w:rsid w:val="10044A9B"/>
    <w:rsid w:val="10A65B52"/>
    <w:rsid w:val="11523871"/>
    <w:rsid w:val="11E64458"/>
    <w:rsid w:val="12833D26"/>
    <w:rsid w:val="139D4FEA"/>
    <w:rsid w:val="14447B5C"/>
    <w:rsid w:val="14CF1B1B"/>
    <w:rsid w:val="156E4ABB"/>
    <w:rsid w:val="18146C43"/>
    <w:rsid w:val="1BF71CA7"/>
    <w:rsid w:val="1C623275"/>
    <w:rsid w:val="1C9176B6"/>
    <w:rsid w:val="240D3AC6"/>
    <w:rsid w:val="241C7D9A"/>
    <w:rsid w:val="25CF17EB"/>
    <w:rsid w:val="267478AE"/>
    <w:rsid w:val="278F158D"/>
    <w:rsid w:val="27F136FF"/>
    <w:rsid w:val="294E705B"/>
    <w:rsid w:val="297065E3"/>
    <w:rsid w:val="2A64640A"/>
    <w:rsid w:val="2B086178"/>
    <w:rsid w:val="2B5B15BB"/>
    <w:rsid w:val="2BD82C0B"/>
    <w:rsid w:val="2D273CC9"/>
    <w:rsid w:val="2EE34571"/>
    <w:rsid w:val="310D15A9"/>
    <w:rsid w:val="31B57F3A"/>
    <w:rsid w:val="32326DEE"/>
    <w:rsid w:val="37FE7E9E"/>
    <w:rsid w:val="383D23F8"/>
    <w:rsid w:val="383E3EB7"/>
    <w:rsid w:val="39292CF8"/>
    <w:rsid w:val="39A0423B"/>
    <w:rsid w:val="3A23568E"/>
    <w:rsid w:val="3AB24F6F"/>
    <w:rsid w:val="3C236F8B"/>
    <w:rsid w:val="3C6504EB"/>
    <w:rsid w:val="3CD369EB"/>
    <w:rsid w:val="3D515EC7"/>
    <w:rsid w:val="3DEB3A85"/>
    <w:rsid w:val="3E6A4F84"/>
    <w:rsid w:val="40B10B9B"/>
    <w:rsid w:val="42A47894"/>
    <w:rsid w:val="435B43F6"/>
    <w:rsid w:val="45216F7A"/>
    <w:rsid w:val="4609638B"/>
    <w:rsid w:val="466E5F3D"/>
    <w:rsid w:val="47A0121F"/>
    <w:rsid w:val="4A630034"/>
    <w:rsid w:val="4B45693B"/>
    <w:rsid w:val="4BC6087B"/>
    <w:rsid w:val="4C31572B"/>
    <w:rsid w:val="4C6C30EE"/>
    <w:rsid w:val="4C8F3630"/>
    <w:rsid w:val="50CE7210"/>
    <w:rsid w:val="50FC2FD1"/>
    <w:rsid w:val="53034162"/>
    <w:rsid w:val="54AE4346"/>
    <w:rsid w:val="55421798"/>
    <w:rsid w:val="572D7A22"/>
    <w:rsid w:val="57853398"/>
    <w:rsid w:val="5A7A2F5C"/>
    <w:rsid w:val="5BD26DC8"/>
    <w:rsid w:val="5E860FB5"/>
    <w:rsid w:val="60FA4DF7"/>
    <w:rsid w:val="633839B4"/>
    <w:rsid w:val="63915AB1"/>
    <w:rsid w:val="63FA6EBC"/>
    <w:rsid w:val="64B13F23"/>
    <w:rsid w:val="64B66E59"/>
    <w:rsid w:val="650107B1"/>
    <w:rsid w:val="67095FBF"/>
    <w:rsid w:val="68C33D20"/>
    <w:rsid w:val="691E3ADB"/>
    <w:rsid w:val="6C517895"/>
    <w:rsid w:val="6C693B68"/>
    <w:rsid w:val="6E2C30EB"/>
    <w:rsid w:val="6E8403F6"/>
    <w:rsid w:val="706109EE"/>
    <w:rsid w:val="71145A61"/>
    <w:rsid w:val="715F1C82"/>
    <w:rsid w:val="73970283"/>
    <w:rsid w:val="73993FFB"/>
    <w:rsid w:val="749B2484"/>
    <w:rsid w:val="784529A4"/>
    <w:rsid w:val="7931117A"/>
    <w:rsid w:val="7AA17C39"/>
    <w:rsid w:val="7B752E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Emphasis"/>
    <w:basedOn w:val="10"/>
    <w:qFormat/>
    <w:uiPriority w:val="0"/>
    <w:rPr>
      <w:i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Table Text"/>
    <w:basedOn w:val="1"/>
    <w:semiHidden/>
    <w:qFormat/>
    <w:uiPriority w:val="0"/>
    <w:rPr>
      <w:rFonts w:ascii="Arial" w:hAnsi="Arial" w:eastAsia="Arial" w:cs="Arial"/>
      <w:sz w:val="19"/>
      <w:szCs w:val="19"/>
      <w:lang w:val="en-US" w:eastAsia="en-US" w:bidi="ar-SA"/>
    </w:rPr>
  </w:style>
  <w:style w:type="paragraph" w:customStyle="1" w:styleId="15">
    <w:name w:val="章标题"/>
    <w:next w:val="16"/>
    <w:qFormat/>
    <w:uiPriority w:val="0"/>
    <w:pPr>
      <w:numPr>
        <w:ilvl w:val="0"/>
        <w:numId w:val="1"/>
      </w:numPr>
      <w:spacing w:before="312" w:beforeLines="100" w:after="312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6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7">
    <w:name w:val="目次、标准名称标题"/>
    <w:basedOn w:val="1"/>
    <w:next w:val="16"/>
    <w:qFormat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18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19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20">
    <w:name w:val="一级条标题"/>
    <w:next w:val="16"/>
    <w:link w:val="21"/>
    <w:qFormat/>
    <w:uiPriority w:val="0"/>
    <w:pPr>
      <w:numPr>
        <w:ilvl w:val="1"/>
        <w:numId w:val="1"/>
      </w:num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character" w:customStyle="1" w:styleId="21">
    <w:name w:val="一级条标题 Char"/>
    <w:link w:val="20"/>
    <w:qFormat/>
    <w:uiPriority w:val="0"/>
    <w:rPr>
      <w:rFonts w:ascii="黑体" w:hAnsi="Times New Roman" w:eastAsia="黑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header" Target="header3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4.png"/><Relationship Id="rId13" Type="http://schemas.openxmlformats.org/officeDocument/2006/relationships/theme" Target="theme/theme1.xml"/><Relationship Id="rId12" Type="http://schemas.openxmlformats.org/officeDocument/2006/relationships/footer" Target="footer4.xml"/><Relationship Id="rId11" Type="http://schemas.openxmlformats.org/officeDocument/2006/relationships/footer" Target="footer3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5"/>
    <customShpInfo spid="_x0000_s1026" textRotate="1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1510</Words>
  <Characters>2061</Characters>
  <TotalTime>22</TotalTime>
  <ScaleCrop>false</ScaleCrop>
  <LinksUpToDate>false</LinksUpToDate>
  <CharactersWithSpaces>2272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2020-12-31T09:12:00Z</dcterms:created>
  <dc:creator>DELL</dc:creator>
  <cp:lastModifiedBy>Mincy^</cp:lastModifiedBy>
  <cp:lastPrinted>2026-06-24T08:14:22Z</cp:lastPrinted>
  <dcterms:modified xsi:type="dcterms:W3CDTF">2026-06-24T08:14:26Z</dcterms:modified>
  <dc:title>标准名称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2025-11-25T14:50:43Z</vt:filetime>
  </property>
  <property fmtid="{D5CDD505-2E9C-101B-9397-08002B2CF9AE}" pid="4" name="KSOTemplateDocerSaveRecord">
    <vt:lpwstr>eyJoZGlkIjoiZWYxMjBhZTcyZWMxODM4YjA3MmQ3ZDE5YTQ4NTBkYzQiLCJ1c2VySWQiOiI0MjA1NTI2NTUifQ==</vt:lpwstr>
  </property>
  <property fmtid="{D5CDD505-2E9C-101B-9397-08002B2CF9AE}" pid="5" name="KSOProductBuildVer">
    <vt:lpwstr>2052-12.1.0.26895</vt:lpwstr>
  </property>
  <property fmtid="{D5CDD505-2E9C-101B-9397-08002B2CF9AE}" pid="6" name="ICV">
    <vt:lpwstr>63E8FA1683E84297938222115F6096E2_13</vt:lpwstr>
  </property>
</Properties>
</file>