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282407">
      <w:pPr>
        <w:pStyle w:val="5"/>
        <w:spacing w:line="242" w:lineRule="auto"/>
      </w:pPr>
    </w:p>
    <w:p w14:paraId="254DD304">
      <w:pPr>
        <w:pStyle w:val="5"/>
        <w:spacing w:line="242" w:lineRule="auto"/>
      </w:pPr>
    </w:p>
    <w:p w14:paraId="064E24A3">
      <w:pPr>
        <w:pStyle w:val="5"/>
        <w:spacing w:line="243" w:lineRule="auto"/>
      </w:pPr>
    </w:p>
    <w:p w14:paraId="28954437">
      <w:pPr>
        <w:pStyle w:val="5"/>
        <w:spacing w:line="243" w:lineRule="auto"/>
      </w:pPr>
    </w:p>
    <w:p w14:paraId="3872E74F">
      <w:pPr>
        <w:pStyle w:val="5"/>
        <w:spacing w:line="243" w:lineRule="auto"/>
      </w:pPr>
      <w:r>
        <w:pict>
          <v:shape id="_x0000_s1026" o:spid="_x0000_s1026" style="position:absolute;left:0pt;margin-left:0pt;margin-top:5.25pt;height:0.75pt;width:487.5pt;z-index:251660288;mso-width-relative:page;mso-height-relative:page;" fillcolor="#000000" filled="t" stroked="f" coordsize="9750,15" path="m0,0l9750,0,9750,14,0,14,0,0xe">
            <v:path/>
            <v:fill on="t" focussize="0,0"/>
            <v:stroke on="f"/>
            <v:imagedata o:title=""/>
            <o:lock v:ext="edit"/>
          </v:shape>
        </w:pict>
      </w:r>
    </w:p>
    <w:p w14:paraId="70C7B95D">
      <w:pPr>
        <w:pStyle w:val="5"/>
        <w:spacing w:line="243" w:lineRule="auto"/>
      </w:pPr>
    </w:p>
    <w:p w14:paraId="310018AE">
      <w:pPr>
        <w:pStyle w:val="5"/>
        <w:spacing w:line="243" w:lineRule="auto"/>
      </w:pPr>
    </w:p>
    <w:p w14:paraId="74ECFB70">
      <w:pPr>
        <w:pStyle w:val="5"/>
        <w:spacing w:line="243" w:lineRule="auto"/>
      </w:pPr>
    </w:p>
    <w:p w14:paraId="6C0FEAC4">
      <w:pPr>
        <w:pStyle w:val="5"/>
        <w:spacing w:line="243" w:lineRule="auto"/>
      </w:pPr>
    </w:p>
    <w:p w14:paraId="4AE28C22">
      <w:pPr>
        <w:pStyle w:val="5"/>
        <w:spacing w:line="243" w:lineRule="auto"/>
      </w:pPr>
    </w:p>
    <w:p w14:paraId="3FD59DE0">
      <w:pPr>
        <w:spacing w:before="169" w:line="221" w:lineRule="auto"/>
        <w:ind w:left="1020"/>
        <w:rPr>
          <w:rFonts w:ascii="黑体" w:hAnsi="黑体" w:eastAsia="黑体" w:cs="黑体"/>
          <w:sz w:val="52"/>
          <w:szCs w:val="52"/>
        </w:rPr>
      </w:pPr>
      <w:r>
        <w:rPr>
          <w:rFonts w:ascii="黑体" w:hAnsi="黑体" w:eastAsia="黑体" w:cs="黑体"/>
          <w:b/>
          <w:bCs/>
          <w:spacing w:val="-8"/>
          <w:sz w:val="52"/>
          <w:szCs w:val="52"/>
        </w:rPr>
        <w:t>中国食品土畜进出口商会团体标准</w:t>
      </w:r>
    </w:p>
    <w:p w14:paraId="450C038A">
      <w:pPr>
        <w:pStyle w:val="5"/>
        <w:spacing w:line="478" w:lineRule="auto"/>
      </w:pPr>
    </w:p>
    <w:p w14:paraId="5342D9AC">
      <w:pPr>
        <w:spacing w:before="122" w:line="167" w:lineRule="auto"/>
        <w:ind w:left="6442"/>
        <w:rPr>
          <w:rFonts w:hint="default" w:ascii="Arial Unicode MS" w:hAnsi="Arial Unicode MS" w:eastAsia="Arial Unicode MS" w:cs="Arial Unicode MS"/>
          <w:sz w:val="28"/>
          <w:szCs w:val="28"/>
          <w:lang w:val="en-US" w:eastAsia="zh-CN"/>
        </w:rPr>
      </w:pPr>
      <w:r>
        <w:rPr>
          <w:rFonts w:ascii="Arial Unicode MS" w:hAnsi="Arial Unicode MS" w:eastAsia="Arial Unicode MS" w:cs="Arial Unicode MS"/>
          <w:b/>
          <w:bCs/>
          <w:spacing w:val="-3"/>
          <w:sz w:val="28"/>
          <w:szCs w:val="28"/>
        </w:rPr>
        <w:t>T/CFNA</w:t>
      </w:r>
      <w:r>
        <w:rPr>
          <w:rFonts w:ascii="Arial Unicode MS" w:hAnsi="Arial Unicode MS" w:eastAsia="Arial Unicode MS" w:cs="Arial Unicode MS"/>
          <w:spacing w:val="-3"/>
          <w:sz w:val="28"/>
          <w:szCs w:val="28"/>
        </w:rPr>
        <w:t xml:space="preserve">  </w:t>
      </w:r>
      <w:r>
        <w:rPr>
          <w:rFonts w:hint="eastAsia" w:ascii="Arial Unicode MS" w:hAnsi="Arial Unicode MS" w:eastAsia="Arial Unicode MS" w:cs="Arial Unicode MS"/>
          <w:b/>
          <w:bCs/>
          <w:spacing w:val="-3"/>
          <w:sz w:val="28"/>
          <w:szCs w:val="28"/>
          <w:lang w:val="en-US" w:eastAsia="zh-CN"/>
        </w:rPr>
        <w:t>1682-2025</w:t>
      </w:r>
    </w:p>
    <w:p w14:paraId="17C807DB">
      <w:pPr>
        <w:pStyle w:val="5"/>
        <w:spacing w:line="258" w:lineRule="auto"/>
      </w:pPr>
    </w:p>
    <w:p w14:paraId="408A217C">
      <w:pPr>
        <w:pStyle w:val="5"/>
        <w:spacing w:line="258" w:lineRule="auto"/>
      </w:pPr>
      <w:r>
        <w:pict>
          <v:shape id="_x0000_s1027" o:spid="_x0000_s1027" style="position:absolute;left:0pt;margin-left:0.2pt;margin-top:1.2pt;height:0.5pt;width:487.45pt;z-index:251661312;mso-width-relative:page;mso-height-relative:page;" filled="f" stroked="t" coordsize="9749,10" path="m0,4l9748,4e">
            <v:fill on="f" focussize="0,0"/>
            <v:stroke weight="0.48pt" color="#000000" miterlimit="2" joinstyle="bevel"/>
            <v:imagedata o:title=""/>
            <o:lock v:ext="edit"/>
          </v:shape>
        </w:pict>
      </w:r>
    </w:p>
    <w:p w14:paraId="28754971">
      <w:pPr>
        <w:pStyle w:val="5"/>
        <w:spacing w:line="259" w:lineRule="auto"/>
      </w:pPr>
    </w:p>
    <w:p w14:paraId="07D58044">
      <w:pPr>
        <w:pStyle w:val="5"/>
        <w:spacing w:line="259" w:lineRule="auto"/>
      </w:pPr>
    </w:p>
    <w:p w14:paraId="1FEFC65C">
      <w:pPr>
        <w:pStyle w:val="5"/>
        <w:spacing w:line="259" w:lineRule="auto"/>
      </w:pPr>
    </w:p>
    <w:p w14:paraId="65A43CE3">
      <w:pPr>
        <w:pStyle w:val="5"/>
        <w:spacing w:line="259" w:lineRule="auto"/>
      </w:pPr>
    </w:p>
    <w:p w14:paraId="3717AD40">
      <w:pPr>
        <w:pStyle w:val="5"/>
        <w:spacing w:line="259" w:lineRule="auto"/>
      </w:pPr>
    </w:p>
    <w:p w14:paraId="3C519688">
      <w:pPr>
        <w:pStyle w:val="5"/>
        <w:spacing w:line="259" w:lineRule="auto"/>
      </w:pPr>
    </w:p>
    <w:p w14:paraId="50C74304">
      <w:pPr>
        <w:pStyle w:val="5"/>
        <w:spacing w:line="259" w:lineRule="auto"/>
      </w:pPr>
    </w:p>
    <w:p w14:paraId="1EBF7BA0">
      <w:pPr>
        <w:pStyle w:val="5"/>
        <w:spacing w:line="259" w:lineRule="auto"/>
      </w:pPr>
    </w:p>
    <w:p w14:paraId="6F62F4D4">
      <w:pPr>
        <w:pStyle w:val="5"/>
        <w:spacing w:line="259" w:lineRule="auto"/>
      </w:pPr>
    </w:p>
    <w:p w14:paraId="04D8160B">
      <w:pPr>
        <w:pStyle w:val="5"/>
        <w:spacing w:line="259" w:lineRule="auto"/>
      </w:pPr>
    </w:p>
    <w:p w14:paraId="6C128A61">
      <w:pPr>
        <w:spacing w:before="140" w:line="225" w:lineRule="auto"/>
        <w:ind w:left="2253"/>
        <w:rPr>
          <w:rFonts w:hint="eastAsia" w:ascii="黑体" w:hAnsi="黑体" w:eastAsia="黑体" w:cs="黑体"/>
          <w:b/>
          <w:bCs/>
          <w:spacing w:val="4"/>
          <w:sz w:val="43"/>
          <w:szCs w:val="43"/>
          <w:lang w:eastAsia="zh-CN"/>
        </w:rPr>
      </w:pPr>
      <w:r>
        <w:rPr>
          <w:rFonts w:hint="eastAsia" w:ascii="黑体" w:hAnsi="黑体" w:eastAsia="黑体" w:cs="黑体"/>
          <w:b/>
          <w:bCs/>
          <w:spacing w:val="4"/>
          <w:sz w:val="43"/>
          <w:szCs w:val="43"/>
        </w:rPr>
        <w:t>黑水虻虫卵虫苗分级标准</w:t>
      </w:r>
    </w:p>
    <w:p w14:paraId="01F03D2D">
      <w:pPr>
        <w:pStyle w:val="5"/>
        <w:spacing w:line="270" w:lineRule="auto"/>
      </w:pPr>
    </w:p>
    <w:p w14:paraId="71916A16">
      <w:pPr>
        <w:spacing w:before="283" w:line="222" w:lineRule="auto"/>
        <w:ind w:left="220" w:leftChars="0" w:firstLine="0" w:firstLineChars="0"/>
        <w:jc w:val="center"/>
        <w:rPr>
          <w:rFonts w:hint="eastAsia" w:ascii="Arial Unicode MS" w:hAnsi="Arial Unicode MS" w:eastAsia="Arial Unicode MS" w:cs="Arial Unicode MS"/>
          <w:b/>
          <w:bCs/>
          <w:sz w:val="43"/>
          <w:szCs w:val="43"/>
        </w:rPr>
      </w:pPr>
      <w:r>
        <w:rPr>
          <w:rFonts w:hint="eastAsia" w:ascii="Arial Unicode MS" w:hAnsi="Arial Unicode MS" w:eastAsia="Arial Unicode MS" w:cs="Arial Unicode MS"/>
          <w:b/>
          <w:bCs/>
          <w:sz w:val="43"/>
          <w:szCs w:val="43"/>
        </w:rPr>
        <w:t xml:space="preserve">Grading Standard for Eggs and </w:t>
      </w:r>
      <w:r>
        <w:rPr>
          <w:rFonts w:hint="eastAsia" w:ascii="Arial Unicode MS" w:hAnsi="Arial Unicode MS" w:eastAsia="Arial Unicode MS" w:cs="Arial Unicode MS"/>
          <w:b/>
          <w:bCs/>
          <w:sz w:val="43"/>
          <w:szCs w:val="43"/>
          <w:lang w:val="en-US" w:eastAsia="zh-CN"/>
        </w:rPr>
        <w:t xml:space="preserve">Seedlings </w:t>
      </w:r>
      <w:r>
        <w:rPr>
          <w:rFonts w:hint="eastAsia" w:ascii="Arial Unicode MS" w:hAnsi="Arial Unicode MS" w:eastAsia="Arial Unicode MS" w:cs="Arial Unicode MS"/>
          <w:b/>
          <w:bCs/>
          <w:sz w:val="43"/>
          <w:szCs w:val="43"/>
        </w:rPr>
        <w:t>of Black Soldier Fly</w:t>
      </w:r>
    </w:p>
    <w:p w14:paraId="7DE1820C">
      <w:pPr>
        <w:spacing w:before="283" w:line="222" w:lineRule="auto"/>
        <w:ind w:left="220" w:leftChars="0" w:firstLine="0" w:firstLineChars="0"/>
        <w:jc w:val="center"/>
        <w:rPr>
          <w:rFonts w:ascii="黑体" w:hAnsi="黑体" w:eastAsia="黑体" w:cs="黑体"/>
          <w:sz w:val="28"/>
          <w:szCs w:val="28"/>
        </w:rPr>
      </w:pPr>
      <w:r>
        <w:rPr>
          <w:rFonts w:ascii="黑体" w:hAnsi="黑体" w:eastAsia="黑体" w:cs="黑体"/>
          <w:b/>
          <w:bCs/>
          <w:spacing w:val="-7"/>
          <w:sz w:val="28"/>
          <w:szCs w:val="28"/>
        </w:rPr>
        <w:t>（</w:t>
      </w:r>
      <w:r>
        <w:rPr>
          <w:rFonts w:hint="eastAsia" w:ascii="黑体" w:hAnsi="黑体" w:eastAsia="黑体" w:cs="黑体"/>
          <w:b/>
          <w:bCs/>
          <w:spacing w:val="-7"/>
          <w:sz w:val="28"/>
          <w:szCs w:val="28"/>
          <w:lang w:val="en-US" w:eastAsia="zh-CN"/>
        </w:rPr>
        <w:t>征求意见</w:t>
      </w:r>
      <w:r>
        <w:rPr>
          <w:rFonts w:ascii="黑体" w:hAnsi="黑体" w:eastAsia="黑体" w:cs="黑体"/>
          <w:b/>
          <w:bCs/>
          <w:spacing w:val="-7"/>
          <w:sz w:val="28"/>
          <w:szCs w:val="28"/>
        </w:rPr>
        <w:t>稿）</w:t>
      </w:r>
    </w:p>
    <w:p w14:paraId="5002F51E">
      <w:pPr>
        <w:pStyle w:val="5"/>
        <w:spacing w:line="248" w:lineRule="auto"/>
      </w:pPr>
    </w:p>
    <w:p w14:paraId="6D936D38">
      <w:pPr>
        <w:pStyle w:val="5"/>
        <w:spacing w:line="248" w:lineRule="auto"/>
      </w:pPr>
    </w:p>
    <w:p w14:paraId="46E08A30">
      <w:pPr>
        <w:pStyle w:val="5"/>
        <w:spacing w:line="248" w:lineRule="auto"/>
      </w:pPr>
    </w:p>
    <w:p w14:paraId="76F2BE20">
      <w:pPr>
        <w:pStyle w:val="5"/>
        <w:spacing w:line="248" w:lineRule="auto"/>
      </w:pPr>
    </w:p>
    <w:p w14:paraId="318AAE72">
      <w:pPr>
        <w:pStyle w:val="5"/>
        <w:spacing w:line="249" w:lineRule="auto"/>
      </w:pPr>
    </w:p>
    <w:p w14:paraId="330A35AF">
      <w:pPr>
        <w:pStyle w:val="5"/>
        <w:spacing w:line="249" w:lineRule="auto"/>
      </w:pPr>
    </w:p>
    <w:p w14:paraId="463A3ED2">
      <w:pPr>
        <w:pStyle w:val="5"/>
        <w:spacing w:line="249" w:lineRule="auto"/>
      </w:pPr>
    </w:p>
    <w:p w14:paraId="1756AD29">
      <w:pPr>
        <w:pStyle w:val="5"/>
        <w:spacing w:line="249" w:lineRule="auto"/>
      </w:pPr>
    </w:p>
    <w:p w14:paraId="7B69AB90">
      <w:pPr>
        <w:pStyle w:val="5"/>
        <w:spacing w:line="249" w:lineRule="auto"/>
      </w:pPr>
    </w:p>
    <w:p w14:paraId="67D250B4">
      <w:pPr>
        <w:pStyle w:val="5"/>
        <w:spacing w:line="249" w:lineRule="auto"/>
      </w:pPr>
    </w:p>
    <w:p w14:paraId="71CABD59">
      <w:pPr>
        <w:pStyle w:val="5"/>
        <w:spacing w:line="249" w:lineRule="auto"/>
      </w:pPr>
    </w:p>
    <w:p w14:paraId="4C98E942">
      <w:pPr>
        <w:pStyle w:val="5"/>
        <w:spacing w:line="249" w:lineRule="auto"/>
      </w:pPr>
    </w:p>
    <w:p w14:paraId="7BFC829E">
      <w:pPr>
        <w:pStyle w:val="5"/>
        <w:spacing w:line="249" w:lineRule="auto"/>
      </w:pPr>
    </w:p>
    <w:p w14:paraId="6731F2AB">
      <w:pPr>
        <w:spacing w:before="91" w:line="222" w:lineRule="auto"/>
        <w:ind w:left="882"/>
        <w:rPr>
          <w:rFonts w:ascii="黑体" w:hAnsi="黑体" w:eastAsia="黑体" w:cs="黑体"/>
          <w:sz w:val="28"/>
          <w:szCs w:val="28"/>
        </w:rPr>
      </w:pPr>
      <w:r>
        <w:rPr>
          <w:rFonts w:ascii="黑体" w:hAnsi="黑体" w:eastAsia="黑体" w:cs="黑体"/>
          <w:b/>
          <w:bCs/>
          <w:spacing w:val="-1"/>
          <w:sz w:val="28"/>
          <w:szCs w:val="28"/>
        </w:rPr>
        <w:t>202</w:t>
      </w:r>
      <w:r>
        <w:rPr>
          <w:rFonts w:hint="eastAsia" w:ascii="黑体" w:hAnsi="黑体" w:eastAsia="黑体" w:cs="黑体"/>
          <w:b/>
          <w:bCs/>
          <w:spacing w:val="-1"/>
          <w:sz w:val="28"/>
          <w:szCs w:val="28"/>
          <w:lang w:val="en-US" w:eastAsia="zh-CN"/>
        </w:rPr>
        <w:t>5</w:t>
      </w:r>
      <w:r>
        <w:rPr>
          <w:rFonts w:ascii="黑体" w:hAnsi="黑体" w:eastAsia="黑体" w:cs="黑体"/>
          <w:b/>
          <w:bCs/>
          <w:spacing w:val="-1"/>
          <w:sz w:val="28"/>
          <w:szCs w:val="28"/>
        </w:rPr>
        <w:t>-</w:t>
      </w:r>
      <w:r>
        <w:rPr>
          <w:rFonts w:hint="eastAsia" w:ascii="黑体" w:hAnsi="黑体" w:eastAsia="黑体" w:cs="黑体"/>
          <w:b/>
          <w:bCs/>
          <w:spacing w:val="-1"/>
          <w:sz w:val="28"/>
          <w:szCs w:val="28"/>
          <w:lang w:val="en-US" w:eastAsia="zh-CN"/>
        </w:rPr>
        <w:t>**</w:t>
      </w:r>
      <w:r>
        <w:rPr>
          <w:rFonts w:ascii="黑体" w:hAnsi="黑体" w:eastAsia="黑体" w:cs="黑体"/>
          <w:b/>
          <w:bCs/>
          <w:spacing w:val="-1"/>
          <w:sz w:val="28"/>
          <w:szCs w:val="28"/>
        </w:rPr>
        <w:t>-</w:t>
      </w:r>
      <w:r>
        <w:rPr>
          <w:rFonts w:hint="eastAsia" w:ascii="黑体" w:hAnsi="黑体" w:eastAsia="黑体" w:cs="黑体"/>
          <w:b/>
          <w:bCs/>
          <w:spacing w:val="-1"/>
          <w:sz w:val="28"/>
          <w:szCs w:val="28"/>
          <w:lang w:val="en-US" w:eastAsia="zh-CN"/>
        </w:rPr>
        <w:t>*</w:t>
      </w:r>
      <w:r>
        <w:rPr>
          <w:rFonts w:ascii="黑体" w:hAnsi="黑体" w:eastAsia="黑体" w:cs="黑体"/>
          <w:b/>
          <w:bCs/>
          <w:spacing w:val="-1"/>
          <w:sz w:val="28"/>
          <w:szCs w:val="28"/>
        </w:rPr>
        <w:t>发布</w:t>
      </w:r>
      <w:r>
        <w:rPr>
          <w:rFonts w:ascii="黑体" w:hAnsi="黑体" w:eastAsia="黑体" w:cs="黑体"/>
          <w:spacing w:val="-1"/>
          <w:sz w:val="28"/>
          <w:szCs w:val="28"/>
        </w:rPr>
        <w:t xml:space="preserve">                        </w:t>
      </w:r>
      <w:r>
        <w:rPr>
          <w:rFonts w:ascii="黑体" w:hAnsi="黑体" w:eastAsia="黑体" w:cs="黑体"/>
          <w:spacing w:val="-2"/>
          <w:sz w:val="28"/>
          <w:szCs w:val="28"/>
        </w:rPr>
        <w:t xml:space="preserve">    </w:t>
      </w:r>
      <w:r>
        <w:rPr>
          <w:rFonts w:ascii="黑体" w:hAnsi="黑体" w:eastAsia="黑体" w:cs="黑体"/>
          <w:b/>
          <w:bCs/>
          <w:spacing w:val="-2"/>
          <w:sz w:val="28"/>
          <w:szCs w:val="28"/>
        </w:rPr>
        <w:t>202</w:t>
      </w:r>
      <w:r>
        <w:rPr>
          <w:rFonts w:hint="eastAsia" w:ascii="黑体" w:hAnsi="黑体" w:eastAsia="黑体" w:cs="黑体"/>
          <w:b/>
          <w:bCs/>
          <w:spacing w:val="-2"/>
          <w:sz w:val="28"/>
          <w:szCs w:val="28"/>
          <w:lang w:val="en-US" w:eastAsia="zh-CN"/>
        </w:rPr>
        <w:t>6</w:t>
      </w:r>
      <w:r>
        <w:rPr>
          <w:rFonts w:ascii="黑体" w:hAnsi="黑体" w:eastAsia="黑体" w:cs="黑体"/>
          <w:b/>
          <w:bCs/>
          <w:spacing w:val="-2"/>
          <w:sz w:val="28"/>
          <w:szCs w:val="28"/>
        </w:rPr>
        <w:t>-</w:t>
      </w:r>
      <w:r>
        <w:rPr>
          <w:rFonts w:hint="eastAsia" w:ascii="黑体" w:hAnsi="黑体" w:eastAsia="黑体" w:cs="黑体"/>
          <w:b/>
          <w:bCs/>
          <w:spacing w:val="-2"/>
          <w:sz w:val="28"/>
          <w:szCs w:val="28"/>
          <w:lang w:val="en-US" w:eastAsia="zh-CN"/>
        </w:rPr>
        <w:t>*</w:t>
      </w:r>
      <w:r>
        <w:rPr>
          <w:rFonts w:ascii="黑体" w:hAnsi="黑体" w:eastAsia="黑体" w:cs="黑体"/>
          <w:b/>
          <w:bCs/>
          <w:spacing w:val="-2"/>
          <w:sz w:val="28"/>
          <w:szCs w:val="28"/>
        </w:rPr>
        <w:t>-</w:t>
      </w:r>
      <w:r>
        <w:rPr>
          <w:rFonts w:hint="eastAsia" w:ascii="黑体" w:hAnsi="黑体" w:eastAsia="黑体" w:cs="黑体"/>
          <w:b/>
          <w:bCs/>
          <w:spacing w:val="-2"/>
          <w:sz w:val="28"/>
          <w:szCs w:val="28"/>
          <w:lang w:val="en-US" w:eastAsia="zh-CN"/>
        </w:rPr>
        <w:t>*</w:t>
      </w:r>
      <w:r>
        <w:rPr>
          <w:rFonts w:ascii="黑体" w:hAnsi="黑体" w:eastAsia="黑体" w:cs="黑体"/>
          <w:spacing w:val="-53"/>
          <w:sz w:val="28"/>
          <w:szCs w:val="28"/>
        </w:rPr>
        <w:t xml:space="preserve"> </w:t>
      </w:r>
      <w:r>
        <w:rPr>
          <w:rFonts w:ascii="黑体" w:hAnsi="黑体" w:eastAsia="黑体" w:cs="黑体"/>
          <w:b/>
          <w:bCs/>
          <w:spacing w:val="-2"/>
          <w:sz w:val="28"/>
          <w:szCs w:val="28"/>
        </w:rPr>
        <w:t>实施</w:t>
      </w:r>
    </w:p>
    <w:p w14:paraId="6B0285C3">
      <w:pPr>
        <w:pStyle w:val="5"/>
        <w:spacing w:line="271" w:lineRule="auto"/>
      </w:pPr>
      <w:r>
        <w:drawing>
          <wp:anchor distT="0" distB="0" distL="0" distR="0" simplePos="0" relativeHeight="251659264" behindDoc="0" locked="0" layoutInCell="1" allowOverlap="1">
            <wp:simplePos x="0" y="0"/>
            <wp:positionH relativeFrom="column">
              <wp:posOffset>106680</wp:posOffset>
            </wp:positionH>
            <wp:positionV relativeFrom="paragraph">
              <wp:posOffset>106045</wp:posOffset>
            </wp:positionV>
            <wp:extent cx="6120130" cy="9525"/>
            <wp:effectExtent l="0" t="0" r="0" b="0"/>
            <wp:wrapNone/>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2"/>
                    <a:stretch>
                      <a:fillRect/>
                    </a:stretch>
                  </pic:blipFill>
                  <pic:spPr>
                    <a:xfrm>
                      <a:off x="0" y="0"/>
                      <a:ext cx="6120129" cy="9525"/>
                    </a:xfrm>
                    <a:prstGeom prst="rect">
                      <a:avLst/>
                    </a:prstGeom>
                  </pic:spPr>
                </pic:pic>
              </a:graphicData>
            </a:graphic>
          </wp:anchor>
        </w:drawing>
      </w:r>
    </w:p>
    <w:p w14:paraId="4C756D86">
      <w:pPr>
        <w:spacing w:before="101" w:line="226" w:lineRule="auto"/>
        <w:ind w:left="2030"/>
        <w:rPr>
          <w:rFonts w:ascii="黑体" w:hAnsi="黑体" w:eastAsia="黑体" w:cs="黑体"/>
          <w:sz w:val="24"/>
          <w:szCs w:val="24"/>
        </w:rPr>
      </w:pPr>
      <w:r>
        <w:rPr>
          <w:rFonts w:ascii="黑体" w:hAnsi="黑体" w:eastAsia="黑体" w:cs="黑体"/>
          <w:b/>
          <w:bCs/>
          <w:spacing w:val="59"/>
          <w:w w:val="111"/>
          <w:sz w:val="31"/>
          <w:szCs w:val="31"/>
        </w:rPr>
        <w:t>中国食品土畜进出口商会</w:t>
      </w:r>
      <w:r>
        <w:rPr>
          <w:rFonts w:ascii="黑体" w:hAnsi="黑体" w:eastAsia="黑体" w:cs="黑体"/>
          <w:spacing w:val="59"/>
          <w:w w:val="111"/>
          <w:sz w:val="31"/>
          <w:szCs w:val="31"/>
        </w:rPr>
        <w:t xml:space="preserve">  </w:t>
      </w:r>
      <w:r>
        <w:rPr>
          <w:rFonts w:ascii="黑体" w:hAnsi="黑体" w:eastAsia="黑体" w:cs="黑体"/>
          <w:b/>
          <w:bCs/>
          <w:spacing w:val="59"/>
          <w:w w:val="111"/>
          <w:sz w:val="24"/>
          <w:szCs w:val="24"/>
        </w:rPr>
        <w:t>发布</w:t>
      </w:r>
    </w:p>
    <w:p w14:paraId="5A81228F">
      <w:pPr>
        <w:spacing w:line="226" w:lineRule="auto"/>
        <w:rPr>
          <w:rFonts w:ascii="黑体" w:hAnsi="黑体" w:eastAsia="黑体" w:cs="黑体"/>
          <w:sz w:val="24"/>
          <w:szCs w:val="24"/>
        </w:rPr>
        <w:sectPr>
          <w:headerReference r:id="rId5" w:type="default"/>
          <w:pgSz w:w="11910" w:h="16840"/>
          <w:pgMar w:top="400" w:right="1024" w:bottom="0" w:left="1080" w:header="0" w:footer="0" w:gutter="0"/>
          <w:pgBorders>
            <w:top w:val="none" w:sz="0" w:space="0"/>
            <w:left w:val="none" w:sz="0" w:space="0"/>
            <w:bottom w:val="none" w:sz="0" w:space="0"/>
            <w:right w:val="none" w:sz="0" w:space="0"/>
          </w:pgBorders>
          <w:cols w:space="720" w:num="1"/>
        </w:sectPr>
      </w:pPr>
    </w:p>
    <w:p w14:paraId="31EDC586">
      <w:pPr>
        <w:pStyle w:val="5"/>
        <w:spacing w:line="349" w:lineRule="auto"/>
      </w:pPr>
    </w:p>
    <w:p w14:paraId="5B62F374">
      <w:pPr>
        <w:pStyle w:val="5"/>
        <w:spacing w:line="350" w:lineRule="auto"/>
      </w:pPr>
    </w:p>
    <w:p w14:paraId="6D90D6AB">
      <w:pPr>
        <w:spacing w:before="122" w:line="167" w:lineRule="auto"/>
        <w:ind w:left="6442"/>
        <w:rPr>
          <w:rFonts w:hint="default" w:ascii="Times New Roman" w:hAnsi="Times New Roman" w:eastAsia="Arial Unicode MS" w:cs="Times New Roman"/>
          <w:b w:val="0"/>
          <w:bCs w:val="0"/>
          <w:sz w:val="24"/>
          <w:szCs w:val="24"/>
          <w:lang w:val="en-US" w:eastAsia="zh-CN"/>
        </w:rPr>
      </w:pPr>
      <w:r>
        <w:rPr>
          <w:rFonts w:ascii="宋体" w:hAnsi="宋体" w:eastAsia="宋体" w:cs="宋体"/>
          <w:spacing w:val="-1"/>
          <w:sz w:val="24"/>
          <w:szCs w:val="24"/>
        </w:rPr>
        <w:t xml:space="preserve">T/CFNA    </w:t>
      </w:r>
      <w:r>
        <w:rPr>
          <w:rFonts w:ascii="Arial Unicode MS" w:hAnsi="Arial Unicode MS" w:eastAsia="Arial Unicode MS" w:cs="Arial Unicode MS"/>
          <w:spacing w:val="-3"/>
          <w:sz w:val="28"/>
          <w:szCs w:val="28"/>
        </w:rPr>
        <w:t xml:space="preserve"> </w:t>
      </w:r>
      <w:r>
        <w:rPr>
          <w:rFonts w:hint="default" w:ascii="Times New Roman" w:hAnsi="Times New Roman" w:eastAsia="Arial Unicode MS" w:cs="Times New Roman"/>
          <w:b w:val="0"/>
          <w:bCs w:val="0"/>
          <w:spacing w:val="-3"/>
          <w:sz w:val="24"/>
          <w:szCs w:val="24"/>
          <w:lang w:val="en-US" w:eastAsia="zh-CN"/>
        </w:rPr>
        <w:t>16</w:t>
      </w:r>
      <w:r>
        <w:rPr>
          <w:rFonts w:hint="eastAsia" w:ascii="Times New Roman" w:hAnsi="Times New Roman" w:eastAsia="Arial Unicode MS" w:cs="Times New Roman"/>
          <w:b w:val="0"/>
          <w:bCs w:val="0"/>
          <w:spacing w:val="-3"/>
          <w:sz w:val="24"/>
          <w:szCs w:val="24"/>
          <w:lang w:val="en-US" w:eastAsia="zh-CN"/>
        </w:rPr>
        <w:t>82</w:t>
      </w:r>
      <w:r>
        <w:rPr>
          <w:rFonts w:hint="default" w:ascii="Times New Roman" w:hAnsi="Times New Roman" w:eastAsia="Arial Unicode MS" w:cs="Times New Roman"/>
          <w:b w:val="0"/>
          <w:bCs w:val="0"/>
          <w:spacing w:val="-3"/>
          <w:sz w:val="24"/>
          <w:szCs w:val="24"/>
          <w:lang w:val="en-US" w:eastAsia="zh-CN"/>
        </w:rPr>
        <w:t>-2025</w:t>
      </w:r>
    </w:p>
    <w:p w14:paraId="3052F936">
      <w:pPr>
        <w:spacing w:before="78" w:line="225" w:lineRule="auto"/>
        <w:ind w:left="6746"/>
        <w:rPr>
          <w:rFonts w:ascii="宋体" w:hAnsi="宋体" w:eastAsia="宋体" w:cs="宋体"/>
          <w:sz w:val="24"/>
          <w:szCs w:val="24"/>
        </w:rPr>
      </w:pPr>
    </w:p>
    <w:p w14:paraId="08E604F8">
      <w:pPr>
        <w:pStyle w:val="5"/>
        <w:spacing w:line="252" w:lineRule="auto"/>
      </w:pPr>
    </w:p>
    <w:p w14:paraId="0B28E3CA">
      <w:pPr>
        <w:pStyle w:val="5"/>
        <w:spacing w:line="252" w:lineRule="auto"/>
      </w:pPr>
    </w:p>
    <w:p w14:paraId="78D4C74B">
      <w:pPr>
        <w:pStyle w:val="5"/>
        <w:spacing w:line="253" w:lineRule="auto"/>
      </w:pPr>
    </w:p>
    <w:p w14:paraId="6779D851">
      <w:pPr>
        <w:pStyle w:val="5"/>
        <w:spacing w:line="253" w:lineRule="auto"/>
      </w:pPr>
    </w:p>
    <w:sdt>
      <w:sdtPr>
        <w:rPr>
          <w:rFonts w:ascii="宋体" w:hAnsi="宋体" w:eastAsia="宋体" w:cs="宋体"/>
          <w:sz w:val="31"/>
          <w:szCs w:val="31"/>
        </w:rPr>
        <w:id w:val="147474001"/>
        <w:docPartObj>
          <w:docPartGallery w:val="Table of Contents"/>
          <w:docPartUnique/>
        </w:docPartObj>
      </w:sdtPr>
      <w:sdtEndPr>
        <w:rPr>
          <w:rFonts w:ascii="宋体" w:hAnsi="宋体" w:eastAsia="宋体" w:cs="宋体"/>
          <w:sz w:val="24"/>
          <w:szCs w:val="24"/>
        </w:rPr>
      </w:sdtEndPr>
      <w:sdtContent>
        <w:p w14:paraId="3DC01145">
          <w:pPr>
            <w:spacing w:before="101" w:line="228" w:lineRule="auto"/>
            <w:ind w:left="4180"/>
            <w:rPr>
              <w:rFonts w:ascii="宋体" w:hAnsi="宋体" w:eastAsia="宋体" w:cs="宋体"/>
              <w:sz w:val="31"/>
              <w:szCs w:val="31"/>
            </w:rPr>
          </w:pPr>
          <w:bookmarkStart w:id="0" w:name="bookmark1"/>
          <w:bookmarkEnd w:id="0"/>
          <w:r>
            <w:rPr>
              <w:rFonts w:ascii="宋体" w:hAnsi="宋体" w:eastAsia="宋体" w:cs="宋体"/>
              <w:spacing w:val="-28"/>
              <w:sz w:val="31"/>
              <w:szCs w:val="31"/>
            </w:rPr>
            <w:t>目录</w:t>
          </w:r>
        </w:p>
        <w:p w14:paraId="05EDEA68">
          <w:pPr>
            <w:pStyle w:val="5"/>
            <w:spacing w:line="345" w:lineRule="auto"/>
          </w:pPr>
        </w:p>
        <w:p w14:paraId="68C9B132">
          <w:pPr>
            <w:pStyle w:val="5"/>
            <w:spacing w:line="345" w:lineRule="auto"/>
          </w:pPr>
        </w:p>
        <w:p w14:paraId="091BFE72">
          <w:pPr>
            <w:tabs>
              <w:tab w:val="right" w:leader="dot" w:pos="8820"/>
            </w:tabs>
            <w:spacing w:before="78" w:line="186" w:lineRule="auto"/>
            <w:ind w:left="638" w:leftChars="304" w:firstLine="0" w:firstLineChars="0"/>
            <w:rPr>
              <w:rFonts w:ascii="宋体" w:hAnsi="宋体" w:eastAsia="宋体" w:cs="宋体"/>
              <w:sz w:val="24"/>
              <w:szCs w:val="24"/>
            </w:rPr>
          </w:pPr>
          <w:r>
            <w:fldChar w:fldCharType="begin"/>
          </w:r>
          <w:r>
            <w:instrText xml:space="preserve"> HYPERLINK \l "bookmark2" </w:instrText>
          </w:r>
          <w:r>
            <w:fldChar w:fldCharType="separate"/>
          </w:r>
          <w:r>
            <w:rPr>
              <w:rFonts w:ascii="宋体" w:hAnsi="宋体" w:eastAsia="宋体" w:cs="宋体"/>
              <w:spacing w:val="-7"/>
              <w:sz w:val="24"/>
              <w:szCs w:val="24"/>
            </w:rPr>
            <w:t>前言</w:t>
          </w:r>
          <w:r>
            <w:rPr>
              <w:rFonts w:ascii="宋体" w:hAnsi="宋体" w:eastAsia="宋体" w:cs="宋体"/>
              <w:sz w:val="24"/>
              <w:szCs w:val="24"/>
            </w:rPr>
            <w:tab/>
          </w:r>
          <w:r>
            <w:rPr>
              <w:rFonts w:ascii="宋体" w:hAnsi="宋体" w:eastAsia="宋体" w:cs="宋体"/>
              <w:spacing w:val="1"/>
              <w:sz w:val="24"/>
              <w:szCs w:val="24"/>
            </w:rPr>
            <w:t>II</w:t>
          </w:r>
          <w:r>
            <w:rPr>
              <w:rFonts w:ascii="宋体" w:hAnsi="宋体" w:eastAsia="宋体" w:cs="宋体"/>
              <w:spacing w:val="1"/>
              <w:sz w:val="24"/>
              <w:szCs w:val="24"/>
            </w:rPr>
            <w:fldChar w:fldCharType="end"/>
          </w:r>
        </w:p>
        <w:p w14:paraId="44B8556E">
          <w:pPr>
            <w:tabs>
              <w:tab w:val="right" w:leader="dot" w:pos="8820"/>
            </w:tabs>
            <w:spacing w:before="223" w:line="186" w:lineRule="auto"/>
            <w:ind w:left="638" w:leftChars="304" w:firstLine="0" w:firstLineChars="0"/>
            <w:rPr>
              <w:rFonts w:ascii="宋体" w:hAnsi="宋体" w:eastAsia="宋体" w:cs="宋体"/>
              <w:sz w:val="24"/>
              <w:szCs w:val="24"/>
            </w:rPr>
          </w:pPr>
          <w:r>
            <w:fldChar w:fldCharType="begin"/>
          </w:r>
          <w:r>
            <w:instrText xml:space="preserve"> HYPERLINK \l "bookmark3" </w:instrText>
          </w:r>
          <w:r>
            <w:fldChar w:fldCharType="separate"/>
          </w:r>
          <w:r>
            <w:rPr>
              <w:rFonts w:ascii="宋体" w:hAnsi="宋体" w:eastAsia="宋体" w:cs="宋体"/>
              <w:spacing w:val="-11"/>
              <w:sz w:val="24"/>
              <w:szCs w:val="24"/>
            </w:rPr>
            <w:t>1.</w:t>
          </w:r>
          <w:r>
            <w:rPr>
              <w:rFonts w:ascii="宋体" w:hAnsi="宋体" w:eastAsia="宋体" w:cs="宋体"/>
              <w:spacing w:val="8"/>
              <w:sz w:val="24"/>
              <w:szCs w:val="24"/>
            </w:rPr>
            <w:t xml:space="preserve">   </w:t>
          </w:r>
          <w:r>
            <w:rPr>
              <w:rFonts w:ascii="宋体" w:hAnsi="宋体" w:eastAsia="宋体" w:cs="宋体"/>
              <w:spacing w:val="-11"/>
              <w:sz w:val="24"/>
              <w:szCs w:val="24"/>
            </w:rPr>
            <w:t>范围</w:t>
          </w:r>
          <w:r>
            <w:rPr>
              <w:rFonts w:ascii="宋体" w:hAnsi="宋体" w:eastAsia="宋体" w:cs="宋体"/>
              <w:sz w:val="24"/>
              <w:szCs w:val="24"/>
            </w:rPr>
            <w:tab/>
          </w:r>
          <w:r>
            <w:rPr>
              <w:rFonts w:ascii="宋体" w:hAnsi="宋体" w:eastAsia="宋体" w:cs="宋体"/>
              <w:spacing w:val="-40"/>
              <w:sz w:val="24"/>
              <w:szCs w:val="24"/>
            </w:rPr>
            <w:t xml:space="preserve"> </w:t>
          </w:r>
          <w:r>
            <w:rPr>
              <w:rFonts w:ascii="宋体" w:hAnsi="宋体" w:eastAsia="宋体" w:cs="宋体"/>
              <w:spacing w:val="-28"/>
              <w:sz w:val="24"/>
              <w:szCs w:val="24"/>
            </w:rPr>
            <w:t>1</w:t>
          </w:r>
          <w:r>
            <w:rPr>
              <w:rFonts w:ascii="宋体" w:hAnsi="宋体" w:eastAsia="宋体" w:cs="宋体"/>
              <w:spacing w:val="-28"/>
              <w:sz w:val="24"/>
              <w:szCs w:val="24"/>
            </w:rPr>
            <w:fldChar w:fldCharType="end"/>
          </w:r>
        </w:p>
        <w:p w14:paraId="3A667074">
          <w:pPr>
            <w:tabs>
              <w:tab w:val="right" w:leader="dot" w:pos="8820"/>
            </w:tabs>
            <w:spacing w:before="226" w:line="185" w:lineRule="auto"/>
            <w:ind w:left="638" w:leftChars="304" w:firstLine="0" w:firstLineChars="0"/>
            <w:rPr>
              <w:rFonts w:ascii="宋体" w:hAnsi="宋体" w:eastAsia="宋体" w:cs="宋体"/>
              <w:sz w:val="24"/>
              <w:szCs w:val="24"/>
            </w:rPr>
          </w:pPr>
          <w:r>
            <w:fldChar w:fldCharType="begin"/>
          </w:r>
          <w:r>
            <w:instrText xml:space="preserve"> HYPERLINK \l "bookmark4" </w:instrText>
          </w:r>
          <w:r>
            <w:fldChar w:fldCharType="separate"/>
          </w:r>
          <w:r>
            <w:rPr>
              <w:rFonts w:ascii="宋体" w:hAnsi="宋体" w:eastAsia="宋体" w:cs="宋体"/>
              <w:spacing w:val="-3"/>
              <w:sz w:val="24"/>
              <w:szCs w:val="24"/>
            </w:rPr>
            <w:t>2.</w:t>
          </w:r>
          <w:r>
            <w:rPr>
              <w:rFonts w:ascii="宋体" w:hAnsi="宋体" w:eastAsia="宋体" w:cs="宋体"/>
              <w:spacing w:val="7"/>
              <w:sz w:val="24"/>
              <w:szCs w:val="24"/>
            </w:rPr>
            <w:t xml:space="preserve">   </w:t>
          </w:r>
          <w:r>
            <w:rPr>
              <w:rFonts w:ascii="宋体" w:hAnsi="宋体" w:eastAsia="宋体" w:cs="宋体"/>
              <w:spacing w:val="-3"/>
              <w:sz w:val="24"/>
              <w:szCs w:val="24"/>
            </w:rPr>
            <w:t>规范性引用文件</w:t>
          </w:r>
          <w:r>
            <w:rPr>
              <w:rFonts w:ascii="宋体" w:hAnsi="宋体" w:eastAsia="宋体" w:cs="宋体"/>
              <w:sz w:val="24"/>
              <w:szCs w:val="24"/>
            </w:rPr>
            <w:tab/>
          </w:r>
          <w:r>
            <w:rPr>
              <w:rFonts w:ascii="宋体" w:hAnsi="宋体" w:eastAsia="宋体" w:cs="宋体"/>
              <w:spacing w:val="-40"/>
              <w:sz w:val="24"/>
              <w:szCs w:val="24"/>
            </w:rPr>
            <w:t xml:space="preserve"> </w:t>
          </w:r>
          <w:r>
            <w:rPr>
              <w:rFonts w:ascii="宋体" w:hAnsi="宋体" w:eastAsia="宋体" w:cs="宋体"/>
              <w:spacing w:val="-28"/>
              <w:sz w:val="24"/>
              <w:szCs w:val="24"/>
            </w:rPr>
            <w:t>1</w:t>
          </w:r>
          <w:r>
            <w:rPr>
              <w:rFonts w:ascii="宋体" w:hAnsi="宋体" w:eastAsia="宋体" w:cs="宋体"/>
              <w:spacing w:val="-28"/>
              <w:sz w:val="24"/>
              <w:szCs w:val="24"/>
            </w:rPr>
            <w:fldChar w:fldCharType="end"/>
          </w:r>
        </w:p>
        <w:p w14:paraId="3542C224">
          <w:pPr>
            <w:tabs>
              <w:tab w:val="right" w:leader="dot" w:pos="8820"/>
            </w:tabs>
            <w:spacing w:before="225" w:line="186" w:lineRule="auto"/>
            <w:ind w:left="638" w:leftChars="304" w:firstLine="0" w:firstLineChars="0"/>
            <w:rPr>
              <w:rFonts w:ascii="宋体" w:hAnsi="宋体" w:eastAsia="宋体" w:cs="宋体"/>
              <w:sz w:val="24"/>
              <w:szCs w:val="24"/>
            </w:rPr>
          </w:pPr>
          <w:r>
            <w:fldChar w:fldCharType="begin"/>
          </w:r>
          <w:r>
            <w:instrText xml:space="preserve"> HYPERLINK \l "bookmark5" </w:instrText>
          </w:r>
          <w:r>
            <w:fldChar w:fldCharType="separate"/>
          </w:r>
          <w:r>
            <w:rPr>
              <w:rFonts w:ascii="宋体" w:hAnsi="宋体" w:eastAsia="宋体" w:cs="宋体"/>
              <w:spacing w:val="-4"/>
              <w:sz w:val="24"/>
              <w:szCs w:val="24"/>
            </w:rPr>
            <w:t>3.</w:t>
          </w:r>
          <w:r>
            <w:rPr>
              <w:rFonts w:ascii="宋体" w:hAnsi="宋体" w:eastAsia="宋体" w:cs="宋体"/>
              <w:spacing w:val="7"/>
              <w:sz w:val="24"/>
              <w:szCs w:val="24"/>
            </w:rPr>
            <w:t xml:space="preserve">   </w:t>
          </w:r>
          <w:r>
            <w:rPr>
              <w:rFonts w:ascii="宋体" w:hAnsi="宋体" w:eastAsia="宋体" w:cs="宋体"/>
              <w:spacing w:val="-4"/>
              <w:sz w:val="24"/>
              <w:szCs w:val="24"/>
            </w:rPr>
            <w:t>术语和定义</w:t>
          </w:r>
          <w:r>
            <w:rPr>
              <w:rFonts w:ascii="宋体" w:hAnsi="宋体" w:eastAsia="宋体" w:cs="宋体"/>
              <w:sz w:val="24"/>
              <w:szCs w:val="24"/>
            </w:rPr>
            <w:tab/>
          </w:r>
          <w:r>
            <w:rPr>
              <w:rFonts w:ascii="宋体" w:hAnsi="宋体" w:eastAsia="宋体" w:cs="宋体"/>
              <w:spacing w:val="-40"/>
              <w:sz w:val="24"/>
              <w:szCs w:val="24"/>
            </w:rPr>
            <w:t xml:space="preserve"> </w:t>
          </w:r>
          <w:r>
            <w:rPr>
              <w:rFonts w:ascii="宋体" w:hAnsi="宋体" w:eastAsia="宋体" w:cs="宋体"/>
              <w:spacing w:val="-28"/>
              <w:sz w:val="24"/>
              <w:szCs w:val="24"/>
            </w:rPr>
            <w:t>1</w:t>
          </w:r>
          <w:r>
            <w:rPr>
              <w:rFonts w:ascii="宋体" w:hAnsi="宋体" w:eastAsia="宋体" w:cs="宋体"/>
              <w:spacing w:val="-28"/>
              <w:sz w:val="24"/>
              <w:szCs w:val="24"/>
            </w:rPr>
            <w:fldChar w:fldCharType="end"/>
          </w:r>
        </w:p>
        <w:p w14:paraId="0590666C">
          <w:pPr>
            <w:tabs>
              <w:tab w:val="right" w:leader="dot" w:pos="8820"/>
            </w:tabs>
            <w:spacing w:before="226" w:line="186" w:lineRule="auto"/>
            <w:ind w:left="638" w:leftChars="304" w:firstLine="0" w:firstLineChars="0"/>
            <w:rPr>
              <w:rFonts w:ascii="宋体" w:hAnsi="宋体" w:eastAsia="宋体" w:cs="宋体"/>
              <w:sz w:val="24"/>
              <w:szCs w:val="24"/>
            </w:rPr>
          </w:pPr>
          <w:r>
            <w:fldChar w:fldCharType="begin"/>
          </w:r>
          <w:r>
            <w:instrText xml:space="preserve"> HYPERLINK \l "bookmark6" </w:instrText>
          </w:r>
          <w:r>
            <w:fldChar w:fldCharType="separate"/>
          </w:r>
          <w:r>
            <w:rPr>
              <w:rFonts w:ascii="宋体" w:hAnsi="宋体" w:eastAsia="宋体" w:cs="宋体"/>
              <w:spacing w:val="-2"/>
              <w:sz w:val="24"/>
              <w:szCs w:val="24"/>
            </w:rPr>
            <w:t>4.</w:t>
          </w:r>
          <w:r>
            <w:rPr>
              <w:rFonts w:ascii="宋体" w:hAnsi="宋体" w:eastAsia="宋体" w:cs="宋体"/>
              <w:spacing w:val="6"/>
              <w:sz w:val="24"/>
              <w:szCs w:val="24"/>
            </w:rPr>
            <w:t xml:space="preserve">   </w:t>
          </w:r>
          <w:r>
            <w:rPr>
              <w:rFonts w:hint="eastAsia" w:ascii="宋体" w:hAnsi="宋体" w:eastAsia="宋体" w:cs="宋体"/>
              <w:spacing w:val="-2"/>
              <w:sz w:val="24"/>
              <w:szCs w:val="24"/>
              <w:lang w:val="en-US" w:eastAsia="zh-CN"/>
            </w:rPr>
            <w:t>虫卵要求</w:t>
          </w:r>
          <w:r>
            <w:rPr>
              <w:rFonts w:ascii="宋体" w:hAnsi="宋体" w:eastAsia="宋体" w:cs="宋体"/>
              <w:sz w:val="24"/>
              <w:szCs w:val="24"/>
            </w:rPr>
            <w:tab/>
          </w:r>
          <w:r>
            <w:rPr>
              <w:rFonts w:ascii="宋体" w:hAnsi="宋体" w:eastAsia="宋体" w:cs="宋体"/>
              <w:spacing w:val="-55"/>
              <w:sz w:val="24"/>
              <w:szCs w:val="24"/>
            </w:rPr>
            <w:t xml:space="preserve"> </w:t>
          </w:r>
          <w:r>
            <w:rPr>
              <w:rFonts w:hint="eastAsia" w:ascii="宋体" w:hAnsi="宋体" w:eastAsia="宋体" w:cs="宋体"/>
              <w:spacing w:val="-13"/>
              <w:sz w:val="24"/>
              <w:szCs w:val="24"/>
              <w:lang w:val="en-US" w:eastAsia="zh-CN"/>
            </w:rPr>
            <w:t>2</w:t>
          </w:r>
          <w:r>
            <w:rPr>
              <w:rFonts w:ascii="宋体" w:hAnsi="宋体" w:eastAsia="宋体" w:cs="宋体"/>
              <w:spacing w:val="-13"/>
              <w:sz w:val="24"/>
              <w:szCs w:val="24"/>
            </w:rPr>
            <w:fldChar w:fldCharType="end"/>
          </w:r>
        </w:p>
        <w:p w14:paraId="2827CD42">
          <w:pPr>
            <w:tabs>
              <w:tab w:val="right" w:leader="dot" w:pos="8820"/>
            </w:tabs>
            <w:spacing w:before="224" w:line="186" w:lineRule="auto"/>
            <w:ind w:left="638" w:leftChars="304" w:firstLine="0" w:firstLineChars="0"/>
            <w:rPr>
              <w:rFonts w:ascii="宋体" w:hAnsi="宋体" w:eastAsia="宋体" w:cs="宋体"/>
              <w:sz w:val="24"/>
              <w:szCs w:val="24"/>
            </w:rPr>
          </w:pPr>
          <w:r>
            <w:fldChar w:fldCharType="begin"/>
          </w:r>
          <w:r>
            <w:instrText xml:space="preserve"> HYPERLINK \l "bookmark7" </w:instrText>
          </w:r>
          <w:r>
            <w:fldChar w:fldCharType="separate"/>
          </w:r>
          <w:r>
            <w:rPr>
              <w:rFonts w:ascii="宋体" w:hAnsi="宋体" w:eastAsia="宋体" w:cs="宋体"/>
              <w:spacing w:val="-4"/>
              <w:sz w:val="24"/>
              <w:szCs w:val="24"/>
            </w:rPr>
            <w:t>5.</w:t>
          </w:r>
          <w:r>
            <w:rPr>
              <w:rFonts w:ascii="宋体" w:hAnsi="宋体" w:eastAsia="宋体" w:cs="宋体"/>
              <w:spacing w:val="6"/>
              <w:sz w:val="24"/>
              <w:szCs w:val="24"/>
            </w:rPr>
            <w:t xml:space="preserve">   </w:t>
          </w:r>
          <w:r>
            <w:rPr>
              <w:rFonts w:hint="eastAsia" w:ascii="宋体" w:hAnsi="宋体" w:eastAsia="宋体" w:cs="宋体"/>
              <w:spacing w:val="-4"/>
              <w:sz w:val="24"/>
              <w:szCs w:val="24"/>
              <w:lang w:val="en-US" w:eastAsia="zh-CN"/>
            </w:rPr>
            <w:t>虫苗要求</w:t>
          </w:r>
          <w:r>
            <w:rPr>
              <w:rFonts w:ascii="宋体" w:hAnsi="宋体" w:eastAsia="宋体" w:cs="宋体"/>
              <w:sz w:val="24"/>
              <w:szCs w:val="24"/>
            </w:rPr>
            <w:tab/>
          </w:r>
          <w:r>
            <w:rPr>
              <w:rFonts w:ascii="宋体" w:hAnsi="宋体" w:eastAsia="宋体" w:cs="宋体"/>
              <w:spacing w:val="-55"/>
              <w:sz w:val="24"/>
              <w:szCs w:val="24"/>
            </w:rPr>
            <w:t xml:space="preserve"> </w:t>
          </w:r>
          <w:r>
            <w:rPr>
              <w:rFonts w:hint="eastAsia" w:ascii="宋体" w:hAnsi="宋体" w:eastAsia="宋体" w:cs="宋体"/>
              <w:spacing w:val="-13"/>
              <w:sz w:val="24"/>
              <w:szCs w:val="24"/>
              <w:lang w:val="en-US" w:eastAsia="zh-CN"/>
            </w:rPr>
            <w:t>4</w:t>
          </w:r>
          <w:r>
            <w:rPr>
              <w:rFonts w:ascii="宋体" w:hAnsi="宋体" w:eastAsia="宋体" w:cs="宋体"/>
              <w:spacing w:val="-13"/>
              <w:sz w:val="24"/>
              <w:szCs w:val="24"/>
            </w:rPr>
            <w:fldChar w:fldCharType="end"/>
          </w:r>
          <w:bookmarkStart w:id="50" w:name="_GoBack"/>
          <w:bookmarkEnd w:id="50"/>
        </w:p>
        <w:p w14:paraId="35316B94">
          <w:pPr>
            <w:numPr>
              <w:numId w:val="0"/>
            </w:numPr>
            <w:tabs>
              <w:tab w:val="right" w:leader="dot" w:pos="8820"/>
            </w:tabs>
            <w:spacing w:before="226" w:line="186" w:lineRule="auto"/>
            <w:ind w:leftChars="304"/>
            <w:rPr>
              <w:rFonts w:hint="default" w:ascii="宋体" w:hAnsi="宋体" w:eastAsia="宋体" w:cs="宋体"/>
              <w:spacing w:val="-13"/>
              <w:sz w:val="24"/>
              <w:szCs w:val="24"/>
              <w:lang w:val="en-US" w:eastAsia="zh-CN"/>
            </w:rPr>
          </w:pPr>
        </w:p>
        <w:p w14:paraId="667F9274">
          <w:pPr>
            <w:tabs>
              <w:tab w:val="right" w:leader="dot" w:pos="9354"/>
            </w:tabs>
            <w:spacing w:before="226" w:line="186" w:lineRule="auto"/>
            <w:ind w:left="1"/>
            <w:rPr>
              <w:rFonts w:ascii="宋体" w:hAnsi="宋体" w:eastAsia="宋体" w:cs="宋体"/>
              <w:sz w:val="24"/>
              <w:szCs w:val="24"/>
            </w:rPr>
          </w:pPr>
        </w:p>
        <w:p w14:paraId="3B1B0819">
          <w:pPr>
            <w:tabs>
              <w:tab w:val="right" w:leader="dot" w:pos="9354"/>
            </w:tabs>
            <w:spacing w:before="224" w:line="186" w:lineRule="auto"/>
            <w:ind w:left="19"/>
            <w:rPr>
              <w:rFonts w:ascii="宋体" w:hAnsi="宋体" w:eastAsia="宋体" w:cs="宋体"/>
              <w:sz w:val="24"/>
              <w:szCs w:val="24"/>
            </w:rPr>
          </w:pPr>
        </w:p>
        <w:p w14:paraId="776AC16F">
          <w:pPr>
            <w:tabs>
              <w:tab w:val="right" w:leader="dot" w:pos="9354"/>
            </w:tabs>
            <w:spacing w:before="224" w:line="220" w:lineRule="auto"/>
            <w:rPr>
              <w:rFonts w:ascii="宋体" w:hAnsi="宋体" w:eastAsia="宋体" w:cs="宋体"/>
              <w:sz w:val="24"/>
              <w:szCs w:val="24"/>
            </w:rPr>
          </w:pPr>
        </w:p>
      </w:sdtContent>
    </w:sdt>
    <w:p w14:paraId="72FC3DD9">
      <w:pPr>
        <w:spacing w:line="220" w:lineRule="auto"/>
        <w:rPr>
          <w:rFonts w:ascii="宋体" w:hAnsi="宋体" w:eastAsia="宋体" w:cs="宋体"/>
          <w:sz w:val="24"/>
          <w:szCs w:val="24"/>
        </w:rPr>
        <w:sectPr>
          <w:headerReference r:id="rId6" w:type="default"/>
          <w:footerReference r:id="rId7" w:type="default"/>
          <w:pgSz w:w="11910" w:h="16840"/>
          <w:pgMar w:top="400" w:right="1028" w:bottom="1340" w:left="1527" w:header="0" w:footer="1105" w:gutter="0"/>
          <w:pgBorders>
            <w:top w:val="none" w:sz="0" w:space="0"/>
            <w:left w:val="none" w:sz="0" w:space="0"/>
            <w:bottom w:val="none" w:sz="0" w:space="0"/>
            <w:right w:val="none" w:sz="0" w:space="0"/>
          </w:pgBorders>
          <w:cols w:space="720" w:num="1"/>
        </w:sectPr>
      </w:pPr>
    </w:p>
    <w:p w14:paraId="304EE6E9">
      <w:pPr>
        <w:pStyle w:val="5"/>
        <w:spacing w:line="294" w:lineRule="auto"/>
      </w:pPr>
    </w:p>
    <w:p w14:paraId="3A7BD879">
      <w:pPr>
        <w:pStyle w:val="5"/>
        <w:spacing w:line="294" w:lineRule="auto"/>
      </w:pPr>
    </w:p>
    <w:p w14:paraId="318111F0">
      <w:pPr>
        <w:spacing w:before="100" w:line="227" w:lineRule="auto"/>
        <w:ind w:left="4602"/>
        <w:outlineLvl w:val="0"/>
        <w:rPr>
          <w:rFonts w:hint="default" w:ascii="Times New Roman" w:hAnsi="Times New Roman" w:eastAsia="宋体" w:cs="Times New Roman"/>
          <w:sz w:val="31"/>
          <w:szCs w:val="31"/>
        </w:rPr>
      </w:pPr>
      <w:bookmarkStart w:id="1" w:name="bookmark2"/>
      <w:bookmarkEnd w:id="1"/>
      <w:r>
        <w:rPr>
          <w:rFonts w:hint="default" w:ascii="Times New Roman" w:hAnsi="Times New Roman" w:eastAsia="宋体" w:cs="Times New Roman"/>
          <w:b/>
          <w:bCs/>
          <w:spacing w:val="-2"/>
          <w:sz w:val="31"/>
          <w:szCs w:val="31"/>
        </w:rPr>
        <w:t>前言</w:t>
      </w:r>
    </w:p>
    <w:p w14:paraId="6A8F1515">
      <w:pPr>
        <w:pStyle w:val="5"/>
        <w:spacing w:line="288" w:lineRule="auto"/>
        <w:rPr>
          <w:rFonts w:hint="default" w:ascii="Times New Roman" w:hAnsi="Times New Roman" w:cs="Times New Roman"/>
        </w:rPr>
      </w:pPr>
    </w:p>
    <w:p w14:paraId="5CB3A1E0">
      <w:pPr>
        <w:pStyle w:val="5"/>
        <w:spacing w:line="288" w:lineRule="auto"/>
        <w:rPr>
          <w:rFonts w:hint="default" w:ascii="Times New Roman" w:hAnsi="Times New Roman" w:cs="Times New Roman"/>
        </w:rPr>
      </w:pPr>
    </w:p>
    <w:p w14:paraId="3C1017ED">
      <w:pPr>
        <w:pStyle w:val="5"/>
        <w:spacing w:line="289" w:lineRule="auto"/>
        <w:rPr>
          <w:rFonts w:hint="default" w:ascii="Times New Roman" w:hAnsi="Times New Roman" w:cs="Times New Roman"/>
        </w:rPr>
      </w:pPr>
    </w:p>
    <w:p w14:paraId="7E5CA271">
      <w:pPr>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right="638" w:rightChars="304" w:firstLine="566" w:firstLineChars="236"/>
        <w:textAlignment w:val="baseline"/>
        <w:rPr>
          <w:rFonts w:hint="default" w:ascii="Times New Roman" w:hAnsi="Times New Roman" w:eastAsia="宋体" w:cs="Times New Roman"/>
          <w:spacing w:val="0"/>
          <w:sz w:val="24"/>
          <w:szCs w:val="24"/>
        </w:rPr>
      </w:pPr>
      <w:r>
        <w:rPr>
          <w:rFonts w:hint="default" w:ascii="Times New Roman" w:hAnsi="Times New Roman" w:eastAsia="宋体" w:cs="Times New Roman"/>
          <w:spacing w:val="0"/>
          <w:sz w:val="24"/>
          <w:szCs w:val="24"/>
        </w:rPr>
        <w:t>本</w:t>
      </w:r>
      <w:r>
        <w:rPr>
          <w:rFonts w:hint="eastAsia" w:ascii="Times New Roman" w:hAnsi="Times New Roman" w:eastAsia="宋体" w:cs="Times New Roman"/>
          <w:spacing w:val="0"/>
          <w:sz w:val="24"/>
          <w:szCs w:val="24"/>
          <w:lang w:val="en-US" w:eastAsia="zh-CN"/>
        </w:rPr>
        <w:t>文件</w:t>
      </w:r>
      <w:r>
        <w:rPr>
          <w:rFonts w:hint="default" w:ascii="Times New Roman" w:hAnsi="Times New Roman" w:eastAsia="宋体" w:cs="Times New Roman"/>
          <w:spacing w:val="0"/>
          <w:sz w:val="24"/>
          <w:szCs w:val="24"/>
          <w:lang w:val="en-US" w:eastAsia="zh-CN"/>
        </w:rPr>
        <w:t>根据</w:t>
      </w:r>
      <w:r>
        <w:rPr>
          <w:rFonts w:hint="default" w:ascii="Times New Roman" w:hAnsi="Times New Roman" w:eastAsia="Calibri" w:cs="Times New Roman"/>
          <w:spacing w:val="0"/>
          <w:sz w:val="24"/>
          <w:szCs w:val="24"/>
        </w:rPr>
        <w:t xml:space="preserve">GB/T 1.1-2020 </w:t>
      </w:r>
      <w:r>
        <w:rPr>
          <w:rFonts w:hint="default" w:ascii="Times New Roman" w:hAnsi="Times New Roman" w:eastAsia="宋体" w:cs="Times New Roman"/>
          <w:spacing w:val="0"/>
          <w:sz w:val="24"/>
          <w:szCs w:val="24"/>
        </w:rPr>
        <w:t xml:space="preserve">《标准化工作导则 第 </w:t>
      </w:r>
      <w:r>
        <w:rPr>
          <w:rFonts w:hint="default" w:ascii="Times New Roman" w:hAnsi="Times New Roman" w:eastAsia="Calibri" w:cs="Times New Roman"/>
          <w:spacing w:val="0"/>
          <w:sz w:val="24"/>
          <w:szCs w:val="24"/>
        </w:rPr>
        <w:t xml:space="preserve">1 </w:t>
      </w:r>
      <w:r>
        <w:rPr>
          <w:rFonts w:hint="default" w:ascii="Times New Roman" w:hAnsi="Times New Roman" w:eastAsia="宋体" w:cs="Times New Roman"/>
          <w:spacing w:val="0"/>
          <w:sz w:val="24"/>
          <w:szCs w:val="24"/>
        </w:rPr>
        <w:t>部分：标准化文件的结构和起草规则》给出的规</w:t>
      </w:r>
      <w:r>
        <w:rPr>
          <w:rFonts w:hint="eastAsia" w:ascii="Times New Roman" w:hAnsi="Times New Roman" w:eastAsia="宋体" w:cs="Times New Roman"/>
          <w:spacing w:val="0"/>
          <w:sz w:val="24"/>
          <w:szCs w:val="24"/>
          <w:lang w:val="en-US" w:eastAsia="zh-CN"/>
        </w:rPr>
        <w:t>定</w:t>
      </w:r>
      <w:r>
        <w:rPr>
          <w:rFonts w:hint="default" w:ascii="Times New Roman" w:hAnsi="Times New Roman" w:eastAsia="宋体" w:cs="Times New Roman"/>
          <w:spacing w:val="0"/>
          <w:sz w:val="24"/>
          <w:szCs w:val="24"/>
        </w:rPr>
        <w:t>起草。</w:t>
      </w:r>
    </w:p>
    <w:p w14:paraId="719047A1">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right="4" w:rightChars="2" w:firstLine="564" w:firstLineChars="235"/>
        <w:textAlignment w:val="baseline"/>
        <w:rPr>
          <w:rFonts w:hint="default" w:ascii="Times New Roman" w:hAnsi="Times New Roman" w:eastAsia="宋体" w:cs="Times New Roman"/>
          <w:snapToGrid w:val="0"/>
          <w:color w:val="000000"/>
          <w:spacing w:val="0"/>
          <w:kern w:val="0"/>
          <w:sz w:val="24"/>
          <w:szCs w:val="24"/>
          <w:lang w:val="en-US" w:eastAsia="zh-CN" w:bidi="ar-SA"/>
        </w:rPr>
      </w:pPr>
      <w:r>
        <w:rPr>
          <w:rFonts w:hint="default" w:ascii="Times New Roman" w:hAnsi="Times New Roman" w:eastAsia="宋体" w:cs="Times New Roman"/>
          <w:snapToGrid w:val="0"/>
          <w:color w:val="000000"/>
          <w:spacing w:val="0"/>
          <w:kern w:val="0"/>
          <w:sz w:val="24"/>
          <w:szCs w:val="24"/>
          <w:lang w:val="en-US" w:eastAsia="zh-CN" w:bidi="ar-SA"/>
        </w:rPr>
        <w:t>本</w:t>
      </w:r>
      <w:r>
        <w:rPr>
          <w:rFonts w:hint="eastAsia" w:ascii="Times New Roman" w:hAnsi="Times New Roman" w:eastAsia="宋体" w:cs="Times New Roman"/>
          <w:snapToGrid w:val="0"/>
          <w:color w:val="000000"/>
          <w:spacing w:val="0"/>
          <w:kern w:val="0"/>
          <w:sz w:val="24"/>
          <w:szCs w:val="24"/>
          <w:lang w:val="en-US" w:eastAsia="zh-CN" w:bidi="ar-SA"/>
        </w:rPr>
        <w:t>文件</w:t>
      </w:r>
      <w:r>
        <w:rPr>
          <w:rFonts w:hint="default" w:ascii="Times New Roman" w:hAnsi="Times New Roman" w:eastAsia="宋体" w:cs="Times New Roman"/>
          <w:snapToGrid w:val="0"/>
          <w:color w:val="000000"/>
          <w:spacing w:val="0"/>
          <w:kern w:val="0"/>
          <w:sz w:val="24"/>
          <w:szCs w:val="24"/>
          <w:lang w:val="en-US" w:eastAsia="zh-CN" w:bidi="ar-SA"/>
        </w:rPr>
        <w:t>由中国食品土畜进出口商会提出，委托商会昆虫蛋白产业分会制定。</w:t>
      </w:r>
    </w:p>
    <w:p w14:paraId="57BE9320">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right="636" w:rightChars="303" w:firstLine="564" w:firstLineChars="235"/>
        <w:textAlignment w:val="baseline"/>
        <w:rPr>
          <w:rFonts w:hint="default" w:ascii="Times New Roman" w:hAnsi="Times New Roman" w:eastAsia="宋体" w:cs="Times New Roman"/>
          <w:snapToGrid w:val="0"/>
          <w:color w:val="000000"/>
          <w:spacing w:val="0"/>
          <w:kern w:val="0"/>
          <w:sz w:val="24"/>
          <w:szCs w:val="24"/>
          <w:lang w:val="en-US" w:eastAsia="zh-CN" w:bidi="ar-SA"/>
        </w:rPr>
      </w:pPr>
      <w:r>
        <w:rPr>
          <w:rFonts w:hint="default" w:ascii="Times New Roman" w:hAnsi="Times New Roman" w:eastAsia="宋体" w:cs="Times New Roman"/>
          <w:snapToGrid w:val="0"/>
          <w:color w:val="000000"/>
          <w:spacing w:val="0"/>
          <w:kern w:val="0"/>
          <w:sz w:val="24"/>
          <w:szCs w:val="24"/>
          <w:lang w:val="en-US" w:eastAsia="zh-CN" w:bidi="ar-SA"/>
        </w:rPr>
        <w:t>本文件起草单位：广州无两生物科技有限公司、万科基金会、华中农业大学、深圳安芮洁环保科技公司、江苏省农业科学院畜牧研究所、郑州尧安环保科技有限公司、广东省科学院动物研究所、广西农业职业技术大学。</w:t>
      </w:r>
    </w:p>
    <w:p w14:paraId="2BA65EEE">
      <w:pPr>
        <w:pStyle w:val="5"/>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right="634" w:rightChars="302" w:firstLine="561" w:firstLineChars="234"/>
        <w:textAlignment w:val="baseline"/>
        <w:rPr>
          <w:rFonts w:hint="default" w:ascii="Times New Roman" w:hAnsi="Times New Roman" w:eastAsia="宋体" w:cs="Times New Roman"/>
          <w:snapToGrid w:val="0"/>
          <w:color w:val="000000"/>
          <w:spacing w:val="0"/>
          <w:kern w:val="0"/>
          <w:sz w:val="24"/>
          <w:szCs w:val="24"/>
          <w:lang w:val="en-US" w:eastAsia="zh-CN" w:bidi="ar-SA"/>
        </w:rPr>
      </w:pPr>
      <w:r>
        <w:rPr>
          <w:rFonts w:hint="default" w:ascii="Times New Roman" w:hAnsi="Times New Roman" w:eastAsia="宋体" w:cs="Times New Roman"/>
          <w:snapToGrid w:val="0"/>
          <w:color w:val="000000"/>
          <w:spacing w:val="0"/>
          <w:kern w:val="0"/>
          <w:sz w:val="24"/>
          <w:szCs w:val="24"/>
          <w:lang w:val="en-US" w:eastAsia="zh-CN" w:bidi="ar-SA"/>
        </w:rPr>
        <w:t>本文件主要起草人：</w:t>
      </w:r>
      <w:r>
        <w:rPr>
          <w:rFonts w:hint="eastAsia" w:ascii="Times New Roman" w:hAnsi="Times New Roman" w:eastAsia="宋体" w:cs="Times New Roman"/>
          <w:snapToGrid w:val="0"/>
          <w:color w:val="000000"/>
          <w:spacing w:val="0"/>
          <w:kern w:val="0"/>
          <w:sz w:val="24"/>
          <w:szCs w:val="24"/>
          <w:lang w:val="en-US" w:eastAsia="zh-CN" w:bidi="ar-SA"/>
        </w:rPr>
        <w:t>李楚君、连娟、朱芬、钟利娜、王聪、贺永慧、徐齐云、黄金华。</w:t>
      </w:r>
    </w:p>
    <w:p w14:paraId="4EC3301A">
      <w:pPr>
        <w:pStyle w:val="5"/>
        <w:keepNext w:val="0"/>
        <w:keepLines w:val="0"/>
        <w:pageBreakBefore w:val="0"/>
        <w:widowControl/>
        <w:kinsoku w:val="0"/>
        <w:wordWrap/>
        <w:overflowPunct/>
        <w:topLinePunct w:val="0"/>
        <w:autoSpaceDE w:val="0"/>
        <w:autoSpaceDN w:val="0"/>
        <w:bidi w:val="0"/>
        <w:adjustRightInd w:val="0"/>
        <w:snapToGrid w:val="0"/>
        <w:spacing w:line="360" w:lineRule="auto"/>
        <w:ind w:firstLine="960" w:firstLineChars="400"/>
        <w:textAlignment w:val="baseline"/>
        <w:rPr>
          <w:rFonts w:hint="default" w:ascii="Times New Roman" w:hAnsi="Times New Roman" w:eastAsia="宋体" w:cs="Times New Roman"/>
          <w:snapToGrid w:val="0"/>
          <w:color w:val="000000"/>
          <w:spacing w:val="0"/>
          <w:kern w:val="0"/>
          <w:sz w:val="24"/>
          <w:szCs w:val="24"/>
          <w:lang w:val="en-US" w:eastAsia="zh-CN" w:bidi="ar-SA"/>
        </w:rPr>
      </w:pPr>
      <w:r>
        <w:rPr>
          <w:rFonts w:hint="default" w:ascii="Times New Roman" w:hAnsi="Times New Roman" w:eastAsia="宋体" w:cs="Times New Roman"/>
          <w:snapToGrid w:val="0"/>
          <w:color w:val="000000"/>
          <w:spacing w:val="0"/>
          <w:kern w:val="0"/>
          <w:sz w:val="24"/>
          <w:szCs w:val="24"/>
          <w:lang w:val="en-US" w:eastAsia="zh-CN" w:bidi="ar-SA"/>
        </w:rPr>
        <w:t>本</w:t>
      </w:r>
      <w:r>
        <w:rPr>
          <w:rFonts w:hint="eastAsia" w:ascii="Times New Roman" w:hAnsi="Times New Roman" w:eastAsia="宋体" w:cs="Times New Roman"/>
          <w:snapToGrid w:val="0"/>
          <w:color w:val="000000"/>
          <w:spacing w:val="0"/>
          <w:kern w:val="0"/>
          <w:sz w:val="24"/>
          <w:szCs w:val="24"/>
          <w:lang w:val="en-US" w:eastAsia="zh-CN" w:bidi="ar-SA"/>
        </w:rPr>
        <w:t>文件</w:t>
      </w:r>
      <w:r>
        <w:rPr>
          <w:rFonts w:hint="default" w:ascii="Times New Roman" w:hAnsi="Times New Roman" w:eastAsia="宋体" w:cs="Times New Roman"/>
          <w:snapToGrid w:val="0"/>
          <w:color w:val="000000"/>
          <w:spacing w:val="0"/>
          <w:kern w:val="0"/>
          <w:sz w:val="24"/>
          <w:szCs w:val="24"/>
          <w:lang w:val="en-US" w:eastAsia="zh-CN" w:bidi="ar-SA"/>
        </w:rPr>
        <w:t>由中国食品土畜进出口商会解释。</w:t>
      </w:r>
    </w:p>
    <w:p w14:paraId="0FE58E9E">
      <w:pPr>
        <w:keepNext w:val="0"/>
        <w:keepLines w:val="0"/>
        <w:pageBreakBefore w:val="0"/>
        <w:widowControl/>
        <w:kinsoku w:val="0"/>
        <w:wordWrap/>
        <w:overflowPunct/>
        <w:topLinePunct w:val="0"/>
        <w:autoSpaceDE w:val="0"/>
        <w:autoSpaceDN w:val="0"/>
        <w:bidi w:val="0"/>
        <w:adjustRightInd w:val="0"/>
        <w:snapToGrid w:val="0"/>
        <w:spacing w:line="360" w:lineRule="auto"/>
        <w:ind w:right="638" w:rightChars="304" w:firstLine="960" w:firstLineChars="400"/>
        <w:textAlignment w:val="baseline"/>
        <w:rPr>
          <w:rFonts w:hint="default" w:ascii="Times New Roman" w:hAnsi="Times New Roman" w:eastAsia="宋体" w:cs="Times New Roman"/>
          <w:spacing w:val="0"/>
          <w:sz w:val="24"/>
          <w:szCs w:val="24"/>
        </w:rPr>
      </w:pPr>
      <w:r>
        <w:rPr>
          <w:rFonts w:hint="default" w:ascii="Times New Roman" w:hAnsi="Times New Roman" w:eastAsia="宋体" w:cs="Times New Roman"/>
          <w:spacing w:val="0"/>
          <w:sz w:val="24"/>
          <w:szCs w:val="24"/>
        </w:rPr>
        <w:t>本</w:t>
      </w:r>
      <w:r>
        <w:rPr>
          <w:rFonts w:hint="eastAsia" w:ascii="Times New Roman" w:hAnsi="Times New Roman" w:eastAsia="宋体" w:cs="Times New Roman"/>
          <w:spacing w:val="0"/>
          <w:sz w:val="24"/>
          <w:szCs w:val="24"/>
          <w:lang w:val="en-US" w:eastAsia="zh-CN"/>
        </w:rPr>
        <w:t>文件</w:t>
      </w:r>
      <w:r>
        <w:rPr>
          <w:rFonts w:hint="default" w:ascii="Times New Roman" w:hAnsi="Times New Roman" w:eastAsia="宋体" w:cs="Times New Roman"/>
          <w:spacing w:val="0"/>
          <w:sz w:val="24"/>
          <w:szCs w:val="24"/>
        </w:rPr>
        <w:t>由中国食品土畜进出口商会于202</w:t>
      </w:r>
      <w:r>
        <w:rPr>
          <w:rFonts w:hint="eastAsia" w:ascii="Times New Roman" w:hAnsi="Times New Roman" w:eastAsia="宋体" w:cs="Times New Roman"/>
          <w:spacing w:val="0"/>
          <w:sz w:val="24"/>
          <w:szCs w:val="24"/>
          <w:lang w:val="en-US" w:eastAsia="zh-CN"/>
        </w:rPr>
        <w:t>6</w:t>
      </w:r>
      <w:r>
        <w:rPr>
          <w:rFonts w:hint="default" w:ascii="Times New Roman" w:hAnsi="Times New Roman" w:eastAsia="宋体" w:cs="Times New Roman"/>
          <w:spacing w:val="0"/>
          <w:sz w:val="24"/>
          <w:szCs w:val="24"/>
        </w:rPr>
        <w:t>年</w:t>
      </w:r>
      <w:r>
        <w:rPr>
          <w:rFonts w:hint="default" w:ascii="Times New Roman" w:hAnsi="Times New Roman" w:eastAsia="宋体" w:cs="Times New Roman"/>
          <w:spacing w:val="0"/>
          <w:sz w:val="24"/>
          <w:szCs w:val="24"/>
          <w:lang w:val="en-US" w:eastAsia="zh-CN"/>
        </w:rPr>
        <w:t>**</w:t>
      </w:r>
      <w:r>
        <w:rPr>
          <w:rFonts w:hint="default" w:ascii="Times New Roman" w:hAnsi="Times New Roman" w:eastAsia="宋体" w:cs="Times New Roman"/>
          <w:spacing w:val="0"/>
          <w:sz w:val="24"/>
          <w:szCs w:val="24"/>
        </w:rPr>
        <w:t>月</w:t>
      </w:r>
      <w:r>
        <w:rPr>
          <w:rFonts w:hint="default" w:ascii="Times New Roman" w:hAnsi="Times New Roman" w:eastAsia="宋体" w:cs="Times New Roman"/>
          <w:spacing w:val="0"/>
          <w:sz w:val="24"/>
          <w:szCs w:val="24"/>
          <w:lang w:val="en-US" w:eastAsia="zh-CN"/>
        </w:rPr>
        <w:t>**</w:t>
      </w:r>
      <w:r>
        <w:rPr>
          <w:rFonts w:hint="default" w:ascii="Times New Roman" w:hAnsi="Times New Roman" w:eastAsia="宋体" w:cs="Times New Roman"/>
          <w:spacing w:val="0"/>
          <w:sz w:val="24"/>
          <w:szCs w:val="24"/>
        </w:rPr>
        <w:t>日批准公示。</w:t>
      </w:r>
    </w:p>
    <w:p w14:paraId="0575D087">
      <w:pPr>
        <w:keepNext w:val="0"/>
        <w:keepLines w:val="0"/>
        <w:pageBreakBefore w:val="0"/>
        <w:widowControl/>
        <w:kinsoku w:val="0"/>
        <w:wordWrap/>
        <w:overflowPunct/>
        <w:topLinePunct w:val="0"/>
        <w:autoSpaceDE w:val="0"/>
        <w:autoSpaceDN w:val="0"/>
        <w:bidi w:val="0"/>
        <w:adjustRightInd w:val="0"/>
        <w:snapToGrid w:val="0"/>
        <w:spacing w:line="360" w:lineRule="auto"/>
        <w:ind w:right="632" w:rightChars="301" w:firstLine="960" w:firstLineChars="400"/>
        <w:textAlignment w:val="baseline"/>
        <w:rPr>
          <w:rFonts w:hint="default" w:ascii="Times New Roman" w:hAnsi="Times New Roman" w:eastAsia="宋体" w:cs="Times New Roman"/>
          <w:spacing w:val="0"/>
          <w:sz w:val="24"/>
          <w:szCs w:val="24"/>
        </w:rPr>
      </w:pPr>
      <w:r>
        <w:rPr>
          <w:rFonts w:hint="default" w:ascii="Times New Roman" w:hAnsi="Times New Roman" w:eastAsia="宋体" w:cs="Times New Roman"/>
          <w:spacing w:val="0"/>
          <w:sz w:val="24"/>
          <w:szCs w:val="24"/>
        </w:rPr>
        <w:t>本</w:t>
      </w:r>
      <w:r>
        <w:rPr>
          <w:rFonts w:hint="eastAsia" w:ascii="Times New Roman" w:hAnsi="Times New Roman" w:eastAsia="宋体" w:cs="Times New Roman"/>
          <w:spacing w:val="0"/>
          <w:sz w:val="24"/>
          <w:szCs w:val="24"/>
          <w:lang w:val="en-US" w:eastAsia="zh-CN"/>
        </w:rPr>
        <w:t>文件</w:t>
      </w:r>
      <w:r>
        <w:rPr>
          <w:rFonts w:hint="default" w:ascii="Times New Roman" w:hAnsi="Times New Roman" w:eastAsia="宋体" w:cs="Times New Roman"/>
          <w:spacing w:val="0"/>
          <w:sz w:val="24"/>
          <w:szCs w:val="24"/>
        </w:rPr>
        <w:t>自202</w:t>
      </w:r>
      <w:r>
        <w:rPr>
          <w:rFonts w:hint="default" w:ascii="Times New Roman" w:hAnsi="Times New Roman" w:eastAsia="宋体" w:cs="Times New Roman"/>
          <w:spacing w:val="0"/>
          <w:sz w:val="24"/>
          <w:szCs w:val="24"/>
          <w:lang w:val="en-US" w:eastAsia="zh-CN"/>
        </w:rPr>
        <w:t>6</w:t>
      </w:r>
      <w:r>
        <w:rPr>
          <w:rFonts w:hint="default" w:ascii="Times New Roman" w:hAnsi="Times New Roman" w:eastAsia="宋体" w:cs="Times New Roman"/>
          <w:spacing w:val="0"/>
          <w:sz w:val="24"/>
          <w:szCs w:val="24"/>
        </w:rPr>
        <w:t>年</w:t>
      </w:r>
      <w:r>
        <w:rPr>
          <w:rFonts w:hint="default" w:ascii="Times New Roman" w:hAnsi="Times New Roman" w:eastAsia="宋体" w:cs="Times New Roman"/>
          <w:spacing w:val="0"/>
          <w:sz w:val="24"/>
          <w:szCs w:val="24"/>
          <w:lang w:val="en-US" w:eastAsia="zh-CN"/>
        </w:rPr>
        <w:t>**</w:t>
      </w:r>
      <w:r>
        <w:rPr>
          <w:rFonts w:hint="default" w:ascii="Times New Roman" w:hAnsi="Times New Roman" w:eastAsia="宋体" w:cs="Times New Roman"/>
          <w:spacing w:val="0"/>
          <w:sz w:val="24"/>
          <w:szCs w:val="24"/>
        </w:rPr>
        <w:t>月</w:t>
      </w:r>
      <w:r>
        <w:rPr>
          <w:rFonts w:hint="default" w:ascii="Times New Roman" w:hAnsi="Times New Roman" w:eastAsia="宋体" w:cs="Times New Roman"/>
          <w:spacing w:val="0"/>
          <w:sz w:val="24"/>
          <w:szCs w:val="24"/>
          <w:lang w:val="en-US" w:eastAsia="zh-CN"/>
        </w:rPr>
        <w:t>**</w:t>
      </w:r>
      <w:r>
        <w:rPr>
          <w:rFonts w:hint="default" w:ascii="Times New Roman" w:hAnsi="Times New Roman" w:eastAsia="宋体" w:cs="Times New Roman"/>
          <w:spacing w:val="0"/>
          <w:sz w:val="24"/>
          <w:szCs w:val="24"/>
        </w:rPr>
        <w:t>日起实施。</w:t>
      </w:r>
    </w:p>
    <w:p w14:paraId="7467C7D1">
      <w:pPr>
        <w:spacing w:line="219" w:lineRule="auto"/>
        <w:ind w:left="420" w:leftChars="200" w:right="638" w:rightChars="304" w:firstLine="566" w:firstLineChars="236"/>
        <w:rPr>
          <w:rFonts w:hint="default" w:ascii="Times New Roman" w:hAnsi="Times New Roman" w:eastAsia="宋体" w:cs="Times New Roman"/>
          <w:sz w:val="24"/>
          <w:szCs w:val="24"/>
        </w:rPr>
        <w:sectPr>
          <w:headerReference r:id="rId8" w:type="default"/>
          <w:footerReference r:id="rId9" w:type="default"/>
          <w:pgSz w:w="11910" w:h="16840"/>
          <w:pgMar w:top="1486" w:right="943" w:bottom="1340" w:left="1088" w:header="1117" w:footer="1105" w:gutter="0"/>
          <w:pgBorders>
            <w:top w:val="none" w:sz="0" w:space="0"/>
            <w:left w:val="none" w:sz="0" w:space="0"/>
            <w:bottom w:val="none" w:sz="0" w:space="0"/>
            <w:right w:val="none" w:sz="0" w:space="0"/>
          </w:pgBorders>
          <w:cols w:space="720" w:num="1"/>
        </w:sectPr>
      </w:pPr>
    </w:p>
    <w:p w14:paraId="6CF4DFE9">
      <w:pPr>
        <w:spacing w:line="20" w:lineRule="exact"/>
        <w:jc w:val="center"/>
        <w:rPr>
          <w:rFonts w:hint="eastAsia" w:ascii="黑体" w:hAnsi="黑体" w:eastAsia="黑体"/>
          <w:sz w:val="32"/>
          <w:szCs w:val="32"/>
        </w:rPr>
      </w:pPr>
      <w:bookmarkStart w:id="2" w:name="bookmark3"/>
      <w:bookmarkEnd w:id="2"/>
      <w:bookmarkStart w:id="3" w:name="BookMark4"/>
      <w:r>
        <w:rPr>
          <w:rFonts w:ascii="黑体" w:hAnsi="黑体" w:eastAsia="黑体"/>
          <w:sz w:val="32"/>
          <w:szCs w:val="32"/>
        </w:rPr>
        <w:t>d</w:t>
      </w:r>
    </w:p>
    <w:p w14:paraId="093ECC5C">
      <w:pPr>
        <w:spacing w:line="20" w:lineRule="exact"/>
        <w:jc w:val="center"/>
        <w:rPr>
          <w:rFonts w:hint="eastAsia" w:ascii="黑体" w:hAnsi="黑体" w:eastAsia="黑体"/>
          <w:sz w:val="32"/>
          <w:szCs w:val="32"/>
        </w:rPr>
      </w:pPr>
    </w:p>
    <w:sdt>
      <w:sdtPr>
        <w:tag w:val="NEW_STAND_NAME"/>
        <w:id w:val="595910757"/>
        <w:lock w:val="sdtLocked"/>
        <w:placeholder>
          <w:docPart w:val="{e247ccaa-aefd-44e1-a0a0-5f7154484d03}"/>
        </w:placeholder>
      </w:sdtPr>
      <w:sdtContent>
        <w:p w14:paraId="7D3545B9">
          <w:pPr>
            <w:pStyle w:val="24"/>
            <w:bidi w:val="0"/>
            <w:spacing w:before="4" w:beforeLines="1" w:after="680"/>
          </w:pPr>
          <w:bookmarkEnd w:id="3"/>
          <w:r>
            <w:rPr>
              <w:rFonts w:hint="eastAsia"/>
              <w:lang w:eastAsia="zh-CN"/>
            </w:rPr>
            <w:t>黑水虻虫卵虫苗分级标准</w:t>
          </w:r>
        </w:p>
        <w:p w14:paraId="7FC0C1A4">
          <w:pPr>
            <w:pStyle w:val="25"/>
            <w:spacing w:before="240" w:after="240"/>
          </w:pPr>
          <w:bookmarkStart w:id="4" w:name="_Toc24884211"/>
          <w:bookmarkStart w:id="5" w:name="_Toc26986771"/>
          <w:bookmarkStart w:id="6" w:name="_Toc26718930"/>
          <w:bookmarkStart w:id="7" w:name="_Toc24884218"/>
          <w:bookmarkStart w:id="8" w:name="_Toc17233333"/>
          <w:bookmarkStart w:id="9" w:name="_Toc17233325"/>
          <w:bookmarkStart w:id="10" w:name="_Toc97192964"/>
          <w:bookmarkStart w:id="11" w:name="_Toc26986530"/>
          <w:bookmarkStart w:id="12" w:name="_Toc26648465"/>
          <w:r>
            <w:rPr>
              <w:rFonts w:hint="eastAsia"/>
            </w:rPr>
            <w:t>范围</w:t>
          </w:r>
          <w:bookmarkEnd w:id="4"/>
          <w:bookmarkEnd w:id="5"/>
          <w:bookmarkEnd w:id="6"/>
          <w:bookmarkEnd w:id="7"/>
          <w:bookmarkEnd w:id="8"/>
          <w:bookmarkEnd w:id="9"/>
          <w:bookmarkEnd w:id="10"/>
          <w:bookmarkEnd w:id="11"/>
          <w:bookmarkEnd w:id="12"/>
        </w:p>
        <w:p w14:paraId="10EA45FD">
          <w:pPr>
            <w:pStyle w:val="23"/>
            <w:ind w:firstLine="420"/>
            <w:rPr>
              <w:rFonts w:hint="eastAsia"/>
            </w:rPr>
          </w:pPr>
          <w:bookmarkStart w:id="13" w:name="_Toc17233326"/>
          <w:bookmarkStart w:id="14" w:name="_Toc24884212"/>
          <w:bookmarkStart w:id="15" w:name="_Toc24884219"/>
          <w:bookmarkStart w:id="16" w:name="_Toc26648466"/>
          <w:bookmarkStart w:id="17" w:name="_Toc17233334"/>
          <w:r>
            <w:rPr>
              <w:rFonts w:hint="eastAsia"/>
            </w:rPr>
            <w:t>本文件界定了黑水虻虫卵</w:t>
          </w:r>
          <w:r>
            <w:rPr>
              <w:rFonts w:hint="eastAsia"/>
              <w:lang w:eastAsia="zh-CN"/>
            </w:rPr>
            <w:t>、</w:t>
          </w:r>
          <w:r>
            <w:rPr>
              <w:rFonts w:hint="eastAsia"/>
              <w:lang w:val="en-US" w:eastAsia="zh-CN"/>
            </w:rPr>
            <w:t>虫苗</w:t>
          </w:r>
          <w:r>
            <w:rPr>
              <w:rFonts w:hint="eastAsia"/>
            </w:rPr>
            <w:t xml:space="preserve">质量标准相关的术语和定义，规定了相关要求，描述了相关检测方法和检测规则，给出了相关的标识、包装、运输和储存说明。 </w:t>
          </w:r>
        </w:p>
        <w:p w14:paraId="2728661B">
          <w:pPr>
            <w:pStyle w:val="23"/>
            <w:ind w:firstLine="420"/>
          </w:pPr>
          <w:r>
            <w:rPr>
              <w:rFonts w:hint="eastAsia"/>
            </w:rPr>
            <w:t>本文件适用于黑水虻虫卵</w:t>
          </w:r>
          <w:r>
            <w:rPr>
              <w:rFonts w:hint="eastAsia"/>
              <w:lang w:eastAsia="zh-CN"/>
            </w:rPr>
            <w:t>、</w:t>
          </w:r>
          <w:r>
            <w:rPr>
              <w:rFonts w:hint="eastAsia"/>
              <w:lang w:val="en-US" w:eastAsia="zh-CN"/>
            </w:rPr>
            <w:t>虫苗的</w:t>
          </w:r>
          <w:r>
            <w:rPr>
              <w:rFonts w:hint="eastAsia"/>
            </w:rPr>
            <w:t xml:space="preserve">质量评定。 </w:t>
          </w:r>
        </w:p>
        <w:p w14:paraId="24D158ED">
          <w:pPr>
            <w:pStyle w:val="25"/>
            <w:spacing w:before="240" w:after="240"/>
          </w:pPr>
          <w:bookmarkStart w:id="18" w:name="_Toc26986531"/>
          <w:bookmarkStart w:id="19" w:name="_Toc26718931"/>
          <w:bookmarkStart w:id="20" w:name="_Toc26986772"/>
          <w:bookmarkStart w:id="21" w:name="_Toc97192965"/>
          <w:r>
            <w:rPr>
              <w:rFonts w:hint="eastAsia"/>
            </w:rPr>
            <w:t>规范性引用文件</w:t>
          </w:r>
          <w:bookmarkEnd w:id="13"/>
          <w:bookmarkEnd w:id="14"/>
          <w:bookmarkEnd w:id="15"/>
          <w:bookmarkEnd w:id="16"/>
          <w:bookmarkEnd w:id="17"/>
          <w:bookmarkEnd w:id="18"/>
          <w:bookmarkEnd w:id="19"/>
          <w:bookmarkEnd w:id="20"/>
          <w:bookmarkEnd w:id="21"/>
        </w:p>
        <w:sdt>
          <w:sdtPr>
            <w:rPr>
              <w:rFonts w:hint="eastAsia"/>
            </w:rPr>
            <w:id w:val="147457990"/>
            <w:placeholder>
              <w:docPart w:val="{3457139f-319c-4a80-ade1-ada950cc4bdb}"/>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0E4D4395">
              <w:pPr>
                <w:pStyle w:val="23"/>
                <w:ind w:firstLine="420"/>
              </w:pPr>
              <w:r>
                <w:rPr>
                  <w:rFonts w:hint="eastAsia" w:ascii="宋体" w:hAnsi="Times New Roman" w:eastAsia="宋体" w:cs="Times New Roman"/>
                  <w:sz w:val="21"/>
                  <w:lang w:val="en-US" w:eastAsia="zh-CN" w:bidi="ar-SA"/>
                </w:rPr>
                <w:t>本文件没有规范性引用文件。</w:t>
              </w:r>
            </w:p>
          </w:sdtContent>
        </w:sdt>
        <w:p w14:paraId="4526698B">
          <w:pPr>
            <w:pStyle w:val="23"/>
            <w:ind w:firstLine="420"/>
          </w:pPr>
        </w:p>
        <w:p w14:paraId="6DABDF19">
          <w:pPr>
            <w:pStyle w:val="25"/>
            <w:spacing w:before="240" w:after="240"/>
          </w:pPr>
          <w:bookmarkStart w:id="22" w:name="_Toc97192966"/>
          <w:r>
            <w:rPr>
              <w:rFonts w:hint="eastAsia"/>
              <w:szCs w:val="21"/>
            </w:rPr>
            <w:t>术语和定义</w:t>
          </w:r>
          <w:bookmarkEnd w:id="22"/>
        </w:p>
        <w:sdt>
          <w:sdtPr>
            <w:id w:val="147476984"/>
            <w:placeholder>
              <w:docPart w:val="{00952280-eb3d-4293-a12a-4d9802f31911}"/>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759AA79B">
              <w:pPr>
                <w:pStyle w:val="23"/>
                <w:ind w:firstLine="420"/>
              </w:pPr>
              <w:bookmarkStart w:id="23" w:name="_Toc26986532"/>
              <w:bookmarkEnd w:id="23"/>
              <w:r>
                <w:rPr>
                  <w:rFonts w:ascii="宋体" w:hAnsi="Times New Roman" w:eastAsia="宋体" w:cs="Times New Roman"/>
                  <w:sz w:val="21"/>
                  <w:lang w:val="en-US" w:eastAsia="zh-CN" w:bidi="ar-SA"/>
                </w:rPr>
                <w:t>下列术语和定义适用于本文件。</w:t>
              </w:r>
            </w:p>
          </w:sdtContent>
        </w:sdt>
        <w:p w14:paraId="491CEA4E">
          <w:pPr>
            <w:pStyle w:val="23"/>
            <w:ind w:firstLine="420"/>
          </w:pPr>
        </w:p>
        <w:p w14:paraId="603F4371">
          <w:pPr>
            <w:pStyle w:val="30"/>
            <w:bidi w:val="0"/>
            <w:spacing w:after="0" w:afterLines="0"/>
            <w:ind w:left="420" w:hanging="420" w:hangingChars="200"/>
            <w:rPr>
              <w:rFonts w:hint="eastAsia" w:ascii="黑体" w:hAnsi="黑体" w:eastAsia="黑体" w:cs="黑体"/>
            </w:rPr>
          </w:pPr>
        </w:p>
        <w:p w14:paraId="52C5F402">
          <w:pPr>
            <w:pStyle w:val="30"/>
            <w:numPr>
              <w:ilvl w:val="2"/>
              <w:numId w:val="0"/>
            </w:numPr>
            <w:bidi w:val="0"/>
            <w:spacing w:after="0" w:afterLines="0"/>
            <w:ind w:left="-420" w:leftChars="-200" w:firstLine="840" w:firstLineChars="0"/>
            <w:rPr>
              <w:rFonts w:hint="eastAsia" w:ascii="黑体" w:hAnsi="黑体" w:eastAsia="黑体" w:cs="黑体"/>
            </w:rPr>
          </w:pPr>
          <w:r>
            <w:rPr>
              <w:rFonts w:hint="eastAsia" w:ascii="黑体" w:hAnsi="黑体" w:eastAsia="黑体" w:cs="黑体"/>
              <w:lang w:val="en-US" w:eastAsia="zh-CN"/>
            </w:rPr>
            <w:t>受精率</w:t>
          </w:r>
        </w:p>
        <w:p w14:paraId="7EB29906">
          <w:pPr>
            <w:pStyle w:val="23"/>
            <w:ind w:firstLine="420"/>
          </w:pPr>
          <w:r>
            <w:rPr>
              <w:rFonts w:hint="eastAsia"/>
              <w:lang w:val="en-US" w:eastAsia="zh-CN"/>
            </w:rPr>
            <w:t>在规定条件下受精且正常发育的虫卵数量占卵总数量的比例，以下简称受精率，用百分比表示</w:t>
          </w:r>
          <w:r>
            <w:rPr>
              <w:rFonts w:hint="eastAsia"/>
            </w:rPr>
            <w:t>。</w:t>
          </w:r>
        </w:p>
        <w:p w14:paraId="201B2B97">
          <w:pPr>
            <w:pStyle w:val="30"/>
            <w:ind w:left="420" w:hanging="420" w:hangingChars="200"/>
            <w:rPr>
              <w:rFonts w:ascii="黑体" w:hAnsi="黑体" w:eastAsia="黑体"/>
            </w:rPr>
          </w:pPr>
        </w:p>
        <w:p w14:paraId="2CA52D2B">
          <w:pPr>
            <w:pStyle w:val="30"/>
            <w:numPr>
              <w:ilvl w:val="2"/>
              <w:numId w:val="0"/>
            </w:numPr>
            <w:ind w:left="-420" w:leftChars="-200" w:firstLine="840" w:firstLineChars="0"/>
            <w:rPr>
              <w:rFonts w:ascii="黑体" w:hAnsi="黑体" w:eastAsia="黑体"/>
              <w:highlight w:val="none"/>
            </w:rPr>
          </w:pPr>
          <w:r>
            <w:rPr>
              <w:rFonts w:hint="eastAsia" w:ascii="黑体" w:hAnsi="黑体" w:eastAsia="黑体"/>
              <w:highlight w:val="none"/>
              <w:lang w:val="en-US" w:eastAsia="zh-CN"/>
            </w:rPr>
            <w:t>死胚率</w:t>
          </w:r>
        </w:p>
        <w:p w14:paraId="530AFEE6">
          <w:pPr>
            <w:pStyle w:val="23"/>
          </w:pPr>
          <w:r>
            <w:rPr>
              <w:rFonts w:hint="eastAsia"/>
              <w:lang w:val="en-US" w:eastAsia="zh-CN"/>
            </w:rPr>
            <w:t>在规定条件下，</w:t>
          </w:r>
          <w:r>
            <w:rPr>
              <w:rFonts w:hint="eastAsia"/>
            </w:rPr>
            <w:t>经过</w:t>
          </w:r>
          <w:r>
            <w:rPr>
              <w:rFonts w:hint="eastAsia"/>
              <w:lang w:val="en-US" w:eastAsia="zh-CN"/>
            </w:rPr>
            <w:t>一定</w:t>
          </w:r>
          <w:r>
            <w:rPr>
              <w:rFonts w:hint="eastAsia"/>
            </w:rPr>
            <w:t>的发育周期后，虫卵中未完成胚胎发育、无生命活性的虫卵数量，占检测总虫卵数量的百分比。</w:t>
          </w:r>
        </w:p>
        <w:p w14:paraId="10FFB974">
          <w:pPr>
            <w:pStyle w:val="30"/>
            <w:ind w:left="420" w:hanging="420" w:hangingChars="200"/>
            <w:rPr>
              <w:rFonts w:ascii="黑体" w:hAnsi="黑体" w:eastAsia="黑体"/>
            </w:rPr>
          </w:pPr>
        </w:p>
        <w:p w14:paraId="3CEE83F9">
          <w:pPr>
            <w:pStyle w:val="30"/>
            <w:numPr>
              <w:ilvl w:val="2"/>
              <w:numId w:val="0"/>
            </w:numPr>
            <w:ind w:left="-420" w:leftChars="-200" w:firstLine="840" w:firstLineChars="0"/>
            <w:rPr>
              <w:rFonts w:ascii="黑体" w:hAnsi="黑体" w:eastAsia="黑体"/>
            </w:rPr>
          </w:pPr>
          <w:r>
            <w:rPr>
              <w:rFonts w:hint="eastAsia" w:ascii="黑体" w:hAnsi="黑体" w:eastAsia="黑体"/>
            </w:rPr>
            <w:t>孵化率</w:t>
          </w:r>
        </w:p>
        <w:p w14:paraId="4F882A36">
          <w:pPr>
            <w:pStyle w:val="17"/>
            <w:rPr>
              <w:rFonts w:hint="eastAsia"/>
              <w:lang w:val="en-US" w:eastAsia="zh-CN"/>
            </w:rPr>
          </w:pPr>
          <w:r>
            <w:rPr>
              <w:rFonts w:hint="eastAsia"/>
              <w:lang w:val="en-US" w:eastAsia="zh-CN"/>
            </w:rPr>
            <w:t>在规定条件下孵化出的初孵幼虫数量占虫卵总数量的比例，用百分比表示。</w:t>
          </w:r>
        </w:p>
        <w:p w14:paraId="616F0C4C">
          <w:pPr>
            <w:pStyle w:val="30"/>
            <w:ind w:left="420" w:hanging="420" w:hangingChars="200"/>
            <w:rPr>
              <w:rFonts w:ascii="黑体" w:hAnsi="黑体" w:eastAsia="黑体"/>
            </w:rPr>
          </w:pPr>
        </w:p>
        <w:p w14:paraId="325E3CA2">
          <w:pPr>
            <w:pStyle w:val="30"/>
            <w:numPr>
              <w:ilvl w:val="2"/>
              <w:numId w:val="0"/>
            </w:numPr>
            <w:ind w:left="-420" w:leftChars="-200" w:firstLine="840" w:firstLineChars="0"/>
            <w:rPr>
              <w:rFonts w:ascii="黑体" w:hAnsi="黑体" w:eastAsia="黑体"/>
            </w:rPr>
          </w:pPr>
          <w:r>
            <w:rPr>
              <w:rFonts w:hint="eastAsia" w:ascii="黑体" w:hAnsi="黑体" w:eastAsia="黑体" w:cs="黑体"/>
              <w:lang w:val="en-US" w:eastAsia="zh-CN"/>
            </w:rPr>
            <w:t>结团率</w:t>
          </w:r>
        </w:p>
        <w:p w14:paraId="1823D568">
          <w:pPr>
            <w:pStyle w:val="23"/>
            <w:ind w:firstLine="420"/>
            <w:rPr>
              <w:rFonts w:ascii="黑体" w:hAnsi="黑体" w:eastAsia="黑体"/>
              <w:highlight w:val="none"/>
            </w:rPr>
          </w:pPr>
          <w:r>
            <w:rPr>
              <w:rFonts w:hint="eastAsia"/>
              <w:lang w:val="en-US" w:eastAsia="zh-CN"/>
            </w:rPr>
            <w:t>在规定条件下孵化结束后，未孵化的结团卵粒、卵壳重量占总重量的比例，为方便表达，统称结团率，用百分比表示。</w:t>
          </w:r>
        </w:p>
        <w:p w14:paraId="6CEE1465">
          <w:pPr>
            <w:pStyle w:val="30"/>
            <w:ind w:left="420" w:hanging="420" w:hangingChars="200"/>
            <w:rPr>
              <w:rFonts w:ascii="黑体" w:hAnsi="黑体" w:eastAsia="黑体"/>
            </w:rPr>
          </w:pPr>
        </w:p>
        <w:p w14:paraId="684DAA96">
          <w:pPr>
            <w:pStyle w:val="30"/>
            <w:numPr>
              <w:ilvl w:val="2"/>
              <w:numId w:val="0"/>
            </w:numPr>
            <w:ind w:left="-420" w:leftChars="-200" w:firstLine="840" w:firstLineChars="0"/>
            <w:rPr>
              <w:rFonts w:ascii="黑体" w:hAnsi="黑体" w:eastAsia="黑体"/>
            </w:rPr>
          </w:pPr>
          <w:r>
            <w:rPr>
              <w:rFonts w:hint="eastAsia" w:ascii="黑体" w:hAnsi="黑体" w:eastAsia="黑体"/>
              <w:lang w:val="en-US" w:eastAsia="zh-CN"/>
            </w:rPr>
            <w:t>得虫率</w:t>
          </w:r>
        </w:p>
        <w:p w14:paraId="03951A3F">
          <w:pPr>
            <w:pStyle w:val="17"/>
            <w:rPr>
              <w:rFonts w:hint="eastAsia"/>
              <w:lang w:val="en-US" w:eastAsia="zh-CN"/>
            </w:rPr>
          </w:pPr>
          <w:r>
            <w:rPr>
              <w:rFonts w:hint="eastAsia"/>
              <w:lang w:val="en-US" w:eastAsia="zh-CN"/>
            </w:rPr>
            <w:t>在规定条件下育苗后三龄虫数量占虫卵总数量的比例，以万头/克卵表示。</w:t>
          </w:r>
        </w:p>
        <w:p w14:paraId="75E7021D">
          <w:pPr>
            <w:pStyle w:val="30"/>
            <w:ind w:left="420" w:hanging="420" w:hangingChars="200"/>
            <w:rPr>
              <w:rFonts w:ascii="黑体" w:hAnsi="黑体" w:eastAsia="黑体"/>
            </w:rPr>
          </w:pPr>
        </w:p>
        <w:p w14:paraId="56530CA6">
          <w:pPr>
            <w:pStyle w:val="30"/>
            <w:numPr>
              <w:ilvl w:val="2"/>
              <w:numId w:val="0"/>
            </w:numPr>
            <w:ind w:left="-420" w:leftChars="-200" w:firstLine="840" w:firstLineChars="0"/>
            <w:rPr>
              <w:rFonts w:ascii="黑体" w:hAnsi="黑体" w:eastAsia="黑体"/>
            </w:rPr>
          </w:pPr>
          <w:r>
            <w:rPr>
              <w:rFonts w:hint="eastAsia" w:ascii="黑体" w:hAnsi="黑体" w:eastAsia="黑体"/>
            </w:rPr>
            <w:t>辅料</w:t>
          </w:r>
        </w:p>
        <w:p w14:paraId="24A3A97B">
          <w:pPr>
            <w:pStyle w:val="17"/>
            <w:rPr>
              <w:rFonts w:hint="default"/>
              <w:lang w:val="en-US" w:eastAsia="zh-CN"/>
            </w:rPr>
          </w:pPr>
          <w:r>
            <w:rPr>
              <w:rFonts w:hint="eastAsia"/>
              <w:lang w:val="en-US" w:eastAsia="zh-CN"/>
            </w:rPr>
            <w:t>用于虫卵打包运输，和虫卵直接接触，为了分散保护虫卵的粉状物料。</w:t>
          </w:r>
        </w:p>
        <w:p w14:paraId="410B28BD">
          <w:pPr>
            <w:pStyle w:val="30"/>
            <w:bidi w:val="0"/>
            <w:spacing w:after="0" w:afterLines="0"/>
            <w:ind w:left="420" w:hanging="420" w:hangingChars="200"/>
            <w:rPr>
              <w:rFonts w:hint="eastAsia" w:ascii="黑体" w:hAnsi="黑体" w:eastAsia="黑体" w:cs="黑体"/>
            </w:rPr>
          </w:pPr>
        </w:p>
        <w:p w14:paraId="79D8F9F9">
          <w:pPr>
            <w:pStyle w:val="30"/>
            <w:numPr>
              <w:ilvl w:val="2"/>
              <w:numId w:val="0"/>
            </w:numPr>
            <w:bidi w:val="0"/>
            <w:spacing w:after="0" w:afterLines="0"/>
            <w:ind w:left="-420" w:leftChars="-200" w:firstLine="840" w:firstLineChars="0"/>
            <w:rPr>
              <w:rFonts w:hint="eastAsia" w:ascii="黑体" w:hAnsi="黑体" w:eastAsia="黑体" w:cs="黑体"/>
            </w:rPr>
          </w:pPr>
          <w:r>
            <w:rPr>
              <w:rFonts w:hint="eastAsia" w:ascii="黑体" w:hAnsi="黑体" w:eastAsia="黑体" w:cs="黑体"/>
              <w:lang w:val="en-US" w:eastAsia="zh-CN"/>
            </w:rPr>
            <w:t>初孵幼虫</w:t>
          </w:r>
        </w:p>
        <w:p w14:paraId="7B3D8B2A">
          <w:pPr>
            <w:pStyle w:val="17"/>
            <w:rPr>
              <w:rFonts w:hint="eastAsia"/>
              <w:lang w:val="en-US" w:eastAsia="zh-CN"/>
            </w:rPr>
          </w:pPr>
          <w:r>
            <w:rPr>
              <w:rFonts w:hint="eastAsia"/>
              <w:lang w:val="en-US" w:eastAsia="zh-CN"/>
            </w:rPr>
            <w:t>孵化至完成第1次蜕皮前的一龄幼虫。</w:t>
          </w:r>
        </w:p>
        <w:p w14:paraId="4C0C0B12">
          <w:pPr>
            <w:pStyle w:val="30"/>
            <w:bidi w:val="0"/>
            <w:spacing w:after="0" w:afterLines="0"/>
            <w:ind w:left="420" w:hanging="420" w:hangingChars="200"/>
            <w:rPr>
              <w:rFonts w:hint="eastAsia" w:ascii="黑体" w:hAnsi="黑体" w:eastAsia="黑体" w:cs="黑体"/>
              <w:highlight w:val="none"/>
            </w:rPr>
          </w:pPr>
        </w:p>
        <w:p w14:paraId="1E27FA4F">
          <w:pPr>
            <w:pStyle w:val="30"/>
            <w:numPr>
              <w:ilvl w:val="2"/>
              <w:numId w:val="0"/>
            </w:numPr>
            <w:bidi w:val="0"/>
            <w:spacing w:after="0" w:afterLines="0"/>
            <w:ind w:left="-420" w:leftChars="-200" w:firstLine="840" w:firstLineChars="0"/>
            <w:rPr>
              <w:rFonts w:hint="eastAsia" w:ascii="黑体" w:hAnsi="黑体" w:eastAsia="黑体" w:cs="黑体"/>
              <w:highlight w:val="none"/>
            </w:rPr>
          </w:pPr>
          <w:r>
            <w:rPr>
              <w:rFonts w:hint="eastAsia" w:ascii="黑体" w:hAnsi="黑体" w:eastAsia="黑体" w:cs="黑体"/>
              <w:highlight w:val="none"/>
              <w:lang w:val="en-US" w:eastAsia="zh-CN"/>
            </w:rPr>
            <w:t>二龄虫</w:t>
          </w:r>
        </w:p>
        <w:p w14:paraId="55C075DE">
          <w:pPr>
            <w:pStyle w:val="17"/>
            <w:rPr>
              <w:rFonts w:hint="eastAsia"/>
              <w:highlight w:val="none"/>
              <w:lang w:val="en-US" w:eastAsia="zh-CN"/>
            </w:rPr>
          </w:pPr>
          <w:r>
            <w:rPr>
              <w:rFonts w:hint="eastAsia"/>
              <w:highlight w:val="none"/>
              <w:lang w:val="en-US" w:eastAsia="zh-CN"/>
            </w:rPr>
            <w:t>完成第一次蜕皮后的二龄幼虫。</w:t>
          </w:r>
        </w:p>
        <w:p w14:paraId="6A6CCA68">
          <w:pPr>
            <w:pStyle w:val="30"/>
            <w:bidi w:val="0"/>
            <w:spacing w:after="0" w:afterLines="0"/>
            <w:ind w:left="420" w:hanging="420" w:hangingChars="200"/>
            <w:rPr>
              <w:rFonts w:hint="eastAsia" w:ascii="黑体" w:hAnsi="黑体" w:eastAsia="黑体" w:cs="黑体"/>
              <w:b w:val="0"/>
              <w:bCs w:val="0"/>
              <w:highlight w:val="none"/>
              <w:lang w:val="en-US" w:eastAsia="zh-CN"/>
            </w:rPr>
          </w:pPr>
        </w:p>
        <w:p w14:paraId="4AA8F7C6">
          <w:pPr>
            <w:pStyle w:val="30"/>
            <w:numPr>
              <w:ilvl w:val="2"/>
              <w:numId w:val="0"/>
            </w:numPr>
            <w:bidi w:val="0"/>
            <w:spacing w:after="0" w:afterLines="0"/>
            <w:ind w:left="-420" w:leftChars="-200" w:firstLine="840" w:firstLineChars="0"/>
            <w:jc w:val="left"/>
            <w:rPr>
              <w:rFonts w:hint="eastAsia" w:ascii="黑体" w:hAnsi="黑体" w:eastAsia="黑体" w:cs="黑体"/>
              <w:b w:val="0"/>
              <w:bCs w:val="0"/>
              <w:lang w:val="en-US" w:eastAsia="zh-CN"/>
            </w:rPr>
          </w:pPr>
          <w:r>
            <w:rPr>
              <w:rFonts w:hint="eastAsia" w:ascii="黑体" w:hAnsi="黑体" w:eastAsia="黑体" w:cs="黑体"/>
              <w:highlight w:val="none"/>
              <w:lang w:val="en-US" w:eastAsia="zh-CN"/>
            </w:rPr>
            <w:t>三龄虫</w:t>
          </w:r>
          <w:r>
            <w:rPr>
              <w:rFonts w:hint="eastAsia" w:ascii="黑体" w:hAnsi="黑体" w:eastAsia="黑体" w:cs="黑体"/>
              <w:highlight w:val="none"/>
              <w:lang w:val="en-US" w:eastAsia="zh-CN"/>
            </w:rPr>
            <w:br w:type="textWrapping"/>
          </w:r>
          <w:r>
            <w:rPr>
              <w:rFonts w:hint="eastAsia" w:ascii="黑体" w:hAnsi="黑体" w:eastAsia="黑体" w:cs="黑体"/>
              <w:highlight w:val="none"/>
              <w:lang w:val="en-US" w:eastAsia="zh-CN"/>
            </w:rPr>
            <w:tab/>
          </w:r>
          <w:r>
            <w:rPr>
              <w:rFonts w:hint="eastAsia" w:ascii="宋体" w:hAnsi="Times New Roman" w:eastAsia="宋体" w:cs="Times New Roman"/>
              <w:kern w:val="0"/>
              <w:sz w:val="21"/>
              <w:szCs w:val="20"/>
              <w:highlight w:val="none"/>
              <w:lang w:val="en-US" w:eastAsia="zh-CN" w:bidi="ar-SA"/>
            </w:rPr>
            <w:tab/>
          </w:r>
          <w:r>
            <w:rPr>
              <w:rFonts w:hint="eastAsia" w:ascii="宋体" w:hAnsi="Times New Roman" w:eastAsia="宋体" w:cs="Times New Roman"/>
              <w:kern w:val="0"/>
              <w:sz w:val="21"/>
              <w:szCs w:val="20"/>
              <w:highlight w:val="none"/>
              <w:lang w:val="en-US" w:eastAsia="zh-CN" w:bidi="ar-SA"/>
            </w:rPr>
            <w:t>完成第</w:t>
          </w:r>
          <w:r>
            <w:rPr>
              <w:rFonts w:hint="eastAsia" w:cs="Times New Roman"/>
              <w:kern w:val="0"/>
              <w:sz w:val="21"/>
              <w:szCs w:val="20"/>
              <w:highlight w:val="none"/>
              <w:lang w:val="en-US" w:eastAsia="zh-CN" w:bidi="ar-SA"/>
            </w:rPr>
            <w:t>二</w:t>
          </w:r>
          <w:r>
            <w:rPr>
              <w:rFonts w:hint="eastAsia" w:ascii="宋体" w:hAnsi="Times New Roman" w:eastAsia="宋体" w:cs="Times New Roman"/>
              <w:kern w:val="0"/>
              <w:sz w:val="21"/>
              <w:szCs w:val="20"/>
              <w:highlight w:val="none"/>
              <w:lang w:val="en-US" w:eastAsia="zh-CN" w:bidi="ar-SA"/>
            </w:rPr>
            <w:t>次</w:t>
          </w:r>
          <w:r>
            <w:rPr>
              <w:rFonts w:hint="eastAsia" w:ascii="宋体" w:hAnsi="Times New Roman" w:eastAsia="宋体" w:cs="Times New Roman"/>
              <w:kern w:val="0"/>
              <w:sz w:val="21"/>
              <w:szCs w:val="20"/>
              <w:lang w:val="en-US" w:eastAsia="zh-CN" w:bidi="ar-SA"/>
            </w:rPr>
            <w:t>蜕皮后的</w:t>
          </w:r>
          <w:r>
            <w:rPr>
              <w:rFonts w:hint="eastAsia" w:cs="Times New Roman"/>
              <w:kern w:val="0"/>
              <w:sz w:val="21"/>
              <w:szCs w:val="20"/>
              <w:lang w:val="en-US" w:eastAsia="zh-CN" w:bidi="ar-SA"/>
            </w:rPr>
            <w:t>三</w:t>
          </w:r>
          <w:r>
            <w:rPr>
              <w:rFonts w:hint="eastAsia" w:ascii="宋体" w:hAnsi="Times New Roman" w:eastAsia="宋体" w:cs="Times New Roman"/>
              <w:kern w:val="0"/>
              <w:sz w:val="21"/>
              <w:szCs w:val="20"/>
              <w:lang w:val="en-US" w:eastAsia="zh-CN" w:bidi="ar-SA"/>
            </w:rPr>
            <w:t>龄幼虫。</w:t>
          </w:r>
        </w:p>
        <w:p w14:paraId="5F45DB1E">
          <w:pPr>
            <w:pStyle w:val="25"/>
            <w:bidi w:val="0"/>
          </w:pPr>
          <w:r>
            <w:rPr>
              <w:rFonts w:hint="eastAsia"/>
              <w:lang w:val="en-US" w:eastAsia="zh-CN"/>
            </w:rPr>
            <w:t>虫卵要求</w:t>
          </w:r>
        </w:p>
        <w:p w14:paraId="118ED1F9">
          <w:pPr>
            <w:pStyle w:val="26"/>
            <w:spacing w:before="156" w:after="156"/>
            <w:rPr>
              <w:rFonts w:hint="eastAsia"/>
              <w:lang w:val="en-US" w:eastAsia="zh-CN"/>
            </w:rPr>
          </w:pPr>
          <w:bookmarkStart w:id="24" w:name="_Toc16462"/>
          <w:r>
            <w:rPr>
              <w:rFonts w:hint="eastAsia"/>
              <w:lang w:val="en-US" w:eastAsia="zh-CN"/>
            </w:rPr>
            <w:t>外观与性状</w:t>
          </w:r>
        </w:p>
        <w:bookmarkEnd w:id="24"/>
        <w:p w14:paraId="65A08766">
          <w:pPr>
            <w:pStyle w:val="17"/>
            <w:rPr>
              <w:rFonts w:hint="eastAsia"/>
              <w:lang w:val="en-US" w:eastAsia="zh-CN"/>
            </w:rPr>
          </w:pPr>
          <w:r>
            <w:rPr>
              <w:rFonts w:hint="eastAsia"/>
              <w:lang w:val="en-US" w:eastAsia="zh-CN"/>
            </w:rPr>
            <w:t>应符合表4.1的要求。</w:t>
          </w:r>
        </w:p>
        <w:p w14:paraId="291869E2">
          <w:pPr>
            <w:pStyle w:val="17"/>
            <w:ind w:left="0" w:leftChars="0" w:firstLine="0" w:firstLineChars="0"/>
            <w:jc w:val="center"/>
            <w:rPr>
              <w:rFonts w:hint="eastAsia" w:ascii="黑体" w:hAnsi="黑体" w:eastAsia="黑体" w:cs="黑体"/>
              <w:lang w:val="en-US" w:eastAsia="zh-CN"/>
            </w:rPr>
          </w:pPr>
          <w:r>
            <w:rPr>
              <w:rFonts w:hint="eastAsia" w:ascii="黑体" w:hAnsi="黑体" w:eastAsia="黑体" w:cs="黑体"/>
              <w:lang w:val="en-US" w:eastAsia="zh-CN"/>
            </w:rPr>
            <w:t>表4.1 外观与性状</w:t>
          </w:r>
        </w:p>
        <w:tbl>
          <w:tblPr>
            <w:tblStyle w:val="10"/>
            <w:tblW w:w="0" w:type="auto"/>
            <w:tblInd w:w="5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97"/>
            <w:gridCol w:w="5719"/>
          </w:tblGrid>
          <w:tr w14:paraId="29628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61407014">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项目</w:t>
                </w:r>
              </w:p>
            </w:tc>
            <w:tc>
              <w:tcPr>
                <w:tcW w:w="5719" w:type="dxa"/>
              </w:tcPr>
              <w:p w14:paraId="03E15E87">
                <w:pPr>
                  <w:pStyle w:val="17"/>
                  <w:ind w:left="0" w:leftChars="0" w:firstLine="0" w:firstLineChars="0"/>
                  <w:jc w:val="left"/>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指标</w:t>
                </w:r>
              </w:p>
            </w:tc>
          </w:tr>
          <w:tr w14:paraId="5758B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7BB25791">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色泽</w:t>
                </w:r>
              </w:p>
            </w:tc>
            <w:tc>
              <w:tcPr>
                <w:tcW w:w="5719" w:type="dxa"/>
              </w:tcPr>
              <w:p w14:paraId="23503980">
                <w:pPr>
                  <w:pStyle w:val="17"/>
                  <w:ind w:left="0" w:leftChars="0" w:firstLine="0" w:firstLineChars="0"/>
                  <w:rPr>
                    <w:rFonts w:hint="default"/>
                    <w:sz w:val="18"/>
                    <w:szCs w:val="18"/>
                    <w:vertAlign w:val="baseline"/>
                    <w:lang w:val="en-US" w:eastAsia="zh-CN"/>
                  </w:rPr>
                </w:pPr>
                <w:r>
                  <w:rPr>
                    <w:rFonts w:hint="eastAsia"/>
                    <w:sz w:val="18"/>
                    <w:szCs w:val="18"/>
                    <w:vertAlign w:val="baseline"/>
                    <w:lang w:val="en-US" w:eastAsia="zh-CN"/>
                  </w:rPr>
                  <w:t>色泽浅黄至金黄</w:t>
                </w:r>
              </w:p>
            </w:tc>
          </w:tr>
          <w:tr w14:paraId="042C6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7C48E1DE">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气味</w:t>
                </w:r>
              </w:p>
            </w:tc>
            <w:tc>
              <w:tcPr>
                <w:tcW w:w="5719" w:type="dxa"/>
              </w:tcPr>
              <w:p w14:paraId="17F8F3F5">
                <w:pPr>
                  <w:pStyle w:val="17"/>
                  <w:ind w:left="0" w:leftChars="0" w:firstLine="0" w:firstLineChars="0"/>
                  <w:rPr>
                    <w:rFonts w:hint="default"/>
                    <w:sz w:val="18"/>
                    <w:szCs w:val="18"/>
                    <w:vertAlign w:val="baseline"/>
                    <w:lang w:val="en-US" w:eastAsia="zh-CN"/>
                  </w:rPr>
                </w:pPr>
                <w:r>
                  <w:rPr>
                    <w:rFonts w:hint="eastAsia"/>
                    <w:sz w:val="18"/>
                    <w:szCs w:val="18"/>
                    <w:vertAlign w:val="baseline"/>
                    <w:lang w:val="en-US" w:eastAsia="zh-CN"/>
                  </w:rPr>
                  <w:t>无霉臭、腐败及异味</w:t>
                </w:r>
              </w:p>
            </w:tc>
          </w:tr>
          <w:tr w14:paraId="3C2DA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19074B47">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感官</w:t>
                </w:r>
              </w:p>
            </w:tc>
            <w:tc>
              <w:tcPr>
                <w:tcW w:w="5719" w:type="dxa"/>
              </w:tcPr>
              <w:p w14:paraId="48BE4AB4">
                <w:pPr>
                  <w:pStyle w:val="17"/>
                  <w:ind w:left="0" w:leftChars="0" w:firstLine="0" w:firstLineChars="0"/>
                  <w:rPr>
                    <w:rFonts w:hint="default" w:eastAsia="宋体"/>
                    <w:sz w:val="18"/>
                    <w:szCs w:val="18"/>
                    <w:vertAlign w:val="baseline"/>
                    <w:lang w:val="en-US" w:eastAsia="zh-CN"/>
                  </w:rPr>
                </w:pPr>
                <w:r>
                  <w:rPr>
                    <w:rFonts w:hint="eastAsia"/>
                    <w:sz w:val="18"/>
                    <w:szCs w:val="18"/>
                    <w:vertAlign w:val="baseline"/>
                    <w:lang w:val="en-US" w:eastAsia="zh-CN"/>
                  </w:rPr>
                  <w:t>无粘壁、无潮湿感、可轻松分散</w:t>
                </w:r>
              </w:p>
            </w:tc>
          </w:tr>
          <w:tr w14:paraId="58D98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445DD58E">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净重</w:t>
                </w:r>
              </w:p>
            </w:tc>
            <w:tc>
              <w:tcPr>
                <w:tcW w:w="5719" w:type="dxa"/>
              </w:tcPr>
              <w:p w14:paraId="2C537BEF">
                <w:pPr>
                  <w:pStyle w:val="17"/>
                  <w:ind w:left="0" w:leftChars="0" w:firstLine="0" w:firstLineChars="0"/>
                  <w:rPr>
                    <w:rFonts w:hint="default"/>
                    <w:sz w:val="18"/>
                    <w:szCs w:val="18"/>
                    <w:vertAlign w:val="baseline"/>
                    <w:lang w:val="en-US" w:eastAsia="zh-CN"/>
                  </w:rPr>
                </w:pPr>
                <w:r>
                  <w:rPr>
                    <w:rFonts w:hint="eastAsia"/>
                    <w:sz w:val="18"/>
                    <w:szCs w:val="18"/>
                    <w:vertAlign w:val="baseline"/>
                    <w:lang w:val="en-US" w:eastAsia="zh-CN"/>
                  </w:rPr>
                  <w:t>以包装标识净重为基础，运输后减重在0.3%/h内属正常</w:t>
                </w:r>
              </w:p>
            </w:tc>
          </w:tr>
          <w:tr w14:paraId="064B5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vAlign w:val="center"/>
              </w:tcPr>
              <w:p w14:paraId="50B535AE">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形态（解剖镜观察）</w:t>
                </w:r>
              </w:p>
            </w:tc>
            <w:tc>
              <w:tcPr>
                <w:tcW w:w="5719" w:type="dxa"/>
              </w:tcPr>
              <w:p w14:paraId="123F2C02">
                <w:pPr>
                  <w:pStyle w:val="17"/>
                  <w:ind w:left="0" w:leftChars="0" w:firstLine="0" w:firstLineChars="0"/>
                  <w:rPr>
                    <w:rFonts w:hint="default"/>
                    <w:sz w:val="18"/>
                    <w:szCs w:val="18"/>
                    <w:vertAlign w:val="baseline"/>
                    <w:lang w:val="en-US" w:eastAsia="zh-CN"/>
                  </w:rPr>
                </w:pPr>
                <w:r>
                  <w:rPr>
                    <w:rFonts w:hint="default"/>
                    <w:sz w:val="18"/>
                    <w:szCs w:val="18"/>
                    <w:vertAlign w:val="baseline"/>
                    <w:lang w:val="en-US" w:eastAsia="zh-CN"/>
                  </w:rPr>
                  <w:t>卵粒大小均匀，呈长椭圆形。初产时乳白色或浅黄色，半透明，表面有油性光泽，随着胚胎发育逐渐转为金黄色。</w:t>
                </w:r>
              </w:p>
            </w:tc>
          </w:tr>
        </w:tbl>
        <w:p w14:paraId="6F4530B6">
          <w:pPr>
            <w:pStyle w:val="17"/>
            <w:ind w:left="0" w:leftChars="0" w:firstLine="0" w:firstLineChars="0"/>
            <w:jc w:val="center"/>
            <w:rPr>
              <w:rFonts w:hint="eastAsia"/>
              <w:lang w:val="en-US" w:eastAsia="zh-CN"/>
            </w:rPr>
          </w:pPr>
        </w:p>
        <w:p w14:paraId="5295D7D5">
          <w:pPr>
            <w:pStyle w:val="23"/>
            <w:ind w:left="0" w:leftChars="0" w:firstLine="0" w:firstLineChars="0"/>
          </w:pPr>
        </w:p>
        <w:p w14:paraId="73F9188F">
          <w:pPr>
            <w:pStyle w:val="26"/>
            <w:spacing w:before="156" w:after="156"/>
            <w:rPr>
              <w:rFonts w:hint="eastAsia"/>
              <w:lang w:val="en-US" w:eastAsia="zh-CN"/>
            </w:rPr>
          </w:pPr>
          <w:bookmarkStart w:id="25" w:name="_Toc18915"/>
          <w:bookmarkStart w:id="26" w:name="_Toc149581289"/>
          <w:r>
            <w:rPr>
              <w:rFonts w:hint="eastAsia"/>
              <w:lang w:val="en-US" w:eastAsia="zh-CN"/>
            </w:rPr>
            <w:t>品质分级</w:t>
          </w:r>
          <w:bookmarkEnd w:id="25"/>
        </w:p>
        <w:p w14:paraId="07ACDF71">
          <w:pPr>
            <w:pStyle w:val="17"/>
            <w:rPr>
              <w:rFonts w:hint="eastAsia"/>
              <w:lang w:val="en-US" w:eastAsia="zh-CN"/>
            </w:rPr>
          </w:pPr>
          <w:r>
            <w:rPr>
              <w:rFonts w:hint="eastAsia"/>
              <w:lang w:val="en-US" w:eastAsia="zh-CN"/>
            </w:rPr>
            <w:t>应符合表4.2的要求。</w:t>
          </w:r>
        </w:p>
        <w:p w14:paraId="42A8A123">
          <w:pPr>
            <w:pStyle w:val="17"/>
            <w:ind w:left="0" w:leftChars="0" w:firstLine="0" w:firstLineChars="0"/>
            <w:rPr>
              <w:rFonts w:hint="eastAsia" w:ascii="黑体" w:hAnsi="黑体" w:eastAsia="黑体" w:cs="黑体"/>
              <w:lang w:val="en-US" w:eastAsia="zh-CN"/>
            </w:rPr>
          </w:pPr>
        </w:p>
        <w:p w14:paraId="3C6867F3">
          <w:pPr>
            <w:pStyle w:val="17"/>
            <w:ind w:left="0" w:leftChars="0" w:firstLine="0" w:firstLineChars="0"/>
            <w:jc w:val="center"/>
            <w:rPr>
              <w:rFonts w:hint="eastAsia" w:ascii="黑体" w:hAnsi="黑体" w:eastAsia="黑体" w:cs="黑体"/>
              <w:lang w:val="en-US" w:eastAsia="zh-CN"/>
            </w:rPr>
          </w:pPr>
          <w:r>
            <w:rPr>
              <w:rFonts w:hint="eastAsia" w:ascii="黑体" w:hAnsi="黑体" w:eastAsia="黑体" w:cs="黑体"/>
              <w:lang w:val="en-US" w:eastAsia="zh-CN"/>
            </w:rPr>
            <w:t>表4.2 黑水虻虫卵的品质分级指标</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6"/>
            <w:gridCol w:w="1322"/>
            <w:gridCol w:w="1322"/>
            <w:gridCol w:w="1322"/>
            <w:gridCol w:w="1322"/>
            <w:gridCol w:w="1322"/>
          </w:tblGrid>
          <w:tr w14:paraId="25715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Merge w:val="restart"/>
                <w:vAlign w:val="center"/>
              </w:tcPr>
              <w:p w14:paraId="42912A09">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项目</w:t>
                </w:r>
              </w:p>
            </w:tc>
            <w:tc>
              <w:tcPr>
                <w:tcW w:w="6610" w:type="dxa"/>
                <w:gridSpan w:val="5"/>
                <w:vAlign w:val="center"/>
              </w:tcPr>
              <w:p w14:paraId="0AF37936">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等级</w:t>
                </w:r>
              </w:p>
            </w:tc>
          </w:tr>
          <w:tr w14:paraId="70433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1906" w:type="dxa"/>
                <w:vMerge w:val="continue"/>
                <w:vAlign w:val="center"/>
              </w:tcPr>
              <w:p w14:paraId="749C4926">
                <w:pPr>
                  <w:pStyle w:val="17"/>
                  <w:jc w:val="center"/>
                  <w:rPr>
                    <w:rFonts w:hint="eastAsia" w:ascii="黑体" w:hAnsi="黑体" w:eastAsia="黑体" w:cs="黑体"/>
                    <w:b w:val="0"/>
                    <w:bCs w:val="0"/>
                    <w:sz w:val="18"/>
                    <w:szCs w:val="18"/>
                    <w:vertAlign w:val="baseline"/>
                    <w:lang w:val="en-US" w:eastAsia="zh-CN"/>
                  </w:rPr>
                </w:pPr>
              </w:p>
            </w:tc>
            <w:tc>
              <w:tcPr>
                <w:tcW w:w="1322" w:type="dxa"/>
                <w:vAlign w:val="center"/>
              </w:tcPr>
              <w:p w14:paraId="57CF0D29">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一级</w:t>
                </w:r>
              </w:p>
            </w:tc>
            <w:tc>
              <w:tcPr>
                <w:tcW w:w="1322" w:type="dxa"/>
                <w:vAlign w:val="center"/>
              </w:tcPr>
              <w:p w14:paraId="72E50783">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二级</w:t>
                </w:r>
              </w:p>
            </w:tc>
            <w:tc>
              <w:tcPr>
                <w:tcW w:w="1322" w:type="dxa"/>
                <w:vAlign w:val="center"/>
              </w:tcPr>
              <w:p w14:paraId="40EFF189">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三级</w:t>
                </w:r>
              </w:p>
            </w:tc>
            <w:tc>
              <w:tcPr>
                <w:tcW w:w="1322" w:type="dxa"/>
                <w:vAlign w:val="center"/>
              </w:tcPr>
              <w:p w14:paraId="7B6E6239">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四级</w:t>
                </w:r>
              </w:p>
            </w:tc>
            <w:tc>
              <w:tcPr>
                <w:tcW w:w="1322" w:type="dxa"/>
                <w:vAlign w:val="center"/>
              </w:tcPr>
              <w:p w14:paraId="009B567D">
                <w:pPr>
                  <w:pStyle w:val="17"/>
                  <w:ind w:left="0" w:leftChars="0" w:firstLine="0" w:firstLineChars="0"/>
                  <w:jc w:val="center"/>
                  <w:rPr>
                    <w:rFonts w:hint="default"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五级</w:t>
                </w:r>
                <w:r>
                  <w:rPr>
                    <w:rFonts w:hint="eastAsia" w:ascii="黑体" w:hAnsi="黑体" w:eastAsia="黑体" w:cs="黑体"/>
                    <w:b w:val="0"/>
                    <w:bCs w:val="0"/>
                    <w:color w:val="FF0000"/>
                    <w:sz w:val="18"/>
                    <w:szCs w:val="18"/>
                    <w:vertAlign w:val="baseline"/>
                    <w:lang w:val="en-US" w:eastAsia="zh-CN"/>
                  </w:rPr>
                  <w:t>（应该有一个合格的界限，5级应该是不合格的档，不应该列出）</w:t>
                </w:r>
              </w:p>
            </w:tc>
          </w:tr>
          <w:tr w14:paraId="73785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Align w:val="center"/>
              </w:tcPr>
              <w:p w14:paraId="2A30E901">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未受精/死胚率（%）</w:t>
                </w:r>
              </w:p>
            </w:tc>
            <w:tc>
              <w:tcPr>
                <w:tcW w:w="1322" w:type="dxa"/>
                <w:vAlign w:val="center"/>
              </w:tcPr>
              <w:p w14:paraId="17811B39">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≤10</w:t>
                </w:r>
              </w:p>
            </w:tc>
            <w:tc>
              <w:tcPr>
                <w:tcW w:w="1322" w:type="dxa"/>
                <w:vAlign w:val="center"/>
              </w:tcPr>
              <w:p w14:paraId="24D5B119">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≤10</w:t>
                </w:r>
                <w:r>
                  <w:rPr>
                    <w:rFonts w:hint="eastAsia"/>
                    <w:color w:val="FF0000"/>
                    <w:sz w:val="18"/>
                    <w:szCs w:val="18"/>
                    <w:vertAlign w:val="baseline"/>
                    <w:lang w:val="en-US" w:eastAsia="zh-CN"/>
                  </w:rPr>
                  <w:t>（这个和一级一样的应该有区别）</w:t>
                </w:r>
              </w:p>
            </w:tc>
            <w:tc>
              <w:tcPr>
                <w:tcW w:w="1322" w:type="dxa"/>
                <w:vAlign w:val="center"/>
              </w:tcPr>
              <w:p w14:paraId="1A922A07">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≤20</w:t>
                </w:r>
              </w:p>
            </w:tc>
            <w:tc>
              <w:tcPr>
                <w:tcW w:w="1322" w:type="dxa"/>
                <w:vAlign w:val="center"/>
              </w:tcPr>
              <w:p w14:paraId="6B4B8A26">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≤30</w:t>
                </w:r>
              </w:p>
            </w:tc>
            <w:tc>
              <w:tcPr>
                <w:tcW w:w="1322" w:type="dxa"/>
                <w:vAlign w:val="center"/>
              </w:tcPr>
              <w:p w14:paraId="304004C9">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&gt;30</w:t>
                </w:r>
              </w:p>
            </w:tc>
          </w:tr>
          <w:tr w14:paraId="1C2A3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Align w:val="center"/>
              </w:tcPr>
              <w:p w14:paraId="29EEE7E1">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孵化率（%）</w:t>
                </w:r>
              </w:p>
            </w:tc>
            <w:tc>
              <w:tcPr>
                <w:tcW w:w="1322" w:type="dxa"/>
                <w:vAlign w:val="center"/>
              </w:tcPr>
              <w:p w14:paraId="27DFAA34">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≥80</w:t>
                </w:r>
              </w:p>
            </w:tc>
            <w:tc>
              <w:tcPr>
                <w:tcW w:w="1322" w:type="dxa"/>
                <w:vAlign w:val="center"/>
              </w:tcPr>
              <w:p w14:paraId="39949B7E">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≥70</w:t>
                </w:r>
              </w:p>
            </w:tc>
            <w:tc>
              <w:tcPr>
                <w:tcW w:w="1322" w:type="dxa"/>
                <w:vAlign w:val="center"/>
              </w:tcPr>
              <w:p w14:paraId="69F40680">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≥50</w:t>
                </w:r>
              </w:p>
            </w:tc>
            <w:tc>
              <w:tcPr>
                <w:tcW w:w="1322" w:type="dxa"/>
                <w:vAlign w:val="center"/>
              </w:tcPr>
              <w:p w14:paraId="757D4883">
                <w:pPr>
                  <w:pStyle w:val="17"/>
                  <w:ind w:left="0" w:leftChars="0" w:firstLine="0" w:firstLineChars="0"/>
                  <w:jc w:val="center"/>
                  <w:rPr>
                    <w:rFonts w:hint="eastAsia"/>
                    <w:sz w:val="18"/>
                    <w:szCs w:val="18"/>
                    <w:vertAlign w:val="baseline"/>
                    <w:lang w:val="en-US" w:eastAsia="zh-CN"/>
                  </w:rPr>
                </w:pPr>
                <w:r>
                  <w:rPr>
                    <w:rFonts w:hint="eastAsia"/>
                    <w:sz w:val="18"/>
                    <w:szCs w:val="18"/>
                    <w:vertAlign w:val="baseline"/>
                    <w:lang w:val="en-US" w:eastAsia="zh-CN"/>
                  </w:rPr>
                  <w:t>≥40</w:t>
                </w:r>
              </w:p>
            </w:tc>
            <w:tc>
              <w:tcPr>
                <w:tcW w:w="1322" w:type="dxa"/>
                <w:vAlign w:val="center"/>
              </w:tcPr>
              <w:p w14:paraId="7E270039">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＜40</w:t>
                </w:r>
              </w:p>
            </w:tc>
          </w:tr>
          <w:tr w14:paraId="34426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Align w:val="center"/>
              </w:tcPr>
              <w:p w14:paraId="43B7488B">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结团率（%）</w:t>
                </w:r>
              </w:p>
            </w:tc>
            <w:tc>
              <w:tcPr>
                <w:tcW w:w="1322" w:type="dxa"/>
                <w:vAlign w:val="center"/>
              </w:tcPr>
              <w:p w14:paraId="31C01AF9">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≤15</w:t>
                </w:r>
              </w:p>
            </w:tc>
            <w:tc>
              <w:tcPr>
                <w:tcW w:w="1322" w:type="dxa"/>
                <w:vAlign w:val="center"/>
              </w:tcPr>
              <w:p w14:paraId="7B9B1270">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15-20</w:t>
                </w:r>
              </w:p>
            </w:tc>
            <w:tc>
              <w:tcPr>
                <w:tcW w:w="3966" w:type="dxa"/>
                <w:gridSpan w:val="3"/>
                <w:vAlign w:val="center"/>
              </w:tcPr>
              <w:p w14:paraId="1CB1D4EF">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≥20</w:t>
                </w:r>
              </w:p>
            </w:tc>
          </w:tr>
          <w:tr w14:paraId="75C98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Align w:val="center"/>
              </w:tcPr>
              <w:p w14:paraId="6AB3D68C">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流动性</w:t>
                </w:r>
              </w:p>
            </w:tc>
            <w:tc>
              <w:tcPr>
                <w:tcW w:w="2644" w:type="dxa"/>
                <w:gridSpan w:val="2"/>
                <w:vAlign w:val="center"/>
              </w:tcPr>
              <w:p w14:paraId="58E00CB6">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容易抖散</w:t>
                </w:r>
              </w:p>
            </w:tc>
            <w:tc>
              <w:tcPr>
                <w:tcW w:w="3966" w:type="dxa"/>
                <w:gridSpan w:val="3"/>
                <w:vAlign w:val="center"/>
              </w:tcPr>
              <w:p w14:paraId="6B3CA7CE">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不易抖散</w:t>
                </w:r>
              </w:p>
            </w:tc>
          </w:tr>
          <w:tr w14:paraId="47475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Align w:val="center"/>
              </w:tcPr>
              <w:p w14:paraId="706B9693">
                <w:pPr>
                  <w:pStyle w:val="17"/>
                  <w:ind w:left="0" w:leftChars="0" w:firstLine="0" w:firstLineChars="0"/>
                  <w:jc w:val="center"/>
                  <w:rPr>
                    <w:rFonts w:hint="default" w:eastAsia="宋体"/>
                    <w:sz w:val="18"/>
                    <w:szCs w:val="18"/>
                    <w:vertAlign w:val="baseline"/>
                    <w:lang w:val="en-US" w:eastAsia="zh-CN"/>
                  </w:rPr>
                </w:pPr>
                <w:r>
                  <w:rPr>
                    <w:rFonts w:hint="eastAsia"/>
                    <w:sz w:val="18"/>
                    <w:szCs w:val="18"/>
                    <w:vertAlign w:val="baseline"/>
                    <w:lang w:val="en-US" w:eastAsia="zh-CN"/>
                  </w:rPr>
                  <w:t>初孵幼虫大小</w:t>
                </w:r>
              </w:p>
            </w:tc>
            <w:tc>
              <w:tcPr>
                <w:tcW w:w="2644" w:type="dxa"/>
                <w:gridSpan w:val="2"/>
                <w:vAlign w:val="center"/>
              </w:tcPr>
              <w:p w14:paraId="7C39B56A">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不能轻易通过60目筛网</w:t>
                </w:r>
              </w:p>
            </w:tc>
            <w:tc>
              <w:tcPr>
                <w:tcW w:w="3966" w:type="dxa"/>
                <w:gridSpan w:val="3"/>
                <w:vAlign w:val="center"/>
              </w:tcPr>
              <w:p w14:paraId="4E4A288C">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能轻易通过60目筛网</w:t>
                </w:r>
              </w:p>
            </w:tc>
          </w:tr>
          <w:tr w14:paraId="1D09C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Align w:val="center"/>
              </w:tcPr>
              <w:p w14:paraId="682D4D9C">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得苗率（万/克卵）</w:t>
                </w:r>
              </w:p>
            </w:tc>
            <w:tc>
              <w:tcPr>
                <w:tcW w:w="1322" w:type="dxa"/>
                <w:vAlign w:val="center"/>
              </w:tcPr>
              <w:p w14:paraId="4016DAC1">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≥2.5</w:t>
                </w:r>
              </w:p>
            </w:tc>
            <w:tc>
              <w:tcPr>
                <w:tcW w:w="1322" w:type="dxa"/>
                <w:vAlign w:val="center"/>
              </w:tcPr>
              <w:p w14:paraId="4196BF37">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≥2.0</w:t>
                </w:r>
              </w:p>
            </w:tc>
            <w:tc>
              <w:tcPr>
                <w:tcW w:w="1322" w:type="dxa"/>
                <w:vAlign w:val="center"/>
              </w:tcPr>
              <w:p w14:paraId="42E4014F">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≥1.5</w:t>
                </w:r>
              </w:p>
            </w:tc>
            <w:tc>
              <w:tcPr>
                <w:tcW w:w="1322" w:type="dxa"/>
                <w:vAlign w:val="center"/>
              </w:tcPr>
              <w:p w14:paraId="4F9E1BE1">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≥1.0</w:t>
                </w:r>
              </w:p>
            </w:tc>
            <w:tc>
              <w:tcPr>
                <w:tcW w:w="1322" w:type="dxa"/>
                <w:vAlign w:val="center"/>
              </w:tcPr>
              <w:p w14:paraId="676AF0A2">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＜1.0</w:t>
                </w:r>
              </w:p>
            </w:tc>
          </w:tr>
        </w:tbl>
        <w:p w14:paraId="6AAE8190">
          <w:pPr>
            <w:pStyle w:val="17"/>
            <w:ind w:left="0" w:leftChars="0" w:firstLine="0" w:firstLineChars="0"/>
            <w:rPr>
              <w:rFonts w:hint="eastAsia"/>
              <w:lang w:val="en-US" w:eastAsia="zh-CN"/>
            </w:rPr>
          </w:pPr>
        </w:p>
        <w:bookmarkEnd w:id="26"/>
        <w:p w14:paraId="15C46290">
          <w:pPr>
            <w:pStyle w:val="26"/>
            <w:spacing w:before="156" w:after="156"/>
            <w:rPr>
              <w:rFonts w:hint="eastAsia"/>
              <w:lang w:val="en-US" w:eastAsia="zh-CN"/>
            </w:rPr>
          </w:pPr>
          <w:bookmarkStart w:id="27" w:name="_Toc9274"/>
          <w:r>
            <w:rPr>
              <w:rFonts w:hint="eastAsia"/>
              <w:lang w:val="en-US" w:eastAsia="zh-CN"/>
            </w:rPr>
            <w:t>虫卵检测方法</w:t>
          </w:r>
          <w:bookmarkEnd w:id="27"/>
        </w:p>
        <w:p w14:paraId="0D02975E">
          <w:pPr>
            <w:pStyle w:val="32"/>
            <w:bidi w:val="0"/>
            <w:rPr>
              <w:rFonts w:hint="eastAsia"/>
              <w:lang w:val="en-US" w:eastAsia="zh-CN"/>
            </w:rPr>
          </w:pPr>
          <w:bookmarkStart w:id="28" w:name="_Toc11466"/>
          <w:bookmarkStart w:id="29" w:name="_Toc3364"/>
          <w:r>
            <w:rPr>
              <w:rFonts w:hint="eastAsia"/>
              <w:lang w:val="en-US" w:eastAsia="zh-CN"/>
            </w:rPr>
            <w:t>外观与性状</w:t>
          </w:r>
          <w:bookmarkEnd w:id="28"/>
          <w:bookmarkEnd w:id="29"/>
        </w:p>
        <w:p w14:paraId="24D3651D">
          <w:pPr>
            <w:pStyle w:val="17"/>
            <w:rPr>
              <w:rFonts w:hint="eastAsia"/>
              <w:lang w:val="en-US" w:eastAsia="zh-CN"/>
            </w:rPr>
          </w:pPr>
          <w:r>
            <w:rPr>
              <w:rFonts w:hint="eastAsia"/>
              <w:lang w:val="en-US" w:eastAsia="zh-CN"/>
            </w:rPr>
            <w:t>在收到虫卵后1h内抽样取出虫卵打包罐，在正常光照、通风良好、无异味的环境下，通过目测、鼻嗅、抖动倾斜虫卵罐等方式检验其色泽、气味及流动性。</w:t>
          </w:r>
        </w:p>
        <w:p w14:paraId="7BF4BC82">
          <w:pPr>
            <w:pStyle w:val="17"/>
            <w:rPr>
              <w:rFonts w:hint="default"/>
              <w:lang w:val="en-US" w:eastAsia="zh-CN"/>
            </w:rPr>
          </w:pPr>
          <w:r>
            <w:rPr>
              <w:rFonts w:hint="eastAsia"/>
              <w:lang w:val="en-US" w:eastAsia="zh-CN"/>
            </w:rPr>
            <w:t>抽样，用60目筛网筛出辅料，得到虫卵净重。净重应符合0.3%/h减重的范围（如包装为50g新鲜虫卵一罐，经过24h小时的打包运输后，虫卵净重应在46.4g左右），（注部分辅料可能粘附在虫卵上，本方法仅供参考，不一定适用于所有场景）。</w:t>
          </w:r>
        </w:p>
        <w:p w14:paraId="0E7FB9EF">
          <w:pPr>
            <w:pStyle w:val="17"/>
          </w:pPr>
          <w:r>
            <w:rPr>
              <w:rFonts w:hint="eastAsia"/>
              <w:lang w:val="en-US" w:eastAsia="zh-CN"/>
            </w:rPr>
            <w:t>取适量样品置于解剖镜下，观察其形态。</w:t>
          </w:r>
        </w:p>
        <w:p w14:paraId="62653E36">
          <w:pPr>
            <w:pStyle w:val="32"/>
            <w:bidi w:val="0"/>
            <w:rPr>
              <w:rFonts w:hint="eastAsia"/>
              <w:lang w:val="en-US" w:eastAsia="zh-CN"/>
            </w:rPr>
          </w:pPr>
          <w:bookmarkStart w:id="30" w:name="_Toc4872"/>
          <w:r>
            <w:rPr>
              <w:rFonts w:hint="eastAsia"/>
              <w:lang w:val="en-US" w:eastAsia="zh-CN"/>
            </w:rPr>
            <w:t>未受精/死胚率</w:t>
          </w:r>
          <w:bookmarkEnd w:id="30"/>
        </w:p>
        <w:p w14:paraId="1AD2F196">
          <w:pPr>
            <w:pStyle w:val="17"/>
            <w:rPr>
              <w:rFonts w:hint="default"/>
              <w:lang w:val="en-US" w:eastAsia="zh-CN"/>
            </w:rPr>
          </w:pPr>
          <w:r>
            <w:rPr>
              <w:rFonts w:hint="eastAsia"/>
              <w:lang w:val="en-US" w:eastAsia="zh-CN"/>
            </w:rPr>
            <w:t>在破壳前6-12h，抽取部分虫卵罐，在不打开虫卵罐的前提下，用手多次倾斜混匀虫卵。打开虫卵罐，取2g样品放于合适容器中，再混匀取约0.01g（约400个卵粒）样品置于显微镜下观察。正常发育的黑水虻虫卵，其胚胎发育形态在破壳前透过半透明卵壳清晰可见，头部会有一对明显的“眼点”。计算总取样卵数（N），计算未见胚胎发育形态（无明显胚胎结构、无“眼点”）的卵粒数量（n），同批次卵重复至少3次。通过死胚中进一步区分是否有胚带、头部结构、“眼点”等结构可以初步判断死胚发生的大概阶段。</w:t>
          </w:r>
        </w:p>
        <w:p w14:paraId="280AE191">
          <w:pPr>
            <w:pStyle w:val="17"/>
            <w:rPr>
              <w:rFonts w:hint="default"/>
              <w:lang w:val="en-US" w:eastAsia="zh-CN"/>
            </w:rPr>
          </w:pPr>
        </w:p>
        <w:p w14:paraId="6B271A9D">
          <w:pPr>
            <w:pStyle w:val="17"/>
            <w:ind w:left="0" w:leftChars="0" w:firstLine="0" w:firstLineChars="0"/>
            <w:jc w:val="right"/>
            <w:rPr>
              <w:rFonts w:hint="eastAsia" w:ascii="Times New Roman" w:cs="Times New Roman"/>
              <w:lang w:val="en-US" w:eastAsia="zh-CN"/>
            </w:rPr>
          </w:pPr>
          <m:oMath>
            <m:r>
              <m:rPr>
                <m:sty m:val="p"/>
              </m:rPr>
              <w:rPr>
                <w:rFonts w:hint="eastAsia" w:ascii="Cambria Math" w:hAnsi="Cambria Math" w:cs="Cambria Math"/>
                <w:lang w:val="en-US" w:eastAsia="zh-CN"/>
              </w:rPr>
              <m:t>未</m:t>
            </m:r>
            <m:r>
              <m:rPr>
                <m:sty m:val="p"/>
              </m:rPr>
              <w:rPr>
                <w:rFonts w:hint="default" w:ascii="Cambria Math" w:hAnsi="Cambria Math" w:cs="Cambria Math"/>
                <w:lang w:val="en-US" w:eastAsia="zh-CN"/>
              </w:rPr>
              <m:t>受精率/</m:t>
            </m:r>
            <m:r>
              <m:rPr>
                <m:sty m:val="p"/>
              </m:rPr>
              <w:rPr>
                <w:rFonts w:hint="eastAsia" w:ascii="Cambria Math" w:hAnsi="Cambria Math" w:cs="Cambria Math"/>
                <w:lang w:val="en-US" w:eastAsia="zh-CN"/>
              </w:rPr>
              <m:t>死胚率</m:t>
            </m:r>
            <m:r>
              <m:rPr>
                <m:sty m:val="p"/>
              </m:rPr>
              <w:rPr>
                <w:rFonts w:hint="default" w:ascii="Cambria Math" w:hAnsi="Cambria Math" w:cs="Cambria Math"/>
                <w:lang w:val="en-US"/>
              </w:rPr>
              <m:t>=</m:t>
            </m:r>
            <m:f>
              <m:fPr>
                <m:ctrlPr>
                  <w:rPr>
                    <w:rFonts w:hint="default" w:ascii="Cambria Math" w:hAnsi="Cambria Math" w:cs="Cambria Math"/>
                    <w:i w:val="0"/>
                    <w:iCs/>
                    <w:lang w:val="en-US"/>
                  </w:rPr>
                </m:ctrlPr>
              </m:fPr>
              <m:num>
                <m:r>
                  <m:rPr>
                    <m:sty m:val="p"/>
                  </m:rPr>
                  <w:rPr>
                    <w:rFonts w:hint="default" w:ascii="Cambria Math" w:hAnsi="Cambria Math" w:cs="Cambria Math"/>
                    <w:lang w:val="en-US" w:eastAsia="zh-CN"/>
                  </w:rPr>
                  <m:t>n</m:t>
                </m:r>
                <m:ctrlPr>
                  <w:rPr>
                    <w:rFonts w:hint="default" w:ascii="Cambria Math" w:hAnsi="Cambria Math" w:cs="Cambria Math"/>
                    <w:i w:val="0"/>
                    <w:iCs/>
                    <w:lang w:val="en-US"/>
                  </w:rPr>
                </m:ctrlPr>
              </m:num>
              <m:den>
                <m:r>
                  <m:rPr>
                    <m:sty m:val="p"/>
                  </m:rPr>
                  <w:rPr>
                    <w:rFonts w:hint="default" w:ascii="Cambria Math" w:hAnsi="Cambria Math" w:cs="Cambria Math"/>
                    <w:lang w:val="en-US" w:eastAsia="zh-CN"/>
                  </w:rPr>
                  <m:t>N</m:t>
                </m:r>
                <m:ctrlPr>
                  <w:rPr>
                    <w:rFonts w:hint="default" w:ascii="Cambria Math" w:hAnsi="Cambria Math" w:cs="Cambria Math"/>
                    <w:i w:val="0"/>
                    <w:iCs/>
                    <w:lang w:val="en-US"/>
                  </w:rPr>
                </m:ctrlPr>
              </m:den>
            </m:f>
          </m:oMath>
          <w:r>
            <w:rPr>
              <w:rFonts w:hint="default" w:ascii="Cambria Math" w:hAnsi="Cambria Math" w:cs="Cambria Math"/>
              <w:i w:val="0"/>
              <w:iCs/>
              <w:lang w:val="en-US" w:eastAsia="zh-CN"/>
            </w:rPr>
            <w:t xml:space="preserve"> </w:t>
          </w:r>
          <w:r>
            <w:rPr>
              <w:rFonts w:hint="default" w:ascii="Cambria Math" w:hAnsi="Cambria Math" w:cs="Cambria Math"/>
              <w:i w:val="0"/>
              <w:sz w:val="21"/>
              <w:szCs w:val="20"/>
              <w:lang w:val="en-US"/>
            </w:rPr>
            <w:t>×</w:t>
          </w:r>
          <w:r>
            <w:rPr>
              <w:rFonts w:hint="default" w:ascii="Cambria Math" w:hAnsi="Cambria Math" w:cs="Cambria Math"/>
              <w:i w:val="0"/>
              <w:sz w:val="21"/>
              <w:szCs w:val="20"/>
              <w:lang w:val="en-US" w:eastAsia="zh-CN"/>
            </w:rPr>
            <w:t xml:space="preserve"> 10</w:t>
          </w:r>
          <w:r>
            <w:rPr>
              <w:rFonts w:hint="default" w:ascii="Cambria Math" w:hAnsi="Cambria Math" w:cs="Cambria Math"/>
              <w:i w:val="0"/>
              <w:lang w:val="en-US" w:eastAsia="zh-CN"/>
            </w:rPr>
            <w:t>0%</w:t>
          </w:r>
          <w:r>
            <w:rPr>
              <w:rFonts w:hint="eastAsia" w:ascii="Times New Roman" w:cs="Times New Roman"/>
              <w:lang w:val="en-US" w:eastAsia="zh-CN"/>
            </w:rPr>
            <w:t xml:space="preserve">  </w:t>
          </w:r>
          <w:r>
            <w:rPr>
              <w:rFonts w:hint="eastAsia" w:ascii="微软雅黑" w:hAnsi="微软雅黑" w:eastAsia="微软雅黑" w:cs="微软雅黑"/>
              <w:lang w:val="en-US" w:eastAsia="zh-CN"/>
            </w:rPr>
            <w:t>…………………………………………</w:t>
          </w:r>
          <w:r>
            <w:rPr>
              <w:rFonts w:hint="eastAsia" w:ascii="Times New Roman" w:cs="Times New Roman"/>
              <w:lang w:val="en-US" w:eastAsia="zh-CN"/>
            </w:rPr>
            <w:t>（1）</w:t>
          </w:r>
        </w:p>
        <w:p w14:paraId="40C36669">
          <w:pPr>
            <w:pStyle w:val="33"/>
            <w:ind w:firstLine="420"/>
          </w:pPr>
          <w:r>
            <w:rPr>
              <w:rFonts w:hint="eastAsia"/>
            </w:rPr>
            <w:t>式中：</w:t>
          </w:r>
        </w:p>
        <w:p w14:paraId="39AF973C">
          <w:pPr>
            <w:pStyle w:val="23"/>
            <w:ind w:firstLine="420"/>
          </w:pPr>
          <w:r>
            <w:rPr>
              <w:rFonts w:hint="eastAsia"/>
              <w:lang w:val="en-US" w:eastAsia="zh-CN"/>
            </w:rPr>
            <w:t>N</w:t>
          </w:r>
          <w:r>
            <w:t>——</w:t>
          </w:r>
          <w:r>
            <w:rPr>
              <w:rFonts w:hint="eastAsia"/>
              <w:lang w:val="en-US" w:eastAsia="zh-CN"/>
            </w:rPr>
            <w:t>总取样卵数</w:t>
          </w:r>
          <w:r>
            <w:t>；</w:t>
          </w:r>
        </w:p>
        <w:p w14:paraId="3D51DF25">
          <w:pPr>
            <w:pStyle w:val="23"/>
            <w:ind w:firstLine="420"/>
          </w:pPr>
          <w:r>
            <w:rPr>
              <w:rFonts w:hint="eastAsia"/>
              <w:lang w:val="en-US" w:eastAsia="zh-CN"/>
            </w:rPr>
            <w:t>n</w:t>
          </w:r>
          <w:r>
            <w:t>——</w:t>
          </w:r>
          <w:r>
            <w:rPr>
              <w:rFonts w:hint="eastAsia"/>
              <w:lang w:val="en-US" w:eastAsia="zh-CN"/>
            </w:rPr>
            <w:t>未见胚胎发育形态（无明显胚胎结构、无“眼点”）的卵粒数量</w:t>
          </w:r>
          <w:r>
            <w:t>。</w:t>
          </w:r>
        </w:p>
        <w:p w14:paraId="34EC8A64">
          <w:pPr>
            <w:pStyle w:val="17"/>
            <w:ind w:left="0" w:leftChars="0" w:firstLine="0" w:firstLineChars="0"/>
            <w:jc w:val="both"/>
            <w:rPr>
              <w:rFonts w:hint="eastAsia" w:ascii="Times New Roman" w:cs="Times New Roman"/>
              <w:lang w:val="en-US" w:eastAsia="zh-CN"/>
            </w:rPr>
          </w:pPr>
        </w:p>
        <w:p w14:paraId="15B4742F">
          <w:pPr>
            <w:pStyle w:val="32"/>
            <w:bidi w:val="0"/>
            <w:ind w:left="0" w:leftChars="0" w:firstLine="0" w:firstLineChars="0"/>
          </w:pPr>
          <w:bookmarkStart w:id="31" w:name="_Toc4626"/>
          <w:bookmarkStart w:id="32" w:name="_Toc1574"/>
          <w:r>
            <w:rPr>
              <w:rFonts w:hint="eastAsia"/>
              <w:lang w:val="en-US" w:eastAsia="zh-CN"/>
            </w:rPr>
            <w:t>初孵幼虫大小</w:t>
          </w:r>
          <w:bookmarkEnd w:id="31"/>
          <w:bookmarkEnd w:id="32"/>
        </w:p>
        <w:p w14:paraId="19EFC8EC">
          <w:pPr>
            <w:pStyle w:val="17"/>
            <w:rPr>
              <w:rFonts w:hint="eastAsia"/>
              <w:lang w:val="en-US" w:eastAsia="zh-CN"/>
            </w:rPr>
          </w:pPr>
          <w:r>
            <w:rPr>
              <w:rFonts w:hint="eastAsia"/>
              <w:lang w:val="en-US" w:eastAsia="zh-CN"/>
            </w:rPr>
            <w:t>在开始孵化后12-24h内，抽取部分初孵幼虫，用60目筛网持续震动过筛后目测或解剖镜下观察筛下物料是否含初孵幼虫。若筛下物不含或含较少初孵幼虫，即初孵幼虫大小基本超过60目的孔径，后续继续用60目筛网操作。若筛下物含大量初孵幼虫，可选用70目筛网代替60目筛网进行操作。</w:t>
          </w:r>
        </w:p>
        <w:p w14:paraId="49A10915">
          <w:pPr>
            <w:pStyle w:val="17"/>
            <w:rPr>
              <w:rFonts w:hint="eastAsia"/>
              <w:lang w:val="en-US" w:eastAsia="zh-CN"/>
            </w:rPr>
          </w:pPr>
        </w:p>
        <w:p w14:paraId="24D30B19">
          <w:pPr>
            <w:pStyle w:val="32"/>
            <w:bidi w:val="0"/>
            <w:ind w:left="0" w:leftChars="0" w:firstLine="0" w:firstLineChars="0"/>
          </w:pPr>
          <w:bookmarkStart w:id="33" w:name="_Toc2652"/>
          <w:r>
            <w:rPr>
              <w:rFonts w:hint="eastAsia"/>
              <w:lang w:val="en-US" w:eastAsia="zh-CN"/>
            </w:rPr>
            <w:t>孵化率</w:t>
          </w:r>
          <w:bookmarkEnd w:id="33"/>
        </w:p>
        <w:p w14:paraId="59A63367">
          <w:pPr>
            <w:pStyle w:val="17"/>
            <w:rPr>
              <w:rFonts w:hint="eastAsia"/>
              <w:highlight w:val="none"/>
              <w:lang w:val="en-US" w:eastAsia="zh-CN"/>
            </w:rPr>
          </w:pPr>
          <w:r>
            <w:rPr>
              <w:rFonts w:hint="eastAsia"/>
              <w:highlight w:val="none"/>
              <w:lang w:val="en-US" w:eastAsia="zh-CN"/>
            </w:rPr>
            <w:t>在开始孵化后12-24h内，抽取部分虫卵罐。将所有内容物倾倒至40目筛网中，反复震动分筛至目测无物料筛出，收集40目筛上物称重（E）。重新收集40目筛下物至60目筛网中，反复震动分筛至目测无物料筛出，收集60目筛上物称重（L），收集60目筛下物称重（该重量应与辅料添加总量相符）。</w:t>
          </w:r>
        </w:p>
        <w:p w14:paraId="4DED5ED1">
          <w:pPr>
            <w:pStyle w:val="17"/>
            <w:rPr>
              <w:rFonts w:hint="eastAsia"/>
              <w:highlight w:val="none"/>
              <w:lang w:val="en-US" w:eastAsia="zh-CN"/>
            </w:rPr>
          </w:pPr>
          <w:r>
            <w:rPr>
              <w:rFonts w:hint="eastAsia"/>
              <w:highlight w:val="none"/>
              <w:lang w:val="en-US" w:eastAsia="zh-CN"/>
            </w:rPr>
            <w:t>解剖镜下分别镜检确保初孵幼虫基本不在40目筛上物和60目筛下物中，且确保40-60目间组分基本仅为初孵幼虫。假设一克纯初孵幼虫有A万头，1克纯虫卵有B万卵粒，该抽样的虫卵罐中总虫卵为C克。</w:t>
          </w:r>
        </w:p>
        <w:p w14:paraId="27BF5AD9">
          <w:pPr>
            <w:pStyle w:val="17"/>
            <w:rPr>
              <w:rFonts w:hint="eastAsia"/>
              <w:highlight w:val="none"/>
              <w:lang w:val="en-US" w:eastAsia="zh-CN"/>
            </w:rPr>
          </w:pPr>
        </w:p>
        <w:p w14:paraId="5F9B49B8">
          <w:pPr>
            <w:pStyle w:val="17"/>
            <w:ind w:left="0" w:leftChars="0" w:firstLine="0" w:firstLineChars="0"/>
            <w:jc w:val="right"/>
            <w:rPr>
              <w:rFonts w:hint="eastAsia" w:ascii="微软雅黑" w:hAnsi="微软雅黑" w:eastAsia="微软雅黑" w:cs="微软雅黑"/>
              <w:i w:val="0"/>
              <w:highlight w:val="none"/>
              <w:lang w:val="en-US" w:eastAsia="zh-CN"/>
            </w:rPr>
          </w:pPr>
          <m:oMath>
            <m:r>
              <m:rPr>
                <m:sty m:val="p"/>
              </m:rPr>
              <w:rPr>
                <w:rFonts w:hint="default" w:ascii="Cambria Math" w:hAnsi="Cambria Math" w:cs="Cambria Math"/>
                <w:highlight w:val="none"/>
                <w:lang w:val="en-US" w:eastAsia="zh-CN"/>
              </w:rPr>
              <m:t>孵化率</m:t>
            </m:r>
            <m:r>
              <m:rPr/>
              <w:rPr>
                <w:rFonts w:hint="default" w:ascii="Cambria Math" w:hAnsi="Cambria Math" w:cs="Cambria Math"/>
                <w:sz w:val="21"/>
                <w:szCs w:val="20"/>
                <w:highlight w:val="none"/>
                <w:lang w:val="en-US"/>
              </w:rPr>
              <m:t>=</m:t>
            </m:r>
            <m:f>
              <m:fPr>
                <m:ctrlPr>
                  <w:rPr>
                    <w:rFonts w:hint="default" w:ascii="Cambria Math" w:hAnsi="Cambria Math" w:cs="Cambria Math"/>
                    <w:i/>
                    <w:sz w:val="21"/>
                    <w:szCs w:val="20"/>
                    <w:highlight w:val="none"/>
                    <w:lang w:val="en-US"/>
                  </w:rPr>
                </m:ctrlPr>
              </m:fPr>
              <m:num>
                <m:r>
                  <m:rPr/>
                  <w:rPr>
                    <w:rFonts w:hint="default" w:ascii="Cambria Math" w:hAnsi="Cambria Math" w:cs="Cambria Math"/>
                    <w:sz w:val="21"/>
                    <w:szCs w:val="20"/>
                    <w:highlight w:val="none"/>
                    <w:lang w:val="en-US" w:eastAsia="zh-CN"/>
                  </w:rPr>
                  <m:t xml:space="preserve">L </m:t>
                </m:r>
                <m:r>
                  <m:rPr/>
                  <w:rPr>
                    <w:rFonts w:hint="default" w:ascii="Cambria Math" w:hAnsi="Cambria Math" w:cs="Cambria Math"/>
                    <w:sz w:val="21"/>
                    <w:szCs w:val="20"/>
                    <w:highlight w:val="none"/>
                    <w:lang w:val="en-US"/>
                  </w:rPr>
                  <m:t>×</m:t>
                </m:r>
                <m:r>
                  <m:rPr/>
                  <w:rPr>
                    <w:rFonts w:hint="default" w:ascii="Cambria Math" w:hAnsi="Cambria Math" w:cs="Cambria Math"/>
                    <w:sz w:val="21"/>
                    <w:szCs w:val="20"/>
                    <w:highlight w:val="none"/>
                    <w:lang w:val="en-US" w:eastAsia="zh-CN"/>
                  </w:rPr>
                  <m:t xml:space="preserve"> A</m:t>
                </m:r>
                <m:ctrlPr>
                  <w:rPr>
                    <w:rFonts w:hint="default" w:ascii="Cambria Math" w:hAnsi="Cambria Math" w:cs="Cambria Math"/>
                    <w:i/>
                    <w:sz w:val="21"/>
                    <w:szCs w:val="20"/>
                    <w:highlight w:val="none"/>
                    <w:lang w:val="en-US"/>
                  </w:rPr>
                </m:ctrlPr>
              </m:num>
              <m:den>
                <m:r>
                  <m:rPr/>
                  <w:rPr>
                    <w:rFonts w:hint="default" w:ascii="Cambria Math" w:hAnsi="Cambria Math" w:cs="Cambria Math"/>
                    <w:sz w:val="21"/>
                    <w:szCs w:val="20"/>
                    <w:highlight w:val="none"/>
                    <w:lang w:val="en-US" w:eastAsia="zh-CN"/>
                  </w:rPr>
                  <m:t xml:space="preserve">B </m:t>
                </m:r>
                <m:r>
                  <m:rPr/>
                  <w:rPr>
                    <w:rFonts w:hint="default" w:ascii="Cambria Math" w:hAnsi="Cambria Math" w:cs="Cambria Math"/>
                    <w:sz w:val="21"/>
                    <w:szCs w:val="20"/>
                    <w:highlight w:val="none"/>
                    <w:lang w:val="en-US"/>
                  </w:rPr>
                  <m:t>×</m:t>
                </m:r>
                <m:r>
                  <m:rPr/>
                  <w:rPr>
                    <w:rFonts w:hint="default" w:ascii="Cambria Math" w:hAnsi="Cambria Math" w:cs="Cambria Math"/>
                    <w:sz w:val="21"/>
                    <w:szCs w:val="20"/>
                    <w:highlight w:val="none"/>
                    <w:lang w:val="en-US" w:eastAsia="zh-CN"/>
                  </w:rPr>
                  <m:t xml:space="preserve"> C </m:t>
                </m:r>
                <m:ctrlPr>
                  <w:rPr>
                    <w:rFonts w:hint="default" w:ascii="Cambria Math" w:hAnsi="Cambria Math" w:cs="Cambria Math"/>
                    <w:i/>
                    <w:sz w:val="21"/>
                    <w:szCs w:val="20"/>
                    <w:highlight w:val="none"/>
                    <w:lang w:val="en-US"/>
                  </w:rPr>
                </m:ctrlPr>
              </m:den>
            </m:f>
          </m:oMath>
          <w:r>
            <w:rPr>
              <w:rFonts w:hint="default" w:ascii="Cambria Math" w:hAnsi="Cambria Math" w:cs="Cambria Math"/>
              <w:i w:val="0"/>
              <w:sz w:val="21"/>
              <w:szCs w:val="20"/>
              <w:highlight w:val="none"/>
              <w:lang w:val="en-US" w:eastAsia="zh-CN"/>
            </w:rPr>
            <w:t xml:space="preserve"> </w:t>
          </w:r>
          <w:r>
            <w:rPr>
              <w:rFonts w:hint="default" w:ascii="Cambria Math" w:hAnsi="Cambria Math" w:cs="Cambria Math"/>
              <w:i w:val="0"/>
              <w:sz w:val="21"/>
              <w:szCs w:val="20"/>
              <w:highlight w:val="none"/>
              <w:lang w:val="en-US"/>
            </w:rPr>
            <w:t>×</w:t>
          </w:r>
          <w:r>
            <w:rPr>
              <w:rFonts w:hint="default" w:ascii="Cambria Math" w:hAnsi="Cambria Math" w:cs="Cambria Math"/>
              <w:i w:val="0"/>
              <w:sz w:val="21"/>
              <w:szCs w:val="20"/>
              <w:highlight w:val="none"/>
              <w:lang w:val="en-US" w:eastAsia="zh-CN"/>
            </w:rPr>
            <w:t xml:space="preserve"> 10</w:t>
          </w:r>
          <w:r>
            <w:rPr>
              <w:rFonts w:hint="default" w:ascii="Cambria Math" w:hAnsi="Cambria Math" w:cs="Cambria Math"/>
              <w:i w:val="0"/>
              <w:highlight w:val="none"/>
              <w:lang w:val="en-US" w:eastAsia="zh-CN"/>
            </w:rPr>
            <w:t>0%</w:t>
          </w:r>
          <w:r>
            <w:rPr>
              <w:rFonts w:hint="eastAsia" w:ascii="Arial" w:hAnsi="Arial" w:cs="Arial"/>
              <w:i w:val="0"/>
              <w:highlight w:val="none"/>
              <w:lang w:val="en-US" w:eastAsia="zh-CN"/>
            </w:rPr>
            <w:t xml:space="preserve"> </w:t>
          </w:r>
          <w:r>
            <w:rPr>
              <w:rFonts w:hint="eastAsia" w:ascii="Times New Roman" w:cs="Times New Roman"/>
              <w:highlight w:val="none"/>
              <w:lang w:val="en-US" w:eastAsia="zh-CN"/>
            </w:rPr>
            <w:t xml:space="preserve"> </w:t>
          </w:r>
          <w:r>
            <w:rPr>
              <w:rFonts w:hint="eastAsia" w:ascii="微软雅黑" w:hAnsi="微软雅黑" w:eastAsia="微软雅黑" w:cs="微软雅黑"/>
              <w:highlight w:val="none"/>
              <w:lang w:val="en-US" w:eastAsia="zh-CN"/>
            </w:rPr>
            <w:t>…………………………………………（2）</w:t>
          </w:r>
        </w:p>
        <w:p w14:paraId="66A355E9">
          <w:pPr>
            <w:pStyle w:val="33"/>
            <w:ind w:firstLine="420"/>
            <w:rPr>
              <w:highlight w:val="none"/>
            </w:rPr>
          </w:pPr>
          <w:r>
            <w:rPr>
              <w:rFonts w:hint="eastAsia"/>
              <w:highlight w:val="none"/>
            </w:rPr>
            <w:t>式中：</w:t>
          </w:r>
        </w:p>
        <w:p w14:paraId="6D82E5B7">
          <w:pPr>
            <w:pStyle w:val="23"/>
            <w:ind w:firstLine="420"/>
            <w:rPr>
              <w:highlight w:val="none"/>
            </w:rPr>
          </w:pPr>
          <w:r>
            <w:rPr>
              <w:rFonts w:hint="eastAsia"/>
              <w:highlight w:val="none"/>
              <w:lang w:val="en-US" w:eastAsia="zh-CN"/>
            </w:rPr>
            <w:t>L</w:t>
          </w:r>
          <w:r>
            <w:rPr>
              <w:highlight w:val="none"/>
            </w:rPr>
            <w:t>——</w:t>
          </w:r>
          <w:r>
            <w:rPr>
              <w:rFonts w:hint="eastAsia"/>
              <w:highlight w:val="none"/>
              <w:lang w:val="en-US" w:eastAsia="zh-CN"/>
            </w:rPr>
            <w:t>收集的60目筛上物重量，单位为克（g）</w:t>
          </w:r>
          <w:r>
            <w:rPr>
              <w:highlight w:val="none"/>
            </w:rPr>
            <w:t>；</w:t>
          </w:r>
        </w:p>
        <w:p w14:paraId="0907931A">
          <w:pPr>
            <w:pStyle w:val="23"/>
            <w:ind w:firstLine="420"/>
            <w:rPr>
              <w:rFonts w:hint="eastAsia"/>
              <w:highlight w:val="none"/>
              <w:lang w:val="en-US" w:eastAsia="zh-CN"/>
            </w:rPr>
          </w:pPr>
          <w:r>
            <w:rPr>
              <w:rFonts w:hint="eastAsia"/>
              <w:highlight w:val="none"/>
              <w:lang w:val="en-US" w:eastAsia="zh-CN"/>
            </w:rPr>
            <w:t>A</w:t>
          </w:r>
          <w:r>
            <w:rPr>
              <w:highlight w:val="none"/>
            </w:rPr>
            <w:t>——</w:t>
          </w:r>
          <w:r>
            <w:rPr>
              <w:rFonts w:hint="eastAsia"/>
              <w:highlight w:val="none"/>
              <w:lang w:val="en-US" w:eastAsia="zh-CN"/>
            </w:rPr>
            <w:t>一克纯初孵幼虫的数量（如 A=4.5），单位为万;</w:t>
          </w:r>
        </w:p>
        <w:p w14:paraId="579470D4">
          <w:pPr>
            <w:pStyle w:val="23"/>
            <w:ind w:firstLine="420"/>
            <w:rPr>
              <w:rFonts w:hint="eastAsia"/>
              <w:highlight w:val="none"/>
              <w:lang w:val="en-US" w:eastAsia="zh-CN"/>
            </w:rPr>
          </w:pPr>
          <w:r>
            <w:rPr>
              <w:rFonts w:hint="eastAsia"/>
              <w:highlight w:val="none"/>
              <w:lang w:val="en-US" w:eastAsia="zh-CN"/>
            </w:rPr>
            <w:t>B</w:t>
          </w:r>
          <w:r>
            <w:rPr>
              <w:highlight w:val="none"/>
            </w:rPr>
            <w:t>——</w:t>
          </w:r>
          <w:r>
            <w:rPr>
              <w:rFonts w:hint="eastAsia"/>
              <w:highlight w:val="none"/>
              <w:lang w:val="en-US" w:eastAsia="zh-CN"/>
            </w:rPr>
            <w:t>一克纯虫卵的数量（如 B=4），单位为万；</w:t>
          </w:r>
        </w:p>
        <w:p w14:paraId="102290EC">
          <w:pPr>
            <w:pStyle w:val="23"/>
            <w:ind w:firstLine="420"/>
            <w:rPr>
              <w:rFonts w:hint="eastAsia"/>
              <w:highlight w:val="none"/>
              <w:lang w:val="en-US" w:eastAsia="zh-CN"/>
            </w:rPr>
          </w:pPr>
          <w:r>
            <w:rPr>
              <w:rFonts w:hint="eastAsia"/>
              <w:highlight w:val="none"/>
              <w:lang w:val="en-US" w:eastAsia="zh-CN"/>
            </w:rPr>
            <w:t>C</w:t>
          </w:r>
          <w:r>
            <w:rPr>
              <w:highlight w:val="none"/>
            </w:rPr>
            <w:t>——</w:t>
          </w:r>
          <w:r>
            <w:rPr>
              <w:rFonts w:hint="eastAsia"/>
              <w:highlight w:val="none"/>
              <w:lang w:val="en-US" w:eastAsia="zh-CN"/>
            </w:rPr>
            <w:t>该抽样的虫卵罐中总虫卵重量，单位为克（g）。</w:t>
          </w:r>
        </w:p>
        <w:p w14:paraId="4B8CDC38">
          <w:pPr>
            <w:pStyle w:val="23"/>
            <w:ind w:firstLine="420"/>
            <w:rPr>
              <w:rFonts w:hint="eastAsia"/>
              <w:highlight w:val="none"/>
              <w:lang w:val="en-US" w:eastAsia="zh-CN"/>
            </w:rPr>
          </w:pPr>
        </w:p>
        <w:p w14:paraId="03B9755F">
          <w:pPr>
            <w:pStyle w:val="23"/>
            <w:ind w:firstLine="420"/>
            <w:rPr>
              <w:rFonts w:hint="default"/>
              <w:highlight w:val="none"/>
              <w:lang w:val="en-US" w:eastAsia="zh-CN"/>
            </w:rPr>
          </w:pPr>
          <w:r>
            <w:rPr>
              <w:rFonts w:hint="eastAsia"/>
              <w:highlight w:val="none"/>
              <w:lang w:val="en-US" w:eastAsia="zh-CN"/>
            </w:rPr>
            <w:t>注：虫卵按产后12-24h内新鲜虫卵称重，称重后至孵化前虫卵按0.3%每小时的速度减重，计算时应以新鲜虫卵为准。</w:t>
          </w:r>
        </w:p>
        <w:p w14:paraId="7318572D">
          <w:pPr>
            <w:pStyle w:val="23"/>
            <w:ind w:left="0" w:leftChars="0" w:firstLine="0" w:firstLineChars="0"/>
            <w:rPr>
              <w:rFonts w:hint="default"/>
              <w:highlight w:val="none"/>
              <w:lang w:val="en-US" w:eastAsia="zh-CN"/>
            </w:rPr>
          </w:pPr>
        </w:p>
        <w:p w14:paraId="12BD7546">
          <w:pPr>
            <w:pStyle w:val="32"/>
            <w:bidi w:val="0"/>
            <w:ind w:left="0" w:leftChars="0" w:firstLine="0" w:firstLineChars="0"/>
          </w:pPr>
          <w:bookmarkStart w:id="34" w:name="_Toc24888"/>
          <w:r>
            <w:rPr>
              <w:rFonts w:hint="eastAsia"/>
              <w:lang w:val="en-US" w:eastAsia="zh-CN"/>
            </w:rPr>
            <w:t>结团率</w:t>
          </w:r>
          <w:bookmarkEnd w:id="34"/>
        </w:p>
        <w:p w14:paraId="551A5266">
          <w:pPr>
            <w:pStyle w:val="17"/>
            <w:rPr>
              <w:rFonts w:hint="eastAsia"/>
              <w:lang w:val="en-US" w:eastAsia="zh-CN"/>
            </w:rPr>
          </w:pPr>
          <w:r>
            <w:rPr>
              <w:rFonts w:hint="eastAsia"/>
              <w:lang w:val="en-US" w:eastAsia="zh-CN"/>
            </w:rPr>
            <w:t>在上述计算孵化率的基础上，已知40目筛上物重量（E）。该组分包含未孵化的卵粒、结团的卵块、和孵化后剩余的卵壳。当未孵化卵粒和结团卵块越多，该组分重量越大。</w:t>
          </w:r>
        </w:p>
        <w:p w14:paraId="54BE7B04">
          <w:pPr>
            <w:pStyle w:val="17"/>
            <w:rPr>
              <w:rFonts w:hint="eastAsia"/>
              <w:lang w:val="en-US" w:eastAsia="zh-CN"/>
            </w:rPr>
          </w:pPr>
        </w:p>
        <w:p w14:paraId="048DE0AC">
          <w:pPr>
            <w:pStyle w:val="17"/>
            <w:ind w:left="0" w:leftChars="0" w:firstLine="0" w:firstLineChars="0"/>
            <w:jc w:val="right"/>
            <w:rPr>
              <w:rFonts w:hint="eastAsia" w:ascii="微软雅黑" w:hAnsi="微软雅黑" w:eastAsia="微软雅黑" w:cs="微软雅黑"/>
              <w:lang w:val="en-US" w:eastAsia="zh-CN"/>
            </w:rPr>
          </w:pPr>
          <m:oMath>
            <m:r>
              <m:rPr>
                <m:sty m:val="p"/>
              </m:rPr>
              <w:rPr>
                <w:rFonts w:hint="default" w:ascii="Cambria Math" w:hAnsi="Cambria Math" w:cs="Cambria Math"/>
                <w:lang w:val="en-US" w:eastAsia="zh-CN"/>
              </w:rPr>
              <m:t>结团率</m:t>
            </m:r>
            <m:r>
              <m:rPr/>
              <w:rPr>
                <w:rFonts w:hint="default" w:ascii="Cambria Math" w:hAnsi="Cambria Math" w:cs="Cambria Math"/>
                <w:lang w:val="en-US"/>
              </w:rPr>
              <m:t>=</m:t>
            </m:r>
            <m:f>
              <m:fPr>
                <m:ctrlPr>
                  <w:rPr>
                    <w:rFonts w:hint="default" w:ascii="Cambria Math" w:hAnsi="Cambria Math" w:cs="Cambria Math"/>
                    <w:i/>
                    <w:lang w:val="en-US"/>
                  </w:rPr>
                </m:ctrlPr>
              </m:fPr>
              <m:num>
                <m:r>
                  <m:rPr/>
                  <w:rPr>
                    <w:rFonts w:hint="default" w:ascii="Cambria Math" w:hAnsi="Cambria Math" w:cs="Cambria Math"/>
                    <w:lang w:val="en-US" w:eastAsia="zh-CN"/>
                  </w:rPr>
                  <m:t>E</m:t>
                </m:r>
                <m:ctrlPr>
                  <w:rPr>
                    <w:rFonts w:hint="default" w:ascii="Cambria Math" w:hAnsi="Cambria Math" w:cs="Cambria Math"/>
                    <w:i/>
                    <w:lang w:val="en-US"/>
                  </w:rPr>
                </m:ctrlPr>
              </m:num>
              <m:den>
                <m:r>
                  <m:rPr/>
                  <w:rPr>
                    <w:rFonts w:hint="default" w:ascii="Cambria Math" w:hAnsi="Cambria Math" w:cs="Cambria Math"/>
                    <w:lang w:val="en-US" w:eastAsia="zh-CN"/>
                  </w:rPr>
                  <m:t>C</m:t>
                </m:r>
                <m:ctrlPr>
                  <w:rPr>
                    <w:rFonts w:hint="default" w:ascii="Cambria Math" w:hAnsi="Cambria Math" w:cs="Cambria Math"/>
                    <w:i/>
                    <w:lang w:val="en-US"/>
                  </w:rPr>
                </m:ctrlPr>
              </m:den>
            </m:f>
          </m:oMath>
          <w:r>
            <w:rPr>
              <w:rFonts w:hint="default" w:ascii="Cambria Math" w:hAnsi="Cambria Math" w:cs="Cambria Math"/>
              <w:i w:val="0"/>
              <w:lang w:val="en-US" w:eastAsia="zh-CN"/>
            </w:rPr>
            <w:t xml:space="preserve"> </w:t>
          </w:r>
          <w:r>
            <w:rPr>
              <w:rFonts w:hint="default" w:ascii="Cambria Math" w:hAnsi="Cambria Math" w:cs="Cambria Math"/>
              <w:i w:val="0"/>
              <w:sz w:val="21"/>
              <w:szCs w:val="20"/>
              <w:lang w:val="en-US"/>
            </w:rPr>
            <w:t>×</w:t>
          </w:r>
          <w:r>
            <w:rPr>
              <w:rFonts w:hint="default" w:ascii="Cambria Math" w:hAnsi="Cambria Math" w:cs="Cambria Math"/>
              <w:i w:val="0"/>
              <w:sz w:val="21"/>
              <w:szCs w:val="20"/>
              <w:lang w:val="en-US" w:eastAsia="zh-CN"/>
            </w:rPr>
            <w:t xml:space="preserve"> 10</w:t>
          </w:r>
          <w:r>
            <w:rPr>
              <w:rFonts w:hint="default" w:ascii="Cambria Math" w:hAnsi="Cambria Math" w:cs="Cambria Math"/>
              <w:i w:val="0"/>
              <w:lang w:val="en-US" w:eastAsia="zh-CN"/>
            </w:rPr>
            <w:t xml:space="preserve">0%  </w:t>
          </w:r>
          <w:r>
            <w:rPr>
              <w:rFonts w:hint="default" w:ascii="Cambria Math" w:hAnsi="Cambria Math" w:eastAsia="微软雅黑" w:cs="Cambria Math"/>
              <w:lang w:val="en-US" w:eastAsia="zh-CN"/>
            </w:rPr>
            <w:t xml:space="preserve"> </w:t>
          </w:r>
          <w:r>
            <w:rPr>
              <w:rFonts w:hint="eastAsia" w:ascii="微软雅黑" w:hAnsi="微软雅黑" w:eastAsia="微软雅黑" w:cs="微软雅黑"/>
              <w:lang w:val="en-US" w:eastAsia="zh-CN"/>
            </w:rPr>
            <w:t xml:space="preserve"> …………………………………………（3）</w:t>
          </w:r>
        </w:p>
        <w:p w14:paraId="6C49B603">
          <w:pPr>
            <w:pStyle w:val="33"/>
            <w:ind w:firstLine="420"/>
          </w:pPr>
          <w:r>
            <w:rPr>
              <w:rFonts w:hint="eastAsia"/>
            </w:rPr>
            <w:t>式中：</w:t>
          </w:r>
        </w:p>
        <w:p w14:paraId="38B5C08F">
          <w:pPr>
            <w:pStyle w:val="23"/>
            <w:ind w:firstLine="420"/>
          </w:pPr>
          <w:r>
            <w:rPr>
              <w:rFonts w:hint="eastAsia"/>
              <w:lang w:val="en-US" w:eastAsia="zh-CN"/>
            </w:rPr>
            <w:t>E</w:t>
          </w:r>
          <w:r>
            <w:t>——</w:t>
          </w:r>
          <w:r>
            <w:rPr>
              <w:rFonts w:hint="eastAsia"/>
              <w:lang w:val="en-US" w:eastAsia="zh-CN"/>
            </w:rPr>
            <w:t>40目筛上物重量，单位为克（g）</w:t>
          </w:r>
          <w:r>
            <w:t>；</w:t>
          </w:r>
        </w:p>
        <w:p w14:paraId="2CC45649">
          <w:pPr>
            <w:pStyle w:val="23"/>
            <w:ind w:firstLine="420"/>
          </w:pPr>
          <w:r>
            <w:rPr>
              <w:rFonts w:hint="eastAsia"/>
              <w:lang w:val="en-US" w:eastAsia="zh-CN"/>
            </w:rPr>
            <w:t>C</w:t>
          </w:r>
          <w:r>
            <w:t>——</w:t>
          </w:r>
          <w:r>
            <w:rPr>
              <w:rFonts w:hint="eastAsia"/>
              <w:lang w:val="en-US" w:eastAsia="zh-CN"/>
            </w:rPr>
            <w:t>该抽样的虫卵罐中总虫卵重量，单位为克（g）</w:t>
          </w:r>
          <w:r>
            <w:t>。</w:t>
          </w:r>
        </w:p>
        <w:p w14:paraId="1D400528">
          <w:pPr>
            <w:pStyle w:val="23"/>
            <w:ind w:firstLine="420"/>
          </w:pPr>
        </w:p>
        <w:p w14:paraId="660A2E85">
          <w:pPr>
            <w:pStyle w:val="32"/>
            <w:bidi w:val="0"/>
            <w:ind w:left="0" w:leftChars="0" w:firstLine="0" w:firstLineChars="0"/>
          </w:pPr>
          <w:bookmarkStart w:id="35" w:name="_Toc32158"/>
          <w:r>
            <w:rPr>
              <w:rFonts w:hint="eastAsia"/>
              <w:lang w:val="en-US" w:eastAsia="zh-CN"/>
            </w:rPr>
            <w:t>得苗率</w:t>
          </w:r>
          <w:bookmarkEnd w:id="35"/>
        </w:p>
        <w:p w14:paraId="15735718">
          <w:pPr>
            <w:pStyle w:val="17"/>
            <w:rPr>
              <w:rFonts w:hint="eastAsia"/>
              <w:lang w:val="en-US" w:eastAsia="zh-CN"/>
            </w:rPr>
          </w:pPr>
          <w:r>
            <w:rPr>
              <w:rFonts w:hint="eastAsia" w:ascii="Times New Roman" w:cs="Times New Roman"/>
              <w:lang w:val="en-US" w:eastAsia="zh-CN"/>
            </w:rPr>
            <w:t>育苗后计算得苗率。建议方案如下，</w:t>
          </w:r>
          <w:r>
            <w:rPr>
              <w:rFonts w:hint="default" w:ascii="Times New Roman" w:hAnsi="Times New Roman" w:cs="Times New Roman"/>
              <w:lang w:val="en-US" w:eastAsia="zh-CN"/>
            </w:rPr>
            <w:t>取上述计算孵化率过程中分筛出来的</w:t>
          </w:r>
          <w:r>
            <w:rPr>
              <w:rFonts w:hint="eastAsia" w:ascii="Times New Roman" w:cs="Times New Roman"/>
              <w:lang w:val="en-US" w:eastAsia="zh-CN"/>
            </w:rPr>
            <w:t>4</w:t>
          </w:r>
          <w:r>
            <w:rPr>
              <w:rFonts w:hint="default" w:ascii="Times New Roman" w:hAnsi="Times New Roman" w:cs="Times New Roman"/>
              <w:lang w:val="en-US" w:eastAsia="zh-CN"/>
            </w:rPr>
            <w:t>0-60目间组分，混匀取样0.</w:t>
          </w:r>
          <w:r>
            <w:rPr>
              <w:rFonts w:hint="eastAsia" w:ascii="Times New Roman" w:cs="Times New Roman"/>
              <w:lang w:val="en-US" w:eastAsia="zh-CN"/>
            </w:rPr>
            <w:t>40g</w:t>
          </w:r>
          <w:r>
            <w:rPr>
              <w:rFonts w:hint="default" w:ascii="Times New Roman" w:hAnsi="Times New Roman" w:cs="Times New Roman"/>
              <w:lang w:val="en-US" w:eastAsia="zh-CN"/>
            </w:rPr>
            <w:t>。用合适的容器（建议</w:t>
          </w:r>
          <w:r>
            <w:rPr>
              <w:rFonts w:hint="eastAsia" w:ascii="Times New Roman" w:cs="Times New Roman"/>
              <w:lang w:val="en-US" w:eastAsia="zh-CN"/>
            </w:rPr>
            <w:t>直径10cm圆柱形塑料罐</w:t>
          </w:r>
          <w:r>
            <w:rPr>
              <w:rFonts w:hint="default" w:ascii="Times New Roman" w:hAnsi="Times New Roman" w:cs="Times New Roman"/>
              <w:lang w:val="en-US" w:eastAsia="zh-CN"/>
            </w:rPr>
            <w:t>）</w:t>
          </w:r>
          <w:r>
            <w:rPr>
              <w:rFonts w:hint="eastAsia" w:ascii="Times New Roman" w:cs="Times New Roman"/>
              <w:lang w:val="en-US" w:eastAsia="zh-CN"/>
            </w:rPr>
            <w:t>，加入育苗料（干重100g），加水调至60-70%含水量。待饲料吸水充分时，没有明水时，加入上述取样的初孵幼虫0.4g。用透气盖子密封防逃，于30℃，60%RH，通风良好的恒温箱中饲养7-8天。在虫苗将育苗料采食充分且稍微干爽具有流动性的状态下，</w:t>
          </w:r>
          <w:r>
            <w:rPr>
              <w:rFonts w:hint="eastAsia"/>
              <w:lang w:val="en-US" w:eastAsia="zh-CN"/>
            </w:rPr>
            <w:t>将带粪虫苗和虫粪充分混匀后取样，每次随机抽取带粪虫苗约2-4克，记为X，统计虫苗数（H）。称量育苗后带粪虫苗总重（M），得苗率为：</w:t>
          </w:r>
        </w:p>
        <w:p w14:paraId="35A031AF">
          <w:pPr>
            <w:pStyle w:val="17"/>
            <w:rPr>
              <w:rFonts w:hint="eastAsia"/>
              <w:lang w:val="en-US" w:eastAsia="zh-CN"/>
            </w:rPr>
          </w:pPr>
        </w:p>
        <w:p w14:paraId="42B9B6BD">
          <w:pPr>
            <w:pStyle w:val="17"/>
            <w:ind w:left="0" w:leftChars="0" w:firstLine="0" w:firstLineChars="0"/>
            <w:jc w:val="right"/>
            <w:rPr>
              <w:rFonts w:hint="eastAsia" w:ascii="微软雅黑" w:hAnsi="微软雅黑" w:eastAsia="微软雅黑" w:cs="微软雅黑"/>
              <w:lang w:val="en-US" w:eastAsia="zh-CN"/>
            </w:rPr>
          </w:pPr>
          <w:r>
            <w:rPr>
              <w:rFonts w:hint="default" w:ascii="Cambria Math" w:hAnsi="Cambria Math" w:cs="Cambria Math"/>
              <w:lang w:val="en-US" w:eastAsia="zh-CN"/>
            </w:rPr>
            <w:t xml:space="preserve"> </w:t>
          </w:r>
          <m:oMath>
            <m:r>
              <m:rPr>
                <m:sty m:val="p"/>
              </m:rPr>
              <w:rPr>
                <w:rFonts w:hint="default" w:ascii="Cambria Math" w:hAnsi="Cambria Math" w:cs="Cambria Math"/>
                <w:lang w:val="en-US" w:eastAsia="zh-CN"/>
              </w:rPr>
              <m:t>得苗率</m:t>
            </m:r>
            <m:r>
              <m:rPr/>
              <w:rPr>
                <w:rFonts w:hint="default" w:ascii="Cambria Math" w:hAnsi="Cambria Math" w:cs="Cambria Math"/>
                <w:lang w:val="en-US"/>
              </w:rPr>
              <m:t>=</m:t>
            </m:r>
            <m:f>
              <m:fPr>
                <m:ctrlPr>
                  <w:rPr>
                    <w:rFonts w:hint="default" w:ascii="Cambria Math" w:hAnsi="Cambria Math" w:cs="Cambria Math"/>
                    <w:i/>
                    <w:lang w:val="en-US"/>
                  </w:rPr>
                </m:ctrlPr>
              </m:fPr>
              <m:num>
                <m:r>
                  <m:rPr/>
                  <w:rPr>
                    <w:rFonts w:hint="default" w:ascii="Cambria Math" w:hAnsi="Cambria Math" w:cs="Cambria Math"/>
                    <w:lang w:val="en-US" w:eastAsia="zh-CN"/>
                  </w:rPr>
                  <m:t xml:space="preserve">M </m:t>
                </m:r>
                <m:r>
                  <m:rPr/>
                  <w:rPr>
                    <w:rFonts w:hint="default" w:ascii="Cambria Math" w:hAnsi="Cambria Math" w:cs="Cambria Math"/>
                    <w:lang w:val="en-US"/>
                  </w:rPr>
                  <m:t>×</m:t>
                </m:r>
                <m:r>
                  <m:rPr/>
                  <w:rPr>
                    <w:rFonts w:hint="default" w:ascii="Cambria Math" w:hAnsi="Cambria Math" w:cs="Cambria Math"/>
                    <w:lang w:val="en-US" w:eastAsia="zh-CN"/>
                  </w:rPr>
                  <m:t xml:space="preserve"> H </m:t>
                </m:r>
                <m:r>
                  <m:rPr/>
                  <w:rPr>
                    <w:rFonts w:hint="default" w:ascii="Cambria Math" w:hAnsi="Cambria Math" w:cs="Cambria Math"/>
                    <w:lang w:val="en-US"/>
                  </w:rPr>
                  <m:t>×</m:t>
                </m:r>
                <m:r>
                  <m:rPr/>
                  <w:rPr>
                    <w:rFonts w:hint="default" w:ascii="Cambria Math" w:hAnsi="Cambria Math" w:cs="Cambria Math"/>
                    <w:lang w:val="en-US" w:eastAsia="zh-CN"/>
                  </w:rPr>
                  <m:t xml:space="preserve"> L</m:t>
                </m:r>
                <m:ctrlPr>
                  <w:rPr>
                    <w:rFonts w:hint="default" w:ascii="Cambria Math" w:hAnsi="Cambria Math" w:cs="Cambria Math"/>
                    <w:i/>
                    <w:lang w:val="en-US"/>
                  </w:rPr>
                </m:ctrlPr>
              </m:num>
              <m:den>
                <m:r>
                  <m:rPr/>
                  <w:rPr>
                    <w:rFonts w:hint="default" w:ascii="Cambria Math" w:hAnsi="Cambria Math" w:cs="Cambria Math"/>
                    <w:lang w:val="en-US" w:eastAsia="zh-CN"/>
                  </w:rPr>
                  <m:t xml:space="preserve">X </m:t>
                </m:r>
                <m:r>
                  <m:rPr/>
                  <w:rPr>
                    <w:rFonts w:hint="default" w:ascii="Cambria Math" w:hAnsi="Cambria Math" w:cs="Cambria Math"/>
                    <w:lang w:val="en-US"/>
                  </w:rPr>
                  <m:t>×</m:t>
                </m:r>
                <m:r>
                  <m:rPr/>
                  <w:rPr>
                    <w:rFonts w:hint="default" w:ascii="Cambria Math" w:hAnsi="Cambria Math" w:cs="Cambria Math"/>
                    <w:lang w:val="en-US" w:eastAsia="zh-CN"/>
                  </w:rPr>
                  <m:t xml:space="preserve"> 0.4 </m:t>
                </m:r>
                <m:r>
                  <m:rPr/>
                  <w:rPr>
                    <w:rFonts w:hint="default" w:ascii="Cambria Math" w:hAnsi="Cambria Math" w:cs="Cambria Math"/>
                    <w:lang w:val="en-US"/>
                  </w:rPr>
                  <m:t>×</m:t>
                </m:r>
                <m:r>
                  <m:rPr/>
                  <w:rPr>
                    <w:rFonts w:hint="default" w:ascii="Cambria Math" w:hAnsi="Cambria Math" w:cs="Cambria Math"/>
                    <w:lang w:val="en-US" w:eastAsia="zh-CN"/>
                  </w:rPr>
                  <m:t xml:space="preserve"> C</m:t>
                </m:r>
                <m:ctrlPr>
                  <w:rPr>
                    <w:rFonts w:hint="default" w:ascii="Cambria Math" w:hAnsi="Cambria Math" w:cs="Cambria Math"/>
                    <w:i/>
                    <w:lang w:val="en-US"/>
                  </w:rPr>
                </m:ctrlPr>
              </m:den>
            </m:f>
          </m:oMath>
          <w:r>
            <w:rPr>
              <w:rFonts w:hint="default" w:ascii="Cambria Math" w:hAnsi="Cambria Math" w:cs="Cambria Math"/>
              <w:lang w:val="en-US" w:eastAsia="zh-CN"/>
            </w:rPr>
            <w:t xml:space="preserve">  </w:t>
          </w:r>
          <w:r>
            <w:rPr>
              <w:rFonts w:hint="default" w:ascii="Cambria Math" w:hAnsi="Cambria Math" w:eastAsia="微软雅黑" w:cs="Cambria Math"/>
              <w:lang w:val="en-US" w:eastAsia="zh-CN"/>
            </w:rPr>
            <w:t xml:space="preserve">  </w:t>
          </w:r>
          <w:r>
            <w:rPr>
              <w:rFonts w:hint="eastAsia" w:ascii="微软雅黑" w:hAnsi="微软雅黑" w:eastAsia="微软雅黑" w:cs="微软雅黑"/>
              <w:lang w:val="en-US" w:eastAsia="zh-CN"/>
            </w:rPr>
            <w:t xml:space="preserve">   …………………………………………（4）</w:t>
          </w:r>
        </w:p>
        <w:p w14:paraId="00E469E0">
          <w:pPr>
            <w:pStyle w:val="33"/>
            <w:ind w:firstLine="420"/>
          </w:pPr>
          <w:r>
            <w:rPr>
              <w:rFonts w:hint="eastAsia"/>
            </w:rPr>
            <w:t>式中：</w:t>
          </w:r>
        </w:p>
        <w:p w14:paraId="2B7BF956">
          <w:pPr>
            <w:pStyle w:val="17"/>
            <w:rPr>
              <w:rFonts w:hint="eastAsia"/>
              <w:lang w:val="en-US" w:eastAsia="zh-CN"/>
            </w:rPr>
          </w:pPr>
          <w:r>
            <w:rPr>
              <w:rFonts w:hint="eastAsia"/>
              <w:lang w:val="en-US" w:eastAsia="zh-CN"/>
            </w:rPr>
            <w:t>M</w:t>
          </w:r>
          <w:r>
            <w:t>——</w:t>
          </w:r>
          <w:r>
            <w:rPr>
              <w:rFonts w:hint="eastAsia"/>
              <w:lang w:val="en-US" w:eastAsia="zh-CN"/>
            </w:rPr>
            <w:t>育苗后带粪虫苗总重，单位为克（g）；</w:t>
          </w:r>
        </w:p>
        <w:p w14:paraId="372E49F2">
          <w:pPr>
            <w:pStyle w:val="17"/>
            <w:rPr>
              <w:rFonts w:hint="default"/>
              <w:lang w:val="en-US" w:eastAsia="zh-CN"/>
            </w:rPr>
          </w:pPr>
          <w:r>
            <w:rPr>
              <w:rFonts w:hint="eastAsia"/>
              <w:lang w:val="en-US" w:eastAsia="zh-CN"/>
            </w:rPr>
            <w:t>X</w:t>
          </w:r>
          <w:r>
            <w:t>——</w:t>
          </w:r>
          <w:r>
            <w:rPr>
              <w:rFonts w:hint="eastAsia"/>
              <w:lang w:val="en-US" w:eastAsia="zh-CN"/>
            </w:rPr>
            <w:t>抽样带粪虫苗重，单位为克（g）；</w:t>
          </w:r>
        </w:p>
        <w:p w14:paraId="723959FF">
          <w:pPr>
            <w:pStyle w:val="17"/>
          </w:pPr>
          <w:r>
            <w:rPr>
              <w:rFonts w:hint="eastAsia"/>
              <w:lang w:val="en-US" w:eastAsia="zh-CN"/>
            </w:rPr>
            <w:t>H</w:t>
          </w:r>
          <w:r>
            <w:t>——</w:t>
          </w:r>
          <w:r>
            <w:rPr>
              <w:rFonts w:hint="eastAsia"/>
              <w:lang w:val="en-US" w:eastAsia="zh-CN"/>
            </w:rPr>
            <w:t>抽样带粪虫苗中虫苗条数，单位为条；</w:t>
          </w:r>
        </w:p>
        <w:p w14:paraId="08CF4A00">
          <w:pPr>
            <w:pStyle w:val="23"/>
            <w:ind w:firstLine="420"/>
          </w:pPr>
          <w:r>
            <w:rPr>
              <w:rFonts w:hint="eastAsia"/>
              <w:lang w:val="en-US" w:eastAsia="zh-CN"/>
            </w:rPr>
            <w:t>L</w:t>
          </w:r>
          <w:r>
            <w:t>——</w:t>
          </w:r>
          <w:r>
            <w:rPr>
              <w:rFonts w:hint="eastAsia"/>
              <w:lang w:val="en-US" w:eastAsia="zh-CN"/>
            </w:rPr>
            <w:t>初孵幼虫总重，即40-60目间组分，单位为克（g）</w:t>
          </w:r>
          <w:r>
            <w:t>；</w:t>
          </w:r>
        </w:p>
        <w:p w14:paraId="39074973">
          <w:pPr>
            <w:pStyle w:val="23"/>
            <w:ind w:firstLine="420"/>
            <w:rPr>
              <w:rFonts w:hint="eastAsia"/>
              <w:lang w:val="en-US" w:eastAsia="zh-CN"/>
            </w:rPr>
          </w:pPr>
          <w:r>
            <w:rPr>
              <w:rFonts w:hint="eastAsia"/>
              <w:lang w:val="en-US" w:eastAsia="zh-CN"/>
            </w:rPr>
            <w:t>C</w:t>
          </w:r>
          <w:r>
            <w:t>——</w:t>
          </w:r>
          <w:r>
            <w:rPr>
              <w:rFonts w:hint="eastAsia"/>
              <w:lang w:val="en-US" w:eastAsia="zh-CN"/>
            </w:rPr>
            <w:t>该抽样的虫卵罐中总虫卵重量，单位为克（g）</w:t>
          </w:r>
          <w:r>
            <w:t>。</w:t>
          </w:r>
        </w:p>
        <w:p w14:paraId="4DE3D55A">
          <w:pPr>
            <w:pStyle w:val="26"/>
            <w:spacing w:before="156" w:after="156"/>
            <w:rPr>
              <w:rFonts w:hint="eastAsia"/>
              <w:lang w:val="en-US" w:eastAsia="zh-CN"/>
            </w:rPr>
          </w:pPr>
          <w:bookmarkStart w:id="36" w:name="_Toc9003"/>
          <w:r>
            <w:rPr>
              <w:rFonts w:hint="eastAsia"/>
              <w:lang w:val="en-US" w:eastAsia="zh-CN"/>
            </w:rPr>
            <w:t>虫卵检测规则</w:t>
          </w:r>
          <w:bookmarkEnd w:id="36"/>
        </w:p>
        <w:p w14:paraId="4F91A8B6">
          <w:pPr>
            <w:pStyle w:val="32"/>
            <w:bidi w:val="0"/>
            <w:ind w:left="0" w:leftChars="0" w:firstLine="0" w:firstLineChars="0"/>
          </w:pPr>
          <w:bookmarkStart w:id="37" w:name="_Toc26940"/>
          <w:r>
            <w:rPr>
              <w:rFonts w:hint="eastAsia"/>
              <w:lang w:val="en-US" w:eastAsia="zh-CN"/>
            </w:rPr>
            <w:t>组批规则</w:t>
          </w:r>
          <w:bookmarkEnd w:id="37"/>
        </w:p>
        <w:p w14:paraId="4F464BEE">
          <w:pPr>
            <w:pStyle w:val="34"/>
            <w:numPr>
              <w:ilvl w:val="3"/>
              <w:numId w:val="0"/>
            </w:numPr>
            <w:bidi w:val="0"/>
            <w:ind w:leftChars="0" w:firstLine="420" w:firstLineChars="0"/>
          </w:pPr>
          <w:r>
            <w:rPr>
              <w:rFonts w:hint="eastAsia" w:ascii="Times New Roman" w:hAnsi="Times New Roman" w:eastAsia="宋体" w:cs="Times New Roman"/>
              <w:kern w:val="0"/>
              <w:sz w:val="21"/>
              <w:szCs w:val="20"/>
              <w:lang w:val="en-US" w:eastAsia="zh-CN" w:bidi="ar-SA"/>
            </w:rPr>
            <w:t>以统一生产、发货批次为一个检测批次，随机取样虫卵占比5%以上。</w:t>
          </w:r>
        </w:p>
        <w:p w14:paraId="3ADCB595">
          <w:pPr>
            <w:pStyle w:val="32"/>
            <w:bidi w:val="0"/>
            <w:ind w:left="0" w:leftChars="0" w:firstLine="0" w:firstLineChars="0"/>
          </w:pPr>
          <w:bookmarkStart w:id="38" w:name="_Toc15886"/>
          <w:r>
            <w:rPr>
              <w:rFonts w:hint="eastAsia"/>
              <w:lang w:val="en-US" w:eastAsia="zh-CN"/>
            </w:rPr>
            <w:t>检测项目</w:t>
          </w:r>
          <w:bookmarkEnd w:id="38"/>
        </w:p>
        <w:p w14:paraId="022DE92A">
          <w:pPr>
            <w:pStyle w:val="23"/>
            <w:ind w:firstLine="420" w:firstLineChars="0"/>
            <w:jc w:val="both"/>
            <w:rPr>
              <w:rFonts w:hint="eastAsia"/>
              <w:lang w:val="en-US" w:eastAsia="zh-CN"/>
            </w:rPr>
          </w:pPr>
          <w:r>
            <w:rPr>
              <w:rFonts w:hint="eastAsia"/>
              <w:lang w:val="en-US" w:eastAsia="zh-CN"/>
            </w:rPr>
            <w:t>检验项目为第4部分规定的所有项目。</w:t>
          </w:r>
        </w:p>
        <w:p w14:paraId="624ED96D">
          <w:pPr>
            <w:pStyle w:val="32"/>
            <w:bidi w:val="0"/>
            <w:ind w:left="0" w:leftChars="0" w:firstLine="0" w:firstLineChars="0"/>
          </w:pPr>
          <w:bookmarkStart w:id="39" w:name="_Toc10489"/>
          <w:r>
            <w:rPr>
              <w:rFonts w:hint="eastAsia"/>
              <w:lang w:val="en-US" w:eastAsia="zh-CN"/>
            </w:rPr>
            <w:t>虫卵判定规则</w:t>
          </w:r>
          <w:bookmarkEnd w:id="39"/>
        </w:p>
        <w:p w14:paraId="3250AC9E">
          <w:pPr>
            <w:pStyle w:val="17"/>
            <w:rPr>
              <w:rFonts w:hint="eastAsia"/>
              <w:lang w:val="en-US" w:eastAsia="zh-CN"/>
            </w:rPr>
          </w:pPr>
          <w:r>
            <w:rPr>
              <w:rFonts w:hint="eastAsia"/>
              <w:lang w:val="en-US" w:eastAsia="zh-CN"/>
            </w:rPr>
            <w:t>产品按表4.1、4.2进行检查分级判定。</w:t>
          </w:r>
        </w:p>
        <w:p w14:paraId="5338ABE6">
          <w:pPr>
            <w:pStyle w:val="26"/>
            <w:bidi w:val="0"/>
            <w:ind w:left="0" w:leftChars="0" w:firstLine="0" w:firstLineChars="0"/>
            <w:rPr>
              <w:rFonts w:hint="default"/>
              <w:lang w:val="en-US" w:eastAsia="zh-CN"/>
            </w:rPr>
          </w:pPr>
          <w:bookmarkStart w:id="40" w:name="_Toc24171"/>
          <w:bookmarkStart w:id="41" w:name="_Toc20676"/>
          <w:r>
            <w:rPr>
              <w:rFonts w:hint="eastAsia"/>
              <w:lang w:val="en-US" w:eastAsia="zh-CN"/>
            </w:rPr>
            <w:t>虫卵标识、包装、运输及储存</w:t>
          </w:r>
          <w:bookmarkEnd w:id="40"/>
          <w:bookmarkEnd w:id="41"/>
        </w:p>
        <w:p w14:paraId="7C75E2DD">
          <w:pPr>
            <w:pStyle w:val="32"/>
            <w:bidi w:val="0"/>
            <w:ind w:left="0" w:leftChars="0" w:firstLine="0" w:firstLineChars="0"/>
            <w:rPr>
              <w:rFonts w:hint="eastAsia"/>
              <w:lang w:val="en-US" w:eastAsia="zh-CN"/>
            </w:rPr>
          </w:pPr>
          <w:bookmarkStart w:id="42" w:name="_Toc29103"/>
          <w:bookmarkStart w:id="43" w:name="_Toc31874"/>
          <w:r>
            <w:rPr>
              <w:rFonts w:hint="eastAsia"/>
              <w:lang w:val="en-US" w:eastAsia="zh-CN"/>
            </w:rPr>
            <w:t>标识</w:t>
          </w:r>
          <w:bookmarkEnd w:id="42"/>
          <w:bookmarkEnd w:id="43"/>
        </w:p>
        <w:p w14:paraId="5DFE46C2">
          <w:pPr>
            <w:pStyle w:val="17"/>
            <w:rPr>
              <w:rFonts w:hint="default"/>
              <w:lang w:val="en-US" w:eastAsia="zh-CN"/>
            </w:rPr>
          </w:pPr>
          <w:r>
            <w:rPr>
              <w:rFonts w:hint="eastAsia"/>
              <w:lang w:val="en-US" w:eastAsia="zh-CN"/>
            </w:rPr>
            <w:t>标签内容应包括产品名称、商标、产品标准、使用说明、净重、包装日期及生产日期、生产厂商等。</w:t>
          </w:r>
        </w:p>
        <w:p w14:paraId="3A86AE6E">
          <w:pPr>
            <w:pStyle w:val="32"/>
            <w:bidi w:val="0"/>
            <w:ind w:left="0" w:leftChars="0" w:firstLine="0" w:firstLineChars="0"/>
            <w:rPr>
              <w:rFonts w:hint="eastAsia"/>
              <w:lang w:val="en-US" w:eastAsia="zh-CN"/>
            </w:rPr>
          </w:pPr>
          <w:bookmarkStart w:id="44" w:name="_Toc17753"/>
          <w:bookmarkStart w:id="45" w:name="_Toc4151"/>
          <w:r>
            <w:rPr>
              <w:rFonts w:hint="eastAsia"/>
              <w:lang w:val="en-US" w:eastAsia="zh-CN"/>
            </w:rPr>
            <w:t>包装材料</w:t>
          </w:r>
          <w:bookmarkEnd w:id="44"/>
          <w:bookmarkEnd w:id="45"/>
        </w:p>
        <w:p w14:paraId="2161564C">
          <w:pPr>
            <w:pStyle w:val="17"/>
            <w:rPr>
              <w:rFonts w:hint="eastAsia"/>
              <w:lang w:val="en-US" w:eastAsia="zh-CN"/>
            </w:rPr>
          </w:pPr>
          <w:r>
            <w:rPr>
              <w:rFonts w:hint="eastAsia"/>
              <w:lang w:val="en-US" w:eastAsia="zh-CN"/>
            </w:rPr>
            <w:t>用于分散虫卵的垫料粒径应小于初孵幼虫以便分筛计数。</w:t>
          </w:r>
        </w:p>
        <w:p w14:paraId="572D679C">
          <w:pPr>
            <w:pStyle w:val="17"/>
            <w:rPr>
              <w:rFonts w:hint="default"/>
              <w:lang w:val="en-US" w:eastAsia="zh-CN"/>
            </w:rPr>
          </w:pPr>
          <w:r>
            <w:rPr>
              <w:rFonts w:hint="eastAsia"/>
              <w:lang w:val="en-US" w:eastAsia="zh-CN"/>
            </w:rPr>
            <w:t>用于分散虫卵的垫料应能通过分筛回收率&gt;95%。</w:t>
          </w:r>
        </w:p>
        <w:p w14:paraId="4B279917">
          <w:pPr>
            <w:pStyle w:val="17"/>
            <w:rPr>
              <w:rFonts w:hint="eastAsia"/>
              <w:lang w:val="en-US" w:eastAsia="zh-CN"/>
            </w:rPr>
          </w:pPr>
          <w:r>
            <w:rPr>
              <w:rFonts w:hint="eastAsia"/>
              <w:lang w:val="en-US" w:eastAsia="zh-CN"/>
            </w:rPr>
            <w:t>运输包装材料应具有一定的抗压能力，包装应牢固、安全防止初孵幼虫逃逸。</w:t>
          </w:r>
        </w:p>
        <w:p w14:paraId="1A1E1A79">
          <w:pPr>
            <w:pStyle w:val="32"/>
            <w:bidi w:val="0"/>
            <w:ind w:left="0" w:leftChars="0" w:firstLine="0" w:firstLineChars="0"/>
            <w:rPr>
              <w:rFonts w:hint="eastAsia"/>
              <w:lang w:val="en-US" w:eastAsia="zh-CN"/>
            </w:rPr>
          </w:pPr>
          <w:bookmarkStart w:id="46" w:name="_Toc24369"/>
          <w:bookmarkStart w:id="47" w:name="_Toc4658"/>
          <w:r>
            <w:rPr>
              <w:rFonts w:hint="eastAsia"/>
              <w:lang w:val="en-US" w:eastAsia="zh-CN"/>
            </w:rPr>
            <w:t>运输</w:t>
          </w:r>
          <w:bookmarkEnd w:id="46"/>
          <w:bookmarkEnd w:id="47"/>
        </w:p>
        <w:p w14:paraId="7630A49E">
          <w:pPr>
            <w:pStyle w:val="17"/>
            <w:rPr>
              <w:rFonts w:hint="default"/>
              <w:lang w:val="en-US" w:eastAsia="zh-CN"/>
            </w:rPr>
          </w:pPr>
          <w:r>
            <w:rPr>
              <w:rFonts w:hint="eastAsia"/>
              <w:lang w:val="en-US" w:eastAsia="zh-CN"/>
            </w:rPr>
            <w:t>在运输过程中，应避免缺氧、雨淋、寒冷、高温或暴晒。严禁与有毒有害物品混装。</w:t>
          </w:r>
        </w:p>
        <w:p w14:paraId="2584F53C">
          <w:pPr>
            <w:pStyle w:val="32"/>
            <w:bidi w:val="0"/>
            <w:ind w:left="0" w:leftChars="0" w:firstLine="0" w:firstLineChars="0"/>
            <w:rPr>
              <w:rFonts w:hint="eastAsia"/>
              <w:lang w:val="en-US" w:eastAsia="zh-CN"/>
            </w:rPr>
          </w:pPr>
          <w:bookmarkStart w:id="48" w:name="_Toc23427"/>
          <w:bookmarkStart w:id="49" w:name="_Toc3896"/>
          <w:r>
            <w:rPr>
              <w:rFonts w:hint="eastAsia"/>
              <w:lang w:val="en-US" w:eastAsia="zh-CN"/>
            </w:rPr>
            <w:t>储存</w:t>
          </w:r>
          <w:bookmarkEnd w:id="48"/>
          <w:bookmarkEnd w:id="49"/>
        </w:p>
        <w:p w14:paraId="72A0D7E4">
          <w:pPr>
            <w:pStyle w:val="17"/>
            <w:rPr>
              <w:rFonts w:hint="default"/>
              <w:lang w:val="en-US" w:eastAsia="zh-CN"/>
            </w:rPr>
          </w:pPr>
          <w:r>
            <w:rPr>
              <w:rFonts w:hint="eastAsia"/>
              <w:lang w:val="en-US" w:eastAsia="zh-CN"/>
            </w:rPr>
            <w:t>从包装、运输到收货后暂存，全程应放于避光阴凉处，保持室温20-30℃。收货后应尽快取出并放于合适孵化的环境中（建议室温27-30℃，空气湿度60%）。</w:t>
          </w:r>
        </w:p>
        <w:p w14:paraId="25A1EB4F">
          <w:pPr>
            <w:pStyle w:val="25"/>
            <w:spacing w:before="312" w:after="312"/>
          </w:pPr>
          <w:r>
            <w:rPr>
              <w:rFonts w:hint="eastAsia"/>
              <w:lang w:val="en-US" w:eastAsia="zh-CN"/>
            </w:rPr>
            <w:t>虫苗要求</w:t>
          </w:r>
        </w:p>
        <w:p w14:paraId="314C4F8F">
          <w:pPr>
            <w:pStyle w:val="26"/>
            <w:spacing w:before="156" w:after="156"/>
            <w:rPr>
              <w:rFonts w:hint="eastAsia"/>
              <w:lang w:val="en-US" w:eastAsia="zh-CN"/>
            </w:rPr>
          </w:pPr>
          <w:r>
            <w:rPr>
              <w:rFonts w:hint="eastAsia"/>
              <w:lang w:val="en-US" w:eastAsia="zh-CN"/>
            </w:rPr>
            <w:t>外观与性状</w:t>
          </w:r>
        </w:p>
        <w:p w14:paraId="2C0C39E9">
          <w:pPr>
            <w:pStyle w:val="17"/>
            <w:rPr>
              <w:rFonts w:hint="eastAsia"/>
              <w:lang w:val="en-US" w:eastAsia="zh-CN"/>
            </w:rPr>
          </w:pPr>
          <w:r>
            <w:rPr>
              <w:rFonts w:hint="eastAsia"/>
              <w:lang w:val="en-US" w:eastAsia="zh-CN"/>
            </w:rPr>
            <w:t>应符合表5.1的要求。</w:t>
          </w:r>
        </w:p>
        <w:p w14:paraId="7AAC1F89">
          <w:pPr>
            <w:pStyle w:val="17"/>
            <w:ind w:left="0" w:leftChars="0" w:firstLine="0" w:firstLineChars="0"/>
            <w:jc w:val="center"/>
            <w:rPr>
              <w:rFonts w:hint="eastAsia"/>
              <w:lang w:val="en-US" w:eastAsia="zh-CN"/>
            </w:rPr>
          </w:pPr>
        </w:p>
        <w:p w14:paraId="6CA39C1F">
          <w:pPr>
            <w:pStyle w:val="17"/>
            <w:ind w:left="0" w:leftChars="0" w:firstLine="0" w:firstLineChars="0"/>
            <w:jc w:val="center"/>
            <w:rPr>
              <w:rFonts w:hint="eastAsia" w:ascii="黑体" w:hAnsi="黑体" w:eastAsia="黑体" w:cs="黑体"/>
              <w:lang w:val="en-US" w:eastAsia="zh-CN"/>
            </w:rPr>
          </w:pPr>
          <w:r>
            <w:rPr>
              <w:rFonts w:hint="eastAsia" w:ascii="黑体" w:hAnsi="黑体" w:eastAsia="黑体" w:cs="黑体"/>
              <w:lang w:val="en-US" w:eastAsia="zh-CN"/>
            </w:rPr>
            <w:t>表5.1 外观与性状</w:t>
          </w:r>
        </w:p>
        <w:tbl>
          <w:tblPr>
            <w:tblStyle w:val="10"/>
            <w:tblW w:w="0" w:type="auto"/>
            <w:tblInd w:w="5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97"/>
            <w:gridCol w:w="5719"/>
          </w:tblGrid>
          <w:tr w14:paraId="6F6ED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17DAA97C">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项目</w:t>
                </w:r>
              </w:p>
            </w:tc>
            <w:tc>
              <w:tcPr>
                <w:tcW w:w="5719" w:type="dxa"/>
              </w:tcPr>
              <w:p w14:paraId="5C2E0B57">
                <w:pPr>
                  <w:pStyle w:val="17"/>
                  <w:ind w:left="0" w:leftChars="0" w:firstLine="0" w:firstLineChars="0"/>
                  <w:jc w:val="left"/>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指标</w:t>
                </w:r>
              </w:p>
            </w:tc>
          </w:tr>
          <w:tr w14:paraId="5C8CB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14AA2018">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色泽</w:t>
                </w:r>
              </w:p>
            </w:tc>
            <w:tc>
              <w:tcPr>
                <w:tcW w:w="5719" w:type="dxa"/>
              </w:tcPr>
              <w:p w14:paraId="36041800">
                <w:pPr>
                  <w:pStyle w:val="17"/>
                  <w:ind w:left="0" w:leftChars="0" w:firstLine="0" w:firstLineChars="0"/>
                  <w:rPr>
                    <w:rFonts w:hint="default"/>
                    <w:sz w:val="18"/>
                    <w:szCs w:val="18"/>
                    <w:vertAlign w:val="baseline"/>
                    <w:lang w:val="en-US" w:eastAsia="zh-CN"/>
                  </w:rPr>
                </w:pPr>
                <w:r>
                  <w:rPr>
                    <w:rFonts w:hint="eastAsia"/>
                    <w:sz w:val="18"/>
                    <w:szCs w:val="18"/>
                    <w:vertAlign w:val="baseline"/>
                    <w:lang w:val="en-US" w:eastAsia="zh-CN"/>
                  </w:rPr>
                  <w:t>浅黄色或幼虫正常体色</w:t>
                </w:r>
              </w:p>
            </w:tc>
          </w:tr>
          <w:tr w14:paraId="2C21E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42F20501">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气味</w:t>
                </w:r>
              </w:p>
            </w:tc>
            <w:tc>
              <w:tcPr>
                <w:tcW w:w="5719" w:type="dxa"/>
              </w:tcPr>
              <w:p w14:paraId="05531A77">
                <w:pPr>
                  <w:pStyle w:val="17"/>
                  <w:ind w:left="0" w:leftChars="0" w:firstLine="0" w:firstLineChars="0"/>
                  <w:rPr>
                    <w:rFonts w:hint="default"/>
                    <w:sz w:val="18"/>
                    <w:szCs w:val="18"/>
                    <w:vertAlign w:val="baseline"/>
                    <w:lang w:val="en-US" w:eastAsia="zh-CN"/>
                  </w:rPr>
                </w:pPr>
                <w:r>
                  <w:rPr>
                    <w:rFonts w:hint="eastAsia"/>
                    <w:sz w:val="18"/>
                    <w:szCs w:val="18"/>
                    <w:vertAlign w:val="baseline"/>
                    <w:lang w:val="en-US" w:eastAsia="zh-CN"/>
                  </w:rPr>
                  <w:t>无霉臭、腐败及异味</w:t>
                </w:r>
              </w:p>
            </w:tc>
          </w:tr>
          <w:tr w14:paraId="61CC4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23D2A7C7">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感官</w:t>
                </w:r>
              </w:p>
            </w:tc>
            <w:tc>
              <w:tcPr>
                <w:tcW w:w="5719" w:type="dxa"/>
              </w:tcPr>
              <w:p w14:paraId="56FB9C18">
                <w:pPr>
                  <w:pStyle w:val="17"/>
                  <w:ind w:left="0" w:leftChars="0" w:firstLine="0" w:firstLineChars="0"/>
                  <w:rPr>
                    <w:rFonts w:hint="default"/>
                    <w:sz w:val="18"/>
                    <w:szCs w:val="18"/>
                    <w:vertAlign w:val="baseline"/>
                    <w:lang w:val="en-US" w:eastAsia="zh-CN"/>
                  </w:rPr>
                </w:pPr>
                <w:r>
                  <w:rPr>
                    <w:rFonts w:hint="eastAsia"/>
                    <w:sz w:val="18"/>
                    <w:szCs w:val="18"/>
                    <w:vertAlign w:val="baseline"/>
                    <w:lang w:val="en-US" w:eastAsia="zh-CN"/>
                  </w:rPr>
                  <w:t>松散、无黏连、流动性良好</w:t>
                </w:r>
              </w:p>
            </w:tc>
          </w:tr>
          <w:tr w14:paraId="0ABF4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tcPr>
              <w:p w14:paraId="77F17D1B">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净重/条数</w:t>
                </w:r>
              </w:p>
            </w:tc>
            <w:tc>
              <w:tcPr>
                <w:tcW w:w="5719" w:type="dxa"/>
              </w:tcPr>
              <w:p w14:paraId="5F89F8BB">
                <w:pPr>
                  <w:pStyle w:val="17"/>
                  <w:ind w:left="0" w:leftChars="0" w:firstLine="0" w:firstLineChars="0"/>
                  <w:rPr>
                    <w:rFonts w:hint="default"/>
                    <w:sz w:val="18"/>
                    <w:szCs w:val="18"/>
                    <w:vertAlign w:val="baseline"/>
                    <w:lang w:val="en-US" w:eastAsia="zh-CN"/>
                  </w:rPr>
                </w:pPr>
                <w:r>
                  <w:rPr>
                    <w:rFonts w:hint="eastAsia"/>
                    <w:sz w:val="18"/>
                    <w:szCs w:val="18"/>
                    <w:vertAlign w:val="baseline"/>
                    <w:lang w:val="en-US" w:eastAsia="zh-CN"/>
                  </w:rPr>
                  <w:t>以包装标识净重/条数为准</w:t>
                </w:r>
              </w:p>
            </w:tc>
          </w:tr>
          <w:tr w14:paraId="716C0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97" w:type="dxa"/>
                <w:vAlign w:val="center"/>
              </w:tcPr>
              <w:p w14:paraId="48FAE022">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形态</w:t>
                </w:r>
              </w:p>
            </w:tc>
            <w:tc>
              <w:tcPr>
                <w:tcW w:w="5719" w:type="dxa"/>
              </w:tcPr>
              <w:p w14:paraId="4685AD94">
                <w:pPr>
                  <w:pStyle w:val="17"/>
                  <w:ind w:left="0" w:leftChars="0" w:firstLine="0" w:firstLineChars="0"/>
                  <w:rPr>
                    <w:rFonts w:hint="default"/>
                    <w:sz w:val="18"/>
                    <w:szCs w:val="18"/>
                    <w:vertAlign w:val="baseline"/>
                    <w:lang w:val="en-US" w:eastAsia="zh-CN"/>
                  </w:rPr>
                </w:pPr>
                <w:r>
                  <w:rPr>
                    <w:rFonts w:hint="eastAsia"/>
                    <w:sz w:val="18"/>
                    <w:szCs w:val="18"/>
                    <w:vertAlign w:val="baseline"/>
                    <w:lang w:val="en-US" w:eastAsia="zh-CN"/>
                  </w:rPr>
                  <w:t>虫苗大小均匀，无结块粘连，无死亡</w:t>
                </w:r>
              </w:p>
            </w:tc>
          </w:tr>
        </w:tbl>
        <w:p w14:paraId="5B82496F">
          <w:pPr>
            <w:pStyle w:val="23"/>
            <w:ind w:left="0" w:leftChars="0" w:firstLine="0" w:firstLineChars="0"/>
          </w:pPr>
        </w:p>
        <w:p w14:paraId="170A1B65">
          <w:pPr>
            <w:pStyle w:val="26"/>
            <w:spacing w:before="156" w:after="156"/>
            <w:rPr>
              <w:rFonts w:hint="eastAsia"/>
              <w:lang w:val="en-US" w:eastAsia="zh-CN"/>
            </w:rPr>
          </w:pPr>
          <w:r>
            <w:rPr>
              <w:rFonts w:hint="eastAsia"/>
              <w:lang w:val="en-US" w:eastAsia="zh-CN"/>
            </w:rPr>
            <w:t>品质分级</w:t>
          </w:r>
        </w:p>
        <w:p w14:paraId="04130C01">
          <w:pPr>
            <w:pStyle w:val="17"/>
            <w:rPr>
              <w:rFonts w:hint="eastAsia"/>
              <w:lang w:val="en-US" w:eastAsia="zh-CN"/>
            </w:rPr>
          </w:pPr>
          <w:r>
            <w:rPr>
              <w:rFonts w:hint="eastAsia"/>
              <w:lang w:val="en-US" w:eastAsia="zh-CN"/>
            </w:rPr>
            <w:t>应符合表5.2的要求。</w:t>
          </w:r>
        </w:p>
        <w:p w14:paraId="0F569082">
          <w:pPr>
            <w:pStyle w:val="17"/>
            <w:ind w:left="0" w:leftChars="0" w:firstLine="0" w:firstLineChars="0"/>
            <w:jc w:val="center"/>
            <w:rPr>
              <w:rFonts w:hint="eastAsia" w:ascii="黑体" w:hAnsi="黑体" w:eastAsia="黑体" w:cs="黑体"/>
              <w:lang w:val="en-US" w:eastAsia="zh-CN"/>
            </w:rPr>
          </w:pPr>
          <w:r>
            <w:rPr>
              <w:rFonts w:hint="eastAsia" w:ascii="黑体" w:hAnsi="黑体" w:eastAsia="黑体" w:cs="黑体"/>
              <w:lang w:val="en-US" w:eastAsia="zh-CN"/>
            </w:rPr>
            <w:t>表5.2 黑水虻虫苗的品质分级指标</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06"/>
            <w:gridCol w:w="1322"/>
            <w:gridCol w:w="1322"/>
            <w:gridCol w:w="1322"/>
            <w:gridCol w:w="1322"/>
            <w:gridCol w:w="1322"/>
          </w:tblGrid>
          <w:tr w14:paraId="4B3AF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Merge w:val="restart"/>
                <w:vAlign w:val="center"/>
              </w:tcPr>
              <w:p w14:paraId="62BE9807">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项目</w:t>
                </w:r>
              </w:p>
            </w:tc>
            <w:tc>
              <w:tcPr>
                <w:tcW w:w="6610" w:type="dxa"/>
                <w:gridSpan w:val="5"/>
                <w:vAlign w:val="center"/>
              </w:tcPr>
              <w:p w14:paraId="564058E2">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等级</w:t>
                </w:r>
              </w:p>
            </w:tc>
          </w:tr>
          <w:tr w14:paraId="74C07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Merge w:val="continue"/>
                <w:vAlign w:val="center"/>
              </w:tcPr>
              <w:p w14:paraId="5A83ACA2">
                <w:pPr>
                  <w:pStyle w:val="17"/>
                  <w:jc w:val="center"/>
                  <w:rPr>
                    <w:rFonts w:hint="eastAsia" w:ascii="黑体" w:hAnsi="黑体" w:eastAsia="黑体" w:cs="黑体"/>
                    <w:b w:val="0"/>
                    <w:bCs w:val="0"/>
                    <w:sz w:val="18"/>
                    <w:szCs w:val="18"/>
                    <w:vertAlign w:val="baseline"/>
                    <w:lang w:val="en-US" w:eastAsia="zh-CN"/>
                  </w:rPr>
                </w:pPr>
              </w:p>
            </w:tc>
            <w:tc>
              <w:tcPr>
                <w:tcW w:w="1322" w:type="dxa"/>
                <w:vAlign w:val="center"/>
              </w:tcPr>
              <w:p w14:paraId="3A82D937">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一级</w:t>
                </w:r>
              </w:p>
            </w:tc>
            <w:tc>
              <w:tcPr>
                <w:tcW w:w="1322" w:type="dxa"/>
                <w:vAlign w:val="center"/>
              </w:tcPr>
              <w:p w14:paraId="7A935F58">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二级</w:t>
                </w:r>
              </w:p>
            </w:tc>
            <w:tc>
              <w:tcPr>
                <w:tcW w:w="1322" w:type="dxa"/>
                <w:vAlign w:val="center"/>
              </w:tcPr>
              <w:p w14:paraId="4FC6EE4E">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三级</w:t>
                </w:r>
              </w:p>
            </w:tc>
            <w:tc>
              <w:tcPr>
                <w:tcW w:w="1322" w:type="dxa"/>
                <w:vAlign w:val="center"/>
              </w:tcPr>
              <w:p w14:paraId="48854352">
                <w:pPr>
                  <w:pStyle w:val="17"/>
                  <w:ind w:left="0" w:leftChars="0" w:firstLine="0" w:firstLineChars="0"/>
                  <w:jc w:val="center"/>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四级</w:t>
                </w:r>
              </w:p>
            </w:tc>
            <w:tc>
              <w:tcPr>
                <w:tcW w:w="1322" w:type="dxa"/>
                <w:vAlign w:val="center"/>
              </w:tcPr>
              <w:p w14:paraId="5A15805D">
                <w:pPr>
                  <w:pStyle w:val="17"/>
                  <w:ind w:left="0" w:leftChars="0" w:firstLine="0" w:firstLineChars="0"/>
                  <w:jc w:val="center"/>
                  <w:rPr>
                    <w:rFonts w:hint="eastAsia" w:ascii="黑体" w:hAnsi="黑体" w:eastAsia="黑体" w:cs="黑体"/>
                    <w:b w:val="0"/>
                    <w:bCs w:val="0"/>
                    <w:color w:val="FF0000"/>
                    <w:sz w:val="18"/>
                    <w:szCs w:val="18"/>
                    <w:vertAlign w:val="baseline"/>
                    <w:lang w:val="en-US" w:eastAsia="zh-CN"/>
                  </w:rPr>
                </w:pPr>
                <w:r>
                  <w:rPr>
                    <w:rFonts w:hint="eastAsia" w:ascii="黑体" w:hAnsi="黑体" w:eastAsia="黑体" w:cs="黑体"/>
                    <w:b w:val="0"/>
                    <w:bCs w:val="0"/>
                    <w:color w:val="FF0000"/>
                    <w:sz w:val="18"/>
                    <w:szCs w:val="18"/>
                    <w:vertAlign w:val="baseline"/>
                    <w:lang w:val="en-US" w:eastAsia="zh-CN"/>
                  </w:rPr>
                  <w:t>五级（和上面虫卵分级一样应该有一个合格的界限，5级应该是不合格的档，不应该列出）</w:t>
                </w:r>
              </w:p>
            </w:tc>
          </w:tr>
          <w:tr w14:paraId="2BA11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Align w:val="center"/>
              </w:tcPr>
              <w:p w14:paraId="269AA386">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存活率（%）</w:t>
                </w:r>
              </w:p>
            </w:tc>
            <w:tc>
              <w:tcPr>
                <w:tcW w:w="1322" w:type="dxa"/>
                <w:vAlign w:val="center"/>
              </w:tcPr>
              <w:p w14:paraId="466AB74F">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≥90</w:t>
                </w:r>
              </w:p>
            </w:tc>
            <w:tc>
              <w:tcPr>
                <w:tcW w:w="1322" w:type="dxa"/>
                <w:vAlign w:val="center"/>
              </w:tcPr>
              <w:p w14:paraId="45AC31BD">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≥80</w:t>
                </w:r>
              </w:p>
            </w:tc>
            <w:tc>
              <w:tcPr>
                <w:tcW w:w="1322" w:type="dxa"/>
                <w:vAlign w:val="center"/>
              </w:tcPr>
              <w:p w14:paraId="26AD76FF">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≥70</w:t>
                </w:r>
              </w:p>
            </w:tc>
            <w:tc>
              <w:tcPr>
                <w:tcW w:w="1322" w:type="dxa"/>
                <w:vAlign w:val="center"/>
              </w:tcPr>
              <w:p w14:paraId="407CB8C2">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≥60</w:t>
                </w:r>
              </w:p>
            </w:tc>
            <w:tc>
              <w:tcPr>
                <w:tcW w:w="1322" w:type="dxa"/>
                <w:vAlign w:val="center"/>
              </w:tcPr>
              <w:p w14:paraId="7873CF02">
                <w:pPr>
                  <w:pStyle w:val="17"/>
                  <w:ind w:left="0" w:leftChars="0" w:firstLine="0" w:firstLineChars="0"/>
                  <w:jc w:val="center"/>
                  <w:rPr>
                    <w:rFonts w:hint="default"/>
                    <w:color w:val="FF0000"/>
                    <w:sz w:val="18"/>
                    <w:szCs w:val="18"/>
                    <w:vertAlign w:val="baseline"/>
                    <w:lang w:val="en-US" w:eastAsia="zh-CN"/>
                  </w:rPr>
                </w:pPr>
                <w:r>
                  <w:rPr>
                    <w:rFonts w:hint="eastAsia"/>
                    <w:color w:val="FF0000"/>
                    <w:sz w:val="18"/>
                    <w:szCs w:val="18"/>
                    <w:vertAlign w:val="baseline"/>
                    <w:lang w:val="en-US" w:eastAsia="zh-CN"/>
                  </w:rPr>
                  <w:t>＜60</w:t>
                </w:r>
              </w:p>
            </w:tc>
          </w:tr>
          <w:tr w14:paraId="5F066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Align w:val="center"/>
              </w:tcPr>
              <w:p w14:paraId="22799F82">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结团率（%）</w:t>
                </w:r>
              </w:p>
            </w:tc>
            <w:tc>
              <w:tcPr>
                <w:tcW w:w="1322" w:type="dxa"/>
                <w:vAlign w:val="center"/>
              </w:tcPr>
              <w:p w14:paraId="11C7F05C">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≤10</w:t>
                </w:r>
              </w:p>
            </w:tc>
            <w:tc>
              <w:tcPr>
                <w:tcW w:w="1322" w:type="dxa"/>
                <w:vAlign w:val="center"/>
              </w:tcPr>
              <w:p w14:paraId="7296955C">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10-20</w:t>
                </w:r>
              </w:p>
            </w:tc>
            <w:tc>
              <w:tcPr>
                <w:tcW w:w="3966" w:type="dxa"/>
                <w:gridSpan w:val="3"/>
                <w:vAlign w:val="center"/>
              </w:tcPr>
              <w:p w14:paraId="0672C9B8">
                <w:pPr>
                  <w:pStyle w:val="17"/>
                  <w:ind w:left="0" w:leftChars="0" w:firstLine="0" w:firstLineChars="0"/>
                  <w:jc w:val="center"/>
                  <w:rPr>
                    <w:rFonts w:hint="default"/>
                    <w:color w:val="FF0000"/>
                    <w:sz w:val="18"/>
                    <w:szCs w:val="18"/>
                    <w:vertAlign w:val="baseline"/>
                    <w:lang w:val="en-US" w:eastAsia="zh-CN"/>
                  </w:rPr>
                </w:pPr>
                <w:r>
                  <w:rPr>
                    <w:rFonts w:hint="eastAsia"/>
                    <w:color w:val="FF0000"/>
                    <w:sz w:val="18"/>
                    <w:szCs w:val="18"/>
                    <w:vertAlign w:val="baseline"/>
                    <w:lang w:val="en-US" w:eastAsia="zh-CN"/>
                  </w:rPr>
                  <w:t>≥20</w:t>
                </w:r>
              </w:p>
            </w:tc>
          </w:tr>
          <w:tr w14:paraId="0E200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6" w:type="dxa"/>
                <w:vAlign w:val="center"/>
              </w:tcPr>
              <w:p w14:paraId="2A51D09B">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分散性</w:t>
                </w:r>
              </w:p>
            </w:tc>
            <w:tc>
              <w:tcPr>
                <w:tcW w:w="1322" w:type="dxa"/>
                <w:vAlign w:val="center"/>
              </w:tcPr>
              <w:p w14:paraId="0A59BC26">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好</w:t>
                </w:r>
              </w:p>
            </w:tc>
            <w:tc>
              <w:tcPr>
                <w:tcW w:w="1322" w:type="dxa"/>
                <w:vAlign w:val="center"/>
              </w:tcPr>
              <w:p w14:paraId="39563EBB">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次好</w:t>
                </w:r>
              </w:p>
            </w:tc>
            <w:tc>
              <w:tcPr>
                <w:tcW w:w="1322" w:type="dxa"/>
                <w:vAlign w:val="center"/>
              </w:tcPr>
              <w:p w14:paraId="7C8B1D8C">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一般</w:t>
                </w:r>
              </w:p>
            </w:tc>
            <w:tc>
              <w:tcPr>
                <w:tcW w:w="1322" w:type="dxa"/>
                <w:vAlign w:val="center"/>
              </w:tcPr>
              <w:p w14:paraId="46035C7A">
                <w:pPr>
                  <w:pStyle w:val="17"/>
                  <w:ind w:left="0" w:leftChars="0" w:firstLine="0" w:firstLineChars="0"/>
                  <w:jc w:val="center"/>
                  <w:rPr>
                    <w:rFonts w:hint="default"/>
                    <w:sz w:val="18"/>
                    <w:szCs w:val="18"/>
                    <w:vertAlign w:val="baseline"/>
                    <w:lang w:val="en-US" w:eastAsia="zh-CN"/>
                  </w:rPr>
                </w:pPr>
                <w:r>
                  <w:rPr>
                    <w:rFonts w:hint="eastAsia"/>
                    <w:sz w:val="18"/>
                    <w:szCs w:val="18"/>
                    <w:vertAlign w:val="baseline"/>
                    <w:lang w:val="en-US" w:eastAsia="zh-CN"/>
                  </w:rPr>
                  <w:t>较差</w:t>
                </w:r>
              </w:p>
            </w:tc>
            <w:tc>
              <w:tcPr>
                <w:tcW w:w="1322" w:type="dxa"/>
                <w:vAlign w:val="center"/>
              </w:tcPr>
              <w:p w14:paraId="740C2F59">
                <w:pPr>
                  <w:pStyle w:val="17"/>
                  <w:ind w:left="0" w:leftChars="0" w:firstLine="0" w:firstLineChars="0"/>
                  <w:jc w:val="center"/>
                  <w:rPr>
                    <w:rFonts w:hint="default"/>
                    <w:color w:val="FF0000"/>
                    <w:sz w:val="18"/>
                    <w:szCs w:val="18"/>
                    <w:vertAlign w:val="baseline"/>
                    <w:lang w:val="en-US" w:eastAsia="zh-CN"/>
                  </w:rPr>
                </w:pPr>
                <w:r>
                  <w:rPr>
                    <w:rFonts w:hint="eastAsia"/>
                    <w:color w:val="FF0000"/>
                    <w:sz w:val="18"/>
                    <w:szCs w:val="18"/>
                    <w:vertAlign w:val="baseline"/>
                    <w:lang w:val="en-US" w:eastAsia="zh-CN"/>
                  </w:rPr>
                  <w:t>差</w:t>
                </w:r>
              </w:p>
            </w:tc>
          </w:tr>
        </w:tbl>
        <w:p w14:paraId="39DF047B">
          <w:pPr>
            <w:pStyle w:val="17"/>
            <w:ind w:left="0" w:leftChars="0" w:firstLine="0" w:firstLineChars="0"/>
            <w:rPr>
              <w:rFonts w:hint="eastAsia"/>
              <w:lang w:val="en-US" w:eastAsia="zh-CN"/>
            </w:rPr>
          </w:pPr>
        </w:p>
        <w:p w14:paraId="08226ED2">
          <w:pPr>
            <w:pStyle w:val="26"/>
            <w:bidi w:val="0"/>
            <w:ind w:left="0" w:leftChars="0" w:firstLine="0" w:firstLineChars="0"/>
          </w:pPr>
          <w:r>
            <w:rPr>
              <w:rFonts w:hint="eastAsia"/>
              <w:lang w:val="en-US" w:eastAsia="zh-CN"/>
            </w:rPr>
            <w:t>虫苗检测方法</w:t>
          </w:r>
        </w:p>
        <w:p w14:paraId="081A7DBF">
          <w:pPr>
            <w:pStyle w:val="32"/>
            <w:bidi w:val="0"/>
            <w:ind w:left="0" w:leftChars="0" w:firstLine="0" w:firstLineChars="0"/>
            <w:rPr>
              <w:rFonts w:hint="eastAsia"/>
              <w:lang w:val="en-US" w:eastAsia="zh-CN"/>
            </w:rPr>
          </w:pPr>
          <w:r>
            <w:rPr>
              <w:rFonts w:hint="eastAsia"/>
              <w:lang w:val="en-US" w:eastAsia="zh-CN"/>
            </w:rPr>
            <w:t>外观与性状</w:t>
          </w:r>
        </w:p>
        <w:p w14:paraId="178E73DB">
          <w:pPr>
            <w:pStyle w:val="17"/>
            <w:rPr>
              <w:rFonts w:hint="eastAsia"/>
              <w:lang w:val="en-US" w:eastAsia="zh-CN"/>
            </w:rPr>
          </w:pPr>
          <w:r>
            <w:rPr>
              <w:rFonts w:hint="eastAsia"/>
              <w:lang w:val="en-US" w:eastAsia="zh-CN"/>
            </w:rPr>
            <w:t>在收到虫苗后1h内取出放置于室温下，6h后在正常光照、通风良好、无异味的环境下，通过目测、鼻嗅、倾斜等方式检验其色泽、气味及流动性。</w:t>
          </w:r>
        </w:p>
        <w:p w14:paraId="2EA94007">
          <w:pPr>
            <w:pStyle w:val="32"/>
            <w:bidi w:val="0"/>
            <w:ind w:left="0" w:leftChars="0" w:firstLine="0" w:firstLineChars="0"/>
          </w:pPr>
          <w:r>
            <w:rPr>
              <w:rFonts w:hint="eastAsia"/>
              <w:lang w:val="en-US" w:eastAsia="zh-CN"/>
            </w:rPr>
            <w:t>存活率</w:t>
          </w:r>
        </w:p>
        <w:p w14:paraId="5BB6049D">
          <w:pPr>
            <w:pStyle w:val="17"/>
            <w:rPr>
              <w:rFonts w:hint="eastAsia"/>
              <w:lang w:val="en-US" w:eastAsia="zh-CN"/>
            </w:rPr>
          </w:pPr>
          <w:r>
            <w:rPr>
              <w:rFonts w:hint="eastAsia"/>
              <w:highlight w:val="none"/>
              <w:lang w:val="en-US" w:eastAsia="zh-CN"/>
            </w:rPr>
            <w:t>若单元包装标识虫苗数为m，称量单元包装虫苗除包装后的总净重（N），混合均匀</w:t>
          </w:r>
          <w:r>
            <w:rPr>
              <w:rFonts w:hint="eastAsia"/>
              <w:lang w:val="en-US" w:eastAsia="zh-CN"/>
            </w:rPr>
            <w:t>后取样（若含粉状或颗粒状可分散垫料，需均匀混合后取样），每次随机抽取带垫料虫苗约2-4克，记为X，统计虫苗数（H），存活率为：</w:t>
          </w:r>
        </w:p>
        <w:p w14:paraId="7043F276">
          <w:pPr>
            <w:pStyle w:val="17"/>
            <w:rPr>
              <w:rFonts w:hint="eastAsia"/>
              <w:lang w:val="en-US" w:eastAsia="zh-CN"/>
            </w:rPr>
          </w:pPr>
        </w:p>
        <w:p w14:paraId="7BCEF17A">
          <w:pPr>
            <w:pStyle w:val="17"/>
            <w:ind w:left="0" w:leftChars="0" w:firstLine="0" w:firstLineChars="0"/>
            <w:jc w:val="right"/>
            <w:rPr>
              <w:rFonts w:hint="eastAsia" w:ascii="微软雅黑" w:hAnsi="微软雅黑" w:eastAsia="微软雅黑" w:cs="微软雅黑"/>
              <w:lang w:val="en-US" w:eastAsia="zh-CN"/>
            </w:rPr>
          </w:pPr>
          <w:r>
            <w:rPr>
              <w:rFonts w:hint="default" w:ascii="Cambria Math" w:hAnsi="Cambria Math" w:cs="Cambria Math"/>
              <w:lang w:val="en-US" w:eastAsia="zh-CN"/>
            </w:rPr>
            <w:t xml:space="preserve"> </w:t>
          </w:r>
          <m:oMath>
            <m:r>
              <m:rPr>
                <m:sty m:val="p"/>
              </m:rPr>
              <w:rPr>
                <w:rFonts w:hint="eastAsia" w:ascii="Cambria Math" w:hAnsi="Cambria Math" w:cs="Cambria Math"/>
                <w:lang w:val="en-US" w:eastAsia="zh-CN"/>
              </w:rPr>
              <m:t>存活</m:t>
            </m:r>
            <m:r>
              <m:rPr>
                <m:sty m:val="p"/>
              </m:rPr>
              <w:rPr>
                <w:rFonts w:hint="default" w:ascii="Cambria Math" w:hAnsi="Cambria Math" w:cs="Cambria Math"/>
                <w:lang w:val="en-US" w:eastAsia="zh-CN"/>
              </w:rPr>
              <m:t>率</m:t>
            </m:r>
            <m:r>
              <m:rPr/>
              <w:rPr>
                <w:rFonts w:hint="default" w:ascii="Cambria Math" w:hAnsi="Cambria Math" w:cs="Cambria Math"/>
                <w:lang w:val="en-US"/>
              </w:rPr>
              <m:t>=</m:t>
            </m:r>
            <m:f>
              <m:fPr>
                <m:ctrlPr>
                  <w:rPr>
                    <w:rFonts w:hint="default" w:ascii="Cambria Math" w:hAnsi="Cambria Math" w:cs="Cambria Math"/>
                    <w:i/>
                    <w:lang w:val="en-US"/>
                  </w:rPr>
                </m:ctrlPr>
              </m:fPr>
              <m:num>
                <m:r>
                  <m:rPr/>
                  <w:rPr>
                    <w:rFonts w:hint="default" w:ascii="Cambria Math" w:hAnsi="Cambria Math" w:cs="Cambria Math"/>
                    <w:lang w:val="en-US" w:eastAsia="zh-CN"/>
                  </w:rPr>
                  <m:t xml:space="preserve">N  </m:t>
                </m:r>
                <m:r>
                  <m:rPr/>
                  <w:rPr>
                    <w:rFonts w:hint="default" w:ascii="Cambria Math" w:hAnsi="Cambria Math" w:cs="Cambria Math"/>
                    <w:lang w:val="en-US"/>
                  </w:rPr>
                  <m:t>×</m:t>
                </m:r>
                <m:r>
                  <m:rPr/>
                  <w:rPr>
                    <w:rFonts w:hint="default" w:ascii="Cambria Math" w:hAnsi="Cambria Math" w:cs="Cambria Math"/>
                    <w:lang w:val="en-US" w:eastAsia="zh-CN"/>
                  </w:rPr>
                  <m:t xml:space="preserve"> H </m:t>
                </m:r>
                <m:ctrlPr>
                  <w:rPr>
                    <w:rFonts w:hint="default" w:ascii="Cambria Math" w:hAnsi="Cambria Math" w:cs="Cambria Math"/>
                    <w:i/>
                    <w:lang w:val="en-US"/>
                  </w:rPr>
                </m:ctrlPr>
              </m:num>
              <m:den>
                <m:r>
                  <m:rPr/>
                  <w:rPr>
                    <w:rFonts w:hint="default" w:ascii="Cambria Math" w:hAnsi="Cambria Math" w:cs="Cambria Math"/>
                    <w:lang w:val="en-US" w:eastAsia="zh-CN"/>
                  </w:rPr>
                  <m:t xml:space="preserve">X  </m:t>
                </m:r>
                <m:r>
                  <m:rPr/>
                  <w:rPr>
                    <w:rFonts w:hint="default" w:ascii="Cambria Math" w:hAnsi="Cambria Math" w:cs="Cambria Math"/>
                    <w:lang w:val="en-US"/>
                  </w:rPr>
                  <m:t>×</m:t>
                </m:r>
                <m:r>
                  <m:rPr/>
                  <w:rPr>
                    <w:rFonts w:hint="default" w:ascii="Cambria Math" w:hAnsi="Cambria Math" w:cs="Cambria Math"/>
                    <w:lang w:val="en-US" w:eastAsia="zh-CN"/>
                  </w:rPr>
                  <m:t xml:space="preserve">  M</m:t>
                </m:r>
                <m:ctrlPr>
                  <w:rPr>
                    <w:rFonts w:hint="default" w:ascii="Cambria Math" w:hAnsi="Cambria Math" w:cs="Cambria Math"/>
                    <w:i/>
                    <w:lang w:val="en-US"/>
                  </w:rPr>
                </m:ctrlPr>
              </m:den>
            </m:f>
          </m:oMath>
          <w:r>
            <w:rPr>
              <w:rFonts w:hint="default" w:ascii="Cambria Math" w:hAnsi="Cambria Math" w:cs="Cambria Math"/>
              <w:lang w:val="en-US" w:eastAsia="zh-CN"/>
            </w:rPr>
            <w:t xml:space="preserve">  </w:t>
          </w:r>
          <w:r>
            <w:rPr>
              <w:rFonts w:hint="default" w:ascii="Cambria Math" w:hAnsi="Cambria Math" w:eastAsia="微软雅黑" w:cs="Cambria Math"/>
              <w:lang w:val="en-US" w:eastAsia="zh-CN"/>
            </w:rPr>
            <w:t xml:space="preserve">  </w:t>
          </w:r>
          <w:r>
            <w:rPr>
              <w:rFonts w:hint="eastAsia" w:ascii="微软雅黑" w:hAnsi="微软雅黑" w:eastAsia="微软雅黑" w:cs="微软雅黑"/>
              <w:lang w:val="en-US" w:eastAsia="zh-CN"/>
            </w:rPr>
            <w:t xml:space="preserve">   …………………………………………（5）</w:t>
          </w:r>
        </w:p>
        <w:p w14:paraId="59BB4FA7">
          <w:pPr>
            <w:pStyle w:val="33"/>
            <w:ind w:firstLine="420"/>
          </w:pPr>
          <w:r>
            <w:rPr>
              <w:rFonts w:hint="eastAsia"/>
            </w:rPr>
            <w:t>式中：</w:t>
          </w:r>
        </w:p>
        <w:p w14:paraId="0DEADC74">
          <w:pPr>
            <w:pStyle w:val="17"/>
            <w:rPr>
              <w:rFonts w:hint="eastAsia"/>
              <w:lang w:val="en-US" w:eastAsia="zh-CN"/>
            </w:rPr>
          </w:pPr>
          <w:r>
            <w:rPr>
              <w:rFonts w:hint="eastAsia"/>
              <w:lang w:val="en-US" w:eastAsia="zh-CN"/>
            </w:rPr>
            <w:t>M</w:t>
          </w:r>
          <w:r>
            <w:t>——</w:t>
          </w:r>
          <w:r>
            <w:rPr>
              <w:rFonts w:hint="eastAsia"/>
              <w:highlight w:val="none"/>
              <w:lang w:val="en-US" w:eastAsia="zh-CN"/>
            </w:rPr>
            <w:t>单元包装标识虫苗数</w:t>
          </w:r>
          <w:r>
            <w:rPr>
              <w:rFonts w:hint="eastAsia"/>
              <w:lang w:val="en-US" w:eastAsia="zh-CN"/>
            </w:rPr>
            <w:t>，单位为条；</w:t>
          </w:r>
        </w:p>
        <w:p w14:paraId="7C1170C7">
          <w:pPr>
            <w:pStyle w:val="17"/>
            <w:rPr>
              <w:rFonts w:hint="default"/>
              <w:lang w:val="en-US" w:eastAsia="zh-CN"/>
            </w:rPr>
          </w:pPr>
          <w:r>
            <w:rPr>
              <w:rFonts w:hint="eastAsia"/>
              <w:lang w:val="en-US" w:eastAsia="zh-CN"/>
            </w:rPr>
            <w:t>X</w:t>
          </w:r>
          <w:r>
            <w:t>——</w:t>
          </w:r>
          <w:r>
            <w:rPr>
              <w:rFonts w:hint="eastAsia"/>
              <w:lang w:val="en-US" w:eastAsia="zh-CN"/>
            </w:rPr>
            <w:t>抽样带垫料虫苗重，单位为克（g）；</w:t>
          </w:r>
        </w:p>
        <w:p w14:paraId="675F8D3C">
          <w:pPr>
            <w:pStyle w:val="17"/>
          </w:pPr>
          <w:r>
            <w:rPr>
              <w:rFonts w:hint="eastAsia"/>
              <w:lang w:val="en-US" w:eastAsia="zh-CN"/>
            </w:rPr>
            <w:t>H</w:t>
          </w:r>
          <w:r>
            <w:t>——</w:t>
          </w:r>
          <w:r>
            <w:rPr>
              <w:rFonts w:hint="eastAsia"/>
              <w:lang w:val="en-US" w:eastAsia="zh-CN"/>
            </w:rPr>
            <w:t>抽样带垫料虫苗中虫苗条数，单位为条；</w:t>
          </w:r>
        </w:p>
        <w:p w14:paraId="575449E0">
          <w:pPr>
            <w:pStyle w:val="23"/>
            <w:ind w:firstLine="420"/>
            <w:rPr>
              <w:rFonts w:hint="eastAsia"/>
              <w:lang w:val="en-US" w:eastAsia="zh-CN"/>
            </w:rPr>
          </w:pPr>
          <w:r>
            <w:rPr>
              <w:rFonts w:hint="eastAsia"/>
              <w:lang w:val="en-US" w:eastAsia="zh-CN"/>
            </w:rPr>
            <w:t>N</w:t>
          </w:r>
          <w:r>
            <w:t>——</w:t>
          </w:r>
          <w:r>
            <w:rPr>
              <w:rFonts w:hint="eastAsia"/>
              <w:highlight w:val="none"/>
              <w:lang w:val="en-US" w:eastAsia="zh-CN"/>
            </w:rPr>
            <w:t>单元包装虫苗除包装后的总净重</w:t>
          </w:r>
          <w:r>
            <w:rPr>
              <w:rFonts w:hint="eastAsia"/>
              <w:lang w:val="en-US" w:eastAsia="zh-CN"/>
            </w:rPr>
            <w:t>，单位为克（g）</w:t>
          </w:r>
          <w:r>
            <w:t>。</w:t>
          </w:r>
        </w:p>
        <w:p w14:paraId="2D8BFFCB">
          <w:pPr>
            <w:pStyle w:val="17"/>
            <w:rPr>
              <w:rFonts w:hint="default"/>
              <w:highlight w:val="none"/>
              <w:lang w:val="en-US" w:eastAsia="zh-CN"/>
            </w:rPr>
          </w:pPr>
        </w:p>
        <w:p w14:paraId="49516C00">
          <w:pPr>
            <w:pStyle w:val="32"/>
            <w:bidi w:val="0"/>
            <w:ind w:left="0" w:leftChars="0" w:firstLine="0" w:firstLineChars="0"/>
          </w:pPr>
          <w:r>
            <w:rPr>
              <w:rFonts w:hint="eastAsia"/>
              <w:lang w:val="en-US" w:eastAsia="zh-CN"/>
            </w:rPr>
            <w:t>结团率</w:t>
          </w:r>
        </w:p>
        <w:p w14:paraId="1223AE27">
          <w:pPr>
            <w:pStyle w:val="23"/>
            <w:ind w:firstLine="420"/>
            <w:rPr>
              <w:rFonts w:hint="default" w:eastAsia="宋体"/>
              <w:lang w:val="en-US" w:eastAsia="zh-CN"/>
            </w:rPr>
          </w:pPr>
          <w:r>
            <w:rPr>
              <w:rFonts w:hint="eastAsia"/>
              <w:lang w:val="en-US" w:eastAsia="zh-CN"/>
            </w:rPr>
            <w:t>用4目筛网过筛，计算筛上物和总重的比例。</w:t>
          </w:r>
        </w:p>
        <w:p w14:paraId="3A27C26F">
          <w:pPr>
            <w:pStyle w:val="26"/>
            <w:bidi w:val="0"/>
            <w:ind w:left="0" w:leftChars="0" w:firstLine="0" w:firstLineChars="0"/>
          </w:pPr>
          <w:r>
            <w:rPr>
              <w:rFonts w:hint="eastAsia"/>
              <w:lang w:val="en-US" w:eastAsia="zh-CN"/>
            </w:rPr>
            <w:t>虫苗</w:t>
          </w:r>
          <w:r>
            <w:rPr>
              <w:rFonts w:hint="eastAsia"/>
            </w:rPr>
            <w:t>检测规则</w:t>
          </w:r>
        </w:p>
        <w:p w14:paraId="4ADEAC99">
          <w:pPr>
            <w:pStyle w:val="32"/>
            <w:bidi w:val="0"/>
            <w:ind w:left="0" w:leftChars="0" w:firstLine="0" w:firstLineChars="0"/>
          </w:pPr>
          <w:r>
            <w:rPr>
              <w:rFonts w:hint="eastAsia"/>
              <w:lang w:val="en-US" w:eastAsia="zh-CN"/>
            </w:rPr>
            <w:t>组批规则</w:t>
          </w:r>
        </w:p>
        <w:p w14:paraId="550FCA33">
          <w:pPr>
            <w:pStyle w:val="34"/>
            <w:numPr>
              <w:ilvl w:val="3"/>
              <w:numId w:val="0"/>
            </w:numPr>
            <w:bidi w:val="0"/>
            <w:ind w:leftChars="0" w:firstLine="420" w:firstLineChars="0"/>
          </w:pPr>
          <w:r>
            <w:rPr>
              <w:rFonts w:hint="eastAsia" w:ascii="Times New Roman" w:hAnsi="Times New Roman" w:eastAsia="宋体" w:cs="Times New Roman"/>
              <w:kern w:val="0"/>
              <w:sz w:val="21"/>
              <w:szCs w:val="20"/>
              <w:lang w:val="en-US" w:eastAsia="zh-CN" w:bidi="ar-SA"/>
            </w:rPr>
            <w:t>以统一生产、发货批次为一个检测批次，随机取样虫</w:t>
          </w:r>
          <w:r>
            <w:rPr>
              <w:rFonts w:hint="eastAsia" w:ascii="Times New Roman" w:eastAsia="宋体" w:cs="Times New Roman"/>
              <w:kern w:val="0"/>
              <w:sz w:val="21"/>
              <w:szCs w:val="20"/>
              <w:lang w:val="en-US" w:eastAsia="zh-CN" w:bidi="ar-SA"/>
            </w:rPr>
            <w:t>苗</w:t>
          </w:r>
          <w:r>
            <w:rPr>
              <w:rFonts w:hint="eastAsia" w:ascii="Times New Roman" w:hAnsi="Times New Roman" w:eastAsia="宋体" w:cs="Times New Roman"/>
              <w:kern w:val="0"/>
              <w:sz w:val="21"/>
              <w:szCs w:val="20"/>
              <w:lang w:val="en-US" w:eastAsia="zh-CN" w:bidi="ar-SA"/>
            </w:rPr>
            <w:t>占比5%以上。</w:t>
          </w:r>
        </w:p>
        <w:p w14:paraId="3173F205">
          <w:pPr>
            <w:pStyle w:val="32"/>
            <w:bidi w:val="0"/>
            <w:ind w:left="0" w:leftChars="0" w:firstLine="0" w:firstLineChars="0"/>
          </w:pPr>
          <w:r>
            <w:rPr>
              <w:rFonts w:hint="eastAsia"/>
              <w:lang w:val="en-US" w:eastAsia="zh-CN"/>
            </w:rPr>
            <w:t>检测项目</w:t>
          </w:r>
        </w:p>
        <w:p w14:paraId="1DC06422">
          <w:pPr>
            <w:pStyle w:val="23"/>
            <w:ind w:firstLine="420" w:firstLineChars="0"/>
            <w:jc w:val="both"/>
            <w:rPr>
              <w:rFonts w:hint="eastAsia"/>
              <w:lang w:val="en-US" w:eastAsia="zh-CN"/>
            </w:rPr>
          </w:pPr>
          <w:r>
            <w:rPr>
              <w:rFonts w:hint="eastAsia"/>
              <w:lang w:val="en-US" w:eastAsia="zh-CN"/>
            </w:rPr>
            <w:t>检验项目为第5部分规定的所有项目。</w:t>
          </w:r>
        </w:p>
        <w:p w14:paraId="0FC1F28B">
          <w:pPr>
            <w:pStyle w:val="32"/>
            <w:bidi w:val="0"/>
            <w:ind w:left="0" w:leftChars="0" w:firstLine="0" w:firstLineChars="0"/>
          </w:pPr>
          <w:r>
            <w:rPr>
              <w:rFonts w:hint="eastAsia"/>
              <w:lang w:val="en-US" w:eastAsia="zh-CN"/>
            </w:rPr>
            <w:t>虫苗判定规则</w:t>
          </w:r>
        </w:p>
        <w:p w14:paraId="6EE926D6">
          <w:pPr>
            <w:pStyle w:val="17"/>
            <w:rPr>
              <w:rFonts w:hint="eastAsia"/>
              <w:lang w:val="en-US" w:eastAsia="zh-CN"/>
            </w:rPr>
          </w:pPr>
          <w:r>
            <w:rPr>
              <w:rFonts w:hint="eastAsia"/>
              <w:lang w:val="en-US" w:eastAsia="zh-CN"/>
            </w:rPr>
            <w:t>产品按表5.1、5.2进行检查分级判定。</w:t>
          </w:r>
        </w:p>
        <w:p w14:paraId="347C06A2">
          <w:pPr>
            <w:pStyle w:val="26"/>
            <w:bidi w:val="0"/>
            <w:ind w:left="0" w:leftChars="0" w:firstLine="0" w:firstLineChars="0"/>
            <w:rPr>
              <w:rFonts w:hint="default"/>
              <w:lang w:val="en-US" w:eastAsia="zh-CN"/>
            </w:rPr>
          </w:pPr>
          <w:r>
            <w:rPr>
              <w:rFonts w:hint="eastAsia"/>
              <w:lang w:val="en-US" w:eastAsia="zh-CN"/>
            </w:rPr>
            <w:t>虫苗标识、包装、运输及储存</w:t>
          </w:r>
        </w:p>
        <w:p w14:paraId="46E6A8D9">
          <w:pPr>
            <w:pStyle w:val="32"/>
            <w:bidi w:val="0"/>
            <w:ind w:left="0" w:leftChars="0" w:firstLine="0" w:firstLineChars="0"/>
            <w:rPr>
              <w:rFonts w:hint="eastAsia"/>
              <w:lang w:val="en-US" w:eastAsia="zh-CN"/>
            </w:rPr>
          </w:pPr>
          <w:r>
            <w:rPr>
              <w:rFonts w:hint="eastAsia"/>
              <w:lang w:val="en-US" w:eastAsia="zh-CN"/>
            </w:rPr>
            <w:t>标识</w:t>
          </w:r>
        </w:p>
        <w:p w14:paraId="0452CCAF">
          <w:pPr>
            <w:pStyle w:val="17"/>
            <w:rPr>
              <w:rFonts w:hint="default"/>
              <w:lang w:val="en-US" w:eastAsia="zh-CN"/>
            </w:rPr>
          </w:pPr>
          <w:r>
            <w:rPr>
              <w:rFonts w:hint="eastAsia"/>
              <w:lang w:val="en-US" w:eastAsia="zh-CN"/>
            </w:rPr>
            <w:t>标签内容包括产品名称、商标、产品标准、使用说明、净重/条数、生产日期及包装日期、育苗料是否含动物源性物料、生产厂商等。</w:t>
          </w:r>
        </w:p>
        <w:p w14:paraId="0124BCCF">
          <w:pPr>
            <w:pStyle w:val="32"/>
            <w:bidi w:val="0"/>
            <w:ind w:left="0" w:leftChars="0" w:firstLine="0" w:firstLineChars="0"/>
            <w:rPr>
              <w:rFonts w:hint="eastAsia"/>
              <w:lang w:val="en-US" w:eastAsia="zh-CN"/>
            </w:rPr>
          </w:pPr>
          <w:r>
            <w:rPr>
              <w:rFonts w:hint="eastAsia"/>
              <w:lang w:val="en-US" w:eastAsia="zh-CN"/>
            </w:rPr>
            <w:t>包装材料</w:t>
          </w:r>
        </w:p>
        <w:p w14:paraId="729AE433">
          <w:pPr>
            <w:pStyle w:val="17"/>
            <w:rPr>
              <w:rFonts w:hint="eastAsia"/>
              <w:lang w:val="en-US" w:eastAsia="zh-CN"/>
            </w:rPr>
          </w:pPr>
          <w:r>
            <w:rPr>
              <w:rFonts w:hint="eastAsia"/>
              <w:lang w:val="en-US" w:eastAsia="zh-CN"/>
            </w:rPr>
            <w:t>用于分散虫苗的垫料粒径应小于4目以便分筛计数。</w:t>
          </w:r>
        </w:p>
        <w:p w14:paraId="40CA5D86">
          <w:pPr>
            <w:pStyle w:val="17"/>
            <w:rPr>
              <w:rFonts w:hint="eastAsia"/>
              <w:lang w:val="en-US" w:eastAsia="zh-CN"/>
            </w:rPr>
          </w:pPr>
          <w:r>
            <w:rPr>
              <w:rFonts w:hint="eastAsia"/>
              <w:lang w:val="en-US" w:eastAsia="zh-CN"/>
            </w:rPr>
            <w:t>运输包装材料应具有一定的抗压能力，包装应牢固、安全防止虫苗逃逸。</w:t>
          </w:r>
        </w:p>
        <w:p w14:paraId="5F365787">
          <w:pPr>
            <w:pStyle w:val="32"/>
            <w:bidi w:val="0"/>
            <w:ind w:left="0" w:leftChars="0" w:firstLine="0" w:firstLineChars="0"/>
            <w:rPr>
              <w:rFonts w:hint="eastAsia"/>
              <w:lang w:val="en-US" w:eastAsia="zh-CN"/>
            </w:rPr>
          </w:pPr>
          <w:r>
            <w:rPr>
              <w:rFonts w:hint="eastAsia"/>
              <w:lang w:val="en-US" w:eastAsia="zh-CN"/>
            </w:rPr>
            <w:t>运输</w:t>
          </w:r>
        </w:p>
        <w:p w14:paraId="34429CF1">
          <w:pPr>
            <w:pStyle w:val="17"/>
            <w:rPr>
              <w:rFonts w:hint="default"/>
              <w:lang w:val="en-US" w:eastAsia="zh-CN"/>
            </w:rPr>
          </w:pPr>
          <w:r>
            <w:rPr>
              <w:rFonts w:hint="eastAsia"/>
              <w:lang w:val="en-US" w:eastAsia="zh-CN"/>
            </w:rPr>
            <w:t>在运输过程中，应避免雨淋、寒冷、高温或暴晒。严禁与有毒有害物品混装。</w:t>
          </w:r>
        </w:p>
        <w:p w14:paraId="15326567">
          <w:pPr>
            <w:pStyle w:val="32"/>
            <w:bidi w:val="0"/>
            <w:ind w:left="0" w:leftChars="0" w:firstLine="0" w:firstLineChars="0"/>
            <w:rPr>
              <w:rFonts w:hint="eastAsia"/>
              <w:lang w:val="en-US" w:eastAsia="zh-CN"/>
            </w:rPr>
          </w:pPr>
          <w:r>
            <w:rPr>
              <w:rFonts w:hint="eastAsia"/>
              <w:lang w:val="en-US" w:eastAsia="zh-CN"/>
            </w:rPr>
            <w:t>储存</w:t>
          </w:r>
        </w:p>
        <w:p w14:paraId="61458EBC">
          <w:pPr>
            <w:pStyle w:val="17"/>
          </w:pPr>
          <w:r>
            <w:rPr>
              <w:rFonts w:hint="eastAsia"/>
              <w:lang w:val="en-US" w:eastAsia="zh-CN"/>
            </w:rPr>
            <w:t>从包装、运输到收货后暂存，全程应放于避光阴凉处，保持室温10-30℃。收货后应尽快取出并放于合适的环境中（建议室温20-25℃，空气湿度60%）。</w:t>
          </w:r>
        </w:p>
        <w:p w14:paraId="502D0905">
          <w:pPr>
            <w:pStyle w:val="5"/>
          </w:pPr>
        </w:p>
      </w:sdtContent>
    </w:sdt>
    <w:sectPr>
      <w:footerReference r:id="rId10" w:type="default"/>
      <w:pgSz w:w="11906" w:h="16838"/>
      <w:pgMar w:top="1928" w:right="1134" w:bottom="1134" w:left="1134" w:header="1418" w:footer="1134" w:gutter="284"/>
      <w:pgNumType w:fmt="decimal"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宋体"/>
    <w:panose1 w:val="020B0604020202020204"/>
    <w:charset w:val="86"/>
    <w:family w:val="auto"/>
    <w:pitch w:val="default"/>
    <w:sig w:usb0="00000000" w:usb1="00000000" w:usb2="0000007F" w:usb3="00000000" w:csb0="203F01FF" w:csb1="DFFF0000"/>
  </w:font>
  <w:font w:name="Segoe UI">
    <w:panose1 w:val="020B0502040204020203"/>
    <w:charset w:val="00"/>
    <w:family w:val="auto"/>
    <w:pitch w:val="default"/>
    <w:sig w:usb0="E4002EFF" w:usb1="C000E47F"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0EC79">
    <w:pPr>
      <w:spacing w:line="231" w:lineRule="auto"/>
      <w:ind w:left="8974"/>
      <w:rPr>
        <w:rFonts w:ascii="宋体" w:hAnsi="宋体" w:eastAsia="宋体" w:cs="宋体"/>
        <w:sz w:val="18"/>
        <w:szCs w:val="18"/>
      </w:rPr>
    </w:pPr>
    <w:r>
      <w:rPr>
        <w:rFonts w:ascii="宋体" w:hAnsi="宋体" w:eastAsia="宋体" w:cs="宋体"/>
        <w:sz w:val="18"/>
        <w:szCs w:val="18"/>
      </w:rPr>
      <w:t>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CE0098">
    <w:pPr>
      <w:spacing w:line="231" w:lineRule="auto"/>
      <w:ind w:left="0" w:leftChars="0" w:firstLine="0" w:firstLineChars="0"/>
      <w:jc w:val="right"/>
      <w:rPr>
        <w:rFonts w:ascii="宋体" w:hAnsi="宋体" w:eastAsia="宋体" w:cs="宋体"/>
        <w:sz w:val="18"/>
        <w:szCs w:val="18"/>
      </w:rPr>
    </w:pPr>
    <w:r>
      <w:rPr>
        <w:rFonts w:ascii="宋体" w:hAnsi="宋体" w:eastAsia="宋体" w:cs="宋体"/>
        <w:spacing w:val="-8"/>
        <w:sz w:val="18"/>
        <w:szCs w:val="18"/>
      </w:rPr>
      <w:t>II</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E21E04">
    <w:pPr>
      <w:spacing w:line="231" w:lineRule="auto"/>
      <w:ind w:left="0" w:leftChars="0" w:firstLine="0" w:firstLineChars="0"/>
      <w:jc w:val="right"/>
      <w:rPr>
        <w:rFonts w:ascii="宋体" w:hAnsi="宋体" w:eastAsia="宋体" w:cs="宋体"/>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4FEC7E9">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UuKWy90CAAAkBgAADgAAAAAAAAABACAAAAAfAQAAZHJzL2Uyb0RvYy54bWxQSwUG&#10;AAAAAAYABgBZAQAAbgYAAAAA&#10;">
              <v:fill on="f" focussize="0,0"/>
              <v:stroke on="f" weight="0.5pt"/>
              <v:imagedata o:title=""/>
              <o:lock v:ext="edit" aspectratio="f"/>
              <v:textbox inset="0mm,0mm,0mm,0mm" style="mso-fit-shape-to-text:t;">
                <w:txbxContent>
                  <w:p w14:paraId="54FEC7E9">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9C1EDB">
    <w:pPr>
      <w:pStyle w:val="5"/>
      <w:spacing w:line="14" w:lineRule="auto"/>
      <w:rPr>
        <w:sz w:val="2"/>
      </w:rPr>
    </w:pPr>
    <w:r>
      <w:pict>
        <v:shape id="WordPictureWatermark2" o:spid="_x0000_s2049" o:spt="75" type="#_x0000_t75" style="position:absolute;left:0pt;margin-left:100.55pt;margin-top:223.9pt;height:396.85pt;width:421pt;mso-position-horizontal-relative:page;mso-position-vertical-relative:page;z-index:-251657216;mso-width-relative:page;mso-height-relative:page;" filled="f" stroked="f" coordsize="21600,21600" o:allowincell="f">
          <v:path/>
          <v:fill on="f" focussize="0,0"/>
          <v:stroke on="f"/>
          <v:imagedata r:id="rId1" o:title=""/>
          <o:lock v:ext="edit" aspectratio="t"/>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17525">
    <w:pPr>
      <w:pStyle w:val="5"/>
      <w:spacing w:line="14" w:lineRule="auto"/>
      <w:rPr>
        <w:sz w:val="2"/>
      </w:rPr>
    </w:pPr>
    <w:r>
      <w:pict>
        <v:shape id="WordPictureWatermark8" o:spid="_x0000_s2050" o:spt="75" type="#_x0000_t75" style="position:absolute;left:0pt;margin-left:100.55pt;margin-top:238.55pt;height:396.75pt;width:421pt;mso-position-horizontal-relative:page;mso-position-vertical-relative:page;z-index:-251656192;mso-width-relative:page;mso-height-relative:page;" filled="f" stroked="f" coordsize="21600,21600" o:allowincell="f">
          <v:path/>
          <v:fill on="f" focussize="0,0"/>
          <v:stroke on="f"/>
          <v:imagedata r:id="rId1" o:title=""/>
          <o:lock v:ext="edit" aspectratio="t"/>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061A3">
    <w:pPr>
      <w:spacing w:before="122" w:line="167" w:lineRule="auto"/>
      <w:ind w:left="6442"/>
      <w:rPr>
        <w:rFonts w:ascii="宋体" w:hAnsi="宋体" w:eastAsia="宋体" w:cs="宋体"/>
        <w:sz w:val="24"/>
        <w:szCs w:val="24"/>
      </w:rPr>
    </w:pPr>
    <w:r>
      <w:pict>
        <v:shape id="WordPictureWatermark10" o:spid="_x0000_s2051" o:spt="75" type="#_x0000_t75" style="position:absolute;left:0pt;margin-left:100.55pt;margin-top:238.55pt;height:396.75pt;width:421pt;mso-position-horizontal-relative:page;mso-position-vertical-relative:page;z-index:-251655168;mso-width-relative:page;mso-height-relative:page;" filled="f" stroked="f" coordsize="21600,21600" o:allowincell="f">
          <v:path/>
          <v:fill on="f" focussize="0,0"/>
          <v:stroke on="f"/>
          <v:imagedata r:id="rId1" o:title=""/>
          <o:lock v:ext="edit" aspectratio="t"/>
        </v:shape>
      </w:pict>
    </w:r>
    <w:r>
      <w:rPr>
        <w:rFonts w:ascii="宋体" w:hAnsi="宋体" w:eastAsia="宋体" w:cs="宋体"/>
        <w:spacing w:val="-1"/>
        <w:sz w:val="24"/>
        <w:szCs w:val="24"/>
      </w:rPr>
      <w:t xml:space="preserve">T/CFNA   </w:t>
    </w:r>
    <w:r>
      <w:rPr>
        <w:rFonts w:ascii="Arial Unicode MS" w:hAnsi="Arial Unicode MS" w:eastAsia="Arial Unicode MS" w:cs="Arial Unicode MS"/>
        <w:spacing w:val="-3"/>
        <w:sz w:val="28"/>
        <w:szCs w:val="28"/>
      </w:rPr>
      <w:t xml:space="preserve"> </w:t>
    </w:r>
    <w:r>
      <w:rPr>
        <w:rFonts w:hint="default" w:ascii="Times New Roman" w:hAnsi="Times New Roman" w:eastAsia="Arial Unicode MS" w:cs="Times New Roman"/>
        <w:b w:val="0"/>
        <w:bCs w:val="0"/>
        <w:spacing w:val="-3"/>
        <w:sz w:val="24"/>
        <w:szCs w:val="24"/>
        <w:lang w:val="en-US" w:eastAsia="zh-CN"/>
      </w:rPr>
      <w:t>16</w:t>
    </w:r>
    <w:r>
      <w:rPr>
        <w:rFonts w:hint="eastAsia" w:ascii="Times New Roman" w:hAnsi="Times New Roman" w:eastAsia="Arial Unicode MS" w:cs="Times New Roman"/>
        <w:b w:val="0"/>
        <w:bCs w:val="0"/>
        <w:spacing w:val="-3"/>
        <w:sz w:val="24"/>
        <w:szCs w:val="24"/>
        <w:lang w:val="en-US" w:eastAsia="zh-CN"/>
      </w:rPr>
      <w:t>82</w:t>
    </w:r>
    <w:r>
      <w:rPr>
        <w:rFonts w:hint="default" w:ascii="Times New Roman" w:hAnsi="Times New Roman" w:eastAsia="Arial Unicode MS" w:cs="Times New Roman"/>
        <w:b w:val="0"/>
        <w:bCs w:val="0"/>
        <w:spacing w:val="-3"/>
        <w:sz w:val="24"/>
        <w:szCs w:val="24"/>
        <w:lang w:val="en-US" w:eastAsia="zh-CN"/>
      </w:rPr>
      <w:t>-2025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FC91163"/>
    <w:multiLevelType w:val="multilevel"/>
    <w:tmpl w:val="1FC91163"/>
    <w:lvl w:ilvl="0" w:tentative="0">
      <w:start w:val="1"/>
      <w:numFmt w:val="decimal"/>
      <w:pStyle w:val="16"/>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21"/>
      <w:suff w:val="nothing"/>
      <w:lvlText w:val="%1.%2　"/>
      <w:lvlJc w:val="left"/>
      <w:pPr>
        <w:ind w:left="0" w:firstLine="0"/>
      </w:pPr>
      <w:rPr>
        <w:rFonts w:hint="eastAsia" w:ascii="黑体" w:hAnsi="Times New Roman" w:eastAsia="黑体" w:cs="Times New Roman"/>
        <w:b w:val="0"/>
        <w:bCs w:val="0"/>
        <w:i w:val="0"/>
        <w:iCs w:val="0"/>
        <w:caps w:val="0"/>
        <w:strike w:val="0"/>
        <w:dstrike w:val="0"/>
        <w:vanish w:val="0"/>
        <w:spacing w:val="0"/>
        <w:kern w:val="0"/>
        <w:position w:val="0"/>
        <w:sz w:val="21"/>
        <w:szCs w:val="21"/>
        <w:u w:val="none"/>
        <w:vertAlign w:val="baseline"/>
      </w:rPr>
    </w:lvl>
    <w:lvl w:ilvl="2" w:tentative="0">
      <w:start w:val="1"/>
      <w:numFmt w:val="decimal"/>
      <w:pStyle w:val="35"/>
      <w:suff w:val="nothing"/>
      <w:lvlText w:val="%1.%2.%3　"/>
      <w:lvlJc w:val="left"/>
      <w:pPr>
        <w:ind w:left="210" w:firstLine="0"/>
      </w:pPr>
      <w:rPr>
        <w:rFonts w:hint="eastAsia" w:ascii="黑体" w:hAnsi="Times New Roman" w:eastAsia="黑体"/>
        <w:b w:val="0"/>
        <w:i w:val="0"/>
        <w:sz w:val="21"/>
      </w:rPr>
    </w:lvl>
    <w:lvl w:ilvl="3" w:tentative="0">
      <w:start w:val="1"/>
      <w:numFmt w:val="decimal"/>
      <w:pStyle w:val="34"/>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
    <w:nsid w:val="646260FA"/>
    <w:multiLevelType w:val="multilevel"/>
    <w:tmpl w:val="646260FA"/>
    <w:lvl w:ilvl="0" w:tentative="0">
      <w:start w:val="1"/>
      <w:numFmt w:val="decimal"/>
      <w:pStyle w:val="27"/>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6CEA2025"/>
    <w:multiLevelType w:val="multilevel"/>
    <w:tmpl w:val="6CEA2025"/>
    <w:lvl w:ilvl="0" w:tentative="0">
      <w:start w:val="1"/>
      <w:numFmt w:val="none"/>
      <w:suff w:val="nothing"/>
      <w:lvlText w:val="%1"/>
      <w:lvlJc w:val="left"/>
      <w:pPr>
        <w:ind w:left="0" w:firstLine="0"/>
      </w:pPr>
      <w:rPr>
        <w:rFonts w:hint="eastAsia"/>
      </w:rPr>
    </w:lvl>
    <w:lvl w:ilvl="1" w:tentative="0">
      <w:start w:val="1"/>
      <w:numFmt w:val="decimal"/>
      <w:pStyle w:val="25"/>
      <w:suff w:val="nothing"/>
      <w:lvlText w:val="%1%2　"/>
      <w:lvlJc w:val="left"/>
      <w:pPr>
        <w:ind w:left="0" w:firstLine="0"/>
      </w:pPr>
      <w:rPr>
        <w:rFonts w:hint="eastAsia" w:ascii="黑体" w:eastAsia="黑体"/>
        <w:b w:val="0"/>
        <w:i w:val="0"/>
        <w:sz w:val="21"/>
      </w:rPr>
    </w:lvl>
    <w:lvl w:ilvl="2" w:tentative="0">
      <w:start w:val="1"/>
      <w:numFmt w:val="decimal"/>
      <w:pStyle w:val="2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32"/>
      <w:suff w:val="nothing"/>
      <w:lvlText w:val="%1%2.%3.%4　"/>
      <w:lvlJc w:val="left"/>
      <w:pPr>
        <w:ind w:left="0" w:firstLine="0"/>
      </w:pPr>
      <w:rPr>
        <w:rFonts w:hint="eastAsia" w:ascii="黑体" w:eastAsia="黑体"/>
        <w:b w:val="0"/>
        <w:i w:val="0"/>
        <w:sz w:val="21"/>
      </w:rPr>
    </w:lvl>
    <w:lvl w:ilvl="4" w:tentative="0">
      <w:start w:val="1"/>
      <w:numFmt w:val="decimal"/>
      <w:suff w:val="nothing"/>
      <w:lvlText w:val="%1%2.%3.%4.%5　"/>
      <w:lvlJc w:val="left"/>
      <w:pPr>
        <w:ind w:left="0" w:firstLine="0"/>
      </w:pPr>
      <w:rPr>
        <w:rFonts w:hint="eastAsia" w:ascii="黑体" w:eastAsia="黑体"/>
        <w:b w:val="0"/>
        <w:i w:val="0"/>
        <w:sz w:val="21"/>
      </w:rPr>
    </w:lvl>
    <w:lvl w:ilvl="5" w:tentative="0">
      <w:start w:val="1"/>
      <w:numFmt w:val="decimal"/>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displayBackgroundShape w:val="1"/>
  <w:documentProtection w:enforcement="0"/>
  <w:characterSpacingControl w:val="doNotCompress"/>
  <w:hdrShapeDefaults>
    <o:shapelayout v:ext="edit">
      <o:idmap v:ext="edit" data="2"/>
    </o:shapelayout>
  </w:hdrShapeDefault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00D303B"/>
    <w:rsid w:val="004A0005"/>
    <w:rsid w:val="03747A3A"/>
    <w:rsid w:val="04970A9E"/>
    <w:rsid w:val="04B213C1"/>
    <w:rsid w:val="04CB4B62"/>
    <w:rsid w:val="05C04234"/>
    <w:rsid w:val="06274E10"/>
    <w:rsid w:val="0633208D"/>
    <w:rsid w:val="0644652B"/>
    <w:rsid w:val="0F21498C"/>
    <w:rsid w:val="10044A9B"/>
    <w:rsid w:val="10A65B52"/>
    <w:rsid w:val="11523871"/>
    <w:rsid w:val="11E64458"/>
    <w:rsid w:val="12833D26"/>
    <w:rsid w:val="139D4FEA"/>
    <w:rsid w:val="14447B5C"/>
    <w:rsid w:val="14535B1A"/>
    <w:rsid w:val="14CF1B1B"/>
    <w:rsid w:val="156E4ABB"/>
    <w:rsid w:val="18146C43"/>
    <w:rsid w:val="1BF71CA7"/>
    <w:rsid w:val="1C623275"/>
    <w:rsid w:val="1C9176B6"/>
    <w:rsid w:val="22693EAE"/>
    <w:rsid w:val="240D3AC6"/>
    <w:rsid w:val="241C7D9A"/>
    <w:rsid w:val="25CF17EB"/>
    <w:rsid w:val="267478AE"/>
    <w:rsid w:val="278F158D"/>
    <w:rsid w:val="27F136FF"/>
    <w:rsid w:val="294E705B"/>
    <w:rsid w:val="297065E3"/>
    <w:rsid w:val="2A64640A"/>
    <w:rsid w:val="2B086178"/>
    <w:rsid w:val="2B5B15BB"/>
    <w:rsid w:val="2BD82C0B"/>
    <w:rsid w:val="2D273CC9"/>
    <w:rsid w:val="2EE34571"/>
    <w:rsid w:val="310D15A9"/>
    <w:rsid w:val="31B57F3A"/>
    <w:rsid w:val="32326DEE"/>
    <w:rsid w:val="37FE7E9E"/>
    <w:rsid w:val="383D23F8"/>
    <w:rsid w:val="383E3EB7"/>
    <w:rsid w:val="39292CF8"/>
    <w:rsid w:val="39A0423B"/>
    <w:rsid w:val="3A23568E"/>
    <w:rsid w:val="3AB24F6F"/>
    <w:rsid w:val="3C236F8B"/>
    <w:rsid w:val="3C6504EB"/>
    <w:rsid w:val="3CD369EB"/>
    <w:rsid w:val="3D515EC7"/>
    <w:rsid w:val="3DEB3A85"/>
    <w:rsid w:val="3E6A4F84"/>
    <w:rsid w:val="40B10B9B"/>
    <w:rsid w:val="42A47894"/>
    <w:rsid w:val="435B43F6"/>
    <w:rsid w:val="43EA7528"/>
    <w:rsid w:val="45216F7A"/>
    <w:rsid w:val="4609638B"/>
    <w:rsid w:val="466E5F3D"/>
    <w:rsid w:val="47A0121F"/>
    <w:rsid w:val="4A630034"/>
    <w:rsid w:val="4B45693B"/>
    <w:rsid w:val="4BC6087B"/>
    <w:rsid w:val="4C31572B"/>
    <w:rsid w:val="4C6C30EE"/>
    <w:rsid w:val="4C8F3630"/>
    <w:rsid w:val="50CE7210"/>
    <w:rsid w:val="50FC2FD1"/>
    <w:rsid w:val="53034162"/>
    <w:rsid w:val="55421798"/>
    <w:rsid w:val="572D7A22"/>
    <w:rsid w:val="57853398"/>
    <w:rsid w:val="5A7A2F5C"/>
    <w:rsid w:val="5BD26DC8"/>
    <w:rsid w:val="5E860FB5"/>
    <w:rsid w:val="60FA4DF7"/>
    <w:rsid w:val="633839B4"/>
    <w:rsid w:val="63915AB1"/>
    <w:rsid w:val="63FA6EBC"/>
    <w:rsid w:val="64B13F23"/>
    <w:rsid w:val="64B66E59"/>
    <w:rsid w:val="650107B1"/>
    <w:rsid w:val="652F768E"/>
    <w:rsid w:val="67095FBF"/>
    <w:rsid w:val="68C33D20"/>
    <w:rsid w:val="691E3ADB"/>
    <w:rsid w:val="69D53C08"/>
    <w:rsid w:val="6C517895"/>
    <w:rsid w:val="6C693B68"/>
    <w:rsid w:val="6E2C30EB"/>
    <w:rsid w:val="6E8403F6"/>
    <w:rsid w:val="706109EE"/>
    <w:rsid w:val="71145A61"/>
    <w:rsid w:val="715F1C82"/>
    <w:rsid w:val="73970283"/>
    <w:rsid w:val="73993FFB"/>
    <w:rsid w:val="749B2484"/>
    <w:rsid w:val="784529A4"/>
    <w:rsid w:val="7931117A"/>
    <w:rsid w:val="7AA17C39"/>
    <w:rsid w:val="7B752E6E"/>
    <w:rsid w:val="7E0A7F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Body Text"/>
    <w:basedOn w:val="1"/>
    <w:semiHidden/>
    <w:qFormat/>
    <w:uiPriority w:val="0"/>
    <w:rPr>
      <w:rFonts w:ascii="Arial" w:hAnsi="Arial" w:eastAsia="Arial" w:cs="Arial"/>
      <w:sz w:val="21"/>
      <w:szCs w:val="21"/>
      <w:lang w:val="en-US" w:eastAsia="en-US" w:bidi="ar-SA"/>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99"/>
    <w:pPr>
      <w:tabs>
        <w:tab w:val="center" w:pos="4153"/>
        <w:tab w:val="right" w:pos="8306"/>
      </w:tabs>
      <w:adjustRightInd/>
      <w:snapToGrid w:val="0"/>
      <w:jc w:val="center"/>
    </w:pPr>
    <w:rPr>
      <w:sz w:val="18"/>
      <w:szCs w:val="18"/>
    </w:rPr>
  </w:style>
  <w:style w:type="paragraph" w:styleId="8">
    <w:name w:val="Normal (Web)"/>
    <w:basedOn w:val="1"/>
    <w:qFormat/>
    <w:uiPriority w:val="0"/>
    <w:rPr>
      <w:sz w:val="24"/>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Emphasis"/>
    <w:basedOn w:val="11"/>
    <w:qFormat/>
    <w:uiPriority w:val="0"/>
    <w:rPr>
      <w:i/>
    </w:rPr>
  </w:style>
  <w:style w:type="table" w:customStyle="1" w:styleId="14">
    <w:name w:val="Table Normal"/>
    <w:semiHidden/>
    <w:unhideWhenUsed/>
    <w:qFormat/>
    <w:uiPriority w:val="0"/>
    <w:tblPr>
      <w:tblCellMar>
        <w:top w:w="0" w:type="dxa"/>
        <w:left w:w="0" w:type="dxa"/>
        <w:bottom w:w="0" w:type="dxa"/>
        <w:right w:w="0" w:type="dxa"/>
      </w:tblCellMar>
    </w:tblPr>
  </w:style>
  <w:style w:type="paragraph" w:customStyle="1" w:styleId="15">
    <w:name w:val="Table Text"/>
    <w:basedOn w:val="1"/>
    <w:semiHidden/>
    <w:qFormat/>
    <w:uiPriority w:val="0"/>
    <w:rPr>
      <w:rFonts w:ascii="Arial" w:hAnsi="Arial" w:eastAsia="Arial" w:cs="Arial"/>
      <w:sz w:val="19"/>
      <w:szCs w:val="19"/>
      <w:lang w:val="en-US" w:eastAsia="en-US" w:bidi="ar-SA"/>
    </w:rPr>
  </w:style>
  <w:style w:type="paragraph" w:customStyle="1" w:styleId="16">
    <w:name w:val="章标题"/>
    <w:next w:val="17"/>
    <w:qFormat/>
    <w:uiPriority w:val="0"/>
    <w:pPr>
      <w:numPr>
        <w:ilvl w:val="0"/>
        <w:numId w:val="1"/>
      </w:numPr>
      <w:spacing w:before="312" w:beforeLines="100" w:after="312" w:afterLines="100"/>
      <w:jc w:val="both"/>
      <w:outlineLvl w:val="1"/>
    </w:pPr>
    <w:rPr>
      <w:rFonts w:ascii="黑体" w:hAnsi="Times New Roman" w:eastAsia="黑体" w:cs="Times New Roman"/>
      <w:sz w:val="21"/>
      <w:lang w:val="en-US" w:eastAsia="zh-CN" w:bidi="ar-SA"/>
    </w:rPr>
  </w:style>
  <w:style w:type="paragraph" w:customStyle="1" w:styleId="17">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18">
    <w:name w:val="目次、标准名称标题"/>
    <w:basedOn w:val="1"/>
    <w:next w:val="17"/>
    <w:qFormat/>
    <w:uiPriority w:val="0"/>
    <w:pPr>
      <w:keepNext/>
      <w:pageBreakBefore/>
      <w:widowControl/>
      <w:shd w:val="clear" w:color="FFFFFF" w:fill="FFFFFF"/>
      <w:spacing w:before="640" w:after="560" w:line="460" w:lineRule="exact"/>
      <w:jc w:val="center"/>
      <w:outlineLvl w:val="0"/>
    </w:pPr>
    <w:rPr>
      <w:rFonts w:ascii="黑体" w:eastAsia="黑体"/>
      <w:kern w:val="0"/>
      <w:sz w:val="32"/>
      <w:szCs w:val="20"/>
    </w:rPr>
  </w:style>
  <w:style w:type="paragraph" w:customStyle="1" w:styleId="19">
    <w:name w:val="标准书眉_奇数页"/>
    <w:next w:val="1"/>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20">
    <w:name w:val="标准书脚_奇数页"/>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21">
    <w:name w:val="一级条标题"/>
    <w:next w:val="17"/>
    <w:link w:val="22"/>
    <w:qFormat/>
    <w:uiPriority w:val="0"/>
    <w:pPr>
      <w:numPr>
        <w:ilvl w:val="1"/>
        <w:numId w:val="1"/>
      </w:numPr>
      <w:spacing w:before="156" w:beforeLines="50" w:after="156" w:afterLines="50"/>
      <w:outlineLvl w:val="2"/>
    </w:pPr>
    <w:rPr>
      <w:rFonts w:ascii="黑体" w:hAnsi="Times New Roman" w:eastAsia="黑体" w:cs="Times New Roman"/>
      <w:sz w:val="21"/>
      <w:szCs w:val="21"/>
      <w:lang w:val="en-US" w:eastAsia="zh-CN" w:bidi="ar-SA"/>
    </w:rPr>
  </w:style>
  <w:style w:type="character" w:customStyle="1" w:styleId="22">
    <w:name w:val="一级条标题 Char"/>
    <w:link w:val="21"/>
    <w:qFormat/>
    <w:uiPriority w:val="0"/>
    <w:rPr>
      <w:rFonts w:ascii="黑体" w:hAnsi="Times New Roman" w:eastAsia="黑体" w:cs="Times New Roman"/>
      <w:sz w:val="21"/>
      <w:szCs w:val="21"/>
      <w:lang w:val="en-US" w:eastAsia="zh-CN" w:bidi="ar-SA"/>
    </w:rPr>
  </w:style>
  <w:style w:type="paragraph" w:customStyle="1" w:styleId="23">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4">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25">
    <w:name w:val="标准文件_章标题"/>
    <w:next w:val="23"/>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26">
    <w:name w:val="标准文件_一级条标题"/>
    <w:basedOn w:val="25"/>
    <w:next w:val="23"/>
    <w:qFormat/>
    <w:uiPriority w:val="0"/>
    <w:pPr>
      <w:numPr>
        <w:ilvl w:val="2"/>
      </w:numPr>
      <w:spacing w:before="50" w:beforeLines="50" w:after="50" w:afterLines="50"/>
      <w:outlineLvl w:val="1"/>
    </w:pPr>
  </w:style>
  <w:style w:type="paragraph" w:customStyle="1" w:styleId="27">
    <w:name w:val="标准文件_正文表标题"/>
    <w:next w:val="23"/>
    <w:qFormat/>
    <w:uiPriority w:val="0"/>
    <w:pPr>
      <w:numPr>
        <w:ilvl w:val="0"/>
        <w:numId w:val="3"/>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28">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29">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30">
    <w:name w:val="标准文件_术语条一"/>
    <w:basedOn w:val="31"/>
    <w:next w:val="23"/>
    <w:qFormat/>
    <w:uiPriority w:val="0"/>
  </w:style>
  <w:style w:type="paragraph" w:customStyle="1" w:styleId="31">
    <w:name w:val="标准文件_一级无标题"/>
    <w:basedOn w:val="26"/>
    <w:qFormat/>
    <w:uiPriority w:val="0"/>
    <w:pPr>
      <w:spacing w:before="0" w:beforeLines="0" w:after="0" w:afterLines="0"/>
      <w:outlineLvl w:val="9"/>
    </w:pPr>
    <w:rPr>
      <w:rFonts w:ascii="宋体" w:eastAsia="宋体"/>
    </w:rPr>
  </w:style>
  <w:style w:type="paragraph" w:customStyle="1" w:styleId="32">
    <w:name w:val="标准文件_二级条标题"/>
    <w:next w:val="23"/>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paragraph" w:customStyle="1" w:styleId="33">
    <w:name w:val="标准文件_标准正文"/>
    <w:basedOn w:val="1"/>
    <w:next w:val="23"/>
    <w:qFormat/>
    <w:uiPriority w:val="0"/>
    <w:pPr>
      <w:snapToGrid w:val="0"/>
      <w:ind w:firstLine="200" w:firstLineChars="200"/>
    </w:pPr>
    <w:rPr>
      <w:kern w:val="0"/>
    </w:rPr>
  </w:style>
  <w:style w:type="paragraph" w:customStyle="1" w:styleId="34">
    <w:name w:val="三级条标题"/>
    <w:basedOn w:val="35"/>
    <w:next w:val="17"/>
    <w:qFormat/>
    <w:uiPriority w:val="0"/>
    <w:pPr>
      <w:numPr>
        <w:ilvl w:val="3"/>
      </w:numPr>
      <w:outlineLvl w:val="4"/>
    </w:pPr>
  </w:style>
  <w:style w:type="paragraph" w:customStyle="1" w:styleId="35">
    <w:name w:val="二级条标题"/>
    <w:basedOn w:val="21"/>
    <w:next w:val="17"/>
    <w:qFormat/>
    <w:uiPriority w:val="0"/>
    <w:pPr>
      <w:numPr>
        <w:ilvl w:val="2"/>
      </w:numPr>
      <w:spacing w:before="50" w:after="50"/>
      <w:outlineLvl w:val="3"/>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glossaryDocument" Target="glossary/document.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3.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e247ccaa-aefd-44e1-a0a0-5f7154484d03}"/>
        <w:style w:val=""/>
        <w:category>
          <w:name w:val="常规"/>
          <w:gallery w:val="placeholder"/>
        </w:category>
        <w:types>
          <w:type w:val="bbPlcHdr"/>
        </w:types>
        <w:behaviors>
          <w:behavior w:val="content"/>
        </w:behaviors>
        <w:description w:val=""/>
        <w:guid w:val="{e247ccaa-aefd-44e1-a0a0-5f7154484d03}"/>
      </w:docPartPr>
      <w:docPartBody>
        <w:p w14:paraId="3A135300">
          <w:pPr>
            <w:pStyle w:val="2"/>
            <w:rPr>
              <w:rFonts w:hint="eastAsia"/>
            </w:rPr>
          </w:pPr>
          <w:r>
            <w:rPr>
              <w:rStyle w:val="3"/>
              <w:rFonts w:hint="eastAsia"/>
            </w:rPr>
            <w:t>单击或点击此处输入文字。</w:t>
          </w:r>
        </w:p>
      </w:docPartBody>
    </w:docPart>
    <w:docPart>
      <w:docPartPr>
        <w:name w:val="{3457139f-319c-4a80-ade1-ada950cc4bdb}"/>
        <w:style w:val=""/>
        <w:category>
          <w:name w:val="常规"/>
          <w:gallery w:val="placeholder"/>
        </w:category>
        <w:types>
          <w:type w:val="bbPlcHdr"/>
        </w:types>
        <w:behaviors>
          <w:behavior w:val="content"/>
        </w:behaviors>
        <w:description w:val=""/>
        <w:guid w:val="{3457139f-319c-4a80-ade1-ada950cc4bdb}"/>
      </w:docPartPr>
      <w:docPartBody>
        <w:p w14:paraId="0FA22A66">
          <w:pPr>
            <w:pStyle w:val="4"/>
          </w:pPr>
          <w:r>
            <w:rPr>
              <w:rStyle w:val="3"/>
              <w:rFonts w:hint="eastAsia"/>
            </w:rPr>
            <w:t>选择一项。</w:t>
          </w:r>
        </w:p>
      </w:docPartBody>
    </w:docPart>
    <w:docPart>
      <w:docPartPr>
        <w:name w:val="{00952280-eb3d-4293-a12a-4d9802f31911}"/>
        <w:style w:val=""/>
        <w:category>
          <w:name w:val="常规"/>
          <w:gallery w:val="placeholder"/>
        </w:category>
        <w:types>
          <w:type w:val="bbPlcHdr"/>
        </w:types>
        <w:behaviors>
          <w:behavior w:val="content"/>
        </w:behaviors>
        <w:description w:val=""/>
        <w:guid w:val="{00952280-eb3d-4293-a12a-4d9802f31911}"/>
      </w:docPartPr>
      <w:docPartBody>
        <w:p w14:paraId="22746A31">
          <w:pPr>
            <w:pStyle w:val="5"/>
          </w:pPr>
          <w:r>
            <w:rPr>
              <w:rStyle w:val="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1" w:name="Default Paragraph Font"/>
    <w:lsdException w:qFormat="1" w:unhideWhenUsed="0" w:uiPriority="99" w:name="Placeholder Text"/>
  </w:latentStyles>
  <w:style w:type="character" w:default="1" w:styleId="1">
    <w:name w:val="Default Paragraph Font"/>
    <w:semiHidden/>
    <w:unhideWhenUsed/>
    <w:qFormat/>
    <w:uiPriority w:val="1"/>
  </w:style>
  <w:style w:type="paragraph" w:customStyle="1" w:styleId="2">
    <w:name w:val="37554C8FE5DA4B9FB292E64524B3D244"/>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styleId="3">
    <w:name w:val="Placeholder Text"/>
    <w:basedOn w:val="1"/>
    <w:semiHidden/>
    <w:qFormat/>
    <w:uiPriority w:val="99"/>
    <w:rPr>
      <w:color w:val="808080"/>
    </w:rPr>
  </w:style>
  <w:style w:type="paragraph" w:customStyle="1" w:styleId="4">
    <w:name w:val="7AB8F6F630504AF19735832308C14B5B"/>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5">
    <w:name w:val="E2E4DD8F30F7499B8F2E9EF63130012B"/>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Info spid="_x0000_s2050"/>
    <customShpInfo spid="_x0000_s2051"/>
    <customShpInfo spid="_x0000_s1026" textRotate="1"/>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Pages>
  <Words>1510</Words>
  <Characters>2061</Characters>
  <TotalTime>14</TotalTime>
  <ScaleCrop>false</ScaleCrop>
  <LinksUpToDate>false</LinksUpToDate>
  <CharactersWithSpaces>2272</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2020-12-31T09:12:00Z</dcterms:created>
  <dc:creator>DELL</dc:creator>
  <cp:lastModifiedBy>Mincy^</cp:lastModifiedBy>
  <cp:lastPrinted>2026-06-24T06:56:20Z</cp:lastPrinted>
  <dcterms:modified xsi:type="dcterms:W3CDTF">2026-06-24T07:32:42Z</dcterms:modified>
  <dc:title>标准名称</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wqlLaW5nc29mdCBQREYgdG8gV1BTIDExNQ</vt:lpwstr>
  </property>
  <property fmtid="{D5CDD505-2E9C-101B-9397-08002B2CF9AE}" pid="3" name="Created">
    <vt:filetime>2025-11-25T14:50:43Z</vt:filetime>
  </property>
  <property fmtid="{D5CDD505-2E9C-101B-9397-08002B2CF9AE}" pid="4" name="KSOTemplateDocerSaveRecord">
    <vt:lpwstr>eyJoZGlkIjoiZWYxMjBhZTcyZWMxODM4YjA3MmQ3ZDE5YTQ4NTBkYzQiLCJ1c2VySWQiOiI0MjA1NTI2NTUifQ==</vt:lpwstr>
  </property>
  <property fmtid="{D5CDD505-2E9C-101B-9397-08002B2CF9AE}" pid="5" name="KSOProductBuildVer">
    <vt:lpwstr>2052-12.1.0.26895</vt:lpwstr>
  </property>
  <property fmtid="{D5CDD505-2E9C-101B-9397-08002B2CF9AE}" pid="6" name="ICV">
    <vt:lpwstr>4817D5611C4F4528A49EA96FF8932225_13</vt:lpwstr>
  </property>
</Properties>
</file>