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282407">
      <w:pPr>
        <w:pStyle w:val="5"/>
        <w:spacing w:line="242" w:lineRule="auto"/>
      </w:pPr>
    </w:p>
    <w:p w14:paraId="254DD304">
      <w:pPr>
        <w:pStyle w:val="5"/>
        <w:spacing w:line="242" w:lineRule="auto"/>
      </w:pPr>
    </w:p>
    <w:p w14:paraId="064E24A3">
      <w:pPr>
        <w:pStyle w:val="5"/>
        <w:spacing w:line="243" w:lineRule="auto"/>
      </w:pPr>
    </w:p>
    <w:p w14:paraId="28954437">
      <w:pPr>
        <w:pStyle w:val="5"/>
        <w:spacing w:line="243" w:lineRule="auto"/>
      </w:pPr>
    </w:p>
    <w:p w14:paraId="3872E74F">
      <w:pPr>
        <w:pStyle w:val="5"/>
        <w:spacing w:line="243" w:lineRule="auto"/>
      </w:pPr>
      <w:r>
        <w:pict>
          <v:shape id="_x0000_s1026" o:spid="_x0000_s1026" style="position:absolute;left:0pt;margin-left:0pt;margin-top:5.25pt;height:0.75pt;width:487.5pt;z-index:251660288;mso-width-relative:page;mso-height-relative:page;" fillcolor="#000000" filled="t" stroked="f" coordsize="9750,15" path="m0,0l9750,0,9750,14,0,14,0,0xe">
            <v:path/>
            <v:fill on="t" focussize="0,0"/>
            <v:stroke on="f"/>
            <v:imagedata o:title=""/>
            <o:lock v:ext="edit"/>
          </v:shape>
        </w:pict>
      </w:r>
    </w:p>
    <w:p w14:paraId="70C7B95D">
      <w:pPr>
        <w:pStyle w:val="5"/>
        <w:spacing w:line="243" w:lineRule="auto"/>
      </w:pPr>
    </w:p>
    <w:p w14:paraId="310018AE">
      <w:pPr>
        <w:pStyle w:val="5"/>
        <w:spacing w:line="243" w:lineRule="auto"/>
      </w:pPr>
    </w:p>
    <w:p w14:paraId="74ECFB70">
      <w:pPr>
        <w:pStyle w:val="5"/>
        <w:spacing w:line="243" w:lineRule="auto"/>
      </w:pPr>
    </w:p>
    <w:p w14:paraId="6C0FEAC4">
      <w:pPr>
        <w:pStyle w:val="5"/>
        <w:spacing w:line="243" w:lineRule="auto"/>
      </w:pPr>
    </w:p>
    <w:p w14:paraId="4AE28C22">
      <w:pPr>
        <w:pStyle w:val="5"/>
        <w:spacing w:line="243" w:lineRule="auto"/>
      </w:pPr>
    </w:p>
    <w:p w14:paraId="3FD59DE0">
      <w:pPr>
        <w:spacing w:before="169" w:line="221" w:lineRule="auto"/>
        <w:ind w:left="1020"/>
        <w:rPr>
          <w:rFonts w:ascii="黑体" w:hAnsi="黑体" w:eastAsia="黑体" w:cs="黑体"/>
          <w:sz w:val="52"/>
          <w:szCs w:val="52"/>
        </w:rPr>
      </w:pPr>
      <w:r>
        <w:rPr>
          <w:rFonts w:ascii="黑体" w:hAnsi="黑体" w:eastAsia="黑体" w:cs="黑体"/>
          <w:b/>
          <w:bCs/>
          <w:spacing w:val="-8"/>
          <w:sz w:val="52"/>
          <w:szCs w:val="52"/>
        </w:rPr>
        <w:t>中国食品土畜进出口商会团体标准</w:t>
      </w:r>
    </w:p>
    <w:p w14:paraId="450C038A">
      <w:pPr>
        <w:pStyle w:val="5"/>
        <w:spacing w:line="478" w:lineRule="auto"/>
      </w:pPr>
    </w:p>
    <w:p w14:paraId="5342D9AC">
      <w:pPr>
        <w:spacing w:before="122" w:line="167" w:lineRule="auto"/>
        <w:ind w:left="6442"/>
        <w:rPr>
          <w:rFonts w:hint="default" w:ascii="Arial Unicode MS" w:hAnsi="Arial Unicode MS" w:eastAsia="Arial Unicode MS" w:cs="Arial Unicode MS"/>
          <w:sz w:val="28"/>
          <w:szCs w:val="28"/>
          <w:lang w:val="en-US" w:eastAsia="zh-CN"/>
        </w:rPr>
      </w:pPr>
      <w:r>
        <w:rPr>
          <w:rFonts w:ascii="Arial Unicode MS" w:hAnsi="Arial Unicode MS" w:eastAsia="Arial Unicode MS" w:cs="Arial Unicode MS"/>
          <w:b/>
          <w:bCs/>
          <w:spacing w:val="-3"/>
          <w:sz w:val="28"/>
          <w:szCs w:val="28"/>
        </w:rPr>
        <w:t>T/CFNA</w:t>
      </w:r>
      <w:r>
        <w:rPr>
          <w:rFonts w:ascii="Arial Unicode MS" w:hAnsi="Arial Unicode MS" w:eastAsia="Arial Unicode MS" w:cs="Arial Unicode MS"/>
          <w:spacing w:val="-3"/>
          <w:sz w:val="28"/>
          <w:szCs w:val="28"/>
        </w:rPr>
        <w:t xml:space="preserve">  </w:t>
      </w:r>
      <w:r>
        <w:rPr>
          <w:rFonts w:hint="eastAsia" w:ascii="Arial Unicode MS" w:hAnsi="Arial Unicode MS" w:eastAsia="Arial Unicode MS" w:cs="Arial Unicode MS"/>
          <w:b/>
          <w:bCs/>
          <w:spacing w:val="-3"/>
          <w:sz w:val="28"/>
          <w:szCs w:val="28"/>
          <w:lang w:val="en-US" w:eastAsia="zh-CN"/>
        </w:rPr>
        <w:t>1681-2025</w:t>
      </w:r>
    </w:p>
    <w:p w14:paraId="17C807DB">
      <w:pPr>
        <w:pStyle w:val="5"/>
        <w:spacing w:line="258" w:lineRule="auto"/>
      </w:pPr>
    </w:p>
    <w:p w14:paraId="408A217C">
      <w:pPr>
        <w:pStyle w:val="5"/>
        <w:spacing w:line="258" w:lineRule="auto"/>
      </w:pPr>
      <w:r>
        <w:pict>
          <v:shape id="_x0000_s1027" o:spid="_x0000_s1027" style="position:absolute;left:0pt;margin-left:0.2pt;margin-top:1.2pt;height:0.5pt;width:487.45pt;z-index:251661312;mso-width-relative:page;mso-height-relative:page;" filled="f" stroked="t" coordsize="9749,10" path="m0,4l9748,4e">
            <v:fill on="f" focussize="0,0"/>
            <v:stroke weight="0.48pt" color="#000000" miterlimit="2" joinstyle="bevel"/>
            <v:imagedata o:title=""/>
            <o:lock v:ext="edit"/>
          </v:shape>
        </w:pict>
      </w:r>
    </w:p>
    <w:p w14:paraId="28754971">
      <w:pPr>
        <w:pStyle w:val="5"/>
        <w:spacing w:line="259" w:lineRule="auto"/>
      </w:pPr>
    </w:p>
    <w:p w14:paraId="07D58044">
      <w:pPr>
        <w:pStyle w:val="5"/>
        <w:spacing w:line="259" w:lineRule="auto"/>
      </w:pPr>
    </w:p>
    <w:p w14:paraId="1FEFC65C">
      <w:pPr>
        <w:pStyle w:val="5"/>
        <w:spacing w:line="259" w:lineRule="auto"/>
      </w:pPr>
    </w:p>
    <w:p w14:paraId="65A43CE3">
      <w:pPr>
        <w:pStyle w:val="5"/>
        <w:spacing w:line="259" w:lineRule="auto"/>
      </w:pPr>
    </w:p>
    <w:p w14:paraId="3717AD40">
      <w:pPr>
        <w:pStyle w:val="5"/>
        <w:spacing w:line="259" w:lineRule="auto"/>
      </w:pPr>
    </w:p>
    <w:p w14:paraId="3C519688">
      <w:pPr>
        <w:pStyle w:val="5"/>
        <w:spacing w:line="259" w:lineRule="auto"/>
      </w:pPr>
    </w:p>
    <w:p w14:paraId="50C74304">
      <w:pPr>
        <w:pStyle w:val="5"/>
        <w:spacing w:line="259" w:lineRule="auto"/>
      </w:pPr>
    </w:p>
    <w:p w14:paraId="1EBF7BA0">
      <w:pPr>
        <w:pStyle w:val="5"/>
        <w:spacing w:line="259" w:lineRule="auto"/>
      </w:pPr>
    </w:p>
    <w:p w14:paraId="6F62F4D4">
      <w:pPr>
        <w:pStyle w:val="5"/>
        <w:spacing w:line="259" w:lineRule="auto"/>
      </w:pPr>
    </w:p>
    <w:p w14:paraId="04D8160B">
      <w:pPr>
        <w:pStyle w:val="5"/>
        <w:spacing w:line="259" w:lineRule="auto"/>
      </w:pPr>
    </w:p>
    <w:p w14:paraId="6C128A61">
      <w:pPr>
        <w:spacing w:before="140" w:line="225" w:lineRule="auto"/>
        <w:ind w:left="2253"/>
        <w:rPr>
          <w:rFonts w:hint="eastAsia" w:ascii="黑体" w:hAnsi="黑体" w:eastAsia="黑体" w:cs="黑体"/>
          <w:b/>
          <w:bCs/>
          <w:spacing w:val="4"/>
          <w:sz w:val="43"/>
          <w:szCs w:val="43"/>
          <w:lang w:eastAsia="zh-CN"/>
        </w:rPr>
      </w:pPr>
      <w:r>
        <w:rPr>
          <w:rFonts w:hint="eastAsia" w:ascii="黑体" w:hAnsi="黑体" w:eastAsia="黑体" w:cs="黑体"/>
          <w:b/>
          <w:bCs/>
          <w:spacing w:val="4"/>
          <w:sz w:val="43"/>
          <w:szCs w:val="43"/>
        </w:rPr>
        <w:t>黑水虻流通分级技术标准</w:t>
      </w:r>
    </w:p>
    <w:p w14:paraId="01F03D2D">
      <w:pPr>
        <w:pStyle w:val="5"/>
        <w:spacing w:line="270" w:lineRule="auto"/>
      </w:pPr>
    </w:p>
    <w:p w14:paraId="71916A16">
      <w:pPr>
        <w:spacing w:before="283" w:line="222" w:lineRule="auto"/>
        <w:ind w:left="220" w:leftChars="0" w:firstLine="0" w:firstLineChars="0"/>
        <w:jc w:val="center"/>
        <w:rPr>
          <w:rFonts w:hint="eastAsia" w:ascii="Arial Unicode MS" w:hAnsi="Arial Unicode MS" w:eastAsia="Arial Unicode MS" w:cs="Arial Unicode MS"/>
          <w:b/>
          <w:bCs/>
          <w:sz w:val="43"/>
          <w:szCs w:val="43"/>
        </w:rPr>
      </w:pPr>
      <w:r>
        <w:rPr>
          <w:rFonts w:hint="eastAsia" w:ascii="Arial Unicode MS" w:hAnsi="Arial Unicode MS" w:eastAsia="Arial Unicode MS" w:cs="Arial Unicode MS"/>
          <w:b/>
          <w:bCs/>
          <w:sz w:val="43"/>
          <w:szCs w:val="43"/>
        </w:rPr>
        <w:t>Technical Standard for Black Soldier Fly Products Circulation Grading</w:t>
      </w:r>
    </w:p>
    <w:p w14:paraId="7DE1820C">
      <w:pPr>
        <w:spacing w:before="283" w:line="222" w:lineRule="auto"/>
        <w:ind w:left="220" w:leftChars="0" w:firstLine="0" w:firstLineChars="0"/>
        <w:jc w:val="center"/>
        <w:rPr>
          <w:rFonts w:ascii="黑体" w:hAnsi="黑体" w:eastAsia="黑体" w:cs="黑体"/>
          <w:sz w:val="28"/>
          <w:szCs w:val="28"/>
        </w:rPr>
      </w:pPr>
      <w:r>
        <w:rPr>
          <w:rFonts w:ascii="黑体" w:hAnsi="黑体" w:eastAsia="黑体" w:cs="黑体"/>
          <w:b/>
          <w:bCs/>
          <w:spacing w:val="-7"/>
          <w:sz w:val="28"/>
          <w:szCs w:val="28"/>
        </w:rPr>
        <w:t>（</w:t>
      </w:r>
      <w:r>
        <w:rPr>
          <w:rFonts w:hint="eastAsia" w:ascii="黑体" w:hAnsi="黑体" w:eastAsia="黑体" w:cs="黑体"/>
          <w:b/>
          <w:bCs/>
          <w:spacing w:val="-7"/>
          <w:sz w:val="28"/>
          <w:szCs w:val="28"/>
          <w:lang w:val="en-US" w:eastAsia="zh-CN"/>
        </w:rPr>
        <w:t>征求意见</w:t>
      </w:r>
      <w:r>
        <w:rPr>
          <w:rFonts w:ascii="黑体" w:hAnsi="黑体" w:eastAsia="黑体" w:cs="黑体"/>
          <w:b/>
          <w:bCs/>
          <w:spacing w:val="-7"/>
          <w:sz w:val="28"/>
          <w:szCs w:val="28"/>
        </w:rPr>
        <w:t>稿）</w:t>
      </w:r>
    </w:p>
    <w:p w14:paraId="5002F51E">
      <w:pPr>
        <w:pStyle w:val="5"/>
        <w:spacing w:line="248" w:lineRule="auto"/>
      </w:pPr>
    </w:p>
    <w:p w14:paraId="6D936D38">
      <w:pPr>
        <w:pStyle w:val="5"/>
        <w:spacing w:line="248" w:lineRule="auto"/>
      </w:pPr>
    </w:p>
    <w:p w14:paraId="46E08A30">
      <w:pPr>
        <w:pStyle w:val="5"/>
        <w:spacing w:line="248" w:lineRule="auto"/>
      </w:pPr>
    </w:p>
    <w:p w14:paraId="76F2BE20">
      <w:pPr>
        <w:pStyle w:val="5"/>
        <w:spacing w:line="248" w:lineRule="auto"/>
      </w:pPr>
    </w:p>
    <w:p w14:paraId="318AAE72">
      <w:pPr>
        <w:pStyle w:val="5"/>
        <w:spacing w:line="249" w:lineRule="auto"/>
      </w:pPr>
    </w:p>
    <w:p w14:paraId="330A35AF">
      <w:pPr>
        <w:pStyle w:val="5"/>
        <w:spacing w:line="249" w:lineRule="auto"/>
      </w:pPr>
    </w:p>
    <w:p w14:paraId="463A3ED2">
      <w:pPr>
        <w:pStyle w:val="5"/>
        <w:spacing w:line="249" w:lineRule="auto"/>
      </w:pPr>
    </w:p>
    <w:p w14:paraId="1756AD29">
      <w:pPr>
        <w:pStyle w:val="5"/>
        <w:spacing w:line="249" w:lineRule="auto"/>
      </w:pPr>
    </w:p>
    <w:p w14:paraId="7B69AB90">
      <w:pPr>
        <w:pStyle w:val="5"/>
        <w:spacing w:line="249" w:lineRule="auto"/>
      </w:pPr>
    </w:p>
    <w:p w14:paraId="67D250B4">
      <w:pPr>
        <w:pStyle w:val="5"/>
        <w:spacing w:line="249" w:lineRule="auto"/>
      </w:pPr>
    </w:p>
    <w:p w14:paraId="71CABD59">
      <w:pPr>
        <w:pStyle w:val="5"/>
        <w:spacing w:line="249" w:lineRule="auto"/>
      </w:pPr>
    </w:p>
    <w:p w14:paraId="4C98E942">
      <w:pPr>
        <w:pStyle w:val="5"/>
        <w:spacing w:line="249" w:lineRule="auto"/>
      </w:pPr>
    </w:p>
    <w:p w14:paraId="7BFC829E">
      <w:pPr>
        <w:pStyle w:val="5"/>
        <w:spacing w:line="249" w:lineRule="auto"/>
      </w:pPr>
    </w:p>
    <w:p w14:paraId="6731F2AB">
      <w:pPr>
        <w:spacing w:before="91" w:line="222" w:lineRule="auto"/>
        <w:ind w:left="882"/>
        <w:rPr>
          <w:rFonts w:ascii="黑体" w:hAnsi="黑体" w:eastAsia="黑体" w:cs="黑体"/>
          <w:sz w:val="28"/>
          <w:szCs w:val="28"/>
        </w:rPr>
      </w:pPr>
      <w:r>
        <w:rPr>
          <w:rFonts w:ascii="黑体" w:hAnsi="黑体" w:eastAsia="黑体" w:cs="黑体"/>
          <w:b/>
          <w:bCs/>
          <w:spacing w:val="-1"/>
          <w:sz w:val="28"/>
          <w:szCs w:val="28"/>
        </w:rPr>
        <w:t>202</w:t>
      </w:r>
      <w:r>
        <w:rPr>
          <w:rFonts w:hint="eastAsia" w:ascii="黑体" w:hAnsi="黑体" w:eastAsia="黑体" w:cs="黑体"/>
          <w:b/>
          <w:bCs/>
          <w:spacing w:val="-1"/>
          <w:sz w:val="28"/>
          <w:szCs w:val="28"/>
          <w:lang w:val="en-US" w:eastAsia="zh-CN"/>
        </w:rPr>
        <w:t>5</w:t>
      </w:r>
      <w:r>
        <w:rPr>
          <w:rFonts w:ascii="黑体" w:hAnsi="黑体" w:eastAsia="黑体" w:cs="黑体"/>
          <w:b/>
          <w:bCs/>
          <w:spacing w:val="-1"/>
          <w:sz w:val="28"/>
          <w:szCs w:val="28"/>
        </w:rPr>
        <w:t>-</w:t>
      </w:r>
      <w:r>
        <w:rPr>
          <w:rFonts w:hint="eastAsia" w:ascii="黑体" w:hAnsi="黑体" w:eastAsia="黑体" w:cs="黑体"/>
          <w:b/>
          <w:bCs/>
          <w:spacing w:val="-1"/>
          <w:sz w:val="28"/>
          <w:szCs w:val="28"/>
          <w:lang w:val="en-US" w:eastAsia="zh-CN"/>
        </w:rPr>
        <w:t>**</w:t>
      </w:r>
      <w:r>
        <w:rPr>
          <w:rFonts w:ascii="黑体" w:hAnsi="黑体" w:eastAsia="黑体" w:cs="黑体"/>
          <w:b/>
          <w:bCs/>
          <w:spacing w:val="-1"/>
          <w:sz w:val="28"/>
          <w:szCs w:val="28"/>
        </w:rPr>
        <w:t>-</w:t>
      </w:r>
      <w:r>
        <w:rPr>
          <w:rFonts w:hint="eastAsia" w:ascii="黑体" w:hAnsi="黑体" w:eastAsia="黑体" w:cs="黑体"/>
          <w:b/>
          <w:bCs/>
          <w:spacing w:val="-1"/>
          <w:sz w:val="28"/>
          <w:szCs w:val="28"/>
          <w:lang w:val="en-US" w:eastAsia="zh-CN"/>
        </w:rPr>
        <w:t>*</w:t>
      </w:r>
      <w:r>
        <w:rPr>
          <w:rFonts w:ascii="黑体" w:hAnsi="黑体" w:eastAsia="黑体" w:cs="黑体"/>
          <w:b/>
          <w:bCs/>
          <w:spacing w:val="-1"/>
          <w:sz w:val="28"/>
          <w:szCs w:val="28"/>
        </w:rPr>
        <w:t>发布</w:t>
      </w:r>
      <w:r>
        <w:rPr>
          <w:rFonts w:ascii="黑体" w:hAnsi="黑体" w:eastAsia="黑体" w:cs="黑体"/>
          <w:spacing w:val="-1"/>
          <w:sz w:val="28"/>
          <w:szCs w:val="28"/>
        </w:rPr>
        <w:t xml:space="preserve">                        </w:t>
      </w:r>
      <w:r>
        <w:rPr>
          <w:rFonts w:ascii="黑体" w:hAnsi="黑体" w:eastAsia="黑体" w:cs="黑体"/>
          <w:spacing w:val="-2"/>
          <w:sz w:val="28"/>
          <w:szCs w:val="28"/>
        </w:rPr>
        <w:t xml:space="preserve">    </w:t>
      </w:r>
      <w:r>
        <w:rPr>
          <w:rFonts w:ascii="黑体" w:hAnsi="黑体" w:eastAsia="黑体" w:cs="黑体"/>
          <w:b/>
          <w:bCs/>
          <w:spacing w:val="-2"/>
          <w:sz w:val="28"/>
          <w:szCs w:val="28"/>
        </w:rPr>
        <w:t>202</w:t>
      </w:r>
      <w:r>
        <w:rPr>
          <w:rFonts w:hint="eastAsia" w:ascii="黑体" w:hAnsi="黑体" w:eastAsia="黑体" w:cs="黑体"/>
          <w:b/>
          <w:bCs/>
          <w:spacing w:val="-2"/>
          <w:sz w:val="28"/>
          <w:szCs w:val="28"/>
          <w:lang w:val="en-US" w:eastAsia="zh-CN"/>
        </w:rPr>
        <w:t>6</w:t>
      </w:r>
      <w:r>
        <w:rPr>
          <w:rFonts w:ascii="黑体" w:hAnsi="黑体" w:eastAsia="黑体" w:cs="黑体"/>
          <w:b/>
          <w:bCs/>
          <w:spacing w:val="-2"/>
          <w:sz w:val="28"/>
          <w:szCs w:val="28"/>
        </w:rPr>
        <w:t>-</w:t>
      </w:r>
      <w:r>
        <w:rPr>
          <w:rFonts w:hint="eastAsia" w:ascii="黑体" w:hAnsi="黑体" w:eastAsia="黑体" w:cs="黑体"/>
          <w:b/>
          <w:bCs/>
          <w:spacing w:val="-2"/>
          <w:sz w:val="28"/>
          <w:szCs w:val="28"/>
          <w:lang w:val="en-US" w:eastAsia="zh-CN"/>
        </w:rPr>
        <w:t>*</w:t>
      </w:r>
      <w:r>
        <w:rPr>
          <w:rFonts w:ascii="黑体" w:hAnsi="黑体" w:eastAsia="黑体" w:cs="黑体"/>
          <w:b/>
          <w:bCs/>
          <w:spacing w:val="-2"/>
          <w:sz w:val="28"/>
          <w:szCs w:val="28"/>
        </w:rPr>
        <w:t>-</w:t>
      </w:r>
      <w:r>
        <w:rPr>
          <w:rFonts w:hint="eastAsia" w:ascii="黑体" w:hAnsi="黑体" w:eastAsia="黑体" w:cs="黑体"/>
          <w:b/>
          <w:bCs/>
          <w:spacing w:val="-2"/>
          <w:sz w:val="28"/>
          <w:szCs w:val="28"/>
          <w:lang w:val="en-US" w:eastAsia="zh-CN"/>
        </w:rPr>
        <w:t>*</w:t>
      </w:r>
      <w:r>
        <w:rPr>
          <w:rFonts w:ascii="黑体" w:hAnsi="黑体" w:eastAsia="黑体" w:cs="黑体"/>
          <w:spacing w:val="-53"/>
          <w:sz w:val="28"/>
          <w:szCs w:val="28"/>
        </w:rPr>
        <w:t xml:space="preserve"> </w:t>
      </w:r>
      <w:r>
        <w:rPr>
          <w:rFonts w:ascii="黑体" w:hAnsi="黑体" w:eastAsia="黑体" w:cs="黑体"/>
          <w:b/>
          <w:bCs/>
          <w:spacing w:val="-2"/>
          <w:sz w:val="28"/>
          <w:szCs w:val="28"/>
        </w:rPr>
        <w:t>实施</w:t>
      </w:r>
    </w:p>
    <w:p w14:paraId="6B0285C3">
      <w:pPr>
        <w:pStyle w:val="5"/>
        <w:spacing w:line="271" w:lineRule="auto"/>
      </w:pPr>
      <w:r>
        <w:drawing>
          <wp:anchor distT="0" distB="0" distL="0" distR="0" simplePos="0" relativeHeight="251659264" behindDoc="0" locked="0" layoutInCell="1" allowOverlap="1">
            <wp:simplePos x="0" y="0"/>
            <wp:positionH relativeFrom="column">
              <wp:posOffset>106680</wp:posOffset>
            </wp:positionH>
            <wp:positionV relativeFrom="paragraph">
              <wp:posOffset>106045</wp:posOffset>
            </wp:positionV>
            <wp:extent cx="6120130" cy="9525"/>
            <wp:effectExtent l="0" t="0" r="0" b="0"/>
            <wp:wrapNone/>
            <wp:docPr id="2" name="IM 2"/>
            <wp:cNvGraphicFramePr/>
            <a:graphic xmlns:a="http://schemas.openxmlformats.org/drawingml/2006/main">
              <a:graphicData uri="http://schemas.openxmlformats.org/drawingml/2006/picture">
                <pic:pic xmlns:pic="http://schemas.openxmlformats.org/drawingml/2006/picture">
                  <pic:nvPicPr>
                    <pic:cNvPr id="2" name="IM 2"/>
                    <pic:cNvPicPr/>
                  </pic:nvPicPr>
                  <pic:blipFill>
                    <a:blip r:embed="rId12"/>
                    <a:stretch>
                      <a:fillRect/>
                    </a:stretch>
                  </pic:blipFill>
                  <pic:spPr>
                    <a:xfrm>
                      <a:off x="0" y="0"/>
                      <a:ext cx="6120129" cy="9525"/>
                    </a:xfrm>
                    <a:prstGeom prst="rect">
                      <a:avLst/>
                    </a:prstGeom>
                  </pic:spPr>
                </pic:pic>
              </a:graphicData>
            </a:graphic>
          </wp:anchor>
        </w:drawing>
      </w:r>
    </w:p>
    <w:p w14:paraId="4C756D86">
      <w:pPr>
        <w:spacing w:before="101" w:line="226" w:lineRule="auto"/>
        <w:ind w:left="2030"/>
        <w:rPr>
          <w:rFonts w:ascii="黑体" w:hAnsi="黑体" w:eastAsia="黑体" w:cs="黑体"/>
          <w:sz w:val="24"/>
          <w:szCs w:val="24"/>
        </w:rPr>
      </w:pPr>
      <w:r>
        <w:rPr>
          <w:rFonts w:ascii="黑体" w:hAnsi="黑体" w:eastAsia="黑体" w:cs="黑体"/>
          <w:b/>
          <w:bCs/>
          <w:spacing w:val="59"/>
          <w:w w:val="111"/>
          <w:sz w:val="31"/>
          <w:szCs w:val="31"/>
        </w:rPr>
        <w:t>中国食品土畜进出口商会</w:t>
      </w:r>
      <w:r>
        <w:rPr>
          <w:rFonts w:ascii="黑体" w:hAnsi="黑体" w:eastAsia="黑体" w:cs="黑体"/>
          <w:spacing w:val="59"/>
          <w:w w:val="111"/>
          <w:sz w:val="31"/>
          <w:szCs w:val="31"/>
        </w:rPr>
        <w:t xml:space="preserve">  </w:t>
      </w:r>
      <w:r>
        <w:rPr>
          <w:rFonts w:ascii="黑体" w:hAnsi="黑体" w:eastAsia="黑体" w:cs="黑体"/>
          <w:b/>
          <w:bCs/>
          <w:spacing w:val="59"/>
          <w:w w:val="111"/>
          <w:sz w:val="24"/>
          <w:szCs w:val="24"/>
        </w:rPr>
        <w:t>发布</w:t>
      </w:r>
    </w:p>
    <w:p w14:paraId="5A81228F">
      <w:pPr>
        <w:spacing w:line="226" w:lineRule="auto"/>
        <w:rPr>
          <w:rFonts w:ascii="黑体" w:hAnsi="黑体" w:eastAsia="黑体" w:cs="黑体"/>
          <w:sz w:val="24"/>
          <w:szCs w:val="24"/>
        </w:rPr>
        <w:sectPr>
          <w:headerReference r:id="rId5" w:type="default"/>
          <w:pgSz w:w="11910" w:h="16840"/>
          <w:pgMar w:top="400" w:right="1024" w:bottom="0" w:left="1080" w:header="0" w:footer="0" w:gutter="0"/>
          <w:pgBorders>
            <w:top w:val="none" w:sz="0" w:space="0"/>
            <w:left w:val="none" w:sz="0" w:space="0"/>
            <w:bottom w:val="none" w:sz="0" w:space="0"/>
            <w:right w:val="none" w:sz="0" w:space="0"/>
          </w:pgBorders>
          <w:cols w:space="720" w:num="1"/>
        </w:sectPr>
      </w:pPr>
    </w:p>
    <w:p w14:paraId="31EDC586">
      <w:pPr>
        <w:pStyle w:val="5"/>
        <w:spacing w:line="349" w:lineRule="auto"/>
      </w:pPr>
    </w:p>
    <w:p w14:paraId="5B62F374">
      <w:pPr>
        <w:pStyle w:val="5"/>
        <w:spacing w:line="350" w:lineRule="auto"/>
      </w:pPr>
    </w:p>
    <w:p w14:paraId="6D90D6AB">
      <w:pPr>
        <w:spacing w:before="122" w:line="167" w:lineRule="auto"/>
        <w:ind w:left="6442"/>
        <w:rPr>
          <w:rFonts w:hint="default" w:ascii="Times New Roman" w:hAnsi="Times New Roman" w:eastAsia="Arial Unicode MS" w:cs="Times New Roman"/>
          <w:b w:val="0"/>
          <w:bCs w:val="0"/>
          <w:sz w:val="24"/>
          <w:szCs w:val="24"/>
          <w:lang w:val="en-US" w:eastAsia="zh-CN"/>
        </w:rPr>
      </w:pPr>
      <w:r>
        <w:rPr>
          <w:rFonts w:ascii="宋体" w:hAnsi="宋体" w:eastAsia="宋体" w:cs="宋体"/>
          <w:spacing w:val="-1"/>
          <w:sz w:val="24"/>
          <w:szCs w:val="24"/>
        </w:rPr>
        <w:t xml:space="preserve">T/CFNA    </w:t>
      </w:r>
      <w:r>
        <w:rPr>
          <w:rFonts w:ascii="Arial Unicode MS" w:hAnsi="Arial Unicode MS" w:eastAsia="Arial Unicode MS" w:cs="Arial Unicode MS"/>
          <w:spacing w:val="-3"/>
          <w:sz w:val="28"/>
          <w:szCs w:val="28"/>
        </w:rPr>
        <w:t xml:space="preserve"> </w:t>
      </w:r>
      <w:r>
        <w:rPr>
          <w:rFonts w:hint="default" w:ascii="Times New Roman" w:hAnsi="Times New Roman" w:eastAsia="Arial Unicode MS" w:cs="Times New Roman"/>
          <w:b w:val="0"/>
          <w:bCs w:val="0"/>
          <w:spacing w:val="-3"/>
          <w:sz w:val="24"/>
          <w:szCs w:val="24"/>
          <w:lang w:val="en-US" w:eastAsia="zh-CN"/>
        </w:rPr>
        <w:t>16</w:t>
      </w:r>
      <w:r>
        <w:rPr>
          <w:rFonts w:hint="eastAsia" w:ascii="Times New Roman" w:hAnsi="Times New Roman" w:eastAsia="Arial Unicode MS" w:cs="Times New Roman"/>
          <w:b w:val="0"/>
          <w:bCs w:val="0"/>
          <w:spacing w:val="-3"/>
          <w:sz w:val="24"/>
          <w:szCs w:val="24"/>
          <w:lang w:val="en-US" w:eastAsia="zh-CN"/>
        </w:rPr>
        <w:t>81</w:t>
      </w:r>
      <w:r>
        <w:rPr>
          <w:rFonts w:hint="default" w:ascii="Times New Roman" w:hAnsi="Times New Roman" w:eastAsia="Arial Unicode MS" w:cs="Times New Roman"/>
          <w:b w:val="0"/>
          <w:bCs w:val="0"/>
          <w:spacing w:val="-3"/>
          <w:sz w:val="24"/>
          <w:szCs w:val="24"/>
          <w:lang w:val="en-US" w:eastAsia="zh-CN"/>
        </w:rPr>
        <w:t>-2025</w:t>
      </w:r>
    </w:p>
    <w:p w14:paraId="3052F936">
      <w:pPr>
        <w:spacing w:before="78" w:line="225" w:lineRule="auto"/>
        <w:ind w:left="6746"/>
        <w:rPr>
          <w:rFonts w:ascii="宋体" w:hAnsi="宋体" w:eastAsia="宋体" w:cs="宋体"/>
          <w:sz w:val="24"/>
          <w:szCs w:val="24"/>
        </w:rPr>
      </w:pPr>
    </w:p>
    <w:p w14:paraId="08E604F8">
      <w:pPr>
        <w:pStyle w:val="5"/>
        <w:spacing w:line="252" w:lineRule="auto"/>
      </w:pPr>
    </w:p>
    <w:p w14:paraId="0B28E3CA">
      <w:pPr>
        <w:pStyle w:val="5"/>
        <w:spacing w:line="252" w:lineRule="auto"/>
      </w:pPr>
    </w:p>
    <w:p w14:paraId="78D4C74B">
      <w:pPr>
        <w:pStyle w:val="5"/>
        <w:spacing w:line="253" w:lineRule="auto"/>
      </w:pPr>
    </w:p>
    <w:p w14:paraId="6779D851">
      <w:pPr>
        <w:pStyle w:val="5"/>
        <w:spacing w:line="253" w:lineRule="auto"/>
      </w:pPr>
    </w:p>
    <w:sdt>
      <w:sdtPr>
        <w:rPr>
          <w:rFonts w:ascii="宋体" w:hAnsi="宋体" w:eastAsia="宋体" w:cs="宋体"/>
          <w:sz w:val="31"/>
          <w:szCs w:val="31"/>
        </w:rPr>
        <w:id w:val="147474001"/>
        <w:docPartObj>
          <w:docPartGallery w:val="Table of Contents"/>
          <w:docPartUnique/>
        </w:docPartObj>
      </w:sdtPr>
      <w:sdtEndPr>
        <w:rPr>
          <w:rFonts w:ascii="宋体" w:hAnsi="宋体" w:eastAsia="宋体" w:cs="宋体"/>
          <w:sz w:val="24"/>
          <w:szCs w:val="24"/>
        </w:rPr>
      </w:sdtEndPr>
      <w:sdtContent>
        <w:p w14:paraId="3DC01145">
          <w:pPr>
            <w:spacing w:before="101" w:line="228" w:lineRule="auto"/>
            <w:ind w:left="4180"/>
            <w:rPr>
              <w:rFonts w:ascii="宋体" w:hAnsi="宋体" w:eastAsia="宋体" w:cs="宋体"/>
              <w:sz w:val="31"/>
              <w:szCs w:val="31"/>
            </w:rPr>
          </w:pPr>
          <w:bookmarkStart w:id="0" w:name="bookmark1"/>
          <w:bookmarkEnd w:id="0"/>
          <w:r>
            <w:rPr>
              <w:rFonts w:ascii="宋体" w:hAnsi="宋体" w:eastAsia="宋体" w:cs="宋体"/>
              <w:spacing w:val="-28"/>
              <w:sz w:val="31"/>
              <w:szCs w:val="31"/>
            </w:rPr>
            <w:t>目录</w:t>
          </w:r>
        </w:p>
        <w:p w14:paraId="05EDEA68">
          <w:pPr>
            <w:pStyle w:val="5"/>
            <w:spacing w:line="345" w:lineRule="auto"/>
          </w:pPr>
        </w:p>
        <w:p w14:paraId="68C9B132">
          <w:pPr>
            <w:pStyle w:val="5"/>
            <w:spacing w:line="345" w:lineRule="auto"/>
          </w:pPr>
        </w:p>
        <w:p w14:paraId="091BFE72">
          <w:pPr>
            <w:tabs>
              <w:tab w:val="right" w:leader="dot" w:pos="8820"/>
            </w:tabs>
            <w:spacing w:before="78" w:line="186" w:lineRule="auto"/>
            <w:ind w:left="638" w:leftChars="304" w:firstLine="0" w:firstLineChars="0"/>
            <w:rPr>
              <w:rFonts w:ascii="宋体" w:hAnsi="宋体" w:eastAsia="宋体" w:cs="宋体"/>
              <w:sz w:val="24"/>
              <w:szCs w:val="24"/>
            </w:rPr>
          </w:pPr>
          <w:r>
            <w:fldChar w:fldCharType="begin"/>
          </w:r>
          <w:r>
            <w:instrText xml:space="preserve"> HYPERLINK \l "bookmark2" </w:instrText>
          </w:r>
          <w:r>
            <w:fldChar w:fldCharType="separate"/>
          </w:r>
          <w:r>
            <w:rPr>
              <w:rFonts w:ascii="宋体" w:hAnsi="宋体" w:eastAsia="宋体" w:cs="宋体"/>
              <w:spacing w:val="-7"/>
              <w:sz w:val="24"/>
              <w:szCs w:val="24"/>
            </w:rPr>
            <w:t>前言</w:t>
          </w:r>
          <w:r>
            <w:rPr>
              <w:rFonts w:ascii="宋体" w:hAnsi="宋体" w:eastAsia="宋体" w:cs="宋体"/>
              <w:sz w:val="24"/>
              <w:szCs w:val="24"/>
            </w:rPr>
            <w:tab/>
          </w:r>
          <w:r>
            <w:rPr>
              <w:rFonts w:ascii="宋体" w:hAnsi="宋体" w:eastAsia="宋体" w:cs="宋体"/>
              <w:spacing w:val="1"/>
              <w:sz w:val="24"/>
              <w:szCs w:val="24"/>
            </w:rPr>
            <w:t>II</w:t>
          </w:r>
          <w:r>
            <w:rPr>
              <w:rFonts w:ascii="宋体" w:hAnsi="宋体" w:eastAsia="宋体" w:cs="宋体"/>
              <w:spacing w:val="1"/>
              <w:sz w:val="24"/>
              <w:szCs w:val="24"/>
            </w:rPr>
            <w:fldChar w:fldCharType="end"/>
          </w:r>
        </w:p>
        <w:p w14:paraId="44B8556E">
          <w:pPr>
            <w:tabs>
              <w:tab w:val="right" w:leader="dot" w:pos="8820"/>
            </w:tabs>
            <w:spacing w:before="223" w:line="186" w:lineRule="auto"/>
            <w:ind w:left="638" w:leftChars="304" w:firstLine="0" w:firstLineChars="0"/>
            <w:rPr>
              <w:rFonts w:ascii="宋体" w:hAnsi="宋体" w:eastAsia="宋体" w:cs="宋体"/>
              <w:sz w:val="24"/>
              <w:szCs w:val="24"/>
            </w:rPr>
          </w:pPr>
          <w:r>
            <w:fldChar w:fldCharType="begin"/>
          </w:r>
          <w:r>
            <w:instrText xml:space="preserve"> HYPERLINK \l "bookmark3" </w:instrText>
          </w:r>
          <w:r>
            <w:fldChar w:fldCharType="separate"/>
          </w:r>
          <w:r>
            <w:rPr>
              <w:rFonts w:ascii="宋体" w:hAnsi="宋体" w:eastAsia="宋体" w:cs="宋体"/>
              <w:spacing w:val="-11"/>
              <w:sz w:val="24"/>
              <w:szCs w:val="24"/>
            </w:rPr>
            <w:t>1.</w:t>
          </w:r>
          <w:r>
            <w:rPr>
              <w:rFonts w:ascii="宋体" w:hAnsi="宋体" w:eastAsia="宋体" w:cs="宋体"/>
              <w:spacing w:val="8"/>
              <w:sz w:val="24"/>
              <w:szCs w:val="24"/>
            </w:rPr>
            <w:t xml:space="preserve">   </w:t>
          </w:r>
          <w:r>
            <w:rPr>
              <w:rFonts w:ascii="宋体" w:hAnsi="宋体" w:eastAsia="宋体" w:cs="宋体"/>
              <w:spacing w:val="-11"/>
              <w:sz w:val="24"/>
              <w:szCs w:val="24"/>
            </w:rPr>
            <w:t>范围</w:t>
          </w:r>
          <w:r>
            <w:rPr>
              <w:rFonts w:ascii="宋体" w:hAnsi="宋体" w:eastAsia="宋体" w:cs="宋体"/>
              <w:sz w:val="24"/>
              <w:szCs w:val="24"/>
            </w:rPr>
            <w:tab/>
          </w:r>
          <w:r>
            <w:rPr>
              <w:rFonts w:ascii="宋体" w:hAnsi="宋体" w:eastAsia="宋体" w:cs="宋体"/>
              <w:spacing w:val="-40"/>
              <w:sz w:val="24"/>
              <w:szCs w:val="24"/>
            </w:rPr>
            <w:t xml:space="preserve"> </w:t>
          </w:r>
          <w:r>
            <w:rPr>
              <w:rFonts w:ascii="宋体" w:hAnsi="宋体" w:eastAsia="宋体" w:cs="宋体"/>
              <w:spacing w:val="-28"/>
              <w:sz w:val="24"/>
              <w:szCs w:val="24"/>
            </w:rPr>
            <w:t>1</w:t>
          </w:r>
          <w:r>
            <w:rPr>
              <w:rFonts w:ascii="宋体" w:hAnsi="宋体" w:eastAsia="宋体" w:cs="宋体"/>
              <w:spacing w:val="-28"/>
              <w:sz w:val="24"/>
              <w:szCs w:val="24"/>
            </w:rPr>
            <w:fldChar w:fldCharType="end"/>
          </w:r>
        </w:p>
        <w:p w14:paraId="3A667074">
          <w:pPr>
            <w:tabs>
              <w:tab w:val="right" w:leader="dot" w:pos="8820"/>
            </w:tabs>
            <w:spacing w:before="226" w:line="185" w:lineRule="auto"/>
            <w:ind w:left="638" w:leftChars="304" w:firstLine="0" w:firstLineChars="0"/>
            <w:rPr>
              <w:rFonts w:ascii="宋体" w:hAnsi="宋体" w:eastAsia="宋体" w:cs="宋体"/>
              <w:sz w:val="24"/>
              <w:szCs w:val="24"/>
            </w:rPr>
          </w:pPr>
          <w:r>
            <w:fldChar w:fldCharType="begin"/>
          </w:r>
          <w:r>
            <w:instrText xml:space="preserve"> HYPERLINK \l "bookmark4" </w:instrText>
          </w:r>
          <w:r>
            <w:fldChar w:fldCharType="separate"/>
          </w:r>
          <w:r>
            <w:rPr>
              <w:rFonts w:ascii="宋体" w:hAnsi="宋体" w:eastAsia="宋体" w:cs="宋体"/>
              <w:spacing w:val="-3"/>
              <w:sz w:val="24"/>
              <w:szCs w:val="24"/>
            </w:rPr>
            <w:t>2.</w:t>
          </w:r>
          <w:r>
            <w:rPr>
              <w:rFonts w:ascii="宋体" w:hAnsi="宋体" w:eastAsia="宋体" w:cs="宋体"/>
              <w:spacing w:val="7"/>
              <w:sz w:val="24"/>
              <w:szCs w:val="24"/>
            </w:rPr>
            <w:t xml:space="preserve">   </w:t>
          </w:r>
          <w:r>
            <w:rPr>
              <w:rFonts w:ascii="宋体" w:hAnsi="宋体" w:eastAsia="宋体" w:cs="宋体"/>
              <w:spacing w:val="-3"/>
              <w:sz w:val="24"/>
              <w:szCs w:val="24"/>
            </w:rPr>
            <w:t>规范性引用文件</w:t>
          </w:r>
          <w:r>
            <w:rPr>
              <w:rFonts w:ascii="宋体" w:hAnsi="宋体" w:eastAsia="宋体" w:cs="宋体"/>
              <w:sz w:val="24"/>
              <w:szCs w:val="24"/>
            </w:rPr>
            <w:tab/>
          </w:r>
          <w:r>
            <w:rPr>
              <w:rFonts w:ascii="宋体" w:hAnsi="宋体" w:eastAsia="宋体" w:cs="宋体"/>
              <w:spacing w:val="-40"/>
              <w:sz w:val="24"/>
              <w:szCs w:val="24"/>
            </w:rPr>
            <w:t xml:space="preserve"> </w:t>
          </w:r>
          <w:r>
            <w:rPr>
              <w:rFonts w:ascii="宋体" w:hAnsi="宋体" w:eastAsia="宋体" w:cs="宋体"/>
              <w:spacing w:val="-28"/>
              <w:sz w:val="24"/>
              <w:szCs w:val="24"/>
            </w:rPr>
            <w:t>1</w:t>
          </w:r>
          <w:r>
            <w:rPr>
              <w:rFonts w:ascii="宋体" w:hAnsi="宋体" w:eastAsia="宋体" w:cs="宋体"/>
              <w:spacing w:val="-28"/>
              <w:sz w:val="24"/>
              <w:szCs w:val="24"/>
            </w:rPr>
            <w:fldChar w:fldCharType="end"/>
          </w:r>
        </w:p>
        <w:p w14:paraId="3542C224">
          <w:pPr>
            <w:tabs>
              <w:tab w:val="right" w:leader="dot" w:pos="8820"/>
            </w:tabs>
            <w:spacing w:before="225" w:line="186" w:lineRule="auto"/>
            <w:ind w:left="638" w:leftChars="304" w:firstLine="0" w:firstLineChars="0"/>
            <w:rPr>
              <w:rFonts w:ascii="宋体" w:hAnsi="宋体" w:eastAsia="宋体" w:cs="宋体"/>
              <w:sz w:val="24"/>
              <w:szCs w:val="24"/>
            </w:rPr>
          </w:pPr>
          <w:r>
            <w:fldChar w:fldCharType="begin"/>
          </w:r>
          <w:r>
            <w:instrText xml:space="preserve"> HYPERLINK \l "bookmark5" </w:instrText>
          </w:r>
          <w:r>
            <w:fldChar w:fldCharType="separate"/>
          </w:r>
          <w:r>
            <w:rPr>
              <w:rFonts w:ascii="宋体" w:hAnsi="宋体" w:eastAsia="宋体" w:cs="宋体"/>
              <w:spacing w:val="-4"/>
              <w:sz w:val="24"/>
              <w:szCs w:val="24"/>
            </w:rPr>
            <w:t>3.</w:t>
          </w:r>
          <w:r>
            <w:rPr>
              <w:rFonts w:ascii="宋体" w:hAnsi="宋体" w:eastAsia="宋体" w:cs="宋体"/>
              <w:spacing w:val="7"/>
              <w:sz w:val="24"/>
              <w:szCs w:val="24"/>
            </w:rPr>
            <w:t xml:space="preserve">   </w:t>
          </w:r>
          <w:r>
            <w:rPr>
              <w:rFonts w:ascii="宋体" w:hAnsi="宋体" w:eastAsia="宋体" w:cs="宋体"/>
              <w:spacing w:val="-4"/>
              <w:sz w:val="24"/>
              <w:szCs w:val="24"/>
            </w:rPr>
            <w:t>术语和定义</w:t>
          </w:r>
          <w:r>
            <w:rPr>
              <w:rFonts w:ascii="宋体" w:hAnsi="宋体" w:eastAsia="宋体" w:cs="宋体"/>
              <w:sz w:val="24"/>
              <w:szCs w:val="24"/>
            </w:rPr>
            <w:tab/>
          </w:r>
          <w:r>
            <w:rPr>
              <w:rFonts w:ascii="宋体" w:hAnsi="宋体" w:eastAsia="宋体" w:cs="宋体"/>
              <w:spacing w:val="-40"/>
              <w:sz w:val="24"/>
              <w:szCs w:val="24"/>
            </w:rPr>
            <w:t xml:space="preserve"> </w:t>
          </w:r>
          <w:r>
            <w:rPr>
              <w:rFonts w:ascii="宋体" w:hAnsi="宋体" w:eastAsia="宋体" w:cs="宋体"/>
              <w:spacing w:val="-28"/>
              <w:sz w:val="24"/>
              <w:szCs w:val="24"/>
            </w:rPr>
            <w:t>1</w:t>
          </w:r>
          <w:r>
            <w:rPr>
              <w:rFonts w:ascii="宋体" w:hAnsi="宋体" w:eastAsia="宋体" w:cs="宋体"/>
              <w:spacing w:val="-28"/>
              <w:sz w:val="24"/>
              <w:szCs w:val="24"/>
            </w:rPr>
            <w:fldChar w:fldCharType="end"/>
          </w:r>
        </w:p>
        <w:p w14:paraId="0590666C">
          <w:pPr>
            <w:tabs>
              <w:tab w:val="right" w:leader="dot" w:pos="8820"/>
            </w:tabs>
            <w:spacing w:before="226" w:line="186" w:lineRule="auto"/>
            <w:ind w:left="638" w:leftChars="304" w:firstLine="0" w:firstLineChars="0"/>
            <w:rPr>
              <w:rFonts w:ascii="宋体" w:hAnsi="宋体" w:eastAsia="宋体" w:cs="宋体"/>
              <w:sz w:val="24"/>
              <w:szCs w:val="24"/>
            </w:rPr>
          </w:pPr>
          <w:r>
            <w:fldChar w:fldCharType="begin"/>
          </w:r>
          <w:r>
            <w:instrText xml:space="preserve"> HYPERLINK \l "bookmark6" </w:instrText>
          </w:r>
          <w:r>
            <w:fldChar w:fldCharType="separate"/>
          </w:r>
          <w:r>
            <w:rPr>
              <w:rFonts w:ascii="宋体" w:hAnsi="宋体" w:eastAsia="宋体" w:cs="宋体"/>
              <w:spacing w:val="-2"/>
              <w:sz w:val="24"/>
              <w:szCs w:val="24"/>
            </w:rPr>
            <w:t>4.</w:t>
          </w:r>
          <w:r>
            <w:rPr>
              <w:rFonts w:ascii="宋体" w:hAnsi="宋体" w:eastAsia="宋体" w:cs="宋体"/>
              <w:spacing w:val="6"/>
              <w:sz w:val="24"/>
              <w:szCs w:val="24"/>
            </w:rPr>
            <w:t xml:space="preserve">   </w:t>
          </w:r>
          <w:r>
            <w:rPr>
              <w:rFonts w:hint="eastAsia" w:ascii="宋体" w:hAnsi="宋体" w:eastAsia="宋体" w:cs="宋体"/>
              <w:spacing w:val="-2"/>
              <w:sz w:val="24"/>
              <w:szCs w:val="24"/>
              <w:lang w:val="en-US" w:eastAsia="zh-CN"/>
            </w:rPr>
            <w:t>分级原则</w:t>
          </w:r>
          <w:r>
            <w:rPr>
              <w:rFonts w:ascii="宋体" w:hAnsi="宋体" w:eastAsia="宋体" w:cs="宋体"/>
              <w:sz w:val="24"/>
              <w:szCs w:val="24"/>
            </w:rPr>
            <w:tab/>
          </w:r>
          <w:r>
            <w:rPr>
              <w:rFonts w:ascii="宋体" w:hAnsi="宋体" w:eastAsia="宋体" w:cs="宋体"/>
              <w:spacing w:val="-55"/>
              <w:sz w:val="24"/>
              <w:szCs w:val="24"/>
            </w:rPr>
            <w:t xml:space="preserve"> </w:t>
          </w:r>
          <w:r>
            <w:rPr>
              <w:rFonts w:hint="eastAsia" w:ascii="宋体" w:hAnsi="宋体" w:eastAsia="宋体" w:cs="宋体"/>
              <w:spacing w:val="-13"/>
              <w:sz w:val="24"/>
              <w:szCs w:val="24"/>
              <w:lang w:val="en-US" w:eastAsia="zh-CN"/>
            </w:rPr>
            <w:t>1</w:t>
          </w:r>
          <w:r>
            <w:rPr>
              <w:rFonts w:ascii="宋体" w:hAnsi="宋体" w:eastAsia="宋体" w:cs="宋体"/>
              <w:spacing w:val="-13"/>
              <w:sz w:val="24"/>
              <w:szCs w:val="24"/>
            </w:rPr>
            <w:fldChar w:fldCharType="end"/>
          </w:r>
        </w:p>
        <w:p w14:paraId="2827CD42">
          <w:pPr>
            <w:tabs>
              <w:tab w:val="right" w:leader="dot" w:pos="8820"/>
            </w:tabs>
            <w:spacing w:before="224" w:line="186" w:lineRule="auto"/>
            <w:ind w:left="638" w:leftChars="304" w:firstLine="0" w:firstLineChars="0"/>
            <w:rPr>
              <w:rFonts w:ascii="宋体" w:hAnsi="宋体" w:eastAsia="宋体" w:cs="宋体"/>
              <w:sz w:val="24"/>
              <w:szCs w:val="24"/>
            </w:rPr>
          </w:pPr>
          <w:r>
            <w:fldChar w:fldCharType="begin"/>
          </w:r>
          <w:r>
            <w:instrText xml:space="preserve"> HYPERLINK \l "bookmark7" </w:instrText>
          </w:r>
          <w:r>
            <w:fldChar w:fldCharType="separate"/>
          </w:r>
          <w:r>
            <w:rPr>
              <w:rFonts w:ascii="宋体" w:hAnsi="宋体" w:eastAsia="宋体" w:cs="宋体"/>
              <w:spacing w:val="-4"/>
              <w:sz w:val="24"/>
              <w:szCs w:val="24"/>
            </w:rPr>
            <w:t>5.</w:t>
          </w:r>
          <w:r>
            <w:rPr>
              <w:rFonts w:ascii="宋体" w:hAnsi="宋体" w:eastAsia="宋体" w:cs="宋体"/>
              <w:spacing w:val="6"/>
              <w:sz w:val="24"/>
              <w:szCs w:val="24"/>
            </w:rPr>
            <w:t xml:space="preserve">   </w:t>
          </w:r>
          <w:r>
            <w:rPr>
              <w:rFonts w:hint="eastAsia" w:ascii="宋体" w:hAnsi="宋体" w:eastAsia="宋体" w:cs="宋体"/>
              <w:spacing w:val="-4"/>
              <w:sz w:val="24"/>
              <w:szCs w:val="24"/>
              <w:lang w:val="en-US" w:eastAsia="zh-CN"/>
            </w:rPr>
            <w:t>产品流通分级</w:t>
          </w:r>
          <w:r>
            <w:rPr>
              <w:rFonts w:ascii="宋体" w:hAnsi="宋体" w:eastAsia="宋体" w:cs="宋体"/>
              <w:sz w:val="24"/>
              <w:szCs w:val="24"/>
            </w:rPr>
            <w:tab/>
          </w:r>
          <w:r>
            <w:rPr>
              <w:rFonts w:ascii="宋体" w:hAnsi="宋体" w:eastAsia="宋体" w:cs="宋体"/>
              <w:spacing w:val="-55"/>
              <w:sz w:val="24"/>
              <w:szCs w:val="24"/>
            </w:rPr>
            <w:t xml:space="preserve"> </w:t>
          </w:r>
          <w:r>
            <w:rPr>
              <w:rFonts w:hint="eastAsia" w:ascii="宋体" w:hAnsi="宋体" w:eastAsia="宋体" w:cs="宋体"/>
              <w:spacing w:val="-13"/>
              <w:sz w:val="24"/>
              <w:szCs w:val="24"/>
              <w:lang w:val="en-US" w:eastAsia="zh-CN"/>
            </w:rPr>
            <w:t>1</w:t>
          </w:r>
          <w:r>
            <w:rPr>
              <w:rFonts w:ascii="宋体" w:hAnsi="宋体" w:eastAsia="宋体" w:cs="宋体"/>
              <w:spacing w:val="-13"/>
              <w:sz w:val="24"/>
              <w:szCs w:val="24"/>
            </w:rPr>
            <w:fldChar w:fldCharType="end"/>
          </w:r>
        </w:p>
        <w:p w14:paraId="6C08E011">
          <w:pPr>
            <w:tabs>
              <w:tab w:val="right" w:leader="dot" w:pos="8820"/>
            </w:tabs>
            <w:spacing w:before="226" w:line="186" w:lineRule="auto"/>
            <w:ind w:left="638" w:leftChars="304" w:firstLine="0" w:firstLineChars="0"/>
            <w:rPr>
              <w:rFonts w:ascii="宋体" w:hAnsi="宋体" w:eastAsia="宋体" w:cs="宋体"/>
              <w:spacing w:val="-13"/>
              <w:sz w:val="24"/>
              <w:szCs w:val="24"/>
            </w:rPr>
          </w:pPr>
          <w:r>
            <w:fldChar w:fldCharType="begin"/>
          </w:r>
          <w:r>
            <w:instrText xml:space="preserve"> HYPERLINK \l "bookmark8" </w:instrText>
          </w:r>
          <w:r>
            <w:fldChar w:fldCharType="separate"/>
          </w:r>
          <w:r>
            <w:rPr>
              <w:rFonts w:ascii="宋体" w:hAnsi="宋体" w:eastAsia="宋体" w:cs="宋体"/>
              <w:spacing w:val="-4"/>
              <w:sz w:val="24"/>
              <w:szCs w:val="24"/>
            </w:rPr>
            <w:t>6.</w:t>
          </w:r>
          <w:r>
            <w:rPr>
              <w:rFonts w:ascii="宋体" w:hAnsi="宋体" w:eastAsia="宋体" w:cs="宋体"/>
              <w:spacing w:val="7"/>
              <w:sz w:val="24"/>
              <w:szCs w:val="24"/>
            </w:rPr>
            <w:t xml:space="preserve">  </w:t>
          </w:r>
          <w:r>
            <w:rPr>
              <w:rFonts w:hint="eastAsia" w:ascii="宋体" w:hAnsi="宋体" w:eastAsia="宋体" w:cs="宋体"/>
              <w:spacing w:val="7"/>
              <w:sz w:val="24"/>
              <w:szCs w:val="24"/>
            </w:rPr>
            <w:t>掺假防控通用规则</w:t>
          </w:r>
          <w:r>
            <w:rPr>
              <w:rFonts w:ascii="宋体" w:hAnsi="宋体" w:eastAsia="宋体" w:cs="宋体"/>
              <w:sz w:val="24"/>
              <w:szCs w:val="24"/>
            </w:rPr>
            <w:tab/>
          </w:r>
          <w:r>
            <w:rPr>
              <w:rFonts w:ascii="宋体" w:hAnsi="宋体" w:eastAsia="宋体" w:cs="宋体"/>
              <w:spacing w:val="-55"/>
              <w:sz w:val="24"/>
              <w:szCs w:val="24"/>
            </w:rPr>
            <w:t xml:space="preserve"> </w:t>
          </w:r>
          <w:r>
            <w:rPr>
              <w:rFonts w:ascii="宋体" w:hAnsi="宋体" w:eastAsia="宋体" w:cs="宋体"/>
              <w:spacing w:val="-13"/>
              <w:sz w:val="24"/>
              <w:szCs w:val="24"/>
            </w:rPr>
            <w:t>2</w:t>
          </w:r>
          <w:r>
            <w:rPr>
              <w:rFonts w:ascii="宋体" w:hAnsi="宋体" w:eastAsia="宋体" w:cs="宋体"/>
              <w:spacing w:val="-13"/>
              <w:sz w:val="24"/>
              <w:szCs w:val="24"/>
            </w:rPr>
            <w:fldChar w:fldCharType="end"/>
          </w:r>
        </w:p>
        <w:p w14:paraId="63500D15">
          <w:pPr>
            <w:numPr>
              <w:ilvl w:val="0"/>
              <w:numId w:val="4"/>
            </w:numPr>
            <w:tabs>
              <w:tab w:val="right" w:leader="dot" w:pos="8820"/>
            </w:tabs>
            <w:spacing w:before="226" w:line="186" w:lineRule="auto"/>
            <w:ind w:left="638" w:leftChars="304" w:firstLine="0" w:firstLineChars="0"/>
            <w:rPr>
              <w:rFonts w:hint="default" w:ascii="宋体" w:hAnsi="宋体" w:eastAsia="宋体" w:cs="宋体"/>
              <w:spacing w:val="-13"/>
              <w:sz w:val="24"/>
              <w:szCs w:val="24"/>
              <w:lang w:val="en-US" w:eastAsia="zh-CN"/>
            </w:rPr>
          </w:pPr>
          <w:r>
            <w:rPr>
              <w:rFonts w:hint="eastAsia" w:ascii="宋体" w:hAnsi="宋体" w:eastAsia="宋体" w:cs="宋体"/>
              <w:spacing w:val="-13"/>
              <w:sz w:val="24"/>
              <w:szCs w:val="24"/>
              <w:lang w:val="en-US" w:eastAsia="zh-CN"/>
            </w:rPr>
            <w:t xml:space="preserve"> 飞行检查与动态分级</w:t>
          </w:r>
          <w:r>
            <w:rPr>
              <w:rFonts w:ascii="宋体" w:hAnsi="宋体" w:eastAsia="宋体" w:cs="宋体"/>
              <w:sz w:val="24"/>
              <w:szCs w:val="24"/>
            </w:rPr>
            <w:tab/>
          </w:r>
          <w:r>
            <w:rPr>
              <w:rFonts w:ascii="宋体" w:hAnsi="宋体" w:eastAsia="宋体" w:cs="宋体"/>
              <w:spacing w:val="-55"/>
              <w:sz w:val="24"/>
              <w:szCs w:val="24"/>
            </w:rPr>
            <w:t xml:space="preserve"> </w:t>
          </w:r>
          <w:r>
            <w:rPr>
              <w:rFonts w:hint="eastAsia" w:ascii="宋体" w:hAnsi="宋体" w:eastAsia="宋体" w:cs="宋体"/>
              <w:spacing w:val="-13"/>
              <w:sz w:val="24"/>
              <w:szCs w:val="24"/>
              <w:lang w:val="en-US" w:eastAsia="zh-CN"/>
            </w:rPr>
            <w:t>3</w:t>
          </w:r>
        </w:p>
        <w:p w14:paraId="0BB117D6">
          <w:pPr>
            <w:numPr>
              <w:ilvl w:val="0"/>
              <w:numId w:val="4"/>
            </w:numPr>
            <w:tabs>
              <w:tab w:val="right" w:leader="dot" w:pos="8820"/>
            </w:tabs>
            <w:spacing w:before="226" w:line="186" w:lineRule="auto"/>
            <w:ind w:left="638" w:leftChars="304" w:firstLine="0" w:firstLineChars="0"/>
            <w:rPr>
              <w:rFonts w:hint="eastAsia" w:ascii="宋体" w:hAnsi="宋体" w:eastAsia="宋体" w:cs="宋体"/>
              <w:spacing w:val="-13"/>
              <w:sz w:val="24"/>
              <w:szCs w:val="24"/>
              <w:lang w:val="en-US" w:eastAsia="zh-CN"/>
            </w:rPr>
          </w:pPr>
          <w:r>
            <w:rPr>
              <w:rFonts w:hint="eastAsia" w:ascii="宋体" w:hAnsi="宋体" w:eastAsia="宋体" w:cs="宋体"/>
              <w:spacing w:val="-13"/>
              <w:sz w:val="24"/>
              <w:szCs w:val="24"/>
              <w:lang w:val="en-US" w:eastAsia="zh-CN"/>
            </w:rPr>
            <w:t xml:space="preserve"> 标识、包装、储运</w:t>
          </w:r>
          <w:r>
            <w:rPr>
              <w:rFonts w:ascii="宋体" w:hAnsi="宋体" w:eastAsia="宋体" w:cs="宋体"/>
              <w:sz w:val="24"/>
              <w:szCs w:val="24"/>
            </w:rPr>
            <w:tab/>
          </w:r>
          <w:r>
            <w:rPr>
              <w:rFonts w:ascii="宋体" w:hAnsi="宋体" w:eastAsia="宋体" w:cs="宋体"/>
              <w:spacing w:val="-55"/>
              <w:sz w:val="24"/>
              <w:szCs w:val="24"/>
            </w:rPr>
            <w:t xml:space="preserve"> </w:t>
          </w:r>
          <w:r>
            <w:rPr>
              <w:rFonts w:hint="eastAsia" w:ascii="宋体" w:hAnsi="宋体" w:eastAsia="宋体" w:cs="宋体"/>
              <w:spacing w:val="-13"/>
              <w:sz w:val="24"/>
              <w:szCs w:val="24"/>
              <w:lang w:val="en-US" w:eastAsia="zh-CN"/>
            </w:rPr>
            <w:t>3</w:t>
          </w:r>
        </w:p>
        <w:p w14:paraId="33F87BCE">
          <w:pPr>
            <w:numPr>
              <w:ilvl w:val="0"/>
              <w:numId w:val="4"/>
            </w:numPr>
            <w:tabs>
              <w:tab w:val="right" w:leader="dot" w:pos="8820"/>
            </w:tabs>
            <w:spacing w:before="226" w:line="186" w:lineRule="auto"/>
            <w:ind w:left="638" w:leftChars="304" w:firstLine="0" w:firstLineChars="0"/>
            <w:rPr>
              <w:rFonts w:hint="eastAsia" w:ascii="宋体" w:hAnsi="宋体" w:eastAsia="宋体" w:cs="宋体"/>
              <w:spacing w:val="-13"/>
              <w:sz w:val="24"/>
              <w:szCs w:val="24"/>
              <w:lang w:val="en-US" w:eastAsia="zh-CN"/>
            </w:rPr>
          </w:pPr>
          <w:r>
            <w:rPr>
              <w:rFonts w:hint="eastAsia" w:ascii="宋体" w:hAnsi="宋体" w:eastAsia="宋体" w:cs="宋体"/>
              <w:spacing w:val="-13"/>
              <w:sz w:val="24"/>
              <w:szCs w:val="24"/>
              <w:lang w:val="en-US" w:eastAsia="zh-CN"/>
            </w:rPr>
            <w:t xml:space="preserve"> 跨境贸易特别条款</w:t>
          </w:r>
          <w:r>
            <w:rPr>
              <w:rFonts w:ascii="宋体" w:hAnsi="宋体" w:eastAsia="宋体" w:cs="宋体"/>
              <w:sz w:val="24"/>
              <w:szCs w:val="24"/>
            </w:rPr>
            <w:tab/>
          </w:r>
          <w:r>
            <w:rPr>
              <w:rFonts w:ascii="宋体" w:hAnsi="宋体" w:eastAsia="宋体" w:cs="宋体"/>
              <w:spacing w:val="-55"/>
              <w:sz w:val="24"/>
              <w:szCs w:val="24"/>
            </w:rPr>
            <w:t xml:space="preserve"> </w:t>
          </w:r>
          <w:r>
            <w:rPr>
              <w:rFonts w:hint="eastAsia" w:ascii="宋体" w:hAnsi="宋体" w:eastAsia="宋体" w:cs="宋体"/>
              <w:spacing w:val="-13"/>
              <w:sz w:val="24"/>
              <w:szCs w:val="24"/>
              <w:lang w:val="en-US" w:eastAsia="zh-CN"/>
            </w:rPr>
            <w:t>3</w:t>
          </w:r>
        </w:p>
        <w:p w14:paraId="35316B94">
          <w:pPr>
            <w:numPr>
              <w:ilvl w:val="0"/>
              <w:numId w:val="0"/>
            </w:numPr>
            <w:tabs>
              <w:tab w:val="right" w:leader="dot" w:pos="8820"/>
            </w:tabs>
            <w:spacing w:before="226" w:line="186" w:lineRule="auto"/>
            <w:ind w:leftChars="304"/>
            <w:rPr>
              <w:rFonts w:hint="default" w:ascii="宋体" w:hAnsi="宋体" w:eastAsia="宋体" w:cs="宋体"/>
              <w:spacing w:val="-13"/>
              <w:sz w:val="24"/>
              <w:szCs w:val="24"/>
              <w:lang w:val="en-US" w:eastAsia="zh-CN"/>
            </w:rPr>
          </w:pPr>
        </w:p>
        <w:p w14:paraId="667F9274">
          <w:pPr>
            <w:tabs>
              <w:tab w:val="right" w:leader="dot" w:pos="9354"/>
            </w:tabs>
            <w:spacing w:before="226" w:line="186" w:lineRule="auto"/>
            <w:ind w:left="1"/>
            <w:rPr>
              <w:rFonts w:ascii="宋体" w:hAnsi="宋体" w:eastAsia="宋体" w:cs="宋体"/>
              <w:sz w:val="24"/>
              <w:szCs w:val="24"/>
            </w:rPr>
          </w:pPr>
        </w:p>
        <w:p w14:paraId="3B1B0819">
          <w:pPr>
            <w:tabs>
              <w:tab w:val="right" w:leader="dot" w:pos="9354"/>
            </w:tabs>
            <w:spacing w:before="224" w:line="186" w:lineRule="auto"/>
            <w:ind w:left="19"/>
            <w:rPr>
              <w:rFonts w:ascii="宋体" w:hAnsi="宋体" w:eastAsia="宋体" w:cs="宋体"/>
              <w:sz w:val="24"/>
              <w:szCs w:val="24"/>
            </w:rPr>
          </w:pPr>
        </w:p>
        <w:p w14:paraId="776AC16F">
          <w:pPr>
            <w:tabs>
              <w:tab w:val="right" w:leader="dot" w:pos="9354"/>
            </w:tabs>
            <w:spacing w:before="224" w:line="220" w:lineRule="auto"/>
            <w:rPr>
              <w:rFonts w:ascii="宋体" w:hAnsi="宋体" w:eastAsia="宋体" w:cs="宋体"/>
              <w:sz w:val="24"/>
              <w:szCs w:val="24"/>
            </w:rPr>
          </w:pPr>
        </w:p>
      </w:sdtContent>
    </w:sdt>
    <w:p w14:paraId="72FC3DD9">
      <w:pPr>
        <w:spacing w:line="220" w:lineRule="auto"/>
        <w:rPr>
          <w:rFonts w:ascii="宋体" w:hAnsi="宋体" w:eastAsia="宋体" w:cs="宋体"/>
          <w:sz w:val="24"/>
          <w:szCs w:val="24"/>
        </w:rPr>
        <w:sectPr>
          <w:headerReference r:id="rId6" w:type="default"/>
          <w:footerReference r:id="rId7" w:type="default"/>
          <w:pgSz w:w="11910" w:h="16840"/>
          <w:pgMar w:top="400" w:right="1028" w:bottom="1340" w:left="1527" w:header="0" w:footer="1105" w:gutter="0"/>
          <w:pgBorders>
            <w:top w:val="none" w:sz="0" w:space="0"/>
            <w:left w:val="none" w:sz="0" w:space="0"/>
            <w:bottom w:val="none" w:sz="0" w:space="0"/>
            <w:right w:val="none" w:sz="0" w:space="0"/>
          </w:pgBorders>
          <w:cols w:space="720" w:num="1"/>
        </w:sectPr>
      </w:pPr>
    </w:p>
    <w:p w14:paraId="304EE6E9">
      <w:pPr>
        <w:pStyle w:val="5"/>
        <w:spacing w:line="294" w:lineRule="auto"/>
      </w:pPr>
    </w:p>
    <w:p w14:paraId="3A7BD879">
      <w:pPr>
        <w:pStyle w:val="5"/>
        <w:spacing w:line="294" w:lineRule="auto"/>
      </w:pPr>
    </w:p>
    <w:p w14:paraId="318111F0">
      <w:pPr>
        <w:spacing w:before="100" w:line="227" w:lineRule="auto"/>
        <w:ind w:left="4602"/>
        <w:outlineLvl w:val="0"/>
        <w:rPr>
          <w:rFonts w:hint="default" w:ascii="Times New Roman" w:hAnsi="Times New Roman" w:eastAsia="宋体" w:cs="Times New Roman"/>
          <w:sz w:val="31"/>
          <w:szCs w:val="31"/>
        </w:rPr>
      </w:pPr>
      <w:bookmarkStart w:id="1" w:name="bookmark2"/>
      <w:bookmarkEnd w:id="1"/>
      <w:r>
        <w:rPr>
          <w:rFonts w:hint="default" w:ascii="Times New Roman" w:hAnsi="Times New Roman" w:eastAsia="宋体" w:cs="Times New Roman"/>
          <w:b/>
          <w:bCs/>
          <w:spacing w:val="-2"/>
          <w:sz w:val="31"/>
          <w:szCs w:val="31"/>
        </w:rPr>
        <w:t>前言</w:t>
      </w:r>
    </w:p>
    <w:p w14:paraId="6A8F1515">
      <w:pPr>
        <w:pStyle w:val="5"/>
        <w:spacing w:line="288" w:lineRule="auto"/>
        <w:rPr>
          <w:rFonts w:hint="default" w:ascii="Times New Roman" w:hAnsi="Times New Roman" w:cs="Times New Roman"/>
        </w:rPr>
      </w:pPr>
    </w:p>
    <w:p w14:paraId="5CB3A1E0">
      <w:pPr>
        <w:pStyle w:val="5"/>
        <w:spacing w:line="288" w:lineRule="auto"/>
        <w:rPr>
          <w:rFonts w:hint="default" w:ascii="Times New Roman" w:hAnsi="Times New Roman" w:cs="Times New Roman"/>
        </w:rPr>
      </w:pPr>
    </w:p>
    <w:p w14:paraId="3C1017ED">
      <w:pPr>
        <w:pStyle w:val="5"/>
        <w:spacing w:line="289" w:lineRule="auto"/>
        <w:rPr>
          <w:rFonts w:hint="default" w:ascii="Times New Roman" w:hAnsi="Times New Roman" w:cs="Times New Roman"/>
        </w:rPr>
      </w:pPr>
    </w:p>
    <w:p w14:paraId="7E5CA271">
      <w:pPr>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right="638" w:rightChars="304" w:firstLine="566" w:firstLineChars="236"/>
        <w:textAlignment w:val="baseline"/>
        <w:rPr>
          <w:rFonts w:hint="default" w:ascii="Times New Roman" w:hAnsi="Times New Roman" w:eastAsia="宋体" w:cs="Times New Roman"/>
          <w:spacing w:val="0"/>
          <w:sz w:val="24"/>
          <w:szCs w:val="24"/>
        </w:rPr>
      </w:pPr>
      <w:r>
        <w:rPr>
          <w:rFonts w:hint="default" w:ascii="Times New Roman" w:hAnsi="Times New Roman" w:eastAsia="宋体" w:cs="Times New Roman"/>
          <w:spacing w:val="0"/>
          <w:sz w:val="24"/>
          <w:szCs w:val="24"/>
        </w:rPr>
        <w:t>本</w:t>
      </w:r>
      <w:r>
        <w:rPr>
          <w:rFonts w:hint="eastAsia" w:ascii="Times New Roman" w:hAnsi="Times New Roman" w:eastAsia="宋体" w:cs="Times New Roman"/>
          <w:spacing w:val="0"/>
          <w:sz w:val="24"/>
          <w:szCs w:val="24"/>
          <w:lang w:val="en-US" w:eastAsia="zh-CN"/>
        </w:rPr>
        <w:t>文件</w:t>
      </w:r>
      <w:r>
        <w:rPr>
          <w:rFonts w:hint="default" w:ascii="Times New Roman" w:hAnsi="Times New Roman" w:eastAsia="宋体" w:cs="Times New Roman"/>
          <w:spacing w:val="0"/>
          <w:sz w:val="24"/>
          <w:szCs w:val="24"/>
          <w:lang w:val="en-US" w:eastAsia="zh-CN"/>
        </w:rPr>
        <w:t>根据</w:t>
      </w:r>
      <w:r>
        <w:rPr>
          <w:rFonts w:hint="default" w:ascii="Times New Roman" w:hAnsi="Times New Roman" w:eastAsia="Calibri" w:cs="Times New Roman"/>
          <w:spacing w:val="0"/>
          <w:sz w:val="24"/>
          <w:szCs w:val="24"/>
        </w:rPr>
        <w:t xml:space="preserve">GB/T 1.1-2020 </w:t>
      </w:r>
      <w:r>
        <w:rPr>
          <w:rFonts w:hint="default" w:ascii="Times New Roman" w:hAnsi="Times New Roman" w:eastAsia="宋体" w:cs="Times New Roman"/>
          <w:spacing w:val="0"/>
          <w:sz w:val="24"/>
          <w:szCs w:val="24"/>
        </w:rPr>
        <w:t xml:space="preserve">《标准化工作导则 第 </w:t>
      </w:r>
      <w:r>
        <w:rPr>
          <w:rFonts w:hint="default" w:ascii="Times New Roman" w:hAnsi="Times New Roman" w:eastAsia="Calibri" w:cs="Times New Roman"/>
          <w:spacing w:val="0"/>
          <w:sz w:val="24"/>
          <w:szCs w:val="24"/>
        </w:rPr>
        <w:t xml:space="preserve">1 </w:t>
      </w:r>
      <w:r>
        <w:rPr>
          <w:rFonts w:hint="default" w:ascii="Times New Roman" w:hAnsi="Times New Roman" w:eastAsia="宋体" w:cs="Times New Roman"/>
          <w:spacing w:val="0"/>
          <w:sz w:val="24"/>
          <w:szCs w:val="24"/>
        </w:rPr>
        <w:t>部分：标准化文件的结构和起草规则》给出的规</w:t>
      </w:r>
      <w:r>
        <w:rPr>
          <w:rFonts w:hint="eastAsia" w:ascii="Times New Roman" w:hAnsi="Times New Roman" w:eastAsia="宋体" w:cs="Times New Roman"/>
          <w:spacing w:val="0"/>
          <w:sz w:val="24"/>
          <w:szCs w:val="24"/>
          <w:lang w:val="en-US" w:eastAsia="zh-CN"/>
        </w:rPr>
        <w:t>定</w:t>
      </w:r>
      <w:r>
        <w:rPr>
          <w:rFonts w:hint="default" w:ascii="Times New Roman" w:hAnsi="Times New Roman" w:eastAsia="宋体" w:cs="Times New Roman"/>
          <w:spacing w:val="0"/>
          <w:sz w:val="24"/>
          <w:szCs w:val="24"/>
        </w:rPr>
        <w:t>起草。</w:t>
      </w:r>
    </w:p>
    <w:p w14:paraId="719047A1">
      <w:pPr>
        <w:pStyle w:val="5"/>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right="4" w:rightChars="2" w:firstLine="564" w:firstLineChars="235"/>
        <w:textAlignment w:val="baseline"/>
        <w:rPr>
          <w:rFonts w:hint="default" w:ascii="Times New Roman" w:hAnsi="Times New Roman" w:eastAsia="宋体" w:cs="Times New Roman"/>
          <w:snapToGrid w:val="0"/>
          <w:color w:val="000000"/>
          <w:spacing w:val="0"/>
          <w:kern w:val="0"/>
          <w:sz w:val="24"/>
          <w:szCs w:val="24"/>
          <w:lang w:val="en-US" w:eastAsia="zh-CN" w:bidi="ar-SA"/>
        </w:rPr>
      </w:pPr>
      <w:r>
        <w:rPr>
          <w:rFonts w:hint="default" w:ascii="Times New Roman" w:hAnsi="Times New Roman" w:eastAsia="宋体" w:cs="Times New Roman"/>
          <w:snapToGrid w:val="0"/>
          <w:color w:val="000000"/>
          <w:spacing w:val="0"/>
          <w:kern w:val="0"/>
          <w:sz w:val="24"/>
          <w:szCs w:val="24"/>
          <w:lang w:val="en-US" w:eastAsia="zh-CN" w:bidi="ar-SA"/>
        </w:rPr>
        <w:t>本</w:t>
      </w:r>
      <w:r>
        <w:rPr>
          <w:rFonts w:hint="eastAsia" w:ascii="Times New Roman" w:hAnsi="Times New Roman" w:eastAsia="宋体" w:cs="Times New Roman"/>
          <w:snapToGrid w:val="0"/>
          <w:color w:val="000000"/>
          <w:spacing w:val="0"/>
          <w:kern w:val="0"/>
          <w:sz w:val="24"/>
          <w:szCs w:val="24"/>
          <w:lang w:val="en-US" w:eastAsia="zh-CN" w:bidi="ar-SA"/>
        </w:rPr>
        <w:t>文件</w:t>
      </w:r>
      <w:r>
        <w:rPr>
          <w:rFonts w:hint="default" w:ascii="Times New Roman" w:hAnsi="Times New Roman" w:eastAsia="宋体" w:cs="Times New Roman"/>
          <w:snapToGrid w:val="0"/>
          <w:color w:val="000000"/>
          <w:spacing w:val="0"/>
          <w:kern w:val="0"/>
          <w:sz w:val="24"/>
          <w:szCs w:val="24"/>
          <w:lang w:val="en-US" w:eastAsia="zh-CN" w:bidi="ar-SA"/>
        </w:rPr>
        <w:t>由中国食品土畜进出口商会提出，委托商会昆虫蛋白产业分会制定。</w:t>
      </w:r>
    </w:p>
    <w:p w14:paraId="57BE9320">
      <w:pPr>
        <w:pStyle w:val="5"/>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right="636" w:rightChars="303" w:firstLine="564" w:firstLineChars="235"/>
        <w:textAlignment w:val="baseline"/>
        <w:rPr>
          <w:rFonts w:hint="default" w:ascii="Times New Roman" w:hAnsi="Times New Roman" w:eastAsia="宋体" w:cs="Times New Roman"/>
          <w:snapToGrid w:val="0"/>
          <w:color w:val="000000"/>
          <w:spacing w:val="0"/>
          <w:kern w:val="0"/>
          <w:sz w:val="24"/>
          <w:szCs w:val="24"/>
          <w:lang w:val="en-US" w:eastAsia="zh-CN" w:bidi="ar-SA"/>
        </w:rPr>
      </w:pPr>
      <w:r>
        <w:rPr>
          <w:rFonts w:hint="default" w:ascii="Times New Roman" w:hAnsi="Times New Roman" w:eastAsia="宋体" w:cs="Times New Roman"/>
          <w:snapToGrid w:val="0"/>
          <w:color w:val="000000"/>
          <w:spacing w:val="0"/>
          <w:kern w:val="0"/>
          <w:sz w:val="24"/>
          <w:szCs w:val="24"/>
          <w:lang w:val="en-US" w:eastAsia="zh-CN" w:bidi="ar-SA"/>
        </w:rPr>
        <w:t>本文件起草单位：中国农业科学院蜜蜂研究所、北京启迪德格科技有限公司、万科基金会、广东省科学院动物研究所、郑州尧安环保科技有限公司、广州无两生物科技有限公司。</w:t>
      </w:r>
    </w:p>
    <w:p w14:paraId="2BA65EEE">
      <w:pPr>
        <w:pStyle w:val="5"/>
        <w:keepNext w:val="0"/>
        <w:keepLines w:val="0"/>
        <w:pageBreakBefore w:val="0"/>
        <w:widowControl/>
        <w:kinsoku w:val="0"/>
        <w:wordWrap/>
        <w:overflowPunct/>
        <w:topLinePunct w:val="0"/>
        <w:autoSpaceDE w:val="0"/>
        <w:autoSpaceDN w:val="0"/>
        <w:bidi w:val="0"/>
        <w:adjustRightInd w:val="0"/>
        <w:snapToGrid w:val="0"/>
        <w:spacing w:line="360" w:lineRule="auto"/>
        <w:ind w:firstLine="960" w:firstLineChars="400"/>
        <w:textAlignment w:val="baseline"/>
        <w:rPr>
          <w:rFonts w:hint="default" w:ascii="Times New Roman" w:hAnsi="Times New Roman" w:eastAsia="宋体" w:cs="Times New Roman"/>
          <w:snapToGrid w:val="0"/>
          <w:color w:val="000000"/>
          <w:spacing w:val="0"/>
          <w:kern w:val="0"/>
          <w:sz w:val="24"/>
          <w:szCs w:val="24"/>
          <w:lang w:val="en-US" w:eastAsia="zh-CN" w:bidi="ar-SA"/>
        </w:rPr>
      </w:pPr>
      <w:r>
        <w:rPr>
          <w:rFonts w:hint="default" w:ascii="Times New Roman" w:hAnsi="Times New Roman" w:eastAsia="宋体" w:cs="Times New Roman"/>
          <w:snapToGrid w:val="0"/>
          <w:color w:val="000000"/>
          <w:spacing w:val="0"/>
          <w:kern w:val="0"/>
          <w:sz w:val="24"/>
          <w:szCs w:val="24"/>
          <w:lang w:val="en-US" w:eastAsia="zh-CN" w:bidi="ar-SA"/>
        </w:rPr>
        <w:t>本文件主要起草人：方小明、吴朝锋、连娟、徐齐云、贺永慧、李楚君。</w:t>
      </w:r>
    </w:p>
    <w:p w14:paraId="4EC3301A">
      <w:pPr>
        <w:pStyle w:val="5"/>
        <w:keepNext w:val="0"/>
        <w:keepLines w:val="0"/>
        <w:pageBreakBefore w:val="0"/>
        <w:widowControl/>
        <w:kinsoku w:val="0"/>
        <w:wordWrap/>
        <w:overflowPunct/>
        <w:topLinePunct w:val="0"/>
        <w:autoSpaceDE w:val="0"/>
        <w:autoSpaceDN w:val="0"/>
        <w:bidi w:val="0"/>
        <w:adjustRightInd w:val="0"/>
        <w:snapToGrid w:val="0"/>
        <w:spacing w:line="360" w:lineRule="auto"/>
        <w:ind w:firstLine="960" w:firstLineChars="400"/>
        <w:textAlignment w:val="baseline"/>
        <w:rPr>
          <w:rFonts w:hint="default" w:ascii="Times New Roman" w:hAnsi="Times New Roman" w:eastAsia="宋体" w:cs="Times New Roman"/>
          <w:snapToGrid w:val="0"/>
          <w:color w:val="000000"/>
          <w:spacing w:val="0"/>
          <w:kern w:val="0"/>
          <w:sz w:val="24"/>
          <w:szCs w:val="24"/>
          <w:lang w:val="en-US" w:eastAsia="zh-CN" w:bidi="ar-SA"/>
        </w:rPr>
      </w:pPr>
      <w:r>
        <w:rPr>
          <w:rFonts w:hint="default" w:ascii="Times New Roman" w:hAnsi="Times New Roman" w:eastAsia="宋体" w:cs="Times New Roman"/>
          <w:snapToGrid w:val="0"/>
          <w:color w:val="000000"/>
          <w:spacing w:val="0"/>
          <w:kern w:val="0"/>
          <w:sz w:val="24"/>
          <w:szCs w:val="24"/>
          <w:lang w:val="en-US" w:eastAsia="zh-CN" w:bidi="ar-SA"/>
        </w:rPr>
        <w:t>本</w:t>
      </w:r>
      <w:r>
        <w:rPr>
          <w:rFonts w:hint="eastAsia" w:ascii="Times New Roman" w:hAnsi="Times New Roman" w:eastAsia="宋体" w:cs="Times New Roman"/>
          <w:snapToGrid w:val="0"/>
          <w:color w:val="000000"/>
          <w:spacing w:val="0"/>
          <w:kern w:val="0"/>
          <w:sz w:val="24"/>
          <w:szCs w:val="24"/>
          <w:lang w:val="en-US" w:eastAsia="zh-CN" w:bidi="ar-SA"/>
        </w:rPr>
        <w:t>文件</w:t>
      </w:r>
      <w:r>
        <w:rPr>
          <w:rFonts w:hint="default" w:ascii="Times New Roman" w:hAnsi="Times New Roman" w:eastAsia="宋体" w:cs="Times New Roman"/>
          <w:snapToGrid w:val="0"/>
          <w:color w:val="000000"/>
          <w:spacing w:val="0"/>
          <w:kern w:val="0"/>
          <w:sz w:val="24"/>
          <w:szCs w:val="24"/>
          <w:lang w:val="en-US" w:eastAsia="zh-CN" w:bidi="ar-SA"/>
        </w:rPr>
        <w:t>由中国食品土畜进出口商会解释。</w:t>
      </w:r>
    </w:p>
    <w:p w14:paraId="0FE58E9E">
      <w:pPr>
        <w:keepNext w:val="0"/>
        <w:keepLines w:val="0"/>
        <w:pageBreakBefore w:val="0"/>
        <w:widowControl/>
        <w:kinsoku w:val="0"/>
        <w:wordWrap/>
        <w:overflowPunct/>
        <w:topLinePunct w:val="0"/>
        <w:autoSpaceDE w:val="0"/>
        <w:autoSpaceDN w:val="0"/>
        <w:bidi w:val="0"/>
        <w:adjustRightInd w:val="0"/>
        <w:snapToGrid w:val="0"/>
        <w:spacing w:line="360" w:lineRule="auto"/>
        <w:ind w:right="638" w:rightChars="304" w:firstLine="960" w:firstLineChars="400"/>
        <w:textAlignment w:val="baseline"/>
        <w:rPr>
          <w:rFonts w:hint="default" w:ascii="Times New Roman" w:hAnsi="Times New Roman" w:eastAsia="宋体" w:cs="Times New Roman"/>
          <w:spacing w:val="0"/>
          <w:sz w:val="24"/>
          <w:szCs w:val="24"/>
        </w:rPr>
      </w:pPr>
      <w:r>
        <w:rPr>
          <w:rFonts w:hint="default" w:ascii="Times New Roman" w:hAnsi="Times New Roman" w:eastAsia="宋体" w:cs="Times New Roman"/>
          <w:spacing w:val="0"/>
          <w:sz w:val="24"/>
          <w:szCs w:val="24"/>
        </w:rPr>
        <w:t>本</w:t>
      </w:r>
      <w:r>
        <w:rPr>
          <w:rFonts w:hint="eastAsia" w:ascii="Times New Roman" w:hAnsi="Times New Roman" w:eastAsia="宋体" w:cs="Times New Roman"/>
          <w:spacing w:val="0"/>
          <w:sz w:val="24"/>
          <w:szCs w:val="24"/>
          <w:lang w:val="en-US" w:eastAsia="zh-CN"/>
        </w:rPr>
        <w:t>文件</w:t>
      </w:r>
      <w:r>
        <w:rPr>
          <w:rFonts w:hint="default" w:ascii="Times New Roman" w:hAnsi="Times New Roman" w:eastAsia="宋体" w:cs="Times New Roman"/>
          <w:spacing w:val="0"/>
          <w:sz w:val="24"/>
          <w:szCs w:val="24"/>
        </w:rPr>
        <w:t>由中国食品土畜进出口商会于202</w:t>
      </w:r>
      <w:r>
        <w:rPr>
          <w:rFonts w:hint="eastAsia" w:ascii="Times New Roman" w:hAnsi="Times New Roman" w:eastAsia="宋体" w:cs="Times New Roman"/>
          <w:spacing w:val="0"/>
          <w:sz w:val="24"/>
          <w:szCs w:val="24"/>
          <w:lang w:val="en-US" w:eastAsia="zh-CN"/>
        </w:rPr>
        <w:t>6</w:t>
      </w:r>
      <w:r>
        <w:rPr>
          <w:rFonts w:hint="default" w:ascii="Times New Roman" w:hAnsi="Times New Roman" w:eastAsia="宋体" w:cs="Times New Roman"/>
          <w:spacing w:val="0"/>
          <w:sz w:val="24"/>
          <w:szCs w:val="24"/>
        </w:rPr>
        <w:t>年</w:t>
      </w:r>
      <w:r>
        <w:rPr>
          <w:rFonts w:hint="default" w:ascii="Times New Roman" w:hAnsi="Times New Roman" w:eastAsia="宋体" w:cs="Times New Roman"/>
          <w:spacing w:val="0"/>
          <w:sz w:val="24"/>
          <w:szCs w:val="24"/>
          <w:lang w:val="en-US" w:eastAsia="zh-CN"/>
        </w:rPr>
        <w:t>**</w:t>
      </w:r>
      <w:r>
        <w:rPr>
          <w:rFonts w:hint="default" w:ascii="Times New Roman" w:hAnsi="Times New Roman" w:eastAsia="宋体" w:cs="Times New Roman"/>
          <w:spacing w:val="0"/>
          <w:sz w:val="24"/>
          <w:szCs w:val="24"/>
        </w:rPr>
        <w:t>月</w:t>
      </w:r>
      <w:r>
        <w:rPr>
          <w:rFonts w:hint="default" w:ascii="Times New Roman" w:hAnsi="Times New Roman" w:eastAsia="宋体" w:cs="Times New Roman"/>
          <w:spacing w:val="0"/>
          <w:sz w:val="24"/>
          <w:szCs w:val="24"/>
          <w:lang w:val="en-US" w:eastAsia="zh-CN"/>
        </w:rPr>
        <w:t>**</w:t>
      </w:r>
      <w:r>
        <w:rPr>
          <w:rFonts w:hint="default" w:ascii="Times New Roman" w:hAnsi="Times New Roman" w:eastAsia="宋体" w:cs="Times New Roman"/>
          <w:spacing w:val="0"/>
          <w:sz w:val="24"/>
          <w:szCs w:val="24"/>
        </w:rPr>
        <w:t>日批准公示。</w:t>
      </w:r>
    </w:p>
    <w:p w14:paraId="0575D087">
      <w:pPr>
        <w:keepNext w:val="0"/>
        <w:keepLines w:val="0"/>
        <w:pageBreakBefore w:val="0"/>
        <w:widowControl/>
        <w:kinsoku w:val="0"/>
        <w:wordWrap/>
        <w:overflowPunct/>
        <w:topLinePunct w:val="0"/>
        <w:autoSpaceDE w:val="0"/>
        <w:autoSpaceDN w:val="0"/>
        <w:bidi w:val="0"/>
        <w:adjustRightInd w:val="0"/>
        <w:snapToGrid w:val="0"/>
        <w:spacing w:line="360" w:lineRule="auto"/>
        <w:ind w:right="632" w:rightChars="301" w:firstLine="960" w:firstLineChars="400"/>
        <w:textAlignment w:val="baseline"/>
        <w:rPr>
          <w:rFonts w:hint="default" w:ascii="Times New Roman" w:hAnsi="Times New Roman" w:eastAsia="宋体" w:cs="Times New Roman"/>
          <w:spacing w:val="0"/>
          <w:sz w:val="24"/>
          <w:szCs w:val="24"/>
        </w:rPr>
      </w:pPr>
      <w:r>
        <w:rPr>
          <w:rFonts w:hint="default" w:ascii="Times New Roman" w:hAnsi="Times New Roman" w:eastAsia="宋体" w:cs="Times New Roman"/>
          <w:spacing w:val="0"/>
          <w:sz w:val="24"/>
          <w:szCs w:val="24"/>
        </w:rPr>
        <w:t>本</w:t>
      </w:r>
      <w:r>
        <w:rPr>
          <w:rFonts w:hint="eastAsia" w:ascii="Times New Roman" w:hAnsi="Times New Roman" w:eastAsia="宋体" w:cs="Times New Roman"/>
          <w:spacing w:val="0"/>
          <w:sz w:val="24"/>
          <w:szCs w:val="24"/>
          <w:lang w:val="en-US" w:eastAsia="zh-CN"/>
        </w:rPr>
        <w:t>文件</w:t>
      </w:r>
      <w:r>
        <w:rPr>
          <w:rFonts w:hint="default" w:ascii="Times New Roman" w:hAnsi="Times New Roman" w:eastAsia="宋体" w:cs="Times New Roman"/>
          <w:spacing w:val="0"/>
          <w:sz w:val="24"/>
          <w:szCs w:val="24"/>
        </w:rPr>
        <w:t>自202</w:t>
      </w:r>
      <w:r>
        <w:rPr>
          <w:rFonts w:hint="default" w:ascii="Times New Roman" w:hAnsi="Times New Roman" w:eastAsia="宋体" w:cs="Times New Roman"/>
          <w:spacing w:val="0"/>
          <w:sz w:val="24"/>
          <w:szCs w:val="24"/>
          <w:lang w:val="en-US" w:eastAsia="zh-CN"/>
        </w:rPr>
        <w:t>6</w:t>
      </w:r>
      <w:r>
        <w:rPr>
          <w:rFonts w:hint="default" w:ascii="Times New Roman" w:hAnsi="Times New Roman" w:eastAsia="宋体" w:cs="Times New Roman"/>
          <w:spacing w:val="0"/>
          <w:sz w:val="24"/>
          <w:szCs w:val="24"/>
        </w:rPr>
        <w:t>年</w:t>
      </w:r>
      <w:r>
        <w:rPr>
          <w:rFonts w:hint="default" w:ascii="Times New Roman" w:hAnsi="Times New Roman" w:eastAsia="宋体" w:cs="Times New Roman"/>
          <w:spacing w:val="0"/>
          <w:sz w:val="24"/>
          <w:szCs w:val="24"/>
          <w:lang w:val="en-US" w:eastAsia="zh-CN"/>
        </w:rPr>
        <w:t>**</w:t>
      </w:r>
      <w:r>
        <w:rPr>
          <w:rFonts w:hint="default" w:ascii="Times New Roman" w:hAnsi="Times New Roman" w:eastAsia="宋体" w:cs="Times New Roman"/>
          <w:spacing w:val="0"/>
          <w:sz w:val="24"/>
          <w:szCs w:val="24"/>
        </w:rPr>
        <w:t>月</w:t>
      </w:r>
      <w:r>
        <w:rPr>
          <w:rFonts w:hint="default" w:ascii="Times New Roman" w:hAnsi="Times New Roman" w:eastAsia="宋体" w:cs="Times New Roman"/>
          <w:spacing w:val="0"/>
          <w:sz w:val="24"/>
          <w:szCs w:val="24"/>
          <w:lang w:val="en-US" w:eastAsia="zh-CN"/>
        </w:rPr>
        <w:t>**</w:t>
      </w:r>
      <w:r>
        <w:rPr>
          <w:rFonts w:hint="default" w:ascii="Times New Roman" w:hAnsi="Times New Roman" w:eastAsia="宋体" w:cs="Times New Roman"/>
          <w:spacing w:val="0"/>
          <w:sz w:val="24"/>
          <w:szCs w:val="24"/>
        </w:rPr>
        <w:t>日起实施。</w:t>
      </w:r>
    </w:p>
    <w:p w14:paraId="7467C7D1">
      <w:pPr>
        <w:spacing w:line="219" w:lineRule="auto"/>
        <w:ind w:left="420" w:leftChars="200" w:right="638" w:rightChars="304" w:firstLine="566" w:firstLineChars="236"/>
        <w:rPr>
          <w:rFonts w:hint="default" w:ascii="Times New Roman" w:hAnsi="Times New Roman" w:eastAsia="宋体" w:cs="Times New Roman"/>
          <w:sz w:val="24"/>
          <w:szCs w:val="24"/>
        </w:rPr>
        <w:sectPr>
          <w:headerReference r:id="rId8" w:type="default"/>
          <w:footerReference r:id="rId9" w:type="default"/>
          <w:pgSz w:w="11910" w:h="16840"/>
          <w:pgMar w:top="1486" w:right="943" w:bottom="1340" w:left="1088" w:header="1117" w:footer="1105" w:gutter="0"/>
          <w:pgBorders>
            <w:top w:val="none" w:sz="0" w:space="0"/>
            <w:left w:val="none" w:sz="0" w:space="0"/>
            <w:bottom w:val="none" w:sz="0" w:space="0"/>
            <w:right w:val="none" w:sz="0" w:space="0"/>
          </w:pgBorders>
          <w:cols w:space="720" w:num="1"/>
        </w:sectPr>
      </w:pPr>
    </w:p>
    <w:p w14:paraId="6CF4DFE9">
      <w:pPr>
        <w:spacing w:line="20" w:lineRule="exact"/>
        <w:jc w:val="both"/>
        <w:rPr>
          <w:rFonts w:hint="eastAsia" w:ascii="黑体" w:hAnsi="黑体" w:eastAsia="黑体"/>
          <w:sz w:val="32"/>
          <w:szCs w:val="32"/>
        </w:rPr>
      </w:pPr>
      <w:bookmarkStart w:id="2" w:name="bookmark3"/>
      <w:bookmarkEnd w:id="2"/>
      <w:bookmarkStart w:id="3" w:name="BookMark4"/>
    </w:p>
    <w:sdt>
      <w:sdtPr>
        <w:tag w:val="NEW_STAND_NAME"/>
        <w:id w:val="595910757"/>
        <w:lock w:val="sdtLocked"/>
        <w:placeholder>
          <w:docPart w:val="{e247ccaa-aefd-44e1-a0a0-5f7154484d03}"/>
        </w:placeholder>
      </w:sdtPr>
      <w:sdtContent>
        <w:p w14:paraId="49328950">
          <w:pPr>
            <w:pStyle w:val="24"/>
            <w:keepNext w:val="0"/>
            <w:keepLines w:val="0"/>
            <w:pageBreakBefore w:val="0"/>
            <w:widowControl/>
            <w:kinsoku/>
            <w:wordWrap/>
            <w:overflowPunct/>
            <w:topLinePunct w:val="0"/>
            <w:autoSpaceDE/>
            <w:autoSpaceDN/>
            <w:bidi w:val="0"/>
            <w:adjustRightInd/>
            <w:snapToGrid/>
            <w:spacing w:before="313" w:beforeLines="100" w:after="313" w:afterLines="100"/>
            <w:jc w:val="center"/>
            <w:textAlignment w:val="auto"/>
            <w:rPr>
              <w:rFonts w:hint="eastAsia"/>
            </w:rPr>
          </w:pPr>
          <w:bookmarkStart w:id="25" w:name="_GoBack"/>
          <w:bookmarkStart w:id="4" w:name="NEW_STAND_NAME"/>
          <w:r>
            <w:rPr>
              <w:rFonts w:hint="eastAsia"/>
              <w:lang w:eastAsia="zh-CN"/>
            </w:rPr>
            <w:t>黑水虻</w:t>
          </w:r>
          <w:r>
            <w:rPr>
              <w:rFonts w:hint="eastAsia"/>
              <w:lang w:val="en-US" w:eastAsia="zh-CN"/>
            </w:rPr>
            <w:t>流通</w:t>
          </w:r>
          <w:r>
            <w:rPr>
              <w:rFonts w:hint="eastAsia"/>
              <w:lang w:eastAsia="zh-CN"/>
            </w:rPr>
            <w:t>分级技术标准</w:t>
          </w:r>
          <w:bookmarkEnd w:id="25"/>
        </w:p>
      </w:sdtContent>
    </w:sdt>
    <w:bookmarkEnd w:id="4"/>
    <w:p w14:paraId="32CA9C21">
      <w:pPr>
        <w:pStyle w:val="25"/>
        <w:spacing w:before="240" w:after="240"/>
      </w:pPr>
      <w:bookmarkStart w:id="5" w:name="_Toc26718930"/>
      <w:bookmarkStart w:id="6" w:name="_Toc17233333"/>
      <w:bookmarkStart w:id="7" w:name="_Toc24884211"/>
      <w:bookmarkStart w:id="8" w:name="_Toc97192964"/>
      <w:bookmarkStart w:id="9" w:name="_Toc24884218"/>
      <w:bookmarkStart w:id="10" w:name="_Toc26986771"/>
      <w:bookmarkStart w:id="11" w:name="_Toc17233325"/>
      <w:bookmarkStart w:id="12" w:name="_Toc26986530"/>
      <w:bookmarkStart w:id="13" w:name="_Toc26648465"/>
      <w:r>
        <w:rPr>
          <w:rFonts w:hint="eastAsia"/>
        </w:rPr>
        <w:t>范围</w:t>
      </w:r>
      <w:bookmarkEnd w:id="5"/>
      <w:bookmarkEnd w:id="6"/>
      <w:bookmarkEnd w:id="7"/>
      <w:bookmarkEnd w:id="8"/>
      <w:bookmarkEnd w:id="9"/>
      <w:bookmarkEnd w:id="10"/>
      <w:bookmarkEnd w:id="11"/>
      <w:bookmarkEnd w:id="12"/>
      <w:bookmarkEnd w:id="13"/>
    </w:p>
    <w:p w14:paraId="21D45E34">
      <w:pPr>
        <w:pStyle w:val="23"/>
        <w:ind w:firstLine="420"/>
      </w:pPr>
      <w:bookmarkStart w:id="14" w:name="_Toc24884219"/>
      <w:bookmarkStart w:id="15" w:name="_Toc26648466"/>
      <w:bookmarkStart w:id="16" w:name="_Toc17233334"/>
      <w:bookmarkStart w:id="17" w:name="_Toc17233326"/>
      <w:bookmarkStart w:id="18" w:name="_Toc24884212"/>
      <w:r>
        <w:rPr>
          <w:rFonts w:hint="eastAsia"/>
        </w:rPr>
        <w:t>本文件规定了黑水虻制品（虫干、虫粉、虫油）的流通分级，包括原料管控、过程管控、溯源要求、安全底线、标识包装、储运、飞行检查、掺假防控、跨境适用等规则。</w:t>
      </w:r>
    </w:p>
    <w:p w14:paraId="6B2EBDEA">
      <w:pPr>
        <w:pStyle w:val="23"/>
        <w:ind w:firstLine="420"/>
      </w:pPr>
      <w:r>
        <w:rPr>
          <w:rFonts w:hint="eastAsia"/>
        </w:rPr>
        <w:t>本文件适用于黑水虻制品国内流通、贸易分级、仓储中转、跨境出口对标管理，不替代《黑水虻虫干生产技术规程》《黑水虻虫粉生产技术规程》《黑水虻虫油生产技术标准》，不细化生产工艺与单项理化指标。</w:t>
      </w:r>
    </w:p>
    <w:p w14:paraId="7B38AFB8">
      <w:pPr>
        <w:pStyle w:val="25"/>
        <w:spacing w:before="240" w:after="240"/>
      </w:pPr>
      <w:bookmarkStart w:id="19" w:name="_Toc26986772"/>
      <w:bookmarkStart w:id="20" w:name="_Toc97192965"/>
      <w:bookmarkStart w:id="21" w:name="_Toc26986531"/>
      <w:bookmarkStart w:id="22" w:name="_Toc26718931"/>
      <w:r>
        <w:rPr>
          <w:rFonts w:hint="eastAsia"/>
        </w:rPr>
        <w:t>规范性引用文件</w:t>
      </w:r>
      <w:bookmarkEnd w:id="14"/>
      <w:bookmarkEnd w:id="15"/>
      <w:bookmarkEnd w:id="16"/>
      <w:bookmarkEnd w:id="17"/>
      <w:bookmarkEnd w:id="18"/>
      <w:bookmarkEnd w:id="19"/>
      <w:bookmarkEnd w:id="20"/>
      <w:bookmarkEnd w:id="21"/>
      <w:bookmarkEnd w:id="22"/>
    </w:p>
    <w:sdt>
      <w:sdtPr>
        <w:rPr>
          <w:rFonts w:hint="eastAsia"/>
        </w:rPr>
        <w:id w:val="715848253"/>
        <w:placeholder>
          <w:docPart w:val="{fb652e5b-e87d-4823-8a42-08452b26e493}"/>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48BA0D78">
          <w:pPr>
            <w:pStyle w:val="23"/>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24A39687">
      <w:pPr>
        <w:pStyle w:val="23"/>
        <w:ind w:firstLine="420"/>
      </w:pPr>
      <w:r>
        <w:rPr>
          <w:rFonts w:hint="eastAsia"/>
        </w:rPr>
        <w:t>GB 10648 饲料标签</w:t>
      </w:r>
    </w:p>
    <w:p w14:paraId="32D27C08">
      <w:pPr>
        <w:pStyle w:val="23"/>
        <w:ind w:firstLine="420"/>
      </w:pPr>
      <w:r>
        <w:rPr>
          <w:rFonts w:hint="eastAsia"/>
        </w:rPr>
        <w:t>GB 13078 饲料卫生标准</w:t>
      </w:r>
    </w:p>
    <w:p w14:paraId="4FED0138">
      <w:pPr>
        <w:pStyle w:val="23"/>
        <w:ind w:firstLine="420"/>
      </w:pPr>
      <w:r>
        <w:rPr>
          <w:rFonts w:hint="eastAsia"/>
        </w:rPr>
        <w:t>GB/T 1.1 标准化工作导则</w:t>
      </w:r>
    </w:p>
    <w:p w14:paraId="525491AB">
      <w:pPr>
        <w:pStyle w:val="23"/>
        <w:ind w:firstLine="420"/>
      </w:pPr>
      <w:r>
        <w:rPr>
          <w:rFonts w:hint="eastAsia"/>
        </w:rPr>
        <w:t>产品理化指标、检验方法、工艺参数按对应专项技术标准执行。</w:t>
      </w:r>
    </w:p>
    <w:p w14:paraId="11651C2C">
      <w:pPr>
        <w:pStyle w:val="25"/>
        <w:spacing w:before="240" w:after="240"/>
      </w:pPr>
      <w:bookmarkStart w:id="23" w:name="_Toc97192966"/>
      <w:r>
        <w:rPr>
          <w:rFonts w:hint="eastAsia"/>
          <w:szCs w:val="21"/>
        </w:rPr>
        <w:t>术语和定义</w:t>
      </w:r>
      <w:bookmarkEnd w:id="23"/>
    </w:p>
    <w:sdt>
      <w:sdtPr>
        <w:id w:val="-1909835108"/>
        <w:placeholder>
          <w:docPart w:val="{0d83001a-6bff-473c-838e-e0b585d137a9}"/>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03F231C5">
          <w:pPr>
            <w:pStyle w:val="23"/>
            <w:ind w:firstLine="420"/>
          </w:pPr>
          <w:bookmarkStart w:id="24" w:name="_Toc26986532"/>
          <w:bookmarkEnd w:id="24"/>
          <w:r>
            <w:t>下列术语和定义适用于本文件。</w:t>
          </w:r>
        </w:p>
      </w:sdtContent>
    </w:sdt>
    <w:p w14:paraId="7D6C1147">
      <w:pPr>
        <w:pStyle w:val="26"/>
        <w:spacing w:before="120" w:after="120"/>
      </w:pPr>
      <w:r>
        <w:rPr>
          <w:rFonts w:hint="eastAsia"/>
        </w:rPr>
        <w:t>黑水虻制品</w:t>
      </w:r>
      <w:r>
        <w:rPr>
          <w:rFonts w:hint="eastAsia"/>
          <w:lang w:val="en-US" w:eastAsia="zh-CN"/>
        </w:rPr>
        <w:t xml:space="preserve"> </w:t>
      </w:r>
    </w:p>
    <w:p w14:paraId="35DFD245">
      <w:pPr>
        <w:pStyle w:val="26"/>
        <w:numPr>
          <w:ilvl w:val="2"/>
          <w:numId w:val="0"/>
        </w:numPr>
        <w:spacing w:before="120" w:after="120"/>
        <w:ind w:firstLine="420"/>
        <w:rPr>
          <w:rFonts w:hint="eastAsia" w:ascii="宋体" w:hAnsi="宋体" w:eastAsia="宋体" w:cs="宋体"/>
        </w:rPr>
      </w:pPr>
      <w:r>
        <w:rPr>
          <w:rFonts w:hint="eastAsia" w:ascii="宋体" w:hAnsi="宋体" w:eastAsia="宋体" w:cs="宋体"/>
        </w:rPr>
        <w:t>以黑水虻幼虫为原料，经加工制成的虫干、虫粉、虫油的统称。</w:t>
      </w:r>
    </w:p>
    <w:p w14:paraId="6692761C">
      <w:pPr>
        <w:pStyle w:val="26"/>
        <w:spacing w:before="120" w:after="120"/>
      </w:pPr>
      <w:r>
        <w:rPr>
          <w:rFonts w:hint="eastAsia"/>
        </w:rPr>
        <w:t>流通分级</w:t>
      </w:r>
    </w:p>
    <w:p w14:paraId="1BC9F03C">
      <w:pPr>
        <w:pStyle w:val="26"/>
        <w:numPr>
          <w:ilvl w:val="2"/>
          <w:numId w:val="0"/>
        </w:numPr>
        <w:spacing w:before="120" w:after="120"/>
        <w:ind w:firstLine="420"/>
      </w:pPr>
      <w:r>
        <w:rPr>
          <w:rFonts w:hint="eastAsia" w:ascii="宋体" w:hAnsi="宋体" w:eastAsia="宋体" w:cs="宋体"/>
        </w:rPr>
        <w:t>依据原料洁净度、过程合规性、溯源能力、安全风险、市场适配性划分的商品流通等级。</w:t>
      </w:r>
    </w:p>
    <w:p w14:paraId="2D11DC07">
      <w:pPr>
        <w:pStyle w:val="26"/>
        <w:spacing w:before="120" w:after="120"/>
      </w:pPr>
      <w:r>
        <w:rPr>
          <w:rFonts w:hint="eastAsia"/>
        </w:rPr>
        <w:t>掺假</w:t>
      </w:r>
    </w:p>
    <w:p w14:paraId="2132D528">
      <w:pPr>
        <w:pStyle w:val="26"/>
        <w:numPr>
          <w:ilvl w:val="2"/>
          <w:numId w:val="0"/>
        </w:numPr>
        <w:spacing w:before="120" w:after="120"/>
        <w:ind w:firstLine="420"/>
        <w:rPr>
          <w:rFonts w:hint="eastAsia" w:ascii="宋体" w:hAnsi="宋体" w:eastAsia="宋体" w:cs="宋体"/>
        </w:rPr>
      </w:pPr>
      <w:r>
        <w:rPr>
          <w:rFonts w:hint="eastAsia" w:ascii="宋体" w:hAnsi="宋体" w:eastAsia="宋体" w:cs="宋体"/>
        </w:rPr>
        <w:t>以廉价物质掺入、以次充好、虚假标识、伪造溯源/检测报告的行为。</w:t>
      </w:r>
    </w:p>
    <w:p w14:paraId="3628267D">
      <w:pPr>
        <w:pStyle w:val="25"/>
        <w:spacing w:before="240" w:after="240"/>
      </w:pPr>
      <w:r>
        <w:rPr>
          <w:rFonts w:hint="eastAsia"/>
        </w:rPr>
        <w:t>分级原则</w:t>
      </w:r>
    </w:p>
    <w:p w14:paraId="7DCB8D19">
      <w:pPr>
        <w:pStyle w:val="26"/>
        <w:keepNext w:val="0"/>
        <w:keepLines w:val="0"/>
        <w:pageBreakBefore w:val="0"/>
        <w:widowControl/>
        <w:kinsoku/>
        <w:wordWrap/>
        <w:overflowPunct/>
        <w:topLinePunct w:val="0"/>
        <w:autoSpaceDE/>
        <w:autoSpaceDN/>
        <w:bidi w:val="0"/>
        <w:adjustRightInd/>
        <w:snapToGrid w:val="0"/>
        <w:spacing w:before="120" w:after="120" w:line="240" w:lineRule="auto"/>
        <w:textAlignment w:val="auto"/>
        <w:rPr>
          <w:rFonts w:hint="eastAsia" w:ascii="宋体" w:hAnsi="宋体" w:eastAsia="宋体" w:cs="宋体"/>
          <w:sz w:val="21"/>
          <w:szCs w:val="21"/>
        </w:rPr>
      </w:pPr>
      <w:r>
        <w:rPr>
          <w:rFonts w:hint="eastAsia" w:ascii="宋体" w:hAnsi="宋体" w:eastAsia="宋体" w:cs="宋体"/>
          <w:sz w:val="21"/>
          <w:szCs w:val="21"/>
        </w:rPr>
        <w:t>本标准仅界定流通等级与合规要求，理化指标、生产工艺、检验方法执行各专项标准。</w:t>
      </w:r>
    </w:p>
    <w:p w14:paraId="29557F05">
      <w:pPr>
        <w:pStyle w:val="26"/>
        <w:keepNext w:val="0"/>
        <w:keepLines w:val="0"/>
        <w:pageBreakBefore w:val="0"/>
        <w:widowControl/>
        <w:kinsoku/>
        <w:wordWrap/>
        <w:overflowPunct/>
        <w:topLinePunct w:val="0"/>
        <w:autoSpaceDE/>
        <w:autoSpaceDN/>
        <w:bidi w:val="0"/>
        <w:adjustRightInd/>
        <w:snapToGrid w:val="0"/>
        <w:spacing w:before="120" w:after="120" w:line="240" w:lineRule="auto"/>
        <w:textAlignment w:val="auto"/>
        <w:rPr>
          <w:rFonts w:hint="eastAsia" w:ascii="宋体" w:hAnsi="宋体" w:eastAsia="宋体" w:cs="宋体"/>
          <w:sz w:val="21"/>
          <w:szCs w:val="21"/>
        </w:rPr>
      </w:pPr>
      <w:r>
        <w:rPr>
          <w:rFonts w:hint="eastAsia" w:ascii="宋体" w:hAnsi="宋体" w:eastAsia="宋体" w:cs="宋体"/>
          <w:sz w:val="21"/>
          <w:szCs w:val="21"/>
        </w:rPr>
        <w:t>跨境产品必须符合进口国家/地区强制法规，无专项规定时按本标准执行。</w:t>
      </w:r>
    </w:p>
    <w:p w14:paraId="4FF69F5C">
      <w:pPr>
        <w:pStyle w:val="26"/>
        <w:keepNext w:val="0"/>
        <w:keepLines w:val="0"/>
        <w:pageBreakBefore w:val="0"/>
        <w:widowControl/>
        <w:kinsoku/>
        <w:wordWrap/>
        <w:overflowPunct/>
        <w:topLinePunct w:val="0"/>
        <w:autoSpaceDE/>
        <w:autoSpaceDN/>
        <w:bidi w:val="0"/>
        <w:adjustRightInd/>
        <w:snapToGrid w:val="0"/>
        <w:spacing w:before="120" w:after="120" w:line="240" w:lineRule="auto"/>
        <w:textAlignment w:val="auto"/>
        <w:rPr>
          <w:sz w:val="21"/>
          <w:szCs w:val="21"/>
        </w:rPr>
      </w:pPr>
      <w:r>
        <w:rPr>
          <w:rFonts w:hint="eastAsia" w:ascii="宋体" w:hAnsi="宋体" w:eastAsia="宋体" w:cs="宋体"/>
          <w:sz w:val="21"/>
          <w:szCs w:val="21"/>
        </w:rPr>
        <w:t>实行批次定级管理，同批次产品等级唯一；严禁不同等级产品混装、混储、混运，严禁串级冒用、以次充好。</w:t>
      </w:r>
    </w:p>
    <w:p w14:paraId="434C5D45">
      <w:pPr>
        <w:pStyle w:val="26"/>
        <w:keepNext w:val="0"/>
        <w:keepLines w:val="0"/>
        <w:pageBreakBefore w:val="0"/>
        <w:widowControl/>
        <w:kinsoku/>
        <w:wordWrap/>
        <w:overflowPunct/>
        <w:topLinePunct w:val="0"/>
        <w:autoSpaceDE/>
        <w:autoSpaceDN/>
        <w:bidi w:val="0"/>
        <w:adjustRightInd/>
        <w:snapToGrid w:val="0"/>
        <w:spacing w:before="120" w:after="120" w:line="240" w:lineRule="auto"/>
        <w:textAlignment w:val="auto"/>
        <w:rPr>
          <w:sz w:val="21"/>
          <w:szCs w:val="21"/>
        </w:rPr>
      </w:pPr>
      <w:r>
        <w:rPr>
          <w:rFonts w:hint="eastAsia" w:ascii="宋体" w:hAnsi="宋体" w:eastAsia="宋体" w:cs="宋体"/>
          <w:sz w:val="21"/>
          <w:szCs w:val="21"/>
        </w:rPr>
        <w:t>飞行检查、掺假核查结果实行动态升降级。</w:t>
      </w:r>
    </w:p>
    <w:p w14:paraId="63A2F987">
      <w:pPr>
        <w:pStyle w:val="25"/>
        <w:spacing w:before="240" w:after="240"/>
      </w:pPr>
      <w:r>
        <w:rPr>
          <w:rFonts w:hint="eastAsia"/>
        </w:rPr>
        <w:t>产品流通分级</w:t>
      </w:r>
    </w:p>
    <w:p w14:paraId="7E4BAB99">
      <w:pPr>
        <w:pStyle w:val="27"/>
        <w:spacing w:before="120" w:after="120"/>
      </w:pPr>
      <w:r>
        <w:rPr>
          <w:rFonts w:hint="eastAsia"/>
        </w:rPr>
        <w:t>产品流通分级要求</w:t>
      </w:r>
    </w:p>
    <w:tbl>
      <w:tblPr>
        <w:tblStyle w:val="9"/>
        <w:tblW w:w="4999" w:type="pct"/>
        <w:tblInd w:w="0" w:type="dxa"/>
        <w:tblBorders>
          <w:top w:val="single" w:color="DEE0E3" w:sz="8" w:space="0"/>
          <w:left w:val="single" w:color="DEE0E3" w:sz="8" w:space="0"/>
          <w:bottom w:val="single" w:color="DEE0E3" w:sz="8" w:space="0"/>
          <w:right w:val="single" w:color="DEE0E3" w:sz="8" w:space="0"/>
          <w:insideH w:val="single" w:color="DEE0E3" w:sz="0" w:space="0"/>
          <w:insideV w:val="single" w:color="DEE0E3" w:sz="0" w:space="0"/>
        </w:tblBorders>
        <w:tblLayout w:type="autofit"/>
        <w:tblCellMar>
          <w:top w:w="0" w:type="dxa"/>
          <w:left w:w="0" w:type="dxa"/>
          <w:bottom w:w="0" w:type="dxa"/>
          <w:right w:w="0" w:type="dxa"/>
        </w:tblCellMar>
      </w:tblPr>
      <w:tblGrid>
        <w:gridCol w:w="1378"/>
        <w:gridCol w:w="2174"/>
        <w:gridCol w:w="2021"/>
        <w:gridCol w:w="2009"/>
        <w:gridCol w:w="2010"/>
      </w:tblGrid>
      <w:tr w14:paraId="761EE4D2">
        <w:tblPrEx>
          <w:tblBorders>
            <w:top w:val="single" w:color="DEE0E3" w:sz="8" w:space="0"/>
            <w:left w:val="single" w:color="DEE0E3" w:sz="8" w:space="0"/>
            <w:bottom w:val="single" w:color="DEE0E3" w:sz="8" w:space="0"/>
            <w:right w:val="single" w:color="DEE0E3" w:sz="8" w:space="0"/>
            <w:insideH w:val="single" w:color="DEE0E3" w:sz="0" w:space="0"/>
            <w:insideV w:val="single" w:color="DEE0E3" w:sz="0" w:space="0"/>
          </w:tblBorders>
          <w:tblCellMar>
            <w:top w:w="0" w:type="dxa"/>
            <w:left w:w="0" w:type="dxa"/>
            <w:bottom w:w="0" w:type="dxa"/>
            <w:right w:w="0" w:type="dxa"/>
          </w:tblCellMar>
        </w:tblPrEx>
        <w:tc>
          <w:tcPr>
            <w:tcW w:w="718" w:type="pct"/>
            <w:tcBorders>
              <w:bottom w:val="single" w:color="DEE0E3" w:sz="8" w:space="0"/>
            </w:tcBorders>
            <w:tcMar>
              <w:top w:w="60" w:type="dxa"/>
              <w:left w:w="120" w:type="dxa"/>
              <w:bottom w:w="30" w:type="dxa"/>
              <w:right w:w="120" w:type="dxa"/>
            </w:tcMar>
            <w:vAlign w:val="center"/>
          </w:tcPr>
          <w:p w14:paraId="3802FA94">
            <w:pPr>
              <w:spacing w:before="120" w:after="120" w:line="240" w:lineRule="auto"/>
              <w:jc w:val="left"/>
              <w:rPr>
                <w:rFonts w:hint="eastAsia" w:ascii="黑体" w:hAnsi="黑体" w:eastAsia="黑体" w:cs="黑体"/>
                <w:sz w:val="18"/>
              </w:rPr>
            </w:pPr>
            <w:r>
              <w:rPr>
                <w:rFonts w:hint="eastAsia" w:ascii="黑体" w:hAnsi="黑体" w:eastAsia="黑体" w:cs="黑体"/>
                <w:sz w:val="18"/>
              </w:rPr>
              <w:t>项目</w:t>
            </w:r>
          </w:p>
        </w:tc>
        <w:tc>
          <w:tcPr>
            <w:tcW w:w="1133" w:type="pct"/>
            <w:tcBorders>
              <w:bottom w:val="single" w:color="DEE0E3" w:sz="8" w:space="0"/>
            </w:tcBorders>
            <w:tcMar>
              <w:top w:w="60" w:type="dxa"/>
              <w:left w:w="120" w:type="dxa"/>
              <w:bottom w:w="30" w:type="dxa"/>
              <w:right w:w="120" w:type="dxa"/>
            </w:tcMar>
          </w:tcPr>
          <w:p w14:paraId="6553CC1E">
            <w:pPr>
              <w:spacing w:before="120" w:after="120" w:line="240" w:lineRule="auto"/>
              <w:jc w:val="left"/>
              <w:rPr>
                <w:rFonts w:hint="eastAsia" w:ascii="黑体" w:hAnsi="黑体" w:eastAsia="黑体" w:cs="黑体"/>
                <w:sz w:val="18"/>
              </w:rPr>
            </w:pPr>
            <w:r>
              <w:rPr>
                <w:rFonts w:hint="eastAsia" w:ascii="黑体" w:hAnsi="黑体" w:eastAsia="黑体" w:cs="黑体"/>
                <w:sz w:val="18"/>
              </w:rPr>
              <w:t>优等品（Grade A）</w:t>
            </w:r>
          </w:p>
        </w:tc>
        <w:tc>
          <w:tcPr>
            <w:tcW w:w="1053" w:type="pct"/>
            <w:tcBorders>
              <w:bottom w:val="single" w:color="DEE0E3" w:sz="8" w:space="0"/>
            </w:tcBorders>
            <w:tcMar>
              <w:top w:w="60" w:type="dxa"/>
              <w:left w:w="120" w:type="dxa"/>
              <w:bottom w:w="30" w:type="dxa"/>
              <w:right w:w="120" w:type="dxa"/>
            </w:tcMar>
          </w:tcPr>
          <w:p w14:paraId="5ACA7842">
            <w:pPr>
              <w:spacing w:before="120" w:after="120" w:line="240" w:lineRule="auto"/>
              <w:jc w:val="left"/>
              <w:rPr>
                <w:rFonts w:hint="eastAsia" w:ascii="黑体" w:hAnsi="黑体" w:eastAsia="黑体" w:cs="黑体"/>
                <w:sz w:val="18"/>
              </w:rPr>
            </w:pPr>
            <w:r>
              <w:rPr>
                <w:rFonts w:hint="eastAsia" w:ascii="黑体" w:hAnsi="黑体" w:eastAsia="黑体" w:cs="黑体"/>
                <w:sz w:val="18"/>
              </w:rPr>
              <w:t>一级品（Grade B）</w:t>
            </w:r>
          </w:p>
        </w:tc>
        <w:tc>
          <w:tcPr>
            <w:tcW w:w="1047" w:type="pct"/>
            <w:tcBorders>
              <w:bottom w:val="single" w:color="DEE0E3" w:sz="8" w:space="0"/>
            </w:tcBorders>
            <w:tcMar>
              <w:top w:w="60" w:type="dxa"/>
              <w:left w:w="120" w:type="dxa"/>
              <w:bottom w:w="30" w:type="dxa"/>
              <w:right w:w="120" w:type="dxa"/>
            </w:tcMar>
          </w:tcPr>
          <w:p w14:paraId="24746241">
            <w:pPr>
              <w:spacing w:before="120" w:after="120" w:line="240" w:lineRule="auto"/>
              <w:jc w:val="left"/>
              <w:rPr>
                <w:rFonts w:hint="eastAsia" w:ascii="黑体" w:hAnsi="黑体" w:eastAsia="黑体" w:cs="黑体"/>
                <w:sz w:val="18"/>
              </w:rPr>
            </w:pPr>
            <w:r>
              <w:rPr>
                <w:rFonts w:hint="eastAsia" w:ascii="黑体" w:hAnsi="黑体" w:eastAsia="黑体" w:cs="黑体"/>
                <w:sz w:val="18"/>
              </w:rPr>
              <w:t>合格品（Grade C）</w:t>
            </w:r>
          </w:p>
        </w:tc>
        <w:tc>
          <w:tcPr>
            <w:tcW w:w="1047" w:type="pct"/>
            <w:tcBorders>
              <w:bottom w:val="single" w:color="DEE0E3" w:sz="8" w:space="0"/>
            </w:tcBorders>
            <w:tcMar>
              <w:top w:w="60" w:type="dxa"/>
              <w:left w:w="120" w:type="dxa"/>
              <w:bottom w:w="30" w:type="dxa"/>
              <w:right w:w="120" w:type="dxa"/>
            </w:tcMar>
          </w:tcPr>
          <w:p w14:paraId="1FEA2F22">
            <w:pPr>
              <w:spacing w:before="120" w:after="120" w:line="240" w:lineRule="auto"/>
              <w:jc w:val="left"/>
              <w:rPr>
                <w:rFonts w:hint="eastAsia" w:ascii="黑体" w:hAnsi="黑体" w:eastAsia="黑体" w:cs="黑体"/>
                <w:sz w:val="18"/>
              </w:rPr>
            </w:pPr>
            <w:r>
              <w:rPr>
                <w:rFonts w:hint="eastAsia" w:ascii="黑体" w:hAnsi="黑体" w:eastAsia="黑体" w:cs="黑体"/>
                <w:sz w:val="18"/>
              </w:rPr>
              <w:t>不合格品（Grade D）</w:t>
            </w:r>
          </w:p>
        </w:tc>
      </w:tr>
      <w:tr w14:paraId="01C4C60C">
        <w:tblPrEx>
          <w:tblBorders>
            <w:top w:val="single" w:color="DEE0E3" w:sz="8" w:space="0"/>
            <w:left w:val="single" w:color="DEE0E3" w:sz="8" w:space="0"/>
            <w:bottom w:val="single" w:color="DEE0E3" w:sz="8" w:space="0"/>
            <w:right w:val="single" w:color="DEE0E3" w:sz="8" w:space="0"/>
            <w:insideH w:val="single" w:color="DEE0E3" w:sz="0" w:space="0"/>
            <w:insideV w:val="single" w:color="DEE0E3" w:sz="0" w:space="0"/>
          </w:tblBorders>
          <w:tblCellMar>
            <w:top w:w="0" w:type="dxa"/>
            <w:left w:w="0" w:type="dxa"/>
            <w:bottom w:w="0" w:type="dxa"/>
            <w:right w:w="0" w:type="dxa"/>
          </w:tblCellMar>
        </w:tblPrEx>
        <w:tc>
          <w:tcPr>
            <w:tcW w:w="718" w:type="pct"/>
            <w:tcBorders>
              <w:top w:val="single" w:color="DEE0E3" w:sz="8" w:space="0"/>
            </w:tcBorders>
            <w:tcMar>
              <w:top w:w="60" w:type="dxa"/>
              <w:left w:w="120" w:type="dxa"/>
              <w:bottom w:w="30" w:type="dxa"/>
              <w:right w:w="120" w:type="dxa"/>
            </w:tcMar>
          </w:tcPr>
          <w:p w14:paraId="1A3D3258">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原料类型</w:t>
            </w:r>
          </w:p>
        </w:tc>
        <w:tc>
          <w:tcPr>
            <w:tcW w:w="1133" w:type="pct"/>
            <w:tcBorders>
              <w:top w:val="single" w:color="DEE0E3" w:sz="8" w:space="0"/>
            </w:tcBorders>
            <w:tcMar>
              <w:top w:w="60" w:type="dxa"/>
              <w:left w:w="120" w:type="dxa"/>
              <w:bottom w:w="30" w:type="dxa"/>
              <w:right w:w="120" w:type="dxa"/>
            </w:tcMar>
          </w:tcPr>
          <w:p w14:paraId="38C11CBB">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饲料级植物基原料</w:t>
            </w:r>
          </w:p>
        </w:tc>
        <w:tc>
          <w:tcPr>
            <w:tcW w:w="1053" w:type="pct"/>
            <w:tcBorders>
              <w:top w:val="single" w:color="DEE0E3" w:sz="8" w:space="0"/>
            </w:tcBorders>
            <w:tcMar>
              <w:top w:w="60" w:type="dxa"/>
              <w:left w:w="120" w:type="dxa"/>
              <w:bottom w:w="30" w:type="dxa"/>
              <w:right w:w="120" w:type="dxa"/>
            </w:tcMar>
          </w:tcPr>
          <w:p w14:paraId="637805B4">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合规农业、食品副产物</w:t>
            </w:r>
          </w:p>
        </w:tc>
        <w:tc>
          <w:tcPr>
            <w:tcW w:w="1047" w:type="pct"/>
            <w:tcBorders>
              <w:top w:val="single" w:color="DEE0E3" w:sz="8" w:space="0"/>
            </w:tcBorders>
            <w:tcMar>
              <w:top w:w="60" w:type="dxa"/>
              <w:left w:w="120" w:type="dxa"/>
              <w:bottom w:w="30" w:type="dxa"/>
              <w:right w:w="120" w:type="dxa"/>
            </w:tcMar>
          </w:tcPr>
          <w:p w14:paraId="0E7FA715">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无害化畜禽粪便/合规餐厨/其他有机废弃物</w:t>
            </w:r>
          </w:p>
        </w:tc>
        <w:tc>
          <w:tcPr>
            <w:tcW w:w="1047" w:type="pct"/>
            <w:tcBorders>
              <w:top w:val="single" w:color="DEE0E3" w:sz="8" w:space="0"/>
            </w:tcBorders>
            <w:tcMar>
              <w:top w:w="60" w:type="dxa"/>
              <w:left w:w="120" w:type="dxa"/>
              <w:bottom w:w="30" w:type="dxa"/>
              <w:right w:w="120" w:type="dxa"/>
            </w:tcMar>
          </w:tcPr>
          <w:p w14:paraId="52397831">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原料来源不明、违禁污染、疫区物料</w:t>
            </w:r>
          </w:p>
        </w:tc>
      </w:tr>
      <w:tr w14:paraId="7CFA8A22">
        <w:tblPrEx>
          <w:tblBorders>
            <w:top w:val="single" w:color="DEE0E3" w:sz="8" w:space="0"/>
            <w:left w:val="single" w:color="DEE0E3" w:sz="8" w:space="0"/>
            <w:bottom w:val="single" w:color="DEE0E3" w:sz="8" w:space="0"/>
            <w:right w:val="single" w:color="DEE0E3" w:sz="8" w:space="0"/>
            <w:insideH w:val="single" w:color="DEE0E3" w:sz="0" w:space="0"/>
            <w:insideV w:val="single" w:color="DEE0E3" w:sz="0" w:space="0"/>
          </w:tblBorders>
          <w:tblCellMar>
            <w:top w:w="0" w:type="dxa"/>
            <w:left w:w="0" w:type="dxa"/>
            <w:bottom w:w="0" w:type="dxa"/>
            <w:right w:w="0" w:type="dxa"/>
          </w:tblCellMar>
        </w:tblPrEx>
        <w:tc>
          <w:tcPr>
            <w:tcW w:w="718" w:type="pct"/>
            <w:tcMar>
              <w:top w:w="60" w:type="dxa"/>
              <w:left w:w="120" w:type="dxa"/>
              <w:bottom w:w="30" w:type="dxa"/>
              <w:right w:w="120" w:type="dxa"/>
            </w:tcMar>
          </w:tcPr>
          <w:p w14:paraId="74EE7074">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养殖管控</w:t>
            </w:r>
          </w:p>
        </w:tc>
        <w:tc>
          <w:tcPr>
            <w:tcW w:w="1133" w:type="pct"/>
            <w:tcMar>
              <w:top w:w="60" w:type="dxa"/>
              <w:left w:w="120" w:type="dxa"/>
              <w:bottom w:w="30" w:type="dxa"/>
              <w:right w:w="120" w:type="dxa"/>
            </w:tcMar>
          </w:tcPr>
          <w:p w14:paraId="7A5D17E3">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洁净养殖，规范空腹排空、高温灭菌</w:t>
            </w:r>
          </w:p>
        </w:tc>
        <w:tc>
          <w:tcPr>
            <w:tcW w:w="1053" w:type="pct"/>
            <w:tcMar>
              <w:top w:w="60" w:type="dxa"/>
              <w:left w:w="120" w:type="dxa"/>
              <w:bottom w:w="30" w:type="dxa"/>
              <w:right w:w="120" w:type="dxa"/>
            </w:tcMar>
          </w:tcPr>
          <w:p w14:paraId="606A5912">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规范养殖，批次管理、防疫合格</w:t>
            </w:r>
          </w:p>
        </w:tc>
        <w:tc>
          <w:tcPr>
            <w:tcW w:w="1047" w:type="pct"/>
            <w:tcMar>
              <w:top w:w="60" w:type="dxa"/>
              <w:left w:w="120" w:type="dxa"/>
              <w:bottom w:w="30" w:type="dxa"/>
              <w:right w:w="120" w:type="dxa"/>
            </w:tcMar>
          </w:tcPr>
          <w:p w14:paraId="6AE8003F">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基础合规养殖，满足无害化底线</w:t>
            </w:r>
          </w:p>
        </w:tc>
        <w:tc>
          <w:tcPr>
            <w:tcW w:w="1047" w:type="pct"/>
            <w:tcMar>
              <w:top w:w="60" w:type="dxa"/>
              <w:left w:w="120" w:type="dxa"/>
              <w:bottom w:w="30" w:type="dxa"/>
              <w:right w:w="120" w:type="dxa"/>
            </w:tcMar>
          </w:tcPr>
          <w:p w14:paraId="615E62A0">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养殖环境恶劣、病害超标、使用违禁物质、虫体变质死亡</w:t>
            </w:r>
          </w:p>
        </w:tc>
      </w:tr>
      <w:tr w14:paraId="22B23E0E">
        <w:tblPrEx>
          <w:tblBorders>
            <w:top w:val="single" w:color="DEE0E3" w:sz="8" w:space="0"/>
            <w:left w:val="single" w:color="DEE0E3" w:sz="8" w:space="0"/>
            <w:bottom w:val="single" w:color="DEE0E3" w:sz="8" w:space="0"/>
            <w:right w:val="single" w:color="DEE0E3" w:sz="8" w:space="0"/>
            <w:insideH w:val="single" w:color="DEE0E3" w:sz="0" w:space="0"/>
            <w:insideV w:val="single" w:color="DEE0E3" w:sz="0" w:space="0"/>
          </w:tblBorders>
          <w:tblCellMar>
            <w:top w:w="0" w:type="dxa"/>
            <w:left w:w="0" w:type="dxa"/>
            <w:bottom w:w="0" w:type="dxa"/>
            <w:right w:w="0" w:type="dxa"/>
          </w:tblCellMar>
        </w:tblPrEx>
        <w:trPr>
          <w:trHeight w:val="1097" w:hRule="atLeast"/>
        </w:trPr>
        <w:tc>
          <w:tcPr>
            <w:tcW w:w="718" w:type="pct"/>
            <w:tcMar>
              <w:top w:w="60" w:type="dxa"/>
              <w:left w:w="120" w:type="dxa"/>
              <w:bottom w:w="30" w:type="dxa"/>
              <w:right w:w="120" w:type="dxa"/>
            </w:tcMar>
          </w:tcPr>
          <w:p w14:paraId="32923DC7">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溯源等级</w:t>
            </w:r>
          </w:p>
        </w:tc>
        <w:tc>
          <w:tcPr>
            <w:tcW w:w="1133" w:type="pct"/>
            <w:tcMar>
              <w:top w:w="60" w:type="dxa"/>
              <w:left w:w="120" w:type="dxa"/>
              <w:bottom w:w="30" w:type="dxa"/>
              <w:right w:w="120" w:type="dxa"/>
            </w:tcMar>
          </w:tcPr>
          <w:p w14:paraId="2F58C5D9">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全链条数字化溯源原料-养殖-加工-检测-流通可查</w:t>
            </w:r>
          </w:p>
        </w:tc>
        <w:tc>
          <w:tcPr>
            <w:tcW w:w="1053" w:type="pct"/>
            <w:tcMar>
              <w:top w:w="60" w:type="dxa"/>
              <w:left w:w="120" w:type="dxa"/>
              <w:bottom w:w="30" w:type="dxa"/>
              <w:right w:w="120" w:type="dxa"/>
            </w:tcMar>
          </w:tcPr>
          <w:p w14:paraId="7BAAE567">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批次台账溯源关键节点记录完整</w:t>
            </w:r>
          </w:p>
        </w:tc>
        <w:tc>
          <w:tcPr>
            <w:tcW w:w="1047" w:type="pct"/>
            <w:tcMar>
              <w:top w:w="60" w:type="dxa"/>
              <w:left w:w="120" w:type="dxa"/>
              <w:bottom w:w="30" w:type="dxa"/>
              <w:right w:w="120" w:type="dxa"/>
            </w:tcMar>
          </w:tcPr>
          <w:p w14:paraId="662F9CDF">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基础批次记录来源可查证</w:t>
            </w:r>
          </w:p>
        </w:tc>
        <w:tc>
          <w:tcPr>
            <w:tcW w:w="1047" w:type="pct"/>
            <w:tcMar>
              <w:top w:w="60" w:type="dxa"/>
              <w:left w:w="120" w:type="dxa"/>
              <w:bottom w:w="30" w:type="dxa"/>
              <w:right w:w="120" w:type="dxa"/>
            </w:tcMar>
          </w:tcPr>
          <w:p w14:paraId="4BA20BF9">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无溯源、台账缺失、伪造溯源信息、批次无法识别</w:t>
            </w:r>
          </w:p>
        </w:tc>
      </w:tr>
      <w:tr w14:paraId="02B6BB75">
        <w:tblPrEx>
          <w:tblBorders>
            <w:top w:val="single" w:color="DEE0E3" w:sz="8" w:space="0"/>
            <w:left w:val="single" w:color="DEE0E3" w:sz="8" w:space="0"/>
            <w:bottom w:val="single" w:color="DEE0E3" w:sz="8" w:space="0"/>
            <w:right w:val="single" w:color="DEE0E3" w:sz="8" w:space="0"/>
            <w:insideH w:val="single" w:color="DEE0E3" w:sz="0" w:space="0"/>
            <w:insideV w:val="single" w:color="DEE0E3" w:sz="0" w:space="0"/>
          </w:tblBorders>
          <w:tblCellMar>
            <w:top w:w="0" w:type="dxa"/>
            <w:left w:w="0" w:type="dxa"/>
            <w:bottom w:w="0" w:type="dxa"/>
            <w:right w:w="0" w:type="dxa"/>
          </w:tblCellMar>
        </w:tblPrEx>
        <w:trPr>
          <w:trHeight w:val="1097" w:hRule="atLeast"/>
        </w:trPr>
        <w:tc>
          <w:tcPr>
            <w:tcW w:w="718" w:type="pct"/>
            <w:tcMar>
              <w:top w:w="60" w:type="dxa"/>
              <w:left w:w="120" w:type="dxa"/>
              <w:bottom w:w="30" w:type="dxa"/>
              <w:right w:w="120" w:type="dxa"/>
            </w:tcMar>
          </w:tcPr>
          <w:p w14:paraId="2B035676">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企业质检能力</w:t>
            </w:r>
          </w:p>
        </w:tc>
        <w:tc>
          <w:tcPr>
            <w:tcW w:w="1133" w:type="pct"/>
            <w:tcMar>
              <w:top w:w="60" w:type="dxa"/>
              <w:left w:w="120" w:type="dxa"/>
              <w:bottom w:w="30" w:type="dxa"/>
              <w:right w:w="120" w:type="dxa"/>
            </w:tcMar>
          </w:tcPr>
          <w:p w14:paraId="3A18A943">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必须自建标准化质检室，具备自检与留样能力</w:t>
            </w:r>
          </w:p>
        </w:tc>
        <w:tc>
          <w:tcPr>
            <w:tcW w:w="1053" w:type="pct"/>
            <w:tcMar>
              <w:top w:w="60" w:type="dxa"/>
              <w:left w:w="120" w:type="dxa"/>
              <w:bottom w:w="30" w:type="dxa"/>
              <w:right w:w="120" w:type="dxa"/>
            </w:tcMar>
          </w:tcPr>
          <w:p w14:paraId="5F223240">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需具备基本质检条件，关键项目可自检或委托检测</w:t>
            </w:r>
          </w:p>
        </w:tc>
        <w:tc>
          <w:tcPr>
            <w:tcW w:w="1047" w:type="pct"/>
            <w:tcMar>
              <w:top w:w="60" w:type="dxa"/>
              <w:left w:w="120" w:type="dxa"/>
              <w:bottom w:w="30" w:type="dxa"/>
              <w:right w:w="120" w:type="dxa"/>
            </w:tcMar>
          </w:tcPr>
          <w:p w14:paraId="3DEEA2F5">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具备基础质量管控和记录能力</w:t>
            </w:r>
          </w:p>
        </w:tc>
        <w:tc>
          <w:tcPr>
            <w:tcW w:w="1047" w:type="pct"/>
            <w:tcMar>
              <w:top w:w="60" w:type="dxa"/>
              <w:left w:w="120" w:type="dxa"/>
              <w:bottom w:w="30" w:type="dxa"/>
              <w:right w:w="120" w:type="dxa"/>
            </w:tcMar>
          </w:tcPr>
          <w:p w14:paraId="06EE6574">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无质检、无记录、无留样，质量无法监控</w:t>
            </w:r>
          </w:p>
        </w:tc>
      </w:tr>
      <w:tr w14:paraId="371FF8D8">
        <w:tblPrEx>
          <w:tblBorders>
            <w:top w:val="single" w:color="DEE0E3" w:sz="8" w:space="0"/>
            <w:left w:val="single" w:color="DEE0E3" w:sz="8" w:space="0"/>
            <w:bottom w:val="single" w:color="DEE0E3" w:sz="8" w:space="0"/>
            <w:right w:val="single" w:color="DEE0E3" w:sz="8" w:space="0"/>
            <w:insideH w:val="single" w:color="DEE0E3" w:sz="0" w:space="0"/>
            <w:insideV w:val="single" w:color="DEE0E3" w:sz="0" w:space="0"/>
          </w:tblBorders>
          <w:tblCellMar>
            <w:top w:w="0" w:type="dxa"/>
            <w:left w:w="0" w:type="dxa"/>
            <w:bottom w:w="0" w:type="dxa"/>
            <w:right w:w="0" w:type="dxa"/>
          </w:tblCellMar>
        </w:tblPrEx>
        <w:trPr>
          <w:trHeight w:val="1097" w:hRule="atLeast"/>
        </w:trPr>
        <w:tc>
          <w:tcPr>
            <w:tcW w:w="718" w:type="pct"/>
            <w:tcMar>
              <w:top w:w="60" w:type="dxa"/>
              <w:left w:w="120" w:type="dxa"/>
              <w:bottom w:w="30" w:type="dxa"/>
              <w:right w:w="120" w:type="dxa"/>
            </w:tcMar>
          </w:tcPr>
          <w:p w14:paraId="37422057">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体系认证</w:t>
            </w:r>
          </w:p>
        </w:tc>
        <w:tc>
          <w:tcPr>
            <w:tcW w:w="1133" w:type="pct"/>
            <w:tcMar>
              <w:top w:w="60" w:type="dxa"/>
              <w:left w:w="120" w:type="dxa"/>
              <w:bottom w:w="30" w:type="dxa"/>
              <w:right w:w="120" w:type="dxa"/>
            </w:tcMar>
          </w:tcPr>
          <w:p w14:paraId="7EDF8338">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必须通过ISO9001，</w:t>
            </w:r>
            <w:r>
              <w:rPr>
                <w:rFonts w:hint="eastAsia" w:ascii="宋体" w:hAnsi="宋体" w:cs="宋体"/>
                <w:sz w:val="18"/>
                <w:szCs w:val="18"/>
                <w:lang w:val="en-US" w:eastAsia="zh-CN"/>
              </w:rPr>
              <w:t>按照</w:t>
            </w:r>
            <w:r>
              <w:rPr>
                <w:rFonts w:hint="eastAsia" w:ascii="宋体" w:hAnsi="宋体" w:eastAsia="宋体" w:cs="宋体"/>
                <w:sz w:val="18"/>
                <w:szCs w:val="18"/>
              </w:rPr>
              <w:t>HACCP、ISO22000或GMP+</w:t>
            </w:r>
            <w:r>
              <w:rPr>
                <w:rFonts w:hint="eastAsia" w:ascii="宋体" w:hAnsi="宋体" w:cs="宋体"/>
                <w:sz w:val="18"/>
                <w:szCs w:val="18"/>
                <w:lang w:val="en-US" w:eastAsia="zh-CN"/>
              </w:rPr>
              <w:t>要求建立管理</w:t>
            </w:r>
            <w:r>
              <w:rPr>
                <w:rFonts w:hint="eastAsia" w:ascii="宋体" w:hAnsi="宋体" w:eastAsia="宋体" w:cs="宋体"/>
                <w:sz w:val="18"/>
                <w:szCs w:val="18"/>
              </w:rPr>
              <w:t>体系</w:t>
            </w:r>
            <w:r>
              <w:rPr>
                <w:rFonts w:hint="eastAsia" w:ascii="宋体" w:hAnsi="宋体" w:cs="宋体"/>
                <w:sz w:val="18"/>
                <w:szCs w:val="18"/>
                <w:lang w:eastAsia="zh-CN"/>
              </w:rPr>
              <w:t>，</w:t>
            </w:r>
            <w:r>
              <w:rPr>
                <w:rFonts w:hint="eastAsia" w:ascii="宋体" w:hAnsi="宋体" w:cs="宋体"/>
                <w:sz w:val="18"/>
                <w:szCs w:val="18"/>
                <w:lang w:val="en-US" w:eastAsia="zh-CN"/>
              </w:rPr>
              <w:t>建议持有第三方</w:t>
            </w:r>
            <w:r>
              <w:rPr>
                <w:rFonts w:hint="eastAsia" w:ascii="宋体" w:hAnsi="宋体" w:eastAsia="宋体" w:cs="宋体"/>
                <w:sz w:val="18"/>
                <w:szCs w:val="18"/>
              </w:rPr>
              <w:t>认证</w:t>
            </w:r>
          </w:p>
        </w:tc>
        <w:tc>
          <w:tcPr>
            <w:tcW w:w="1053" w:type="pct"/>
            <w:tcMar>
              <w:top w:w="60" w:type="dxa"/>
              <w:left w:w="120" w:type="dxa"/>
              <w:bottom w:w="30" w:type="dxa"/>
              <w:right w:w="120" w:type="dxa"/>
            </w:tcMar>
          </w:tcPr>
          <w:p w14:paraId="5FB9F57A">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必须通过ISO9001，并鼓励建立饲料安全/质量管控体系</w:t>
            </w:r>
          </w:p>
        </w:tc>
        <w:tc>
          <w:tcPr>
            <w:tcW w:w="1047" w:type="pct"/>
            <w:tcMar>
              <w:top w:w="60" w:type="dxa"/>
              <w:left w:w="120" w:type="dxa"/>
              <w:bottom w:w="30" w:type="dxa"/>
              <w:right w:w="120" w:type="dxa"/>
            </w:tcMar>
          </w:tcPr>
          <w:p w14:paraId="7C0B2627">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建立基础质量管理制度</w:t>
            </w:r>
          </w:p>
        </w:tc>
        <w:tc>
          <w:tcPr>
            <w:tcW w:w="1047" w:type="pct"/>
            <w:tcMar>
              <w:top w:w="60" w:type="dxa"/>
              <w:left w:w="120" w:type="dxa"/>
              <w:bottom w:w="30" w:type="dxa"/>
              <w:right w:w="120" w:type="dxa"/>
            </w:tcMar>
          </w:tcPr>
          <w:p w14:paraId="52C3A864">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无质量管控体系，存在重大安全风险</w:t>
            </w:r>
          </w:p>
        </w:tc>
      </w:tr>
      <w:tr w14:paraId="4BA4E16E">
        <w:tblPrEx>
          <w:tblBorders>
            <w:top w:val="single" w:color="DEE0E3" w:sz="8" w:space="0"/>
            <w:left w:val="single" w:color="DEE0E3" w:sz="8" w:space="0"/>
            <w:bottom w:val="single" w:color="DEE0E3" w:sz="8" w:space="0"/>
            <w:right w:val="single" w:color="DEE0E3" w:sz="8" w:space="0"/>
            <w:insideH w:val="single" w:color="DEE0E3" w:sz="0" w:space="0"/>
            <w:insideV w:val="single" w:color="DEE0E3" w:sz="0" w:space="0"/>
          </w:tblBorders>
          <w:tblCellMar>
            <w:top w:w="0" w:type="dxa"/>
            <w:left w:w="0" w:type="dxa"/>
            <w:bottom w:w="0" w:type="dxa"/>
            <w:right w:w="0" w:type="dxa"/>
          </w:tblCellMar>
        </w:tblPrEx>
        <w:tc>
          <w:tcPr>
            <w:tcW w:w="718" w:type="pct"/>
            <w:tcMar>
              <w:top w:w="60" w:type="dxa"/>
              <w:left w:w="120" w:type="dxa"/>
              <w:bottom w:w="30" w:type="dxa"/>
              <w:right w:w="120" w:type="dxa"/>
            </w:tcMar>
          </w:tcPr>
          <w:p w14:paraId="609A3B40">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加工匹配</w:t>
            </w:r>
          </w:p>
        </w:tc>
        <w:tc>
          <w:tcPr>
            <w:tcW w:w="1133" w:type="pct"/>
            <w:tcMar>
              <w:top w:w="60" w:type="dxa"/>
              <w:left w:w="120" w:type="dxa"/>
              <w:bottom w:w="30" w:type="dxa"/>
              <w:right w:w="120" w:type="dxa"/>
            </w:tcMar>
          </w:tcPr>
          <w:p w14:paraId="17DFFCB7">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符合专项标准最高等级</w:t>
            </w:r>
          </w:p>
        </w:tc>
        <w:tc>
          <w:tcPr>
            <w:tcW w:w="1053" w:type="pct"/>
            <w:tcMar>
              <w:top w:w="60" w:type="dxa"/>
              <w:left w:w="120" w:type="dxa"/>
              <w:bottom w:w="30" w:type="dxa"/>
              <w:right w:w="120" w:type="dxa"/>
            </w:tcMar>
          </w:tcPr>
          <w:p w14:paraId="06EEB2A1">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符合专项标准合格及以上</w:t>
            </w:r>
          </w:p>
        </w:tc>
        <w:tc>
          <w:tcPr>
            <w:tcW w:w="1047" w:type="pct"/>
            <w:tcMar>
              <w:top w:w="60" w:type="dxa"/>
              <w:left w:w="120" w:type="dxa"/>
              <w:bottom w:w="30" w:type="dxa"/>
              <w:right w:w="120" w:type="dxa"/>
            </w:tcMar>
          </w:tcPr>
          <w:p w14:paraId="0E477C2B">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符合专项标准合格等级</w:t>
            </w:r>
          </w:p>
        </w:tc>
        <w:tc>
          <w:tcPr>
            <w:tcW w:w="1047" w:type="pct"/>
            <w:tcMar>
              <w:top w:w="60" w:type="dxa"/>
              <w:left w:w="120" w:type="dxa"/>
              <w:bottom w:w="30" w:type="dxa"/>
              <w:right w:w="120" w:type="dxa"/>
            </w:tcMar>
          </w:tcPr>
          <w:p w14:paraId="67734181">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不符合专项标准要求、工艺缺失、掺假加工、混入异物</w:t>
            </w:r>
          </w:p>
        </w:tc>
      </w:tr>
      <w:tr w14:paraId="2672D99E">
        <w:tblPrEx>
          <w:tblBorders>
            <w:top w:val="single" w:color="DEE0E3" w:sz="8" w:space="0"/>
            <w:left w:val="single" w:color="DEE0E3" w:sz="8" w:space="0"/>
            <w:bottom w:val="single" w:color="DEE0E3" w:sz="8" w:space="0"/>
            <w:right w:val="single" w:color="DEE0E3" w:sz="8" w:space="0"/>
            <w:insideH w:val="single" w:color="DEE0E3" w:sz="0" w:space="0"/>
            <w:insideV w:val="single" w:color="DEE0E3" w:sz="0" w:space="0"/>
          </w:tblBorders>
          <w:tblCellMar>
            <w:top w:w="0" w:type="dxa"/>
            <w:left w:w="0" w:type="dxa"/>
            <w:bottom w:w="0" w:type="dxa"/>
            <w:right w:w="0" w:type="dxa"/>
          </w:tblCellMar>
        </w:tblPrEx>
        <w:tc>
          <w:tcPr>
            <w:tcW w:w="718" w:type="pct"/>
            <w:tcMar>
              <w:top w:w="60" w:type="dxa"/>
              <w:left w:w="120" w:type="dxa"/>
              <w:bottom w:w="30" w:type="dxa"/>
              <w:right w:w="120" w:type="dxa"/>
            </w:tcMar>
          </w:tcPr>
          <w:p w14:paraId="0F692490">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卫生安全</w:t>
            </w:r>
          </w:p>
        </w:tc>
        <w:tc>
          <w:tcPr>
            <w:tcW w:w="1133" w:type="pct"/>
            <w:tcMar>
              <w:top w:w="60" w:type="dxa"/>
              <w:left w:w="120" w:type="dxa"/>
              <w:bottom w:w="30" w:type="dxa"/>
              <w:right w:w="120" w:type="dxa"/>
            </w:tcMar>
          </w:tcPr>
          <w:p w14:paraId="4FAC557E">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致病菌不得检出重金属毒素执行最严限值，符合GB 13078及国内强制要求</w:t>
            </w:r>
          </w:p>
        </w:tc>
        <w:tc>
          <w:tcPr>
            <w:tcW w:w="1053" w:type="pct"/>
            <w:tcMar>
              <w:top w:w="60" w:type="dxa"/>
              <w:left w:w="120" w:type="dxa"/>
              <w:bottom w:w="30" w:type="dxa"/>
              <w:right w:w="120" w:type="dxa"/>
            </w:tcMar>
          </w:tcPr>
          <w:p w14:paraId="2158B0EC">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符合GB 13078及国内强制要求</w:t>
            </w:r>
          </w:p>
        </w:tc>
        <w:tc>
          <w:tcPr>
            <w:tcW w:w="1047" w:type="pct"/>
            <w:tcMar>
              <w:top w:w="60" w:type="dxa"/>
              <w:left w:w="120" w:type="dxa"/>
              <w:bottom w:w="30" w:type="dxa"/>
              <w:right w:w="120" w:type="dxa"/>
            </w:tcMar>
          </w:tcPr>
          <w:p w14:paraId="628801A8">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符合GB 13078及国内强制要求</w:t>
            </w:r>
          </w:p>
        </w:tc>
        <w:tc>
          <w:tcPr>
            <w:tcW w:w="1047" w:type="pct"/>
            <w:tcMar>
              <w:top w:w="60" w:type="dxa"/>
              <w:left w:w="120" w:type="dxa"/>
              <w:bottom w:w="30" w:type="dxa"/>
              <w:right w:w="120" w:type="dxa"/>
            </w:tcMar>
          </w:tcPr>
          <w:p w14:paraId="16B48584">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致病菌检出、重金属 / 毒素超标、霉变酸败、异物超标</w:t>
            </w:r>
          </w:p>
        </w:tc>
      </w:tr>
      <w:tr w14:paraId="2E8C7A2C">
        <w:tblPrEx>
          <w:tblBorders>
            <w:top w:val="single" w:color="DEE0E3" w:sz="8" w:space="0"/>
            <w:left w:val="single" w:color="DEE0E3" w:sz="8" w:space="0"/>
            <w:bottom w:val="single" w:color="DEE0E3" w:sz="8" w:space="0"/>
            <w:right w:val="single" w:color="DEE0E3" w:sz="8" w:space="0"/>
            <w:insideH w:val="single" w:color="DEE0E3" w:sz="0" w:space="0"/>
            <w:insideV w:val="single" w:color="DEE0E3" w:sz="0" w:space="0"/>
          </w:tblBorders>
          <w:tblCellMar>
            <w:top w:w="0" w:type="dxa"/>
            <w:left w:w="0" w:type="dxa"/>
            <w:bottom w:w="0" w:type="dxa"/>
            <w:right w:w="0" w:type="dxa"/>
          </w:tblCellMar>
        </w:tblPrEx>
        <w:tc>
          <w:tcPr>
            <w:tcW w:w="718" w:type="pct"/>
            <w:tcMar>
              <w:top w:w="60" w:type="dxa"/>
              <w:left w:w="120" w:type="dxa"/>
              <w:bottom w:w="30" w:type="dxa"/>
              <w:right w:w="120" w:type="dxa"/>
            </w:tcMar>
          </w:tcPr>
          <w:p w14:paraId="1F1352E0">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飞行检查</w:t>
            </w:r>
          </w:p>
        </w:tc>
        <w:tc>
          <w:tcPr>
            <w:tcW w:w="1133" w:type="pct"/>
            <w:tcMar>
              <w:top w:w="60" w:type="dxa"/>
              <w:left w:w="120" w:type="dxa"/>
              <w:bottom w:w="30" w:type="dxa"/>
              <w:right w:w="120" w:type="dxa"/>
            </w:tcMar>
          </w:tcPr>
          <w:p w14:paraId="435F11FF">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飞行检查合格</w:t>
            </w:r>
          </w:p>
        </w:tc>
        <w:tc>
          <w:tcPr>
            <w:tcW w:w="1053" w:type="pct"/>
            <w:tcMar>
              <w:top w:w="60" w:type="dxa"/>
              <w:left w:w="120" w:type="dxa"/>
              <w:bottom w:w="30" w:type="dxa"/>
              <w:right w:w="120" w:type="dxa"/>
            </w:tcMar>
          </w:tcPr>
          <w:p w14:paraId="31424D70">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飞行检查合格</w:t>
            </w:r>
          </w:p>
        </w:tc>
        <w:tc>
          <w:tcPr>
            <w:tcW w:w="1047" w:type="pct"/>
            <w:tcMar>
              <w:top w:w="60" w:type="dxa"/>
              <w:left w:w="120" w:type="dxa"/>
              <w:bottom w:w="30" w:type="dxa"/>
              <w:right w:w="120" w:type="dxa"/>
            </w:tcMar>
          </w:tcPr>
          <w:p w14:paraId="57A18772">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飞行检查合格</w:t>
            </w:r>
          </w:p>
        </w:tc>
        <w:tc>
          <w:tcPr>
            <w:tcW w:w="1047" w:type="pct"/>
            <w:tcMar>
              <w:top w:w="60" w:type="dxa"/>
              <w:left w:w="120" w:type="dxa"/>
              <w:bottom w:w="30" w:type="dxa"/>
              <w:right w:w="120" w:type="dxa"/>
            </w:tcMar>
          </w:tcPr>
          <w:p w14:paraId="6AD5FE5F">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飞行检查严重不合格、拒不整改、查实掺假造假</w:t>
            </w:r>
          </w:p>
        </w:tc>
      </w:tr>
      <w:tr w14:paraId="17FC2D6B">
        <w:tblPrEx>
          <w:tblBorders>
            <w:top w:val="single" w:color="DEE0E3" w:sz="8" w:space="0"/>
            <w:left w:val="single" w:color="DEE0E3" w:sz="8" w:space="0"/>
            <w:bottom w:val="single" w:color="DEE0E3" w:sz="8" w:space="0"/>
            <w:right w:val="single" w:color="DEE0E3" w:sz="8" w:space="0"/>
            <w:insideH w:val="single" w:color="DEE0E3" w:sz="0" w:space="0"/>
            <w:insideV w:val="single" w:color="DEE0E3" w:sz="0" w:space="0"/>
          </w:tblBorders>
          <w:tblCellMar>
            <w:top w:w="0" w:type="dxa"/>
            <w:left w:w="0" w:type="dxa"/>
            <w:bottom w:w="0" w:type="dxa"/>
            <w:right w:w="0" w:type="dxa"/>
          </w:tblCellMar>
        </w:tblPrEx>
        <w:tc>
          <w:tcPr>
            <w:tcW w:w="718" w:type="pct"/>
            <w:tcMar>
              <w:top w:w="60" w:type="dxa"/>
              <w:left w:w="120" w:type="dxa"/>
              <w:bottom w:w="30" w:type="dxa"/>
              <w:right w:w="120" w:type="dxa"/>
            </w:tcMar>
          </w:tcPr>
          <w:p w14:paraId="5E37C6F8">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适用场景</w:t>
            </w:r>
          </w:p>
        </w:tc>
        <w:tc>
          <w:tcPr>
            <w:tcW w:w="1133" w:type="pct"/>
            <w:tcMar>
              <w:top w:w="60" w:type="dxa"/>
              <w:left w:w="120" w:type="dxa"/>
              <w:bottom w:w="30" w:type="dxa"/>
              <w:right w:w="120" w:type="dxa"/>
            </w:tcMar>
          </w:tcPr>
          <w:p w14:paraId="1CD901E5">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高端宠物食品、水产、严苛准入跨境市场</w:t>
            </w:r>
          </w:p>
        </w:tc>
        <w:tc>
          <w:tcPr>
            <w:tcW w:w="1053" w:type="pct"/>
            <w:tcMar>
              <w:top w:w="60" w:type="dxa"/>
              <w:left w:w="120" w:type="dxa"/>
              <w:bottom w:w="30" w:type="dxa"/>
              <w:right w:w="120" w:type="dxa"/>
            </w:tcMar>
          </w:tcPr>
          <w:p w14:paraId="4C2A73F3">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高端宠物食品、水产、国内主流饲料、常规跨境贸易</w:t>
            </w:r>
          </w:p>
        </w:tc>
        <w:tc>
          <w:tcPr>
            <w:tcW w:w="1047" w:type="pct"/>
            <w:tcMar>
              <w:top w:w="60" w:type="dxa"/>
              <w:left w:w="120" w:type="dxa"/>
              <w:bottom w:w="30" w:type="dxa"/>
              <w:right w:w="120" w:type="dxa"/>
            </w:tcMar>
          </w:tcPr>
          <w:p w14:paraId="13AF0F3E">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国内大宗饲料、非严控地区跨境贸易</w:t>
            </w:r>
          </w:p>
        </w:tc>
        <w:tc>
          <w:tcPr>
            <w:tcW w:w="1047" w:type="pct"/>
            <w:tcMar>
              <w:top w:w="60" w:type="dxa"/>
              <w:left w:w="120" w:type="dxa"/>
              <w:bottom w:w="30" w:type="dxa"/>
              <w:right w:w="120" w:type="dxa"/>
            </w:tcMar>
          </w:tcPr>
          <w:p w14:paraId="3DE86875">
            <w:pPr>
              <w:spacing w:before="120" w:after="120" w:line="240" w:lineRule="auto"/>
              <w:jc w:val="left"/>
              <w:rPr>
                <w:rFonts w:hint="eastAsia" w:ascii="宋体" w:hAnsi="宋体" w:eastAsia="宋体" w:cs="宋体"/>
                <w:sz w:val="18"/>
                <w:szCs w:val="18"/>
              </w:rPr>
            </w:pPr>
            <w:r>
              <w:rPr>
                <w:rFonts w:hint="eastAsia" w:ascii="宋体" w:hAnsi="宋体" w:eastAsia="宋体" w:cs="宋体"/>
                <w:sz w:val="18"/>
                <w:szCs w:val="18"/>
              </w:rPr>
              <w:t>禁止流通、禁止销售、禁止出口；按规定召回 / 无害化处置</w:t>
            </w:r>
          </w:p>
        </w:tc>
      </w:tr>
    </w:tbl>
    <w:p w14:paraId="40671E57">
      <w:pPr>
        <w:pStyle w:val="23"/>
        <w:ind w:firstLine="420"/>
      </w:pPr>
    </w:p>
    <w:p w14:paraId="4F03B97C">
      <w:pPr>
        <w:pStyle w:val="25"/>
        <w:spacing w:before="240" w:after="240"/>
      </w:pPr>
      <w:r>
        <w:rPr>
          <w:rFonts w:hint="eastAsia"/>
        </w:rPr>
        <w:t>掺假防控通用规则</w:t>
      </w:r>
    </w:p>
    <w:p w14:paraId="5CEFA7A2">
      <w:pPr>
        <w:pStyle w:val="26"/>
        <w:spacing w:before="120" w:after="120"/>
      </w:pPr>
      <w:r>
        <w:rPr>
          <w:rFonts w:hint="eastAsia"/>
        </w:rPr>
        <w:t>严禁行为</w:t>
      </w:r>
    </w:p>
    <w:p w14:paraId="70FEC6AB">
      <w:pPr>
        <w:pStyle w:val="23"/>
        <w:ind w:firstLine="420"/>
        <w:rPr>
          <w:rFonts w:hint="eastAsia" w:ascii="宋体" w:hAnsi="宋体" w:eastAsia="宋体" w:cs="宋体"/>
          <w:sz w:val="21"/>
          <w:szCs w:val="21"/>
          <w:lang w:val="en-US" w:eastAsia="zh-CN" w:bidi="ar-SA"/>
        </w:rPr>
      </w:pPr>
      <w:r>
        <w:rPr>
          <w:rFonts w:hint="eastAsia" w:ascii="宋体" w:hAnsi="宋体" w:eastAsia="宋体" w:cs="宋体"/>
          <w:sz w:val="21"/>
          <w:szCs w:val="21"/>
          <w:lang w:val="en-US" w:eastAsia="zh-CN" w:bidi="ar-SA"/>
        </w:rPr>
        <w:t>虫粉掺混植物粉、皮革粉、羽毛粉、其他昆虫粉等非黑水虻来源粉末；</w:t>
      </w:r>
    </w:p>
    <w:p w14:paraId="79187FA2">
      <w:pPr>
        <w:pStyle w:val="23"/>
        <w:ind w:firstLine="420"/>
        <w:rPr>
          <w:rFonts w:hint="eastAsia" w:ascii="宋体" w:hAnsi="宋体" w:eastAsia="宋体" w:cs="宋体"/>
          <w:sz w:val="21"/>
          <w:szCs w:val="21"/>
          <w:lang w:val="en-US" w:eastAsia="zh-CN" w:bidi="ar-SA"/>
        </w:rPr>
      </w:pPr>
      <w:r>
        <w:rPr>
          <w:rFonts w:hint="eastAsia" w:ascii="宋体" w:hAnsi="宋体" w:eastAsia="宋体" w:cs="宋体"/>
          <w:sz w:val="21"/>
          <w:szCs w:val="21"/>
          <w:lang w:val="en-US" w:eastAsia="zh-CN" w:bidi="ar-SA"/>
        </w:rPr>
        <w:t>虫油掺混其他油脂、废弃油脂、溶剂残留超标；</w:t>
      </w:r>
    </w:p>
    <w:p w14:paraId="3BE5713F">
      <w:pPr>
        <w:pStyle w:val="23"/>
        <w:ind w:firstLine="420"/>
        <w:rPr>
          <w:rFonts w:hint="eastAsia" w:ascii="宋体" w:hAnsi="宋体" w:eastAsia="宋体" w:cs="宋体"/>
          <w:sz w:val="21"/>
          <w:szCs w:val="21"/>
          <w:lang w:val="en-US" w:eastAsia="zh-CN" w:bidi="ar-SA"/>
        </w:rPr>
      </w:pPr>
      <w:r>
        <w:rPr>
          <w:rFonts w:hint="eastAsia" w:ascii="宋体" w:hAnsi="宋体" w:eastAsia="宋体" w:cs="宋体"/>
          <w:sz w:val="21"/>
          <w:szCs w:val="21"/>
          <w:lang w:val="en-US" w:eastAsia="zh-CN" w:bidi="ar-SA"/>
        </w:rPr>
        <w:t>虫干掺混蛹壳、死成虫；</w:t>
      </w:r>
    </w:p>
    <w:p w14:paraId="6C36606A">
      <w:pPr>
        <w:pStyle w:val="23"/>
        <w:ind w:firstLine="420"/>
        <w:rPr>
          <w:rFonts w:hint="eastAsia" w:ascii="宋体" w:hAnsi="宋体" w:eastAsia="宋体" w:cs="宋体"/>
          <w:sz w:val="21"/>
          <w:szCs w:val="21"/>
          <w:lang w:val="en-US" w:eastAsia="zh-CN" w:bidi="ar-SA"/>
        </w:rPr>
      </w:pPr>
      <w:r>
        <w:rPr>
          <w:rFonts w:hint="eastAsia" w:ascii="宋体" w:hAnsi="宋体" w:eastAsia="宋体" w:cs="宋体"/>
          <w:sz w:val="21"/>
          <w:szCs w:val="21"/>
          <w:lang w:val="en-US" w:eastAsia="zh-CN" w:bidi="ar-SA"/>
        </w:rPr>
        <w:t>虚标原料类型、等级、溯源信息、检测报告。</w:t>
      </w:r>
    </w:p>
    <w:p w14:paraId="7D1DBD3D">
      <w:pPr>
        <w:pStyle w:val="26"/>
        <w:spacing w:before="120" w:after="120"/>
      </w:pPr>
      <w:r>
        <w:rPr>
          <w:rFonts w:hint="eastAsia"/>
        </w:rPr>
        <w:t>异常判定</w:t>
      </w:r>
    </w:p>
    <w:p w14:paraId="0467B60C">
      <w:pPr>
        <w:pStyle w:val="26"/>
        <w:spacing w:before="120" w:after="120"/>
        <w:rPr>
          <w:rFonts w:hint="eastAsia" w:ascii="宋体" w:hAnsi="宋体" w:eastAsia="宋体" w:cs="宋体"/>
          <w:sz w:val="21"/>
          <w:szCs w:val="21"/>
        </w:rPr>
      </w:pPr>
      <w:r>
        <w:rPr>
          <w:rFonts w:hint="eastAsia" w:ascii="宋体" w:hAnsi="宋体" w:eastAsia="宋体" w:cs="宋体"/>
          <w:sz w:val="21"/>
          <w:szCs w:val="21"/>
        </w:rPr>
        <w:t>灰分异常、氨基酸总和/粗蛋白严重偏离正常范围、氨基酸谱偏离正常比例、酸价/过氧化值/挥发性盐基氮显著异常、特征标记物异常。</w:t>
      </w:r>
    </w:p>
    <w:p w14:paraId="6CAE5991">
      <w:pPr>
        <w:pStyle w:val="26"/>
        <w:spacing w:before="120" w:after="120"/>
      </w:pPr>
      <w:r>
        <w:rPr>
          <w:rFonts w:hint="eastAsia"/>
        </w:rPr>
        <w:t>处置</w:t>
      </w:r>
    </w:p>
    <w:p w14:paraId="77AF0E14">
      <w:pPr>
        <w:pStyle w:val="23"/>
        <w:ind w:firstLine="420"/>
        <w:rPr>
          <w:rFonts w:hint="eastAsia" w:ascii="宋体" w:hAnsi="宋体" w:eastAsia="宋体" w:cs="宋体"/>
          <w:sz w:val="21"/>
          <w:szCs w:val="21"/>
          <w:lang w:val="en-US" w:eastAsia="zh-CN" w:bidi="ar-SA"/>
        </w:rPr>
      </w:pPr>
      <w:r>
        <w:rPr>
          <w:rFonts w:hint="eastAsia" w:ascii="宋体" w:hAnsi="宋体" w:eastAsia="宋体" w:cs="宋体"/>
          <w:sz w:val="21"/>
          <w:szCs w:val="21"/>
          <w:lang w:val="en-US" w:eastAsia="zh-CN" w:bidi="ar-SA"/>
        </w:rPr>
        <w:t>一经查实，立即降为不合格、停止流通、召回产品。</w:t>
      </w:r>
    </w:p>
    <w:p w14:paraId="11BBFF98">
      <w:pPr>
        <w:pStyle w:val="25"/>
        <w:spacing w:before="240" w:after="240"/>
      </w:pPr>
      <w:r>
        <w:rPr>
          <w:rFonts w:hint="eastAsia"/>
        </w:rPr>
        <w:t xml:space="preserve">飞行检查与动态分级 </w:t>
      </w:r>
    </w:p>
    <w:p w14:paraId="7449141A">
      <w:pPr>
        <w:pStyle w:val="23"/>
        <w:ind w:firstLine="420"/>
        <w:rPr>
          <w:rFonts w:hint="eastAsia" w:ascii="宋体" w:hAnsi="宋体" w:eastAsia="宋体" w:cs="宋体"/>
          <w:sz w:val="21"/>
          <w:szCs w:val="21"/>
          <w:lang w:val="en-US" w:eastAsia="zh-CN" w:bidi="ar-SA"/>
        </w:rPr>
      </w:pPr>
      <w:r>
        <w:rPr>
          <w:rFonts w:hint="eastAsia" w:ascii="宋体" w:hAnsi="宋体" w:eastAsia="宋体" w:cs="宋体"/>
          <w:sz w:val="21"/>
          <w:szCs w:val="21"/>
          <w:lang w:val="en-US" w:eastAsia="zh-CN" w:bidi="ar-SA"/>
        </w:rPr>
        <w:t>检查主体：企业自查、第三方抽检、监管飞行检查并行。</w:t>
      </w:r>
    </w:p>
    <w:p w14:paraId="329517E4">
      <w:pPr>
        <w:pStyle w:val="23"/>
        <w:ind w:firstLine="420"/>
        <w:rPr>
          <w:rFonts w:hint="eastAsia" w:ascii="宋体" w:hAnsi="宋体" w:eastAsia="宋体" w:cs="宋体"/>
          <w:sz w:val="21"/>
          <w:szCs w:val="21"/>
          <w:lang w:val="en-US" w:eastAsia="zh-CN" w:bidi="ar-SA"/>
        </w:rPr>
      </w:pPr>
      <w:r>
        <w:rPr>
          <w:rFonts w:hint="eastAsia" w:ascii="宋体" w:hAnsi="宋体" w:eastAsia="宋体" w:cs="宋体"/>
          <w:sz w:val="21"/>
          <w:szCs w:val="21"/>
          <w:lang w:val="en-US" w:eastAsia="zh-CN" w:bidi="ar-SA"/>
        </w:rPr>
        <w:t>检查内容：原料真实性、溯源有效性、养殖加工合规性、掺假排查、卫生安全。</w:t>
      </w:r>
    </w:p>
    <w:p w14:paraId="1CC255C7">
      <w:pPr>
        <w:pStyle w:val="23"/>
        <w:ind w:firstLine="420"/>
        <w:rPr>
          <w:rFonts w:hint="eastAsia" w:ascii="宋体" w:hAnsi="宋体" w:eastAsia="宋体" w:cs="宋体"/>
          <w:sz w:val="21"/>
          <w:szCs w:val="21"/>
          <w:lang w:val="en-US" w:eastAsia="zh-CN" w:bidi="ar-SA"/>
        </w:rPr>
      </w:pPr>
      <w:r>
        <w:rPr>
          <w:rFonts w:hint="eastAsia" w:ascii="宋体" w:hAnsi="宋体" w:eastAsia="宋体" w:cs="宋体"/>
          <w:sz w:val="21"/>
          <w:szCs w:val="21"/>
          <w:lang w:val="en-US" w:eastAsia="zh-CN" w:bidi="ar-SA"/>
        </w:rPr>
        <w:t>结果处置：合格维持；轻微违规限期整改复检；严重违规/掺假立即降级或取消等级。</w:t>
      </w:r>
    </w:p>
    <w:p w14:paraId="666185DD">
      <w:pPr>
        <w:pStyle w:val="23"/>
        <w:ind w:firstLine="420"/>
        <w:rPr>
          <w:rFonts w:hint="eastAsia" w:ascii="宋体" w:hAnsi="宋体" w:eastAsia="宋体" w:cs="宋体"/>
          <w:sz w:val="21"/>
          <w:szCs w:val="21"/>
          <w:lang w:val="en-US" w:eastAsia="zh-CN" w:bidi="ar-SA"/>
        </w:rPr>
      </w:pPr>
      <w:r>
        <w:rPr>
          <w:rFonts w:hint="eastAsia" w:ascii="宋体" w:hAnsi="宋体" w:eastAsia="宋体" w:cs="宋体"/>
          <w:sz w:val="21"/>
          <w:szCs w:val="21"/>
          <w:lang w:val="en-US" w:eastAsia="zh-CN" w:bidi="ar-SA"/>
        </w:rPr>
        <w:t>记录留存≥3年，用于跨境互认与监管核查。</w:t>
      </w:r>
    </w:p>
    <w:p w14:paraId="46594F91">
      <w:pPr>
        <w:pStyle w:val="25"/>
        <w:spacing w:before="240" w:after="240"/>
      </w:pPr>
      <w:r>
        <w:rPr>
          <w:rFonts w:hint="eastAsia"/>
        </w:rPr>
        <w:t>标识、包装、储运</w:t>
      </w:r>
    </w:p>
    <w:p w14:paraId="6B4E572C">
      <w:pPr>
        <w:pStyle w:val="23"/>
        <w:ind w:firstLine="420"/>
        <w:rPr>
          <w:rFonts w:hint="eastAsia" w:ascii="宋体" w:hAnsi="宋体" w:eastAsia="宋体" w:cs="宋体"/>
          <w:sz w:val="21"/>
          <w:szCs w:val="21"/>
          <w:lang w:val="en-US" w:eastAsia="zh-CN" w:bidi="ar-SA"/>
        </w:rPr>
      </w:pPr>
      <w:r>
        <w:rPr>
          <w:rFonts w:hint="eastAsia" w:ascii="宋体" w:hAnsi="宋体" w:eastAsia="宋体" w:cs="宋体"/>
          <w:sz w:val="21"/>
          <w:szCs w:val="21"/>
          <w:lang w:val="en-US" w:eastAsia="zh-CN" w:bidi="ar-SA"/>
        </w:rPr>
        <w:t>强制标注：产品名称、原料类型、批次、生产日期、保质期、生产者信息。</w:t>
      </w:r>
    </w:p>
    <w:p w14:paraId="37732999">
      <w:pPr>
        <w:pStyle w:val="23"/>
        <w:ind w:firstLine="420"/>
        <w:rPr>
          <w:rFonts w:hint="eastAsia" w:ascii="宋体" w:hAnsi="宋体" w:eastAsia="宋体" w:cs="宋体"/>
          <w:sz w:val="21"/>
          <w:szCs w:val="21"/>
          <w:lang w:val="en-US" w:eastAsia="zh-CN" w:bidi="ar-SA"/>
        </w:rPr>
      </w:pPr>
      <w:r>
        <w:rPr>
          <w:rFonts w:hint="eastAsia" w:ascii="宋体" w:hAnsi="宋体" w:eastAsia="宋体" w:cs="宋体"/>
          <w:sz w:val="21"/>
          <w:szCs w:val="21"/>
          <w:lang w:val="en-US" w:eastAsia="zh-CN" w:bidi="ar-SA"/>
        </w:rPr>
        <w:t>建议标注：等级、溯源码。</w:t>
      </w:r>
    </w:p>
    <w:p w14:paraId="580F9ABD">
      <w:pPr>
        <w:pStyle w:val="23"/>
        <w:ind w:firstLine="420"/>
        <w:rPr>
          <w:rFonts w:hint="eastAsia" w:ascii="宋体" w:hAnsi="宋体" w:eastAsia="宋体" w:cs="宋体"/>
          <w:sz w:val="21"/>
          <w:szCs w:val="21"/>
          <w:lang w:val="en-US" w:eastAsia="zh-CN" w:bidi="ar-SA"/>
        </w:rPr>
      </w:pPr>
      <w:r>
        <w:rPr>
          <w:rFonts w:hint="eastAsia" w:ascii="宋体" w:hAnsi="宋体" w:eastAsia="宋体" w:cs="宋体"/>
          <w:sz w:val="21"/>
          <w:szCs w:val="21"/>
          <w:lang w:val="en-US" w:eastAsia="zh-CN" w:bidi="ar-SA"/>
        </w:rPr>
        <w:t>出口产品：同时满足本国标签规范+进口国标签要求。</w:t>
      </w:r>
    </w:p>
    <w:p w14:paraId="69B01B6D">
      <w:pPr>
        <w:pStyle w:val="23"/>
        <w:ind w:firstLine="420"/>
        <w:rPr>
          <w:rFonts w:hint="eastAsia" w:ascii="宋体" w:hAnsi="宋体" w:eastAsia="宋体" w:cs="宋体"/>
          <w:sz w:val="21"/>
          <w:szCs w:val="21"/>
          <w:lang w:val="en-US" w:eastAsia="zh-CN" w:bidi="ar-SA"/>
        </w:rPr>
      </w:pPr>
      <w:r>
        <w:rPr>
          <w:rFonts w:hint="eastAsia" w:ascii="宋体" w:hAnsi="宋体" w:eastAsia="宋体" w:cs="宋体"/>
          <w:sz w:val="21"/>
          <w:szCs w:val="21"/>
          <w:lang w:val="en-US" w:eastAsia="zh-CN" w:bidi="ar-SA"/>
        </w:rPr>
        <w:t>储运条件：按各产品专项技术标准执行。</w:t>
      </w:r>
    </w:p>
    <w:p w14:paraId="24190B7A">
      <w:pPr>
        <w:pStyle w:val="25"/>
        <w:spacing w:before="240" w:after="240"/>
      </w:pPr>
      <w:r>
        <w:rPr>
          <w:rFonts w:hint="eastAsia"/>
        </w:rPr>
        <w:t>跨境贸易特别条款</w:t>
      </w:r>
    </w:p>
    <w:p w14:paraId="6FDA09DB">
      <w:pPr>
        <w:pStyle w:val="23"/>
        <w:ind w:firstLine="420"/>
        <w:rPr>
          <w:rFonts w:hint="eastAsia" w:ascii="宋体" w:hAnsi="宋体" w:eastAsia="宋体" w:cs="宋体"/>
          <w:sz w:val="21"/>
          <w:szCs w:val="21"/>
          <w:lang w:val="en-US" w:eastAsia="zh-CN" w:bidi="ar-SA"/>
        </w:rPr>
      </w:pPr>
      <w:r>
        <w:rPr>
          <w:rFonts w:hint="eastAsia" w:ascii="宋体" w:hAnsi="宋体" w:eastAsia="宋体" w:cs="宋体"/>
          <w:sz w:val="21"/>
          <w:szCs w:val="21"/>
          <w:lang w:val="en-US" w:eastAsia="zh-CN" w:bidi="ar-SA"/>
        </w:rPr>
        <w:t>本分级为品质分级，不替代进口国法定准入。</w:t>
      </w:r>
    </w:p>
    <w:p w14:paraId="1AB8FBCA">
      <w:pPr>
        <w:pStyle w:val="23"/>
        <w:ind w:firstLine="420"/>
        <w:rPr>
          <w:rFonts w:hint="eastAsia" w:ascii="宋体" w:hAnsi="宋体" w:eastAsia="宋体" w:cs="宋体"/>
          <w:sz w:val="21"/>
          <w:szCs w:val="21"/>
          <w:lang w:val="en-US" w:eastAsia="zh-CN" w:bidi="ar-SA"/>
        </w:rPr>
      </w:pPr>
      <w:r>
        <w:rPr>
          <w:rFonts w:hint="eastAsia" w:ascii="宋体" w:hAnsi="宋体" w:eastAsia="宋体" w:cs="宋体"/>
          <w:sz w:val="21"/>
          <w:szCs w:val="21"/>
          <w:lang w:val="en-US" w:eastAsia="zh-CN" w:bidi="ar-SA"/>
        </w:rPr>
        <w:t>出口产品的安全、卫生、检疫、残留、标签均以输入国家/地区法规为准。</w:t>
      </w:r>
    </w:p>
    <w:p w14:paraId="45A03725">
      <w:pPr>
        <w:pStyle w:val="23"/>
        <w:ind w:firstLine="420"/>
        <w:rPr>
          <w:rFonts w:hint="eastAsia" w:ascii="宋体" w:hAnsi="宋体" w:eastAsia="宋体" w:cs="宋体"/>
          <w:sz w:val="21"/>
          <w:szCs w:val="21"/>
          <w:lang w:val="en-US" w:eastAsia="zh-CN" w:bidi="ar-SA"/>
        </w:rPr>
      </w:pPr>
      <w:r>
        <w:rPr>
          <w:rFonts w:hint="eastAsia" w:ascii="宋体" w:hAnsi="宋体" w:eastAsia="宋体" w:cs="宋体"/>
          <w:sz w:val="21"/>
          <w:szCs w:val="21"/>
          <w:lang w:val="en-US" w:eastAsia="zh-CN" w:bidi="ar-SA"/>
        </w:rPr>
        <w:t>进口国要求严于本标准时，从其严；无专项标准时按本等级执行。</w:t>
      </w:r>
    </w:p>
    <w:p w14:paraId="2E705A36">
      <w:pPr>
        <w:pStyle w:val="23"/>
        <w:ind w:firstLine="420"/>
        <w:rPr>
          <w:rFonts w:hint="eastAsia" w:ascii="宋体" w:hAnsi="宋体" w:eastAsia="宋体" w:cs="宋体"/>
          <w:sz w:val="21"/>
          <w:szCs w:val="21"/>
          <w:lang w:val="en-US" w:eastAsia="zh-CN" w:bidi="ar-SA"/>
        </w:rPr>
      </w:pPr>
      <w:r>
        <w:rPr>
          <w:rFonts w:hint="eastAsia" w:ascii="宋体" w:hAnsi="宋体" w:eastAsia="宋体" w:cs="宋体"/>
          <w:sz w:val="21"/>
          <w:szCs w:val="21"/>
          <w:lang w:val="en-US" w:eastAsia="zh-CN" w:bidi="ar-SA"/>
        </w:rPr>
        <w:t>Grade D产品不得出口。</w:t>
      </w:r>
    </w:p>
    <w:bookmarkEnd w:id="3"/>
    <w:p w14:paraId="2741A64E">
      <w:pPr>
        <w:pStyle w:val="23"/>
        <w:ind w:firstLine="420"/>
      </w:pPr>
    </w:p>
    <w:p w14:paraId="1C95CC44">
      <w:pPr>
        <w:pStyle w:val="23"/>
        <w:ind w:firstLine="420"/>
      </w:pPr>
    </w:p>
    <w:p w14:paraId="502D0905">
      <w:pPr>
        <w:pStyle w:val="5"/>
      </w:pPr>
    </w:p>
    <w:sectPr>
      <w:footerReference r:id="rId10" w:type="default"/>
      <w:pgSz w:w="11906" w:h="16838"/>
      <w:pgMar w:top="1928" w:right="1134" w:bottom="1134" w:left="1134" w:header="1418" w:footer="1134" w:gutter="284"/>
      <w:pgNumType w:fmt="decimal" w:start="1"/>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Unicode MS">
    <w:altName w:val="宋体"/>
    <w:panose1 w:val="020B0604020202020204"/>
    <w:charset w:val="86"/>
    <w:family w:val="auto"/>
    <w:pitch w:val="default"/>
    <w:sig w:usb0="00000000" w:usb1="00000000" w:usb2="0000007F" w:usb3="00000000" w:csb0="203F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70EC79">
    <w:pPr>
      <w:spacing w:line="231" w:lineRule="auto"/>
      <w:ind w:left="8974"/>
      <w:rPr>
        <w:rFonts w:ascii="宋体" w:hAnsi="宋体" w:eastAsia="宋体" w:cs="宋体"/>
        <w:sz w:val="18"/>
        <w:szCs w:val="18"/>
      </w:rPr>
    </w:pPr>
    <w:r>
      <w:rPr>
        <w:rFonts w:ascii="宋体" w:hAnsi="宋体" w:eastAsia="宋体" w:cs="宋体"/>
        <w:sz w:val="18"/>
        <w:szCs w:val="18"/>
      </w:rPr>
      <w:t>I</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CE0098">
    <w:pPr>
      <w:spacing w:line="231" w:lineRule="auto"/>
      <w:ind w:left="0" w:leftChars="0" w:firstLine="0" w:firstLineChars="0"/>
      <w:jc w:val="right"/>
      <w:rPr>
        <w:rFonts w:ascii="宋体" w:hAnsi="宋体" w:eastAsia="宋体" w:cs="宋体"/>
        <w:sz w:val="18"/>
        <w:szCs w:val="18"/>
      </w:rPr>
    </w:pPr>
    <w:r>
      <w:rPr>
        <w:rFonts w:ascii="宋体" w:hAnsi="宋体" w:eastAsia="宋体" w:cs="宋体"/>
        <w:spacing w:val="-8"/>
        <w:sz w:val="18"/>
        <w:szCs w:val="18"/>
      </w:rPr>
      <w:t>II</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E21E04">
    <w:pPr>
      <w:spacing w:line="231" w:lineRule="auto"/>
      <w:ind w:left="0" w:leftChars="0" w:firstLine="0" w:firstLineChars="0"/>
      <w:jc w:val="right"/>
      <w:rPr>
        <w:rFonts w:ascii="宋体" w:hAnsi="宋体" w:eastAsia="宋体" w:cs="宋体"/>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4FEC7E9">
                          <w:pPr>
                            <w:pStyle w:val="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54FEC7E9">
                    <w:pPr>
                      <w:pStyle w:val="6"/>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9C1EDB">
    <w:pPr>
      <w:pStyle w:val="5"/>
      <w:spacing w:line="14" w:lineRule="auto"/>
      <w:rPr>
        <w:sz w:val="2"/>
      </w:rPr>
    </w:pPr>
    <w:r>
      <w:pict>
        <v:shape id="WordPictureWatermark2" o:spid="_x0000_s2049" o:spt="75" type="#_x0000_t75" style="position:absolute;left:0pt;margin-left:100.55pt;margin-top:223.9pt;height:396.85pt;width:421pt;mso-position-horizontal-relative:page;mso-position-vertical-relative:page;z-index:-251657216;mso-width-relative:page;mso-height-relative:page;" filled="f" stroked="f" coordsize="21600,21600" o:allowincell="f">
          <v:path/>
          <v:fill on="f" focussize="0,0"/>
          <v:stroke on="f"/>
          <v:imagedata r:id="rId1" o:title=""/>
          <o:lock v:ext="edit" aspectratio="t"/>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717525">
    <w:pPr>
      <w:pStyle w:val="5"/>
      <w:spacing w:line="14" w:lineRule="auto"/>
      <w:rPr>
        <w:sz w:val="2"/>
      </w:rPr>
    </w:pPr>
    <w:r>
      <w:pict>
        <v:shape id="WordPictureWatermark8" o:spid="_x0000_s2050" o:spt="75" type="#_x0000_t75" style="position:absolute;left:0pt;margin-left:100.55pt;margin-top:238.55pt;height:396.75pt;width:421pt;mso-position-horizontal-relative:page;mso-position-vertical-relative:page;z-index:-251656192;mso-width-relative:page;mso-height-relative:page;" filled="f" stroked="f" coordsize="21600,21600" o:allowincell="f">
          <v:path/>
          <v:fill on="f" focussize="0,0"/>
          <v:stroke on="f"/>
          <v:imagedata r:id="rId1" o:title=""/>
          <o:lock v:ext="edit" aspectratio="t"/>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0061A3">
    <w:pPr>
      <w:spacing w:before="122" w:line="167" w:lineRule="auto"/>
      <w:ind w:left="6442"/>
      <w:rPr>
        <w:rFonts w:ascii="宋体" w:hAnsi="宋体" w:eastAsia="宋体" w:cs="宋体"/>
        <w:sz w:val="24"/>
        <w:szCs w:val="24"/>
      </w:rPr>
    </w:pPr>
    <w:r>
      <w:pict>
        <v:shape id="WordPictureWatermark10" o:spid="_x0000_s2051" o:spt="75" type="#_x0000_t75" style="position:absolute;left:0pt;margin-left:100.55pt;margin-top:238.55pt;height:396.75pt;width:421pt;mso-position-horizontal-relative:page;mso-position-vertical-relative:page;z-index:-251655168;mso-width-relative:page;mso-height-relative:page;" filled="f" stroked="f" coordsize="21600,21600" o:allowincell="f">
          <v:path/>
          <v:fill on="f" focussize="0,0"/>
          <v:stroke on="f"/>
          <v:imagedata r:id="rId1" o:title=""/>
          <o:lock v:ext="edit" aspectratio="t"/>
        </v:shape>
      </w:pict>
    </w:r>
    <w:r>
      <w:rPr>
        <w:rFonts w:ascii="宋体" w:hAnsi="宋体" w:eastAsia="宋体" w:cs="宋体"/>
        <w:spacing w:val="-1"/>
        <w:sz w:val="24"/>
        <w:szCs w:val="24"/>
      </w:rPr>
      <w:t xml:space="preserve">T/CFNA   </w:t>
    </w:r>
    <w:r>
      <w:rPr>
        <w:rFonts w:ascii="Arial Unicode MS" w:hAnsi="Arial Unicode MS" w:eastAsia="Arial Unicode MS" w:cs="Arial Unicode MS"/>
        <w:spacing w:val="-3"/>
        <w:sz w:val="28"/>
        <w:szCs w:val="28"/>
      </w:rPr>
      <w:t xml:space="preserve"> </w:t>
    </w:r>
    <w:r>
      <w:rPr>
        <w:rFonts w:hint="default" w:ascii="Times New Roman" w:hAnsi="Times New Roman" w:eastAsia="Arial Unicode MS" w:cs="Times New Roman"/>
        <w:b w:val="0"/>
        <w:bCs w:val="0"/>
        <w:spacing w:val="-3"/>
        <w:sz w:val="24"/>
        <w:szCs w:val="24"/>
        <w:lang w:val="en-US" w:eastAsia="zh-CN"/>
      </w:rPr>
      <w:t>16</w:t>
    </w:r>
    <w:r>
      <w:rPr>
        <w:rFonts w:hint="eastAsia" w:ascii="Times New Roman" w:hAnsi="Times New Roman" w:eastAsia="Arial Unicode MS" w:cs="Times New Roman"/>
        <w:b w:val="0"/>
        <w:bCs w:val="0"/>
        <w:spacing w:val="-3"/>
        <w:sz w:val="24"/>
        <w:szCs w:val="24"/>
        <w:lang w:val="en-US" w:eastAsia="zh-CN"/>
      </w:rPr>
      <w:t>81</w:t>
    </w:r>
    <w:r>
      <w:rPr>
        <w:rFonts w:hint="default" w:ascii="Times New Roman" w:hAnsi="Times New Roman" w:eastAsia="Arial Unicode MS" w:cs="Times New Roman"/>
        <w:b w:val="0"/>
        <w:bCs w:val="0"/>
        <w:spacing w:val="-3"/>
        <w:sz w:val="24"/>
        <w:szCs w:val="24"/>
        <w:lang w:val="en-US" w:eastAsia="zh-CN"/>
      </w:rPr>
      <w:t>-2025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7BB0CC5"/>
    <w:multiLevelType w:val="singleLevel"/>
    <w:tmpl w:val="E7BB0CC5"/>
    <w:lvl w:ilvl="0" w:tentative="0">
      <w:start w:val="7"/>
      <w:numFmt w:val="decimal"/>
      <w:suff w:val="space"/>
      <w:lvlText w:val="%1."/>
      <w:lvlJc w:val="left"/>
    </w:lvl>
  </w:abstractNum>
  <w:abstractNum w:abstractNumId="1">
    <w:nsid w:val="1FC91163"/>
    <w:multiLevelType w:val="multilevel"/>
    <w:tmpl w:val="1FC91163"/>
    <w:lvl w:ilvl="0" w:tentative="0">
      <w:start w:val="1"/>
      <w:numFmt w:val="decimal"/>
      <w:pStyle w:val="16"/>
      <w:suff w:val="nothing"/>
      <w:lvlText w:val="%1　"/>
      <w:lvlJc w:val="left"/>
      <w:pPr>
        <w:ind w:left="0" w:firstLine="0"/>
      </w:pPr>
      <w:rPr>
        <w:rFonts w:hint="eastAsia" w:ascii="黑体" w:hAnsi="Times New Roman" w:eastAsia="黑体"/>
        <w:b w:val="0"/>
        <w:i w:val="0"/>
        <w:sz w:val="21"/>
        <w:szCs w:val="21"/>
      </w:rPr>
    </w:lvl>
    <w:lvl w:ilvl="1" w:tentative="0">
      <w:start w:val="1"/>
      <w:numFmt w:val="decimal"/>
      <w:pStyle w:val="21"/>
      <w:suff w:val="nothing"/>
      <w:lvlText w:val="%1.%2　"/>
      <w:lvlJc w:val="left"/>
      <w:pPr>
        <w:ind w:left="0" w:firstLine="0"/>
      </w:pPr>
      <w:rPr>
        <w:rFonts w:hint="eastAsia" w:ascii="黑体" w:hAnsi="Times New Roman" w:eastAsia="黑体" w:cs="Times New Roman"/>
        <w:b w:val="0"/>
        <w:bCs w:val="0"/>
        <w:i w:val="0"/>
        <w:iCs w:val="0"/>
        <w:caps w:val="0"/>
        <w:strike w:val="0"/>
        <w:dstrike w:val="0"/>
        <w:vanish w:val="0"/>
        <w:spacing w:val="0"/>
        <w:kern w:val="0"/>
        <w:position w:val="0"/>
        <w:sz w:val="21"/>
        <w:szCs w:val="21"/>
        <w:u w:val="none"/>
        <w:vertAlign w:val="baseline"/>
      </w:rPr>
    </w:lvl>
    <w:lvl w:ilvl="2" w:tentative="0">
      <w:start w:val="1"/>
      <w:numFmt w:val="decimal"/>
      <w:suff w:val="nothing"/>
      <w:lvlText w:val="%1.%2.%3　"/>
      <w:lvlJc w:val="left"/>
      <w:pPr>
        <w:ind w:left="21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
    <w:nsid w:val="646260FA"/>
    <w:multiLevelType w:val="multilevel"/>
    <w:tmpl w:val="646260FA"/>
    <w:lvl w:ilvl="0" w:tentative="0">
      <w:start w:val="1"/>
      <w:numFmt w:val="decimal"/>
      <w:pStyle w:val="27"/>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3">
    <w:nsid w:val="6CEA2025"/>
    <w:multiLevelType w:val="multilevel"/>
    <w:tmpl w:val="6CEA2025"/>
    <w:lvl w:ilvl="0" w:tentative="0">
      <w:start w:val="1"/>
      <w:numFmt w:val="none"/>
      <w:suff w:val="nothing"/>
      <w:lvlText w:val="%1"/>
      <w:lvlJc w:val="left"/>
      <w:pPr>
        <w:ind w:left="0" w:firstLine="0"/>
      </w:pPr>
      <w:rPr>
        <w:rFonts w:hint="eastAsia"/>
      </w:rPr>
    </w:lvl>
    <w:lvl w:ilvl="1" w:tentative="0">
      <w:start w:val="1"/>
      <w:numFmt w:val="decimal"/>
      <w:pStyle w:val="25"/>
      <w:suff w:val="nothing"/>
      <w:lvlText w:val="%1%2　"/>
      <w:lvlJc w:val="left"/>
      <w:pPr>
        <w:ind w:left="0" w:firstLine="0"/>
      </w:pPr>
      <w:rPr>
        <w:rFonts w:hint="eastAsia" w:ascii="黑体" w:eastAsia="黑体"/>
        <w:b w:val="0"/>
        <w:i w:val="0"/>
        <w:sz w:val="21"/>
      </w:rPr>
    </w:lvl>
    <w:lvl w:ilvl="2" w:tentative="0">
      <w:start w:val="1"/>
      <w:numFmt w:val="decimal"/>
      <w:pStyle w:val="26"/>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suff w:val="nothing"/>
      <w:lvlText w:val="%1%2.%3.%4　"/>
      <w:lvlJc w:val="left"/>
      <w:pPr>
        <w:ind w:left="0" w:firstLine="0"/>
      </w:pPr>
      <w:rPr>
        <w:rFonts w:hint="eastAsia" w:ascii="黑体" w:eastAsia="黑体"/>
        <w:b w:val="0"/>
        <w:i w:val="0"/>
        <w:sz w:val="21"/>
      </w:rPr>
    </w:lvl>
    <w:lvl w:ilvl="4" w:tentative="0">
      <w:start w:val="1"/>
      <w:numFmt w:val="decimal"/>
      <w:suff w:val="nothing"/>
      <w:lvlText w:val="%1%2.%3.%4.%5　"/>
      <w:lvlJc w:val="left"/>
      <w:pPr>
        <w:ind w:left="0" w:firstLine="0"/>
      </w:pPr>
      <w:rPr>
        <w:rFonts w:hint="eastAsia" w:ascii="黑体" w:eastAsia="黑体"/>
        <w:b w:val="0"/>
        <w:i w:val="0"/>
        <w:sz w:val="21"/>
      </w:rPr>
    </w:lvl>
    <w:lvl w:ilvl="5" w:tentative="0">
      <w:start w:val="1"/>
      <w:numFmt w:val="decimal"/>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displayBackgroundShape w:val="1"/>
  <w:documentProtection w:enforcement="0"/>
  <w:characterSpacingControl w:val="doNotCompress"/>
  <w:hdrShapeDefaults>
    <o:shapelayout v:ext="edit">
      <o:idmap v:ext="edit" data="2"/>
    </o:shapelayout>
  </w:hdrShapeDefault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000D303B"/>
    <w:rsid w:val="004A0005"/>
    <w:rsid w:val="03747A3A"/>
    <w:rsid w:val="04970A9E"/>
    <w:rsid w:val="04B213C1"/>
    <w:rsid w:val="04CB4B62"/>
    <w:rsid w:val="05C04234"/>
    <w:rsid w:val="06274E10"/>
    <w:rsid w:val="0633208D"/>
    <w:rsid w:val="0644652B"/>
    <w:rsid w:val="0F21498C"/>
    <w:rsid w:val="10044A9B"/>
    <w:rsid w:val="10A65B52"/>
    <w:rsid w:val="11523871"/>
    <w:rsid w:val="11E64458"/>
    <w:rsid w:val="12833D26"/>
    <w:rsid w:val="139D4FEA"/>
    <w:rsid w:val="14447B5C"/>
    <w:rsid w:val="14535B1A"/>
    <w:rsid w:val="14CF1B1B"/>
    <w:rsid w:val="156E4ABB"/>
    <w:rsid w:val="18146C43"/>
    <w:rsid w:val="1BF71CA7"/>
    <w:rsid w:val="1C623275"/>
    <w:rsid w:val="1C9176B6"/>
    <w:rsid w:val="22693EAE"/>
    <w:rsid w:val="240D3AC6"/>
    <w:rsid w:val="241C7D9A"/>
    <w:rsid w:val="25CF17EB"/>
    <w:rsid w:val="267478AE"/>
    <w:rsid w:val="278F158D"/>
    <w:rsid w:val="27F136FF"/>
    <w:rsid w:val="294E705B"/>
    <w:rsid w:val="297065E3"/>
    <w:rsid w:val="2A64640A"/>
    <w:rsid w:val="2B086178"/>
    <w:rsid w:val="2B5B15BB"/>
    <w:rsid w:val="2BD82C0B"/>
    <w:rsid w:val="2BFF639C"/>
    <w:rsid w:val="2D273CC9"/>
    <w:rsid w:val="2EE34571"/>
    <w:rsid w:val="310D15A9"/>
    <w:rsid w:val="31B57F3A"/>
    <w:rsid w:val="32326DEE"/>
    <w:rsid w:val="37FE7E9E"/>
    <w:rsid w:val="383D23F8"/>
    <w:rsid w:val="383E3EB7"/>
    <w:rsid w:val="39292CF8"/>
    <w:rsid w:val="39A0423B"/>
    <w:rsid w:val="3A23568E"/>
    <w:rsid w:val="3AB24F6F"/>
    <w:rsid w:val="3C236F8B"/>
    <w:rsid w:val="3C6504EB"/>
    <w:rsid w:val="3CD369EB"/>
    <w:rsid w:val="3D515EC7"/>
    <w:rsid w:val="3DEB3A85"/>
    <w:rsid w:val="3E6A4F84"/>
    <w:rsid w:val="40B10B9B"/>
    <w:rsid w:val="42A47894"/>
    <w:rsid w:val="435B43F6"/>
    <w:rsid w:val="45216F7A"/>
    <w:rsid w:val="4609638B"/>
    <w:rsid w:val="466E5F3D"/>
    <w:rsid w:val="47A0121F"/>
    <w:rsid w:val="4A630034"/>
    <w:rsid w:val="4B45693B"/>
    <w:rsid w:val="4BC6087B"/>
    <w:rsid w:val="4C31572B"/>
    <w:rsid w:val="4C6C30EE"/>
    <w:rsid w:val="4C8F3630"/>
    <w:rsid w:val="50CE7210"/>
    <w:rsid w:val="50FC2FD1"/>
    <w:rsid w:val="53034162"/>
    <w:rsid w:val="55421798"/>
    <w:rsid w:val="572D7A22"/>
    <w:rsid w:val="57853398"/>
    <w:rsid w:val="5A7A2F5C"/>
    <w:rsid w:val="5BD26DC8"/>
    <w:rsid w:val="5E860FB5"/>
    <w:rsid w:val="60FA4DF7"/>
    <w:rsid w:val="633839B4"/>
    <w:rsid w:val="63915AB1"/>
    <w:rsid w:val="63FA6EBC"/>
    <w:rsid w:val="64B13F23"/>
    <w:rsid w:val="64B66E59"/>
    <w:rsid w:val="650107B1"/>
    <w:rsid w:val="652F768E"/>
    <w:rsid w:val="67095FBF"/>
    <w:rsid w:val="68C33D20"/>
    <w:rsid w:val="691E3ADB"/>
    <w:rsid w:val="69D53C08"/>
    <w:rsid w:val="6C517895"/>
    <w:rsid w:val="6C693B68"/>
    <w:rsid w:val="6E2C30EB"/>
    <w:rsid w:val="6E8403F6"/>
    <w:rsid w:val="706109EE"/>
    <w:rsid w:val="71145A61"/>
    <w:rsid w:val="715F1C82"/>
    <w:rsid w:val="73970283"/>
    <w:rsid w:val="73993FFB"/>
    <w:rsid w:val="749B2484"/>
    <w:rsid w:val="784529A4"/>
    <w:rsid w:val="7931117A"/>
    <w:rsid w:val="7AA17C39"/>
    <w:rsid w:val="7B752E6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paragraph" w:styleId="2">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paragraph" w:styleId="3">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11">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4">
    <w:name w:val="annotation text"/>
    <w:basedOn w:val="1"/>
    <w:qFormat/>
    <w:uiPriority w:val="0"/>
    <w:pPr>
      <w:jc w:val="left"/>
    </w:pPr>
  </w:style>
  <w:style w:type="paragraph" w:styleId="5">
    <w:name w:val="Body Text"/>
    <w:basedOn w:val="1"/>
    <w:semiHidden/>
    <w:qFormat/>
    <w:uiPriority w:val="0"/>
    <w:rPr>
      <w:rFonts w:ascii="Arial" w:hAnsi="Arial" w:eastAsia="Arial" w:cs="Arial"/>
      <w:sz w:val="21"/>
      <w:szCs w:val="21"/>
      <w:lang w:val="en-US" w:eastAsia="en-US" w:bidi="ar-SA"/>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99"/>
    <w:pPr>
      <w:tabs>
        <w:tab w:val="center" w:pos="4153"/>
        <w:tab w:val="right" w:pos="8306"/>
      </w:tabs>
      <w:adjustRightInd/>
      <w:snapToGrid w:val="0"/>
      <w:jc w:val="center"/>
    </w:pPr>
    <w:rPr>
      <w:sz w:val="18"/>
      <w:szCs w:val="18"/>
    </w:rPr>
  </w:style>
  <w:style w:type="paragraph" w:styleId="8">
    <w:name w:val="Normal (Web)"/>
    <w:basedOn w:val="1"/>
    <w:qFormat/>
    <w:uiPriority w:val="0"/>
    <w:rPr>
      <w:sz w:val="24"/>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Strong"/>
    <w:basedOn w:val="11"/>
    <w:qFormat/>
    <w:uiPriority w:val="0"/>
    <w:rPr>
      <w:b/>
    </w:rPr>
  </w:style>
  <w:style w:type="character" w:styleId="13">
    <w:name w:val="Emphasis"/>
    <w:basedOn w:val="11"/>
    <w:qFormat/>
    <w:uiPriority w:val="0"/>
    <w:rPr>
      <w:i/>
    </w:rPr>
  </w:style>
  <w:style w:type="table" w:customStyle="1" w:styleId="14">
    <w:name w:val="Table Normal"/>
    <w:semiHidden/>
    <w:unhideWhenUsed/>
    <w:qFormat/>
    <w:uiPriority w:val="0"/>
    <w:tblPr>
      <w:tblCellMar>
        <w:top w:w="0" w:type="dxa"/>
        <w:left w:w="0" w:type="dxa"/>
        <w:bottom w:w="0" w:type="dxa"/>
        <w:right w:w="0" w:type="dxa"/>
      </w:tblCellMar>
    </w:tblPr>
  </w:style>
  <w:style w:type="paragraph" w:customStyle="1" w:styleId="15">
    <w:name w:val="Table Text"/>
    <w:basedOn w:val="1"/>
    <w:semiHidden/>
    <w:qFormat/>
    <w:uiPriority w:val="0"/>
    <w:rPr>
      <w:rFonts w:ascii="Arial" w:hAnsi="Arial" w:eastAsia="Arial" w:cs="Arial"/>
      <w:sz w:val="19"/>
      <w:szCs w:val="19"/>
      <w:lang w:val="en-US" w:eastAsia="en-US" w:bidi="ar-SA"/>
    </w:rPr>
  </w:style>
  <w:style w:type="paragraph" w:customStyle="1" w:styleId="16">
    <w:name w:val="章标题"/>
    <w:next w:val="17"/>
    <w:qFormat/>
    <w:uiPriority w:val="0"/>
    <w:pPr>
      <w:numPr>
        <w:ilvl w:val="0"/>
        <w:numId w:val="1"/>
      </w:numPr>
      <w:spacing w:before="312" w:beforeLines="100" w:after="312" w:afterLines="100"/>
      <w:jc w:val="both"/>
      <w:outlineLvl w:val="1"/>
    </w:pPr>
    <w:rPr>
      <w:rFonts w:ascii="黑体" w:hAnsi="Times New Roman" w:eastAsia="黑体" w:cs="Times New Roman"/>
      <w:sz w:val="21"/>
      <w:lang w:val="en-US" w:eastAsia="zh-CN" w:bidi="ar-SA"/>
    </w:rPr>
  </w:style>
  <w:style w:type="paragraph" w:customStyle="1" w:styleId="17">
    <w:name w:val="段"/>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paragraph" w:customStyle="1" w:styleId="18">
    <w:name w:val="目次、标准名称标题"/>
    <w:basedOn w:val="1"/>
    <w:next w:val="17"/>
    <w:qFormat/>
    <w:uiPriority w:val="0"/>
    <w:pPr>
      <w:keepNext/>
      <w:pageBreakBefore/>
      <w:widowControl/>
      <w:shd w:val="clear" w:color="FFFFFF" w:fill="FFFFFF"/>
      <w:spacing w:before="640" w:after="560" w:line="460" w:lineRule="exact"/>
      <w:jc w:val="center"/>
      <w:outlineLvl w:val="0"/>
    </w:pPr>
    <w:rPr>
      <w:rFonts w:ascii="黑体" w:eastAsia="黑体"/>
      <w:kern w:val="0"/>
      <w:sz w:val="32"/>
      <w:szCs w:val="20"/>
    </w:rPr>
  </w:style>
  <w:style w:type="paragraph" w:customStyle="1" w:styleId="19">
    <w:name w:val="标准书眉_奇数页"/>
    <w:next w:val="1"/>
    <w:qFormat/>
    <w:uiPriority w:val="0"/>
    <w:pPr>
      <w:tabs>
        <w:tab w:val="center" w:pos="4154"/>
        <w:tab w:val="right" w:pos="8306"/>
      </w:tabs>
      <w:spacing w:after="220"/>
      <w:jc w:val="right"/>
    </w:pPr>
    <w:rPr>
      <w:rFonts w:ascii="黑体" w:hAnsi="Times New Roman" w:eastAsia="黑体" w:cs="Times New Roman"/>
      <w:sz w:val="21"/>
      <w:szCs w:val="21"/>
      <w:lang w:val="en-US" w:eastAsia="zh-CN" w:bidi="ar-SA"/>
    </w:rPr>
  </w:style>
  <w:style w:type="paragraph" w:customStyle="1" w:styleId="20">
    <w:name w:val="标准书脚_奇数页"/>
    <w:qFormat/>
    <w:uiPriority w:val="0"/>
    <w:pPr>
      <w:spacing w:before="120"/>
      <w:ind w:right="198"/>
      <w:jc w:val="right"/>
    </w:pPr>
    <w:rPr>
      <w:rFonts w:ascii="宋体" w:hAnsi="Times New Roman" w:eastAsia="宋体" w:cs="Times New Roman"/>
      <w:sz w:val="18"/>
      <w:szCs w:val="18"/>
      <w:lang w:val="en-US" w:eastAsia="zh-CN" w:bidi="ar-SA"/>
    </w:rPr>
  </w:style>
  <w:style w:type="paragraph" w:customStyle="1" w:styleId="21">
    <w:name w:val="一级条标题"/>
    <w:next w:val="17"/>
    <w:link w:val="22"/>
    <w:qFormat/>
    <w:uiPriority w:val="0"/>
    <w:pPr>
      <w:numPr>
        <w:ilvl w:val="1"/>
        <w:numId w:val="1"/>
      </w:numPr>
      <w:spacing w:before="156" w:beforeLines="50" w:after="156" w:afterLines="50"/>
      <w:outlineLvl w:val="2"/>
    </w:pPr>
    <w:rPr>
      <w:rFonts w:ascii="黑体" w:hAnsi="Times New Roman" w:eastAsia="黑体" w:cs="Times New Roman"/>
      <w:sz w:val="21"/>
      <w:szCs w:val="21"/>
      <w:lang w:val="en-US" w:eastAsia="zh-CN" w:bidi="ar-SA"/>
    </w:rPr>
  </w:style>
  <w:style w:type="character" w:customStyle="1" w:styleId="22">
    <w:name w:val="一级条标题 Char"/>
    <w:link w:val="21"/>
    <w:qFormat/>
    <w:uiPriority w:val="0"/>
    <w:rPr>
      <w:rFonts w:ascii="黑体" w:hAnsi="Times New Roman" w:eastAsia="黑体" w:cs="Times New Roman"/>
      <w:sz w:val="21"/>
      <w:szCs w:val="21"/>
      <w:lang w:val="en-US" w:eastAsia="zh-CN" w:bidi="ar-SA"/>
    </w:rPr>
  </w:style>
  <w:style w:type="paragraph" w:customStyle="1" w:styleId="23">
    <w:name w:val="标准文件_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24">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25">
    <w:name w:val="标准文件_章标题"/>
    <w:next w:val="23"/>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26">
    <w:name w:val="标准文件_一级条标题"/>
    <w:basedOn w:val="25"/>
    <w:next w:val="23"/>
    <w:qFormat/>
    <w:uiPriority w:val="0"/>
    <w:pPr>
      <w:numPr>
        <w:ilvl w:val="2"/>
      </w:numPr>
      <w:spacing w:before="50" w:beforeLines="50" w:after="50" w:afterLines="50"/>
      <w:outlineLvl w:val="1"/>
    </w:pPr>
  </w:style>
  <w:style w:type="paragraph" w:customStyle="1" w:styleId="27">
    <w:name w:val="标准文件_正文表标题"/>
    <w:next w:val="23"/>
    <w:qFormat/>
    <w:uiPriority w:val="0"/>
    <w:pPr>
      <w:numPr>
        <w:ilvl w:val="0"/>
        <w:numId w:val="3"/>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28">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29">
    <w:name w:val="标准文件_页脚奇数页"/>
    <w:qFormat/>
    <w:uiPriority w:val="0"/>
    <w:pPr>
      <w:ind w:right="227"/>
      <w:jc w:val="right"/>
    </w:pPr>
    <w:rPr>
      <w:rFonts w:ascii="宋体" w:hAnsi="Times New Roman" w:eastAsia="宋体" w:cs="Times New Roman"/>
      <w:sz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header" Target="header3.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glossaryDocument" Target="glossary/document.xml"/><Relationship Id="rId15" Type="http://schemas.openxmlformats.org/officeDocument/2006/relationships/fontTable" Target="fontTable.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media/image3.pn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e247ccaa-aefd-44e1-a0a0-5f7154484d03}"/>
        <w:style w:val=""/>
        <w:category>
          <w:name w:val="常规"/>
          <w:gallery w:val="placeholder"/>
        </w:category>
        <w:types>
          <w:type w:val="bbPlcHdr"/>
        </w:types>
        <w:behaviors>
          <w:behavior w:val="content"/>
        </w:behaviors>
        <w:description w:val=""/>
        <w:guid w:val="{e247ccaa-aefd-44e1-a0a0-5f7154484d03}"/>
      </w:docPartPr>
      <w:docPartBody>
        <w:p w14:paraId="3A135300">
          <w:pPr>
            <w:pStyle w:val="2"/>
            <w:rPr>
              <w:rFonts w:hint="eastAsia"/>
            </w:rPr>
          </w:pPr>
          <w:r>
            <w:rPr>
              <w:rStyle w:val="3"/>
              <w:rFonts w:hint="eastAsia"/>
            </w:rPr>
            <w:t>单击或点击此处输入文字。</w:t>
          </w:r>
        </w:p>
      </w:docPartBody>
    </w:docPart>
    <w:docPart>
      <w:docPartPr>
        <w:name w:val="{fb652e5b-e87d-4823-8a42-08452b26e493}"/>
        <w:style w:val=""/>
        <w:category>
          <w:name w:val="常规"/>
          <w:gallery w:val="placeholder"/>
        </w:category>
        <w:types>
          <w:type w:val="bbPlcHdr"/>
        </w:types>
        <w:behaviors>
          <w:behavior w:val="content"/>
        </w:behaviors>
        <w:description w:val=""/>
        <w:guid w:val="{fb652e5b-e87d-4823-8a42-08452b26e493}"/>
      </w:docPartPr>
      <w:docPartBody>
        <w:p w14:paraId="6468D8B2">
          <w:pPr>
            <w:pStyle w:val="4"/>
            <w:rPr>
              <w:rFonts w:hint="eastAsia"/>
            </w:rPr>
          </w:pPr>
          <w:r>
            <w:rPr>
              <w:rStyle w:val="3"/>
              <w:rFonts w:hint="eastAsia"/>
            </w:rPr>
            <w:t>选择一项。</w:t>
          </w:r>
        </w:p>
      </w:docPartBody>
    </w:docPart>
    <w:docPart>
      <w:docPartPr>
        <w:name w:val="{0d83001a-6bff-473c-838e-e0b585d137a9}"/>
        <w:style w:val=""/>
        <w:category>
          <w:name w:val="常规"/>
          <w:gallery w:val="placeholder"/>
        </w:category>
        <w:types>
          <w:type w:val="bbPlcHdr"/>
        </w:types>
        <w:behaviors>
          <w:behavior w:val="content"/>
        </w:behaviors>
        <w:description w:val=""/>
        <w:guid w:val="{0d83001a-6bff-473c-838e-e0b585d137a9}"/>
      </w:docPartPr>
      <w:docPartBody>
        <w:p w14:paraId="5D95F8E0">
          <w:pPr>
            <w:pStyle w:val="5"/>
            <w:rPr>
              <w:rFonts w:hint="eastAsia"/>
            </w:rPr>
          </w:pPr>
          <w:r>
            <w:rPr>
              <w:rStyle w:val="3"/>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compat>
    <w:useFELayout/>
    <w:splitPgBreakAndParaMark/>
    <w:compatSetting w:name="compatibilityMode" w:uri="http://schemas.microsoft.com/office/word" w:val="14"/>
  </w:compat>
  <w:rsids>
    <w:rsidRoot w:val="000000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iPriority="1" w:name="Default Paragraph Font"/>
    <w:lsdException w:qFormat="1" w:unhideWhenUsed="0" w:uiPriority="99" w:name="Placeholder Text"/>
  </w:latentStyles>
  <w:style w:type="character" w:default="1" w:styleId="1">
    <w:name w:val="Default Paragraph Font"/>
    <w:semiHidden/>
    <w:unhideWhenUsed/>
    <w:qFormat/>
    <w:uiPriority w:val="1"/>
  </w:style>
  <w:style w:type="paragraph" w:customStyle="1" w:styleId="2">
    <w:name w:val="37554C8FE5DA4B9FB292E64524B3D244"/>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styleId="3">
    <w:name w:val="Placeholder Text"/>
    <w:basedOn w:val="1"/>
    <w:semiHidden/>
    <w:qFormat/>
    <w:uiPriority w:val="99"/>
    <w:rPr>
      <w:color w:val="808080"/>
    </w:rPr>
  </w:style>
  <w:style w:type="paragraph" w:customStyle="1" w:styleId="4">
    <w:name w:val="7AB8F6F630504AF19735832308C14B5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
    <w:name w:val="E2E4DD8F30F7499B8F2E9EF63130012B"/>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2049"/>
    <customShpInfo spid="_x0000_s2050"/>
    <customShpInfo spid="_x0000_s2051"/>
    <customShpInfo spid="_x0000_s1026" textRotate="1"/>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Pages>
  <Words>2178</Words>
  <Characters>2374</Characters>
  <TotalTime>8</TotalTime>
  <ScaleCrop>false</ScaleCrop>
  <LinksUpToDate>false</LinksUpToDate>
  <CharactersWithSpaces>2484</CharactersWithSpaces>
  <Application>WPS Office_12.1.0.26895_F1E327BC-269C-435d-A152-05C5408002CA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2020-12-31T09:12:00Z</dcterms:created>
  <dc:creator>DELL</dc:creator>
  <cp:lastModifiedBy>Mincy^</cp:lastModifiedBy>
  <cp:lastPrinted>2026-06-24T08:35:08Z</cp:lastPrinted>
  <dcterms:modified xsi:type="dcterms:W3CDTF">2026-06-24T08:44:58Z</dcterms:modified>
  <dc:title>标准名称</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wqlLaW5nc29mdCBQREYgdG8gV1BTIDExNQ</vt:lpwstr>
  </property>
  <property fmtid="{D5CDD505-2E9C-101B-9397-08002B2CF9AE}" pid="3" name="Created">
    <vt:filetime>2025-11-25T14:50:43Z</vt:filetime>
  </property>
  <property fmtid="{D5CDD505-2E9C-101B-9397-08002B2CF9AE}" pid="4" name="KSOTemplateDocerSaveRecord">
    <vt:lpwstr>eyJoZGlkIjoiZWYxMjBhZTcyZWMxODM4YjA3MmQ3ZDE5YTQ4NTBkYzQiLCJ1c2VySWQiOiI0MjA1NTI2NTUifQ==</vt:lpwstr>
  </property>
  <property fmtid="{D5CDD505-2E9C-101B-9397-08002B2CF9AE}" pid="5" name="KSOProductBuildVer">
    <vt:lpwstr>2052-12.1.0.26895</vt:lpwstr>
  </property>
  <property fmtid="{D5CDD505-2E9C-101B-9397-08002B2CF9AE}" pid="6" name="ICV">
    <vt:lpwstr>6500D8E7D9714B358C33FF2B23559E43_13</vt:lpwstr>
  </property>
</Properties>
</file>