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3FF0F5">
      <w:pPr>
        <w:spacing w:before="54" w:line="327" w:lineRule="auto"/>
        <w:ind w:left="57" w:right="8718" w:hanging="2"/>
        <w:rPr>
          <w:rFonts w:hint="eastAsia" w:ascii="黑体" w:hAnsi="黑体" w:eastAsia="黑体" w:cs="黑体"/>
          <w:spacing w:val="24"/>
          <w:w w:val="101"/>
          <w:sz w:val="21"/>
          <w:szCs w:val="21"/>
        </w:rPr>
      </w:pPr>
      <w:r>
        <w:rPr>
          <w:rFonts w:hint="eastAsia" w:ascii="黑体" w:hAnsi="黑体" w:eastAsia="黑体" w:cs="黑体"/>
          <w:sz w:val="21"/>
          <w:szCs w:val="21"/>
        </w:rPr>
        <w:t>ICS</w:t>
      </w:r>
      <w:r>
        <w:rPr>
          <w:rFonts w:hint="eastAsia" w:ascii="黑体" w:hAnsi="黑体" w:eastAsia="黑体" w:cs="黑体"/>
          <w:spacing w:val="24"/>
          <w:w w:val="101"/>
          <w:sz w:val="21"/>
          <w:szCs w:val="21"/>
        </w:rPr>
        <w:t xml:space="preserve">  </w:t>
      </w:r>
    </w:p>
    <w:p w14:paraId="69497D71">
      <w:pPr>
        <w:spacing w:before="54" w:line="327" w:lineRule="auto"/>
        <w:ind w:left="57" w:right="8718" w:hanging="2"/>
        <w:rPr>
          <w:rFonts w:ascii="Times New Roman" w:hAnsi="Times New Roman" w:eastAsia="Times New Roman" w:cs="Times New Roman"/>
          <w:sz w:val="20"/>
          <w:szCs w:val="20"/>
        </w:rPr>
      </w:pPr>
      <w:r>
        <w:rPr>
          <w:rFonts w:hint="eastAsia" w:ascii="黑体" w:hAnsi="黑体" w:eastAsia="黑体" w:cs="黑体"/>
          <w:sz w:val="21"/>
          <w:szCs w:val="21"/>
        </w:rPr>
        <w:t>CCS</w:t>
      </w:r>
      <w:r>
        <w:rPr>
          <w:rFonts w:ascii="Times New Roman" w:hAnsi="Times New Roman" w:eastAsia="Times New Roman" w:cs="Times New Roman"/>
          <w:spacing w:val="20"/>
          <w:sz w:val="20"/>
          <w:szCs w:val="20"/>
        </w:rPr>
        <w:t xml:space="preserve"> </w:t>
      </w:r>
    </w:p>
    <w:p w14:paraId="78C05BB2">
      <w:pPr>
        <w:spacing w:before="93" w:line="184" w:lineRule="auto"/>
        <w:jc w:val="right"/>
        <w:rPr>
          <w:rFonts w:hint="default" w:ascii="Times New Roman" w:hAnsi="Times New Roman" w:eastAsia="宋体" w:cs="Times New Roman"/>
          <w:sz w:val="96"/>
          <w:szCs w:val="96"/>
          <w:lang w:val="en-US" w:eastAsia="zh-CN"/>
        </w:rPr>
      </w:pPr>
      <w:r>
        <w:rPr>
          <w:rFonts w:hint="default" w:ascii="Times New Roman" w:hAnsi="Times New Roman" w:eastAsia="楷体" w:cs="Times New Roman"/>
          <w:b/>
          <w:bCs/>
          <w:spacing w:val="44"/>
          <w:w w:val="123"/>
          <w:sz w:val="96"/>
          <w:szCs w:val="96"/>
        </w:rPr>
        <w:t>T</w:t>
      </w:r>
      <w:r>
        <w:rPr>
          <w:rFonts w:hint="default" w:ascii="Times New Roman" w:hAnsi="Times New Roman" w:eastAsia="Times New Roman" w:cs="Times New Roman"/>
          <w:b/>
          <w:bCs/>
          <w:spacing w:val="44"/>
          <w:w w:val="123"/>
          <w:sz w:val="96"/>
          <w:szCs w:val="96"/>
        </w:rPr>
        <w:t>/J</w:t>
      </w:r>
      <w:r>
        <w:rPr>
          <w:rFonts w:hint="default" w:ascii="Times New Roman" w:hAnsi="Times New Roman" w:eastAsia="宋体" w:cs="Times New Roman"/>
          <w:b/>
          <w:bCs/>
          <w:spacing w:val="44"/>
          <w:w w:val="123"/>
          <w:sz w:val="96"/>
          <w:szCs w:val="96"/>
          <w:lang w:val="en-US" w:eastAsia="zh-CN"/>
        </w:rPr>
        <w:t>XIFST</w:t>
      </w:r>
    </w:p>
    <w:p w14:paraId="4D020EC0">
      <w:pPr>
        <w:pStyle w:val="5"/>
        <w:spacing w:before="84" w:line="225" w:lineRule="auto"/>
        <w:jc w:val="center"/>
        <w:rPr>
          <w:sz w:val="48"/>
          <w:szCs w:val="48"/>
        </w:rPr>
      </w:pPr>
      <w:r>
        <w:rPr>
          <w:spacing w:val="96"/>
          <w:sz w:val="48"/>
          <w:szCs w:val="48"/>
        </w:rPr>
        <w:t>江西</w:t>
      </w:r>
      <w:r>
        <w:rPr>
          <w:rFonts w:hint="eastAsia"/>
          <w:spacing w:val="96"/>
          <w:sz w:val="48"/>
          <w:szCs w:val="48"/>
          <w:lang w:val="en-US" w:eastAsia="zh-CN"/>
        </w:rPr>
        <w:t>省食品科学技术学会</w:t>
      </w:r>
      <w:r>
        <w:rPr>
          <w:spacing w:val="96"/>
          <w:sz w:val="48"/>
          <w:szCs w:val="48"/>
        </w:rPr>
        <w:t>团体标准</w:t>
      </w:r>
    </w:p>
    <w:p w14:paraId="68869476">
      <w:pPr>
        <w:spacing w:line="261" w:lineRule="auto"/>
        <w:rPr>
          <w:rFonts w:ascii="Arial"/>
          <w:sz w:val="21"/>
        </w:rPr>
      </w:pPr>
    </w:p>
    <w:p w14:paraId="612F6880">
      <w:pPr>
        <w:pStyle w:val="5"/>
        <w:spacing w:before="91" w:line="237" w:lineRule="auto"/>
        <w:ind w:left="7224"/>
        <w:rPr>
          <w:rFonts w:hint="eastAsia" w:eastAsia="黑体"/>
          <w:lang w:eastAsia="zh-CN"/>
        </w:rPr>
      </w:pPr>
      <w:r>
        <w:rPr>
          <w:spacing w:val="-1"/>
        </w:rPr>
        <w:t>T/J</w:t>
      </w:r>
      <w:r>
        <w:rPr>
          <w:rFonts w:hint="eastAsia"/>
          <w:spacing w:val="-1"/>
          <w:lang w:val="en-US" w:eastAsia="zh-CN"/>
        </w:rPr>
        <w:t>XIFST</w:t>
      </w:r>
      <w:r>
        <w:rPr>
          <w:spacing w:val="-1"/>
        </w:rPr>
        <w:t xml:space="preserve"> </w:t>
      </w:r>
      <w:r>
        <w:rPr>
          <w:rFonts w:hint="eastAsia"/>
          <w:spacing w:val="-1"/>
          <w:lang w:val="en-US" w:eastAsia="zh-CN"/>
        </w:rPr>
        <w:t>XXX</w:t>
      </w:r>
      <w:r>
        <w:rPr>
          <w:spacing w:val="-1"/>
        </w:rPr>
        <w:t>—202</w:t>
      </w:r>
      <w:r>
        <w:rPr>
          <w:rFonts w:hint="eastAsia"/>
          <w:spacing w:val="-1"/>
          <w:lang w:val="en-US" w:eastAsia="zh-CN"/>
        </w:rPr>
        <w:t>6</w:t>
      </w:r>
    </w:p>
    <w:p w14:paraId="498A1845">
      <w:pPr>
        <w:spacing w:line="246" w:lineRule="auto"/>
        <w:rPr>
          <w:rFonts w:ascii="Arial"/>
          <w:sz w:val="21"/>
        </w:rPr>
      </w:pPr>
    </w:p>
    <w:p w14:paraId="5F1F93FB">
      <w:pPr>
        <w:spacing w:line="246" w:lineRule="auto"/>
        <w:rPr>
          <w:rFonts w:ascii="Arial"/>
          <w:sz w:val="21"/>
        </w:rPr>
      </w:pPr>
    </w:p>
    <w:p w14:paraId="1F3D5692">
      <w:pPr>
        <w:spacing w:line="246" w:lineRule="auto"/>
        <w:rPr>
          <w:rFonts w:ascii="Arial"/>
          <w:sz w:val="21"/>
        </w:rPr>
      </w:pPr>
      <w:r>
        <w:pict>
          <v:shape id="_x0000_s1026" o:spid="_x0000_s1026" style="position:absolute;left:0pt;margin-left:3.85pt;margin-top:6.55pt;height:1pt;width:487.1pt;z-index:251660288;mso-width-relative:page;mso-height-relative:page;" filled="f" stroked="t" coordsize="9742,20" path="m0,9l9741,9e">
            <v:fill on="f" focussize="0,0"/>
            <v:stroke weight="0.96pt" color="#000000" miterlimit="2" joinstyle="bevel"/>
            <v:imagedata o:title=""/>
            <o:lock v:ext="edit"/>
          </v:shape>
        </w:pict>
      </w:r>
    </w:p>
    <w:p w14:paraId="09730121">
      <w:pPr>
        <w:spacing w:line="246" w:lineRule="auto"/>
        <w:rPr>
          <w:rFonts w:ascii="Arial"/>
          <w:sz w:val="21"/>
        </w:rPr>
      </w:pPr>
    </w:p>
    <w:p w14:paraId="1FDE1D31">
      <w:pPr>
        <w:spacing w:line="246" w:lineRule="auto"/>
        <w:rPr>
          <w:rFonts w:ascii="Arial"/>
          <w:sz w:val="21"/>
        </w:rPr>
      </w:pPr>
    </w:p>
    <w:p w14:paraId="311FF80A">
      <w:pPr>
        <w:spacing w:line="246" w:lineRule="auto"/>
        <w:rPr>
          <w:rFonts w:ascii="Arial"/>
          <w:sz w:val="21"/>
        </w:rPr>
      </w:pPr>
    </w:p>
    <w:p w14:paraId="33F9997B">
      <w:pPr>
        <w:spacing w:line="246" w:lineRule="auto"/>
        <w:rPr>
          <w:rFonts w:ascii="Arial"/>
          <w:sz w:val="21"/>
        </w:rPr>
      </w:pPr>
    </w:p>
    <w:p w14:paraId="56FC97B6">
      <w:pPr>
        <w:spacing w:line="246" w:lineRule="auto"/>
        <w:rPr>
          <w:rFonts w:ascii="Arial"/>
          <w:sz w:val="21"/>
        </w:rPr>
      </w:pPr>
    </w:p>
    <w:p w14:paraId="54D128BC">
      <w:pPr>
        <w:spacing w:line="246" w:lineRule="auto"/>
        <w:rPr>
          <w:rFonts w:ascii="Arial"/>
          <w:sz w:val="21"/>
        </w:rPr>
      </w:pPr>
    </w:p>
    <w:p w14:paraId="54C9E3DF">
      <w:pPr>
        <w:spacing w:line="247" w:lineRule="auto"/>
        <w:rPr>
          <w:rFonts w:ascii="Arial"/>
          <w:sz w:val="21"/>
        </w:rPr>
      </w:pPr>
    </w:p>
    <w:p w14:paraId="71B4EA7A">
      <w:pPr>
        <w:spacing w:line="247" w:lineRule="auto"/>
        <w:rPr>
          <w:rFonts w:ascii="Arial"/>
          <w:sz w:val="21"/>
        </w:rPr>
      </w:pPr>
    </w:p>
    <w:p w14:paraId="71BA58A0">
      <w:pPr>
        <w:pStyle w:val="8"/>
        <w:keepNext w:val="0"/>
        <w:keepLines w:val="0"/>
        <w:widowControl/>
        <w:suppressLineNumbers w:val="0"/>
        <w:jc w:val="center"/>
        <w:rPr>
          <w:rFonts w:hint="eastAsia" w:ascii="黑体" w:hAnsi="黑体" w:eastAsia="黑体" w:cs="黑体"/>
          <w:sz w:val="44"/>
          <w:szCs w:val="44"/>
        </w:rPr>
      </w:pPr>
      <w:r>
        <w:rPr>
          <w:rFonts w:hint="eastAsia" w:ascii="黑体" w:hAnsi="黑体" w:eastAsia="黑体" w:cs="黑体"/>
          <w:sz w:val="52"/>
          <w:szCs w:val="52"/>
        </w:rPr>
        <w:t>食药同源护肝类复合提取物 加工技术规范</w:t>
      </w:r>
    </w:p>
    <w:p w14:paraId="0CF23D91">
      <w:pPr>
        <w:spacing w:line="257" w:lineRule="auto"/>
        <w:jc w:val="center"/>
        <w:rPr>
          <w:rFonts w:hint="eastAsia" w:ascii="黑体" w:hAnsi="黑体" w:eastAsia="黑体" w:cs="黑体"/>
          <w:sz w:val="28"/>
          <w:szCs w:val="28"/>
        </w:rPr>
      </w:pPr>
      <w:r>
        <w:rPr>
          <w:rFonts w:hint="eastAsia" w:ascii="黑体" w:hAnsi="黑体" w:eastAsia="黑体" w:cs="黑体"/>
          <w:sz w:val="28"/>
          <w:szCs w:val="28"/>
        </w:rPr>
        <w:t>Processing Specifications for Composite Extracts of Food-Drug Dual-Source Liver-Protecting Ingredients</w:t>
      </w:r>
    </w:p>
    <w:p w14:paraId="242E8584">
      <w:pPr>
        <w:spacing w:before="1"/>
      </w:pPr>
    </w:p>
    <w:p w14:paraId="5F1965F7">
      <w:pPr>
        <w:spacing w:before="1"/>
      </w:pPr>
    </w:p>
    <w:p w14:paraId="03FDEC51">
      <w:pPr>
        <w:spacing w:before="1"/>
      </w:pPr>
    </w:p>
    <w:p w14:paraId="05D1781E">
      <w:pPr>
        <w:spacing w:before="1"/>
      </w:pPr>
    </w:p>
    <w:p w14:paraId="03392BB3">
      <w:pPr>
        <w:spacing w:before="1"/>
      </w:pPr>
    </w:p>
    <w:p w14:paraId="35087E75">
      <w:pPr>
        <w:spacing w:before="1"/>
      </w:pPr>
    </w:p>
    <w:p w14:paraId="63BA104D">
      <w:pPr>
        <w:spacing w:before="1"/>
      </w:pPr>
    </w:p>
    <w:p w14:paraId="5869EC84">
      <w:pPr>
        <w:spacing w:before="1"/>
      </w:pPr>
    </w:p>
    <w:p w14:paraId="74D8DE34">
      <w:pPr>
        <w:spacing w:before="1"/>
      </w:pPr>
    </w:p>
    <w:p w14:paraId="2B561DAB">
      <w:pPr>
        <w:spacing w:before="1"/>
      </w:pPr>
    </w:p>
    <w:p w14:paraId="31FB2D8D">
      <w:pPr>
        <w:spacing w:before="1"/>
      </w:pPr>
    </w:p>
    <w:p w14:paraId="1644A490">
      <w:pPr>
        <w:spacing w:before="1"/>
      </w:pPr>
    </w:p>
    <w:p w14:paraId="65EA4435">
      <w:pPr>
        <w:spacing w:before="1"/>
      </w:pPr>
    </w:p>
    <w:p w14:paraId="3A6DA2FE">
      <w:pPr>
        <w:spacing w:before="1"/>
      </w:pPr>
    </w:p>
    <w:p w14:paraId="3D5FF09E">
      <w:pPr>
        <w:spacing w:before="1"/>
      </w:pPr>
    </w:p>
    <w:p w14:paraId="5F431207">
      <w:pPr>
        <w:spacing w:before="1"/>
      </w:pPr>
    </w:p>
    <w:p w14:paraId="451353A8">
      <w:pPr>
        <w:spacing w:before="1"/>
      </w:pPr>
    </w:p>
    <w:p w14:paraId="5FFCCEE6">
      <w:pPr>
        <w:spacing w:before="1"/>
      </w:pPr>
    </w:p>
    <w:p w14:paraId="7E3C04E5">
      <w:pPr>
        <w:spacing w:before="1"/>
      </w:pPr>
    </w:p>
    <w:p w14:paraId="2136746C">
      <w:pPr>
        <w:spacing w:before="1"/>
      </w:pPr>
    </w:p>
    <w:p w14:paraId="6DCE3990">
      <w:pPr>
        <w:spacing w:before="1"/>
      </w:pPr>
    </w:p>
    <w:p w14:paraId="59498F7A">
      <w:pPr>
        <w:spacing w:before="1"/>
      </w:pPr>
    </w:p>
    <w:p w14:paraId="63F46790">
      <w:pPr>
        <w:spacing w:before="1"/>
      </w:pPr>
    </w:p>
    <w:p w14:paraId="3FB7704B">
      <w:pPr>
        <w:spacing w:before="1"/>
      </w:pPr>
    </w:p>
    <w:p w14:paraId="524D1AB1">
      <w:pPr>
        <w:spacing w:before="1"/>
      </w:pPr>
    </w:p>
    <w:p w14:paraId="2CCBFD27">
      <w:pPr>
        <w:sectPr>
          <w:pgSz w:w="11906" w:h="16839"/>
          <w:pgMar w:top="532" w:right="776" w:bottom="0" w:left="1319" w:header="0" w:footer="0" w:gutter="0"/>
          <w:pgBorders>
            <w:top w:val="none" w:sz="0" w:space="0"/>
            <w:left w:val="none" w:sz="0" w:space="0"/>
            <w:bottom w:val="none" w:sz="0" w:space="0"/>
            <w:right w:val="none" w:sz="0" w:space="0"/>
          </w:pgBorders>
          <w:cols w:equalWidth="0" w:num="1">
            <w:col w:w="9810"/>
          </w:cols>
        </w:sectPr>
      </w:pPr>
    </w:p>
    <w:p w14:paraId="37C69E68">
      <w:pPr>
        <w:pStyle w:val="5"/>
        <w:spacing w:before="56" w:line="222" w:lineRule="auto"/>
        <w:ind w:left="104"/>
      </w:pPr>
      <w:r>
        <w:pict>
          <v:shape id="_x0000_s1027" o:spid="_x0000_s1027" style="position:absolute;left:0pt;margin-left:2.45pt;margin-top:20.45pt;height:1pt;width:487.05pt;z-index:251661312;mso-width-relative:page;mso-height-relative:page;" filled="f" stroked="t" coordsize="9740,20" path="m0,9l9740,9e">
            <v:fill on="f" focussize="0,0"/>
            <v:stroke weight="0.96pt" color="#000000" miterlimit="2" joinstyle="bevel"/>
            <v:imagedata o:title=""/>
            <o:lock v:ext="edit"/>
          </v:shape>
        </w:pict>
      </w:r>
      <w:r>
        <w:rPr>
          <w:spacing w:val="-4"/>
        </w:rPr>
        <w:t>202</w:t>
      </w:r>
      <w:r>
        <w:rPr>
          <w:rFonts w:hint="eastAsia"/>
          <w:spacing w:val="-4"/>
          <w:lang w:val="en-US" w:eastAsia="zh-CN"/>
        </w:rPr>
        <w:t>6</w:t>
      </w:r>
      <w:r>
        <w:rPr>
          <w:spacing w:val="-4"/>
        </w:rPr>
        <w:t xml:space="preserve"> -</w:t>
      </w:r>
      <w:r>
        <w:rPr>
          <w:spacing w:val="13"/>
        </w:rPr>
        <w:t xml:space="preserve"> </w:t>
      </w:r>
      <w:r>
        <w:rPr>
          <w:rFonts w:hint="eastAsia"/>
          <w:spacing w:val="-4"/>
          <w:lang w:val="en-US" w:eastAsia="zh-CN"/>
        </w:rPr>
        <w:t>00</w:t>
      </w:r>
      <w:r>
        <w:rPr>
          <w:spacing w:val="-4"/>
        </w:rPr>
        <w:t xml:space="preserve"> -</w:t>
      </w:r>
      <w:r>
        <w:rPr>
          <w:spacing w:val="23"/>
        </w:rPr>
        <w:t xml:space="preserve"> </w:t>
      </w:r>
      <w:r>
        <w:rPr>
          <w:rFonts w:hint="eastAsia"/>
          <w:spacing w:val="-4"/>
          <w:lang w:val="en-US" w:eastAsia="zh-CN"/>
        </w:rPr>
        <w:t>00</w:t>
      </w:r>
      <w:r>
        <w:rPr>
          <w:spacing w:val="12"/>
        </w:rPr>
        <w:t xml:space="preserve"> </w:t>
      </w:r>
      <w:r>
        <w:rPr>
          <w:spacing w:val="-4"/>
        </w:rPr>
        <w:t>发布</w:t>
      </w:r>
    </w:p>
    <w:p w14:paraId="42CE1952">
      <w:pPr>
        <w:spacing w:line="75" w:lineRule="auto"/>
        <w:rPr>
          <w:rFonts w:ascii="Arial"/>
          <w:sz w:val="2"/>
        </w:rPr>
      </w:pPr>
    </w:p>
    <w:p w14:paraId="585B8253">
      <w:pPr>
        <w:spacing w:line="14" w:lineRule="auto"/>
        <w:rPr>
          <w:rFonts w:ascii="Arial"/>
          <w:sz w:val="2"/>
        </w:rPr>
      </w:pPr>
      <w:r>
        <w:rPr>
          <w:rFonts w:ascii="Arial" w:hAnsi="Arial" w:eastAsia="Arial" w:cs="Arial"/>
          <w:sz w:val="2"/>
          <w:szCs w:val="2"/>
        </w:rPr>
        <w:br w:type="column"/>
      </w:r>
    </w:p>
    <w:p w14:paraId="6F22F2DF">
      <w:pPr>
        <w:pStyle w:val="5"/>
        <w:spacing w:before="56" w:line="222" w:lineRule="auto"/>
      </w:pPr>
      <w:r>
        <w:rPr>
          <w:spacing w:val="-5"/>
        </w:rPr>
        <w:t>202</w:t>
      </w:r>
      <w:r>
        <w:rPr>
          <w:rFonts w:hint="eastAsia"/>
          <w:spacing w:val="-5"/>
          <w:lang w:val="en-US" w:eastAsia="zh-CN"/>
        </w:rPr>
        <w:t>6</w:t>
      </w:r>
      <w:r>
        <w:rPr>
          <w:spacing w:val="-5"/>
        </w:rPr>
        <w:t xml:space="preserve"> -</w:t>
      </w:r>
      <w:r>
        <w:rPr>
          <w:spacing w:val="11"/>
        </w:rPr>
        <w:t xml:space="preserve"> </w:t>
      </w:r>
      <w:r>
        <w:rPr>
          <w:spacing w:val="-5"/>
        </w:rPr>
        <w:t>0</w:t>
      </w:r>
      <w:r>
        <w:rPr>
          <w:rFonts w:hint="eastAsia"/>
          <w:spacing w:val="-5"/>
          <w:lang w:val="en-US" w:eastAsia="zh-CN"/>
        </w:rPr>
        <w:t>0</w:t>
      </w:r>
      <w:r>
        <w:rPr>
          <w:spacing w:val="6"/>
        </w:rPr>
        <w:t xml:space="preserve"> </w:t>
      </w:r>
      <w:r>
        <w:rPr>
          <w:spacing w:val="-5"/>
        </w:rPr>
        <w:t>-</w:t>
      </w:r>
      <w:r>
        <w:rPr>
          <w:spacing w:val="23"/>
        </w:rPr>
        <w:t xml:space="preserve"> </w:t>
      </w:r>
      <w:r>
        <w:rPr>
          <w:rFonts w:hint="eastAsia"/>
          <w:spacing w:val="-5"/>
          <w:lang w:val="en-US" w:eastAsia="zh-CN"/>
        </w:rPr>
        <w:t>00</w:t>
      </w:r>
      <w:r>
        <w:rPr>
          <w:spacing w:val="17"/>
        </w:rPr>
        <w:t xml:space="preserve"> </w:t>
      </w:r>
      <w:r>
        <w:rPr>
          <w:spacing w:val="-5"/>
        </w:rPr>
        <w:t>实施</w:t>
      </w:r>
    </w:p>
    <w:p w14:paraId="2B3C5558">
      <w:pPr>
        <w:spacing w:line="222" w:lineRule="auto"/>
        <w:sectPr>
          <w:type w:val="continuous"/>
          <w:pgSz w:w="11906" w:h="16839"/>
          <w:pgMar w:top="532" w:right="776" w:bottom="0" w:left="1319" w:header="0" w:footer="0" w:gutter="0"/>
          <w:pgBorders>
            <w:top w:val="none" w:sz="0" w:space="0"/>
            <w:left w:val="none" w:sz="0" w:space="0"/>
            <w:bottom w:val="none" w:sz="0" w:space="0"/>
            <w:right w:val="none" w:sz="0" w:space="0"/>
          </w:pgBorders>
          <w:cols w:equalWidth="0" w:num="2">
            <w:col w:w="6972" w:space="100"/>
            <w:col w:w="2738"/>
          </w:cols>
        </w:sectPr>
      </w:pPr>
    </w:p>
    <w:p w14:paraId="315A480A">
      <w:pPr>
        <w:spacing w:line="249" w:lineRule="auto"/>
        <w:rPr>
          <w:rFonts w:ascii="Arial"/>
          <w:sz w:val="21"/>
        </w:rPr>
      </w:pPr>
    </w:p>
    <w:p w14:paraId="0E0A3A87">
      <w:pPr>
        <w:spacing w:line="249" w:lineRule="auto"/>
        <w:rPr>
          <w:rFonts w:ascii="Arial"/>
          <w:sz w:val="21"/>
        </w:rPr>
      </w:pPr>
    </w:p>
    <w:p w14:paraId="6D638B92">
      <w:pPr>
        <w:spacing w:line="249" w:lineRule="auto"/>
        <w:rPr>
          <w:rFonts w:ascii="Arial"/>
          <w:sz w:val="21"/>
        </w:rPr>
      </w:pPr>
    </w:p>
    <w:p w14:paraId="6D968252">
      <w:pPr>
        <w:pStyle w:val="5"/>
        <w:spacing w:before="91" w:line="188" w:lineRule="auto"/>
        <w:ind w:left="1068"/>
        <w:rPr>
          <w:rFonts w:hint="eastAsia"/>
          <w:spacing w:val="-11"/>
          <w:lang w:val="en-US" w:eastAsia="zh-CN"/>
        </w:rPr>
      </w:pPr>
      <w:r>
        <w:rPr>
          <w:spacing w:val="25"/>
        </w:rPr>
        <w:t xml:space="preserve">   </w:t>
      </w:r>
      <w:r>
        <w:rPr>
          <w:rFonts w:hint="eastAsia"/>
          <w:spacing w:val="25"/>
          <w:lang w:val="en-US" w:eastAsia="zh-CN"/>
        </w:rPr>
        <w:t xml:space="preserve">江西省食品科学技术学会    </w:t>
      </w:r>
      <w:r>
        <w:rPr>
          <w:spacing w:val="-11"/>
        </w:rPr>
        <w:t>发</w:t>
      </w:r>
      <w:r>
        <w:rPr>
          <w:rFonts w:hint="eastAsia"/>
          <w:spacing w:val="-11"/>
          <w:lang w:val="en-US" w:eastAsia="zh-CN"/>
        </w:rPr>
        <w:t xml:space="preserve">  布</w:t>
      </w:r>
    </w:p>
    <w:p w14:paraId="4F47B808">
      <w:pPr>
        <w:pStyle w:val="5"/>
        <w:spacing w:before="91" w:line="188" w:lineRule="auto"/>
        <w:ind w:left="1068"/>
        <w:rPr>
          <w:rFonts w:hint="default"/>
          <w:spacing w:val="-11"/>
          <w:lang w:val="en-US" w:eastAsia="zh-CN"/>
        </w:rPr>
        <w:sectPr>
          <w:type w:val="continuous"/>
          <w:pgSz w:w="11906" w:h="16839"/>
          <w:pgMar w:top="532" w:right="776" w:bottom="0" w:left="1319" w:header="0" w:footer="0" w:gutter="0"/>
          <w:pgBorders>
            <w:top w:val="none" w:sz="0" w:space="0"/>
            <w:left w:val="none" w:sz="0" w:space="0"/>
            <w:bottom w:val="none" w:sz="0" w:space="0"/>
            <w:right w:val="none" w:sz="0" w:space="0"/>
          </w:pgBorders>
          <w:cols w:equalWidth="0" w:num="1">
            <w:col w:w="9810"/>
          </w:cols>
        </w:sectPr>
      </w:pPr>
    </w:p>
    <w:p w14:paraId="1DCB0717">
      <w:pPr>
        <w:spacing w:line="245" w:lineRule="auto"/>
        <w:rPr>
          <w:rFonts w:ascii="Arial"/>
          <w:sz w:val="21"/>
        </w:rPr>
      </w:pPr>
    </w:p>
    <w:p w14:paraId="4D056A4A">
      <w:pPr>
        <w:spacing w:line="248" w:lineRule="auto"/>
        <w:jc w:val="right"/>
        <w:rPr>
          <w:rFonts w:ascii="Arial"/>
          <w:sz w:val="20"/>
          <w:szCs w:val="20"/>
        </w:rPr>
      </w:pPr>
      <w:r>
        <w:rPr>
          <w:spacing w:val="-1"/>
          <w:sz w:val="20"/>
          <w:szCs w:val="20"/>
        </w:rPr>
        <w:t>T/J</w:t>
      </w:r>
      <w:r>
        <w:rPr>
          <w:rFonts w:hint="eastAsia"/>
          <w:spacing w:val="-1"/>
          <w:sz w:val="20"/>
          <w:szCs w:val="20"/>
          <w:lang w:val="en-US" w:eastAsia="zh-CN"/>
        </w:rPr>
        <w:t>XIFST</w:t>
      </w:r>
      <w:r>
        <w:rPr>
          <w:spacing w:val="-1"/>
          <w:sz w:val="20"/>
          <w:szCs w:val="20"/>
        </w:rPr>
        <w:t xml:space="preserve"> </w:t>
      </w:r>
      <w:r>
        <w:rPr>
          <w:rFonts w:hint="eastAsia"/>
          <w:spacing w:val="-1"/>
          <w:sz w:val="20"/>
          <w:szCs w:val="20"/>
          <w:lang w:val="en-US" w:eastAsia="zh-CN"/>
        </w:rPr>
        <w:t>XXX</w:t>
      </w:r>
      <w:r>
        <w:rPr>
          <w:spacing w:val="-1"/>
          <w:sz w:val="20"/>
          <w:szCs w:val="20"/>
        </w:rPr>
        <w:t>—202</w:t>
      </w:r>
      <w:r>
        <w:rPr>
          <w:rFonts w:hint="eastAsia"/>
          <w:spacing w:val="-1"/>
          <w:sz w:val="20"/>
          <w:szCs w:val="20"/>
          <w:lang w:val="en-US" w:eastAsia="zh-CN"/>
        </w:rPr>
        <w:t>6</w:t>
      </w:r>
    </w:p>
    <w:p w14:paraId="2B347DB6">
      <w:pPr>
        <w:spacing w:line="248" w:lineRule="auto"/>
        <w:rPr>
          <w:rFonts w:ascii="Arial"/>
          <w:sz w:val="21"/>
        </w:rPr>
      </w:pPr>
    </w:p>
    <w:p w14:paraId="19ECC022">
      <w:pPr>
        <w:spacing w:line="248" w:lineRule="auto"/>
        <w:rPr>
          <w:rFonts w:ascii="Arial"/>
          <w:sz w:val="21"/>
        </w:rPr>
      </w:pPr>
    </w:p>
    <w:sdt>
      <w:sdtPr>
        <w:rPr>
          <w:rFonts w:ascii="黑体" w:hAnsi="黑体" w:eastAsia="黑体" w:cs="黑体"/>
          <w:sz w:val="31"/>
          <w:szCs w:val="31"/>
        </w:rPr>
        <w:id w:val="147475712"/>
        <w:docPartObj>
          <w:docPartGallery w:val="Table of Contents"/>
          <w:docPartUnique/>
        </w:docPartObj>
      </w:sdtPr>
      <w:sdtEndPr>
        <w:rPr>
          <w:rFonts w:ascii="宋体" w:hAnsi="宋体" w:eastAsia="宋体" w:cs="宋体"/>
          <w:sz w:val="20"/>
          <w:szCs w:val="20"/>
        </w:rPr>
      </w:sdtEndPr>
      <w:sdtContent>
        <w:p w14:paraId="5384B45A">
          <w:pPr>
            <w:pStyle w:val="5"/>
            <w:spacing w:before="101" w:line="228" w:lineRule="auto"/>
            <w:ind w:left="4084"/>
            <w:rPr>
              <w:sz w:val="32"/>
              <w:szCs w:val="32"/>
            </w:rPr>
          </w:pPr>
          <w:bookmarkStart w:id="0" w:name="bookmark1"/>
          <w:bookmarkEnd w:id="0"/>
          <w:r>
            <w:rPr>
              <w:spacing w:val="-22"/>
              <w:sz w:val="32"/>
              <w:szCs w:val="32"/>
            </w:rPr>
            <w:t>目</w:t>
          </w:r>
          <w:r>
            <w:rPr>
              <w:spacing w:val="7"/>
              <w:sz w:val="32"/>
              <w:szCs w:val="32"/>
            </w:rPr>
            <w:t xml:space="preserve">    </w:t>
          </w:r>
          <w:r>
            <w:rPr>
              <w:spacing w:val="-22"/>
              <w:sz w:val="32"/>
              <w:szCs w:val="32"/>
            </w:rPr>
            <w:t>次</w:t>
          </w:r>
        </w:p>
        <w:p w14:paraId="540B8F6A">
          <w:pPr>
            <w:spacing w:line="313" w:lineRule="auto"/>
            <w:rPr>
              <w:rFonts w:ascii="Arial"/>
              <w:sz w:val="21"/>
            </w:rPr>
          </w:pPr>
        </w:p>
        <w:p w14:paraId="169F2BE7">
          <w:pPr>
            <w:spacing w:line="313" w:lineRule="auto"/>
            <w:rPr>
              <w:rFonts w:ascii="Arial"/>
              <w:sz w:val="21"/>
            </w:rPr>
          </w:pPr>
        </w:p>
        <w:p w14:paraId="7FC451D7">
          <w:pPr>
            <w:tabs>
              <w:tab w:val="right" w:leader="dot" w:pos="9345"/>
            </w:tabs>
            <w:spacing w:before="65" w:line="194" w:lineRule="auto"/>
            <w:ind w:left="4"/>
            <w:rPr>
              <w:rFonts w:hint="eastAsia" w:ascii="宋体" w:hAnsi="宋体" w:eastAsia="宋体" w:cs="宋体"/>
              <w:sz w:val="21"/>
              <w:szCs w:val="21"/>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"bookmark2" </w:instrText>
          </w:r>
          <w:r>
            <w:rPr>
              <w:rFonts w:hint="eastAsia" w:ascii="宋体" w:hAnsi="宋体" w:eastAsia="宋体" w:cs="宋体"/>
              <w:sz w:val="21"/>
              <w:szCs w:val="21"/>
            </w:rPr>
            <w:fldChar w:fldCharType="separate"/>
          </w:r>
          <w:r>
            <w:rPr>
              <w:rFonts w:hint="eastAsia" w:ascii="宋体" w:hAnsi="宋体" w:eastAsia="宋体" w:cs="宋体"/>
              <w:spacing w:val="3"/>
              <w:sz w:val="21"/>
              <w:szCs w:val="21"/>
            </w:rPr>
            <w:t>前言</w:t>
          </w:r>
          <w:r>
            <w:rPr>
              <w:rFonts w:hint="eastAsia" w:ascii="宋体" w:hAnsi="宋体" w:eastAsia="宋体" w:cs="宋体"/>
              <w:sz w:val="21"/>
              <w:szCs w:val="21"/>
            </w:rPr>
            <w:tab/>
          </w:r>
          <w:r>
            <w:rPr>
              <w:rFonts w:hint="eastAsia" w:ascii="宋体" w:hAnsi="宋体" w:eastAsia="宋体" w:cs="宋体"/>
              <w:spacing w:val="-40"/>
              <w:sz w:val="21"/>
              <w:szCs w:val="21"/>
            </w:rPr>
            <w:t xml:space="preserve"> </w:t>
          </w:r>
          <w:r>
            <w:rPr>
              <w:rFonts w:hint="eastAsia" w:ascii="宋体" w:hAnsi="宋体" w:eastAsia="宋体" w:cs="宋体"/>
              <w:spacing w:val="-5"/>
              <w:sz w:val="21"/>
              <w:szCs w:val="21"/>
            </w:rPr>
            <w:t>II</w:t>
          </w:r>
          <w:r>
            <w:rPr>
              <w:rFonts w:hint="eastAsia" w:ascii="宋体" w:hAnsi="宋体" w:eastAsia="宋体" w:cs="宋体"/>
              <w:spacing w:val="-5"/>
              <w:sz w:val="21"/>
              <w:szCs w:val="21"/>
            </w:rPr>
            <w:fldChar w:fldCharType="end"/>
          </w:r>
        </w:p>
        <w:p w14:paraId="150601FD">
          <w:pPr>
            <w:tabs>
              <w:tab w:val="right" w:leader="dot" w:pos="9345"/>
            </w:tabs>
            <w:spacing w:before="190" w:line="194" w:lineRule="auto"/>
            <w:ind w:left="16"/>
            <w:rPr>
              <w:rFonts w:hint="eastAsia" w:ascii="宋体" w:hAnsi="宋体" w:eastAsia="宋体" w:cs="宋体"/>
              <w:sz w:val="21"/>
              <w:szCs w:val="21"/>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"bookmark3" </w:instrText>
          </w:r>
          <w:r>
            <w:rPr>
              <w:rFonts w:hint="eastAsia" w:ascii="宋体" w:hAnsi="宋体" w:eastAsia="宋体" w:cs="宋体"/>
              <w:sz w:val="21"/>
              <w:szCs w:val="21"/>
            </w:rPr>
            <w:fldChar w:fldCharType="separate"/>
          </w:r>
          <w:r>
            <w:rPr>
              <w:rFonts w:hint="eastAsia" w:ascii="宋体" w:hAnsi="宋体" w:eastAsia="宋体" w:cs="宋体"/>
              <w:spacing w:val="-5"/>
              <w:sz w:val="21"/>
              <w:szCs w:val="21"/>
            </w:rPr>
            <w:t>1</w:t>
          </w:r>
          <w:r>
            <w:rPr>
              <w:rFonts w:hint="eastAsia" w:ascii="宋体" w:hAnsi="宋体" w:eastAsia="宋体" w:cs="宋体"/>
              <w:spacing w:val="11"/>
              <w:sz w:val="21"/>
              <w:szCs w:val="21"/>
            </w:rPr>
            <w:t xml:space="preserve">  </w:t>
          </w:r>
          <w:r>
            <w:rPr>
              <w:rFonts w:hint="eastAsia" w:ascii="宋体" w:hAnsi="宋体" w:eastAsia="宋体" w:cs="宋体"/>
              <w:spacing w:val="-5"/>
              <w:sz w:val="21"/>
              <w:szCs w:val="21"/>
            </w:rPr>
            <w:t>范围</w:t>
          </w:r>
          <w:r>
            <w:rPr>
              <w:rFonts w:hint="eastAsia" w:ascii="宋体" w:hAnsi="宋体" w:eastAsia="宋体" w:cs="宋体"/>
              <w:sz w:val="21"/>
              <w:szCs w:val="21"/>
            </w:rPr>
            <w:tab/>
          </w:r>
          <w:r>
            <w:rPr>
              <w:rFonts w:hint="eastAsia" w:ascii="宋体" w:hAnsi="宋体" w:eastAsia="宋体" w:cs="宋体"/>
              <w:spacing w:val="-38"/>
              <w:sz w:val="21"/>
              <w:szCs w:val="21"/>
            </w:rPr>
            <w:t xml:space="preserve"> </w:t>
          </w:r>
          <w:r>
            <w:rPr>
              <w:rFonts w:hint="eastAsia" w:ascii="宋体" w:hAnsi="宋体" w:eastAsia="宋体" w:cs="宋体"/>
              <w:spacing w:val="-20"/>
              <w:sz w:val="21"/>
              <w:szCs w:val="21"/>
            </w:rPr>
            <w:t>1</w:t>
          </w:r>
          <w:r>
            <w:rPr>
              <w:rFonts w:hint="eastAsia" w:ascii="宋体" w:hAnsi="宋体" w:eastAsia="宋体" w:cs="宋体"/>
              <w:spacing w:val="-20"/>
              <w:sz w:val="21"/>
              <w:szCs w:val="21"/>
            </w:rPr>
            <w:fldChar w:fldCharType="end"/>
          </w:r>
        </w:p>
        <w:p w14:paraId="0B5989C8">
          <w:pPr>
            <w:tabs>
              <w:tab w:val="right" w:leader="dot" w:pos="9345"/>
            </w:tabs>
            <w:spacing w:before="188" w:line="194" w:lineRule="auto"/>
            <w:ind w:left="3"/>
            <w:rPr>
              <w:rFonts w:hint="eastAsia" w:ascii="宋体" w:hAnsi="宋体" w:eastAsia="宋体" w:cs="宋体"/>
              <w:sz w:val="21"/>
              <w:szCs w:val="21"/>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"bookmark4" </w:instrText>
          </w:r>
          <w:r>
            <w:rPr>
              <w:rFonts w:hint="eastAsia" w:ascii="宋体" w:hAnsi="宋体" w:eastAsia="宋体" w:cs="宋体"/>
              <w:sz w:val="21"/>
              <w:szCs w:val="21"/>
            </w:rPr>
            <w:fldChar w:fldCharType="separate"/>
          </w:r>
          <w:r>
            <w:rPr>
              <w:rFonts w:hint="eastAsia" w:ascii="宋体" w:hAnsi="宋体" w:eastAsia="宋体" w:cs="宋体"/>
              <w:spacing w:val="7"/>
              <w:sz w:val="21"/>
              <w:szCs w:val="21"/>
            </w:rPr>
            <w:t>2  规范性引用文件</w:t>
          </w:r>
          <w:r>
            <w:rPr>
              <w:rFonts w:hint="eastAsia" w:ascii="宋体" w:hAnsi="宋体" w:eastAsia="宋体" w:cs="宋体"/>
              <w:sz w:val="21"/>
              <w:szCs w:val="21"/>
            </w:rPr>
            <w:tab/>
          </w:r>
          <w:r>
            <w:rPr>
              <w:rFonts w:hint="eastAsia" w:ascii="宋体" w:hAnsi="宋体" w:eastAsia="宋体" w:cs="宋体"/>
              <w:spacing w:val="-49"/>
              <w:sz w:val="21"/>
              <w:szCs w:val="21"/>
            </w:rPr>
            <w:t xml:space="preserve"> </w:t>
          </w:r>
          <w:r>
            <w:rPr>
              <w:rFonts w:hint="eastAsia" w:ascii="宋体" w:hAnsi="宋体" w:eastAsia="宋体" w:cs="宋体"/>
              <w:spacing w:val="-20"/>
              <w:sz w:val="21"/>
              <w:szCs w:val="21"/>
            </w:rPr>
            <w:t>1</w:t>
          </w:r>
          <w:r>
            <w:rPr>
              <w:rFonts w:hint="eastAsia" w:ascii="宋体" w:hAnsi="宋体" w:eastAsia="宋体" w:cs="宋体"/>
              <w:spacing w:val="-20"/>
              <w:sz w:val="21"/>
              <w:szCs w:val="21"/>
            </w:rPr>
            <w:fldChar w:fldCharType="end"/>
          </w:r>
        </w:p>
        <w:p w14:paraId="3A550D81">
          <w:pPr>
            <w:tabs>
              <w:tab w:val="right" w:leader="dot" w:pos="9345"/>
            </w:tabs>
            <w:spacing w:before="190" w:line="194" w:lineRule="auto"/>
            <w:ind w:left="5"/>
            <w:rPr>
              <w:rFonts w:hint="eastAsia" w:ascii="宋体" w:hAnsi="宋体" w:eastAsia="宋体" w:cs="宋体"/>
              <w:sz w:val="21"/>
              <w:szCs w:val="21"/>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"bookmark5" </w:instrText>
          </w:r>
          <w:r>
            <w:rPr>
              <w:rFonts w:hint="eastAsia" w:ascii="宋体" w:hAnsi="宋体" w:eastAsia="宋体" w:cs="宋体"/>
              <w:sz w:val="21"/>
              <w:szCs w:val="21"/>
            </w:rPr>
            <w:fldChar w:fldCharType="separate"/>
          </w:r>
          <w:r>
            <w:rPr>
              <w:rFonts w:hint="eastAsia" w:ascii="宋体" w:hAnsi="宋体" w:eastAsia="宋体" w:cs="宋体"/>
              <w:spacing w:val="5"/>
              <w:sz w:val="21"/>
              <w:szCs w:val="21"/>
            </w:rPr>
            <w:t>3</w:t>
          </w:r>
          <w:r>
            <w:rPr>
              <w:rFonts w:hint="eastAsia" w:ascii="宋体" w:hAnsi="宋体" w:eastAsia="宋体" w:cs="宋体"/>
              <w:spacing w:val="10"/>
              <w:sz w:val="21"/>
              <w:szCs w:val="21"/>
            </w:rPr>
            <w:t xml:space="preserve">  </w:t>
          </w:r>
          <w:r>
            <w:rPr>
              <w:rFonts w:hint="eastAsia" w:ascii="宋体" w:hAnsi="宋体" w:eastAsia="宋体" w:cs="宋体"/>
              <w:spacing w:val="5"/>
              <w:sz w:val="21"/>
              <w:szCs w:val="21"/>
            </w:rPr>
            <w:t>术语和定义</w:t>
          </w:r>
          <w:r>
            <w:rPr>
              <w:rFonts w:hint="eastAsia" w:ascii="宋体" w:hAnsi="宋体" w:eastAsia="宋体" w:cs="宋体"/>
              <w:sz w:val="21"/>
              <w:szCs w:val="21"/>
            </w:rPr>
            <w:tab/>
          </w:r>
          <w:r>
            <w:rPr>
              <w:rFonts w:hint="eastAsia" w:ascii="宋体" w:hAnsi="宋体" w:eastAsia="宋体" w:cs="宋体"/>
              <w:spacing w:val="-58"/>
              <w:sz w:val="21"/>
              <w:szCs w:val="21"/>
            </w:rPr>
            <w:t xml:space="preserve"> </w:t>
          </w:r>
          <w:r>
            <w:rPr>
              <w:rFonts w:hint="eastAsia" w:ascii="宋体" w:hAnsi="宋体" w:eastAsia="宋体" w:cs="宋体"/>
              <w:spacing w:val="-7"/>
              <w:sz w:val="21"/>
              <w:szCs w:val="21"/>
              <w:lang w:val="en-US" w:eastAsia="zh-CN"/>
            </w:rPr>
            <w:t>1</w:t>
          </w:r>
          <w:r>
            <w:rPr>
              <w:rFonts w:hint="eastAsia" w:ascii="宋体" w:hAnsi="宋体" w:eastAsia="宋体" w:cs="宋体"/>
              <w:spacing w:val="-7"/>
              <w:sz w:val="21"/>
              <w:szCs w:val="21"/>
            </w:rPr>
            <w:fldChar w:fldCharType="end"/>
          </w:r>
        </w:p>
        <w:p w14:paraId="75C26EC0">
          <w:pPr>
            <w:tabs>
              <w:tab w:val="right" w:leader="dot" w:pos="9345"/>
            </w:tabs>
            <w:spacing w:before="191" w:line="194" w:lineRule="auto"/>
            <w:rPr>
              <w:rFonts w:hint="eastAsia" w:ascii="宋体" w:hAnsi="宋体" w:eastAsia="宋体" w:cs="宋体"/>
              <w:sz w:val="21"/>
              <w:szCs w:val="21"/>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"bookmark6" </w:instrText>
          </w:r>
          <w:r>
            <w:rPr>
              <w:rFonts w:hint="eastAsia" w:ascii="宋体" w:hAnsi="宋体" w:eastAsia="宋体" w:cs="宋体"/>
              <w:sz w:val="21"/>
              <w:szCs w:val="21"/>
            </w:rPr>
            <w:fldChar w:fldCharType="separate"/>
          </w:r>
          <w:r>
            <w:rPr>
              <w:rFonts w:hint="eastAsia" w:ascii="宋体" w:hAnsi="宋体" w:eastAsia="宋体" w:cs="宋体"/>
              <w:spacing w:val="5"/>
              <w:sz w:val="21"/>
              <w:szCs w:val="21"/>
            </w:rPr>
            <w:t>4</w:t>
          </w:r>
          <w:r>
            <w:rPr>
              <w:rFonts w:hint="eastAsia" w:ascii="宋体" w:hAnsi="宋体" w:eastAsia="宋体" w:cs="宋体"/>
              <w:spacing w:val="9"/>
              <w:sz w:val="21"/>
              <w:szCs w:val="21"/>
            </w:rPr>
            <w:t xml:space="preserve">  </w:t>
          </w:r>
          <w:r>
            <w:rPr>
              <w:rFonts w:hint="eastAsia" w:ascii="宋体" w:hAnsi="宋体" w:eastAsia="宋体" w:cs="宋体"/>
              <w:spacing w:val="9"/>
              <w:sz w:val="21"/>
              <w:szCs w:val="21"/>
              <w:lang w:val="en-US" w:eastAsia="zh-CN"/>
            </w:rPr>
            <w:t>原料</w:t>
          </w:r>
          <w:r>
            <w:rPr>
              <w:rFonts w:hint="eastAsia" w:ascii="宋体" w:hAnsi="宋体" w:eastAsia="宋体" w:cs="宋体"/>
              <w:spacing w:val="5"/>
              <w:sz w:val="21"/>
              <w:szCs w:val="21"/>
            </w:rPr>
            <w:t>要求</w:t>
          </w:r>
          <w:r>
            <w:rPr>
              <w:rFonts w:hint="eastAsia" w:ascii="宋体" w:hAnsi="宋体" w:eastAsia="宋体" w:cs="宋体"/>
              <w:sz w:val="21"/>
              <w:szCs w:val="21"/>
            </w:rPr>
            <w:tab/>
          </w:r>
          <w:r>
            <w:rPr>
              <w:rFonts w:hint="eastAsia" w:ascii="宋体" w:hAnsi="宋体" w:eastAsia="宋体" w:cs="宋体"/>
              <w:spacing w:val="-55"/>
              <w:sz w:val="21"/>
              <w:szCs w:val="21"/>
            </w:rPr>
            <w:t xml:space="preserve"> </w:t>
          </w:r>
          <w:r>
            <w:rPr>
              <w:rFonts w:hint="eastAsia" w:ascii="宋体" w:hAnsi="宋体" w:eastAsia="宋体" w:cs="宋体"/>
              <w:spacing w:val="-7"/>
              <w:sz w:val="21"/>
              <w:szCs w:val="21"/>
            </w:rPr>
            <w:t>2</w:t>
          </w:r>
          <w:r>
            <w:rPr>
              <w:rFonts w:hint="eastAsia" w:ascii="宋体" w:hAnsi="宋体" w:eastAsia="宋体" w:cs="宋体"/>
              <w:spacing w:val="-7"/>
              <w:sz w:val="21"/>
              <w:szCs w:val="21"/>
            </w:rPr>
            <w:fldChar w:fldCharType="end"/>
          </w:r>
        </w:p>
        <w:p w14:paraId="66354968">
          <w:pPr>
            <w:tabs>
              <w:tab w:val="right" w:leader="dot" w:pos="9345"/>
            </w:tabs>
            <w:spacing w:before="188" w:line="194" w:lineRule="auto"/>
            <w:ind w:left="5"/>
            <w:rPr>
              <w:rFonts w:hint="eastAsia" w:ascii="宋体" w:hAnsi="宋体" w:eastAsia="宋体" w:cs="宋体"/>
              <w:spacing w:val="-8"/>
              <w:sz w:val="21"/>
              <w:szCs w:val="21"/>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"bookmark7" </w:instrText>
          </w:r>
          <w:r>
            <w:rPr>
              <w:rFonts w:hint="eastAsia" w:ascii="宋体" w:hAnsi="宋体" w:eastAsia="宋体" w:cs="宋体"/>
              <w:sz w:val="21"/>
              <w:szCs w:val="21"/>
            </w:rPr>
            <w:fldChar w:fldCharType="separate"/>
          </w:r>
          <w:r>
            <w:rPr>
              <w:rFonts w:hint="eastAsia" w:ascii="宋体" w:hAnsi="宋体" w:eastAsia="宋体" w:cs="宋体"/>
              <w:spacing w:val="8"/>
              <w:sz w:val="21"/>
              <w:szCs w:val="21"/>
            </w:rPr>
            <w:t xml:space="preserve">5  </w:t>
          </w:r>
          <w:r>
            <w:rPr>
              <w:rFonts w:hint="eastAsia" w:ascii="宋体" w:hAnsi="宋体" w:eastAsia="宋体" w:cs="宋体"/>
              <w:spacing w:val="8"/>
              <w:sz w:val="21"/>
              <w:szCs w:val="21"/>
              <w:lang w:val="en-US" w:eastAsia="zh-CN"/>
            </w:rPr>
            <w:t>加工工艺</w:t>
          </w:r>
          <w:r>
            <w:rPr>
              <w:rFonts w:hint="eastAsia" w:ascii="宋体" w:hAnsi="宋体" w:eastAsia="宋体" w:cs="宋体"/>
              <w:sz w:val="21"/>
              <w:szCs w:val="21"/>
            </w:rPr>
            <w:tab/>
          </w:r>
          <w:r>
            <w:rPr>
              <w:rFonts w:hint="eastAsia" w:ascii="宋体" w:hAnsi="宋体" w:eastAsia="宋体" w:cs="宋体"/>
              <w:spacing w:val="-73"/>
              <w:sz w:val="21"/>
              <w:szCs w:val="21"/>
            </w:rPr>
            <w:t xml:space="preserve"> </w:t>
          </w:r>
          <w:r>
            <w:rPr>
              <w:rFonts w:hint="eastAsia" w:ascii="宋体" w:hAnsi="宋体" w:eastAsia="宋体" w:cs="宋体"/>
              <w:spacing w:val="-8"/>
              <w:sz w:val="21"/>
              <w:szCs w:val="21"/>
              <w:lang w:val="en-US" w:eastAsia="zh-CN"/>
            </w:rPr>
            <w:t>2</w:t>
          </w:r>
          <w:r>
            <w:rPr>
              <w:rFonts w:hint="eastAsia" w:ascii="宋体" w:hAnsi="宋体" w:eastAsia="宋体" w:cs="宋体"/>
              <w:spacing w:val="-8"/>
              <w:sz w:val="21"/>
              <w:szCs w:val="21"/>
            </w:rPr>
            <w:fldChar w:fldCharType="end"/>
          </w:r>
        </w:p>
        <w:p w14:paraId="626F1E79">
          <w:pPr>
            <w:tabs>
              <w:tab w:val="right" w:leader="dot" w:pos="9345"/>
            </w:tabs>
            <w:spacing w:before="188" w:line="194" w:lineRule="auto"/>
            <w:ind w:left="5"/>
            <w:rPr>
              <w:rFonts w:hint="eastAsia" w:ascii="宋体" w:hAnsi="宋体" w:eastAsia="宋体" w:cs="宋体"/>
              <w:spacing w:val="-8"/>
              <w:sz w:val="21"/>
              <w:szCs w:val="21"/>
              <w:lang w:val="en-US" w:eastAsia="zh-CN"/>
            </w:rPr>
          </w:pPr>
          <w:r>
            <w:rPr>
              <w:rFonts w:hint="eastAsia" w:ascii="宋体" w:hAnsi="宋体" w:eastAsia="宋体" w:cs="宋体"/>
              <w:spacing w:val="-8"/>
              <w:sz w:val="21"/>
              <w:szCs w:val="21"/>
              <w:lang w:val="en-US" w:eastAsia="zh-CN"/>
            </w:rPr>
            <w:t>6   成品质量要求</w:t>
          </w:r>
          <w:r>
            <w:rPr>
              <w:rFonts w:hint="eastAsia" w:ascii="宋体" w:hAnsi="宋体" w:eastAsia="宋体" w:cs="宋体"/>
              <w:sz w:val="21"/>
              <w:szCs w:val="21"/>
            </w:rPr>
            <w:tab/>
          </w:r>
          <w:r>
            <w:rPr>
              <w:rFonts w:hint="eastAsia" w:ascii="宋体" w:hAnsi="宋体" w:eastAsia="宋体" w:cs="宋体"/>
              <w:spacing w:val="-73"/>
              <w:sz w:val="21"/>
              <w:szCs w:val="21"/>
            </w:rPr>
            <w:t xml:space="preserve"> </w:t>
          </w:r>
          <w:r>
            <w:rPr>
              <w:rFonts w:hint="eastAsia" w:ascii="宋体" w:hAnsi="宋体" w:eastAsia="宋体" w:cs="宋体"/>
              <w:spacing w:val="-8"/>
              <w:sz w:val="21"/>
              <w:szCs w:val="21"/>
              <w:lang w:val="en-US" w:eastAsia="zh-CN"/>
            </w:rPr>
            <w:t>3</w:t>
          </w:r>
        </w:p>
        <w:p w14:paraId="5ACC9404">
          <w:pPr>
            <w:tabs>
              <w:tab w:val="right" w:leader="dot" w:pos="9345"/>
            </w:tabs>
            <w:spacing w:before="188" w:line="194" w:lineRule="auto"/>
            <w:ind w:left="5"/>
            <w:rPr>
              <w:rFonts w:hint="eastAsia" w:ascii="宋体" w:hAnsi="宋体" w:eastAsia="宋体" w:cs="宋体"/>
              <w:spacing w:val="-8"/>
              <w:sz w:val="21"/>
              <w:szCs w:val="21"/>
              <w:lang w:val="en-US" w:eastAsia="zh-CN"/>
            </w:rPr>
          </w:pPr>
          <w:r>
            <w:rPr>
              <w:rFonts w:hint="eastAsia" w:ascii="宋体" w:hAnsi="宋体" w:eastAsia="宋体" w:cs="宋体"/>
              <w:spacing w:val="-8"/>
              <w:sz w:val="21"/>
              <w:szCs w:val="21"/>
              <w:lang w:val="en-US" w:eastAsia="zh-CN"/>
            </w:rPr>
            <w:t>7   包装贮存与运输</w:t>
          </w:r>
          <w:r>
            <w:rPr>
              <w:rFonts w:hint="eastAsia" w:ascii="宋体" w:hAnsi="宋体" w:eastAsia="宋体" w:cs="宋体"/>
              <w:sz w:val="21"/>
              <w:szCs w:val="21"/>
            </w:rPr>
            <w:tab/>
          </w:r>
          <w:r>
            <w:rPr>
              <w:rFonts w:hint="eastAsia" w:ascii="宋体" w:hAnsi="宋体" w:eastAsia="宋体" w:cs="宋体"/>
              <w:spacing w:val="-73"/>
              <w:sz w:val="21"/>
              <w:szCs w:val="21"/>
            </w:rPr>
            <w:t xml:space="preserve"> </w:t>
          </w:r>
          <w:r>
            <w:rPr>
              <w:rFonts w:hint="eastAsia" w:ascii="宋体" w:hAnsi="宋体" w:eastAsia="宋体" w:cs="宋体"/>
              <w:spacing w:val="-8"/>
              <w:sz w:val="21"/>
              <w:szCs w:val="21"/>
              <w:lang w:val="en-US" w:eastAsia="zh-CN"/>
            </w:rPr>
            <w:t>4</w:t>
          </w:r>
        </w:p>
        <w:p w14:paraId="7FA975ED">
          <w:pPr>
            <w:tabs>
              <w:tab w:val="right" w:leader="dot" w:pos="9345"/>
            </w:tabs>
            <w:spacing w:before="188" w:line="194" w:lineRule="auto"/>
            <w:ind w:left="5"/>
            <w:rPr>
              <w:rFonts w:hint="eastAsia" w:ascii="宋体" w:hAnsi="宋体" w:eastAsia="宋体" w:cs="宋体"/>
              <w:spacing w:val="-8"/>
              <w:sz w:val="21"/>
              <w:szCs w:val="21"/>
              <w:lang w:val="en-US" w:eastAsia="zh-CN"/>
            </w:rPr>
          </w:pPr>
          <w:r>
            <w:rPr>
              <w:rFonts w:hint="eastAsia" w:ascii="宋体" w:hAnsi="宋体" w:eastAsia="宋体" w:cs="宋体"/>
              <w:spacing w:val="-8"/>
              <w:sz w:val="21"/>
              <w:szCs w:val="21"/>
              <w:lang w:val="en-US" w:eastAsia="zh-CN"/>
            </w:rPr>
            <w:t>8   生产卫生</w:t>
          </w:r>
          <w:r>
            <w:rPr>
              <w:rFonts w:hint="eastAsia" w:ascii="宋体" w:hAnsi="宋体" w:eastAsia="宋体" w:cs="宋体"/>
              <w:sz w:val="21"/>
              <w:szCs w:val="21"/>
            </w:rPr>
            <w:tab/>
          </w:r>
          <w:r>
            <w:rPr>
              <w:rFonts w:hint="eastAsia" w:ascii="宋体" w:hAnsi="宋体" w:eastAsia="宋体" w:cs="宋体"/>
              <w:spacing w:val="-73"/>
              <w:sz w:val="21"/>
              <w:szCs w:val="21"/>
            </w:rPr>
            <w:t xml:space="preserve"> </w:t>
          </w:r>
          <w:r>
            <w:rPr>
              <w:rFonts w:hint="eastAsia" w:ascii="宋体" w:hAnsi="宋体" w:eastAsia="宋体" w:cs="宋体"/>
              <w:spacing w:val="-8"/>
              <w:sz w:val="21"/>
              <w:szCs w:val="21"/>
              <w:lang w:val="en-US" w:eastAsia="zh-CN"/>
            </w:rPr>
            <w:t xml:space="preserve">4    </w:t>
          </w:r>
        </w:p>
        <w:p w14:paraId="3F57BBA1">
          <w:pPr>
            <w:tabs>
              <w:tab w:val="right" w:leader="dot" w:pos="9345"/>
            </w:tabs>
            <w:spacing w:before="191" w:line="228" w:lineRule="auto"/>
            <w:ind w:left="17"/>
            <w:rPr>
              <w:rFonts w:ascii="宋体" w:hAnsi="宋体" w:eastAsia="宋体" w:cs="宋体"/>
              <w:sz w:val="20"/>
              <w:szCs w:val="20"/>
            </w:rPr>
            <w:sectPr>
              <w:headerReference r:id="rId5" w:type="default"/>
              <w:footerReference r:id="rId6" w:type="default"/>
              <w:pgSz w:w="11906" w:h="16839"/>
              <w:pgMar w:top="400" w:right="1133" w:bottom="1337" w:left="1425" w:header="0" w:footer="1063" w:gutter="0"/>
              <w:pgBorders>
                <w:top w:val="none" w:sz="0" w:space="0"/>
                <w:left w:val="none" w:sz="0" w:space="0"/>
                <w:bottom w:val="none" w:sz="0" w:space="0"/>
                <w:right w:val="none" w:sz="0" w:space="0"/>
              </w:pgBorders>
              <w:cols w:space="720" w:num="1"/>
            </w:sect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"bookmark8" </w:instrText>
          </w:r>
          <w:r>
            <w:rPr>
              <w:rFonts w:hint="eastAsia" w:ascii="宋体" w:hAnsi="宋体" w:eastAsia="宋体" w:cs="宋体"/>
              <w:sz w:val="21"/>
              <w:szCs w:val="21"/>
            </w:rPr>
            <w:fldChar w:fldCharType="separate"/>
          </w:r>
          <w:r>
            <w:rPr>
              <w:rFonts w:hint="eastAsia" w:ascii="宋体" w:hAnsi="宋体" w:eastAsia="宋体" w:cs="宋体"/>
              <w:spacing w:val="7"/>
              <w:sz w:val="21"/>
              <w:szCs w:val="21"/>
            </w:rPr>
            <w:t>附录</w:t>
          </w:r>
          <w:r>
            <w:rPr>
              <w:rFonts w:hint="eastAsia" w:ascii="宋体" w:hAnsi="宋体" w:eastAsia="宋体" w:cs="宋体"/>
              <w:spacing w:val="-28"/>
              <w:sz w:val="21"/>
              <w:szCs w:val="21"/>
            </w:rPr>
            <w:t xml:space="preserve"> </w:t>
          </w:r>
          <w:r>
            <w:rPr>
              <w:rFonts w:hint="eastAsia" w:ascii="宋体" w:hAnsi="宋体" w:eastAsia="宋体" w:cs="宋体"/>
              <w:spacing w:val="7"/>
              <w:sz w:val="21"/>
              <w:szCs w:val="21"/>
            </w:rPr>
            <w:t xml:space="preserve">A（规范性） </w:t>
          </w:r>
          <w:r>
            <w:rPr>
              <w:rFonts w:hint="eastAsia" w:ascii="宋体" w:hAnsi="宋体" w:eastAsia="宋体" w:cs="宋体"/>
              <w:spacing w:val="7"/>
              <w:sz w:val="21"/>
              <w:szCs w:val="21"/>
              <w:lang w:val="en-US" w:eastAsia="zh-CN"/>
            </w:rPr>
            <w:t>活性成分</w:t>
          </w:r>
          <w:r>
            <w:rPr>
              <w:rFonts w:hint="eastAsia" w:ascii="宋体" w:hAnsi="宋体" w:eastAsia="宋体" w:cs="宋体"/>
              <w:spacing w:val="7"/>
              <w:sz w:val="21"/>
              <w:szCs w:val="21"/>
            </w:rPr>
            <w:t>测定方法</w:t>
          </w:r>
          <w:r>
            <w:rPr>
              <w:rFonts w:hint="eastAsia" w:ascii="宋体" w:hAnsi="宋体" w:eastAsia="宋体" w:cs="宋体"/>
              <w:sz w:val="21"/>
              <w:szCs w:val="21"/>
            </w:rPr>
            <w:tab/>
          </w:r>
          <w:r>
            <w:rPr>
              <w:rFonts w:hint="eastAsia" w:ascii="宋体" w:hAnsi="宋体" w:eastAsia="宋体" w:cs="宋体"/>
              <w:spacing w:val="-84"/>
              <w:sz w:val="21"/>
              <w:szCs w:val="21"/>
            </w:rPr>
            <w:t xml:space="preserve"> </w:t>
          </w:r>
          <w:r>
            <w:rPr>
              <w:rFonts w:hint="eastAsia" w:ascii="宋体" w:hAnsi="宋体" w:eastAsia="宋体" w:cs="宋体"/>
              <w:spacing w:val="-6"/>
              <w:sz w:val="21"/>
              <w:szCs w:val="21"/>
              <w:lang w:val="en-US" w:eastAsia="zh-CN"/>
            </w:rPr>
            <w:t>5</w:t>
          </w:r>
          <w:r>
            <w:rPr>
              <w:rFonts w:hint="eastAsia" w:ascii="宋体" w:hAnsi="宋体" w:eastAsia="宋体" w:cs="宋体"/>
              <w:spacing w:val="-6"/>
              <w:sz w:val="21"/>
              <w:szCs w:val="21"/>
            </w:rPr>
            <w:fldChar w:fldCharType="end"/>
          </w:r>
        </w:p>
      </w:sdtContent>
    </w:sdt>
    <w:p w14:paraId="65DA3C7F">
      <w:pPr>
        <w:spacing w:line="245" w:lineRule="auto"/>
        <w:rPr>
          <w:rFonts w:ascii="Arial"/>
          <w:sz w:val="21"/>
        </w:rPr>
      </w:pPr>
    </w:p>
    <w:p w14:paraId="0ACA68B6">
      <w:pPr>
        <w:pStyle w:val="5"/>
        <w:spacing w:before="65" w:line="265" w:lineRule="exact"/>
        <w:ind w:left="12"/>
        <w:jc w:val="right"/>
        <w:rPr>
          <w:sz w:val="20"/>
          <w:szCs w:val="20"/>
        </w:rPr>
      </w:pPr>
      <w:r>
        <w:rPr>
          <w:spacing w:val="6"/>
          <w:position w:val="1"/>
          <w:sz w:val="20"/>
          <w:szCs w:val="20"/>
        </w:rPr>
        <w:t>T/</w:t>
      </w:r>
      <w:r>
        <w:rPr>
          <w:position w:val="1"/>
          <w:sz w:val="20"/>
          <w:szCs w:val="20"/>
        </w:rPr>
        <w:t>JGE</w:t>
      </w:r>
      <w:r>
        <w:rPr>
          <w:spacing w:val="6"/>
          <w:position w:val="1"/>
          <w:sz w:val="20"/>
          <w:szCs w:val="20"/>
        </w:rPr>
        <w:t xml:space="preserve"> 0017—2022</w:t>
      </w:r>
    </w:p>
    <w:p w14:paraId="05ECF3C0">
      <w:pPr>
        <w:spacing w:line="248" w:lineRule="auto"/>
        <w:rPr>
          <w:rFonts w:ascii="Arial"/>
          <w:sz w:val="21"/>
        </w:rPr>
      </w:pPr>
    </w:p>
    <w:p w14:paraId="50727C2A">
      <w:pPr>
        <w:spacing w:line="248" w:lineRule="auto"/>
        <w:rPr>
          <w:rFonts w:ascii="Arial"/>
          <w:sz w:val="21"/>
        </w:rPr>
      </w:pPr>
    </w:p>
    <w:p w14:paraId="338D23AA">
      <w:pPr>
        <w:spacing w:line="248" w:lineRule="auto"/>
        <w:rPr>
          <w:rFonts w:ascii="Arial"/>
          <w:sz w:val="21"/>
        </w:rPr>
      </w:pPr>
    </w:p>
    <w:p w14:paraId="4D7D8922">
      <w:pPr>
        <w:pStyle w:val="5"/>
        <w:spacing w:before="101" w:line="228" w:lineRule="auto"/>
        <w:ind w:left="4057"/>
        <w:outlineLvl w:val="0"/>
        <w:rPr>
          <w:sz w:val="31"/>
          <w:szCs w:val="31"/>
        </w:rPr>
      </w:pPr>
      <w:bookmarkStart w:id="1" w:name="bookmark2"/>
      <w:bookmarkEnd w:id="1"/>
      <w:r>
        <w:rPr>
          <w:spacing w:val="-2"/>
          <w:sz w:val="31"/>
          <w:szCs w:val="31"/>
        </w:rPr>
        <w:t>前</w:t>
      </w:r>
      <w:r>
        <w:rPr>
          <w:spacing w:val="9"/>
          <w:sz w:val="31"/>
          <w:szCs w:val="31"/>
        </w:rPr>
        <w:t xml:space="preserve">    </w:t>
      </w:r>
      <w:r>
        <w:rPr>
          <w:spacing w:val="-2"/>
          <w:sz w:val="31"/>
          <w:szCs w:val="31"/>
        </w:rPr>
        <w:t>言</w:t>
      </w:r>
    </w:p>
    <w:p w14:paraId="23951614">
      <w:pPr>
        <w:spacing w:line="269" w:lineRule="auto"/>
        <w:rPr>
          <w:rFonts w:ascii="Arial"/>
          <w:sz w:val="21"/>
        </w:rPr>
      </w:pPr>
    </w:p>
    <w:p w14:paraId="3ACF53F8">
      <w:pPr>
        <w:spacing w:line="269" w:lineRule="auto"/>
        <w:rPr>
          <w:rFonts w:ascii="Arial"/>
          <w:sz w:val="21"/>
        </w:rPr>
      </w:pPr>
    </w:p>
    <w:p w14:paraId="38653783">
      <w:pPr>
        <w:keepNext w:val="0"/>
        <w:keepLines w:val="0"/>
        <w:pageBreakBefore w:val="0"/>
        <w:widowControl/>
        <w:kinsoku w:val="0"/>
        <w:wordWrap/>
        <w:overflowPunct/>
        <w:topLinePunct w:val="0"/>
        <w:autoSpaceDE w:val="0"/>
        <w:autoSpaceDN w:val="0"/>
        <w:bidi w:val="0"/>
        <w:adjustRightInd w:val="0"/>
        <w:snapToGrid w:val="0"/>
        <w:spacing w:before="65" w:line="360" w:lineRule="auto"/>
        <w:ind w:left="16" w:right="69" w:firstLine="415"/>
        <w:textAlignment w:val="baseline"/>
        <w:rPr>
          <w:rFonts w:ascii="宋体" w:hAnsi="宋体" w:eastAsia="宋体" w:cs="宋体"/>
          <w:sz w:val="20"/>
          <w:szCs w:val="20"/>
        </w:rPr>
      </w:pPr>
      <w:r>
        <w:rPr>
          <w:rFonts w:ascii="宋体" w:hAnsi="宋体" w:eastAsia="宋体" w:cs="宋体"/>
          <w:spacing w:val="10"/>
          <w:sz w:val="20"/>
          <w:szCs w:val="20"/>
        </w:rPr>
        <w:t>本文件按照</w:t>
      </w:r>
      <w:r>
        <w:rPr>
          <w:rFonts w:ascii="宋体" w:hAnsi="宋体" w:eastAsia="宋体" w:cs="宋体"/>
          <w:sz w:val="20"/>
          <w:szCs w:val="20"/>
        </w:rPr>
        <w:t>GB</w:t>
      </w:r>
      <w:r>
        <w:rPr>
          <w:rFonts w:ascii="宋体" w:hAnsi="宋体" w:eastAsia="宋体" w:cs="宋体"/>
          <w:spacing w:val="10"/>
          <w:sz w:val="20"/>
          <w:szCs w:val="20"/>
        </w:rPr>
        <w:t>/T 1.1—2020《标准化工作导则  第</w:t>
      </w:r>
      <w:r>
        <w:rPr>
          <w:rFonts w:ascii="宋体" w:hAnsi="宋体" w:eastAsia="宋体" w:cs="宋体"/>
          <w:spacing w:val="-10"/>
          <w:sz w:val="20"/>
          <w:szCs w:val="20"/>
        </w:rPr>
        <w:t xml:space="preserve"> </w:t>
      </w:r>
      <w:r>
        <w:rPr>
          <w:rFonts w:ascii="宋体" w:hAnsi="宋体" w:eastAsia="宋体" w:cs="宋体"/>
          <w:spacing w:val="10"/>
          <w:sz w:val="20"/>
          <w:szCs w:val="20"/>
        </w:rPr>
        <w:t>1</w:t>
      </w:r>
      <w:r>
        <w:rPr>
          <w:rFonts w:ascii="宋体" w:hAnsi="宋体" w:eastAsia="宋体" w:cs="宋体"/>
          <w:spacing w:val="-35"/>
          <w:sz w:val="20"/>
          <w:szCs w:val="20"/>
        </w:rPr>
        <w:t xml:space="preserve"> </w:t>
      </w:r>
      <w:r>
        <w:rPr>
          <w:rFonts w:ascii="宋体" w:hAnsi="宋体" w:eastAsia="宋体" w:cs="宋体"/>
          <w:spacing w:val="10"/>
          <w:sz w:val="20"/>
          <w:szCs w:val="20"/>
        </w:rPr>
        <w:t>部分：标准化文件的结构和起草规则》的规</w:t>
      </w:r>
      <w:r>
        <w:rPr>
          <w:rFonts w:ascii="宋体" w:hAnsi="宋体" w:eastAsia="宋体" w:cs="宋体"/>
          <w:spacing w:val="3"/>
          <w:sz w:val="20"/>
          <w:szCs w:val="20"/>
        </w:rPr>
        <w:t>定起草。</w:t>
      </w:r>
    </w:p>
    <w:p w14:paraId="1B859F74">
      <w:pPr>
        <w:keepNext w:val="0"/>
        <w:keepLines w:val="0"/>
        <w:pageBreakBefore w:val="0"/>
        <w:widowControl/>
        <w:kinsoku w:val="0"/>
        <w:wordWrap/>
        <w:overflowPunct/>
        <w:topLinePunct w:val="0"/>
        <w:autoSpaceDE w:val="0"/>
        <w:autoSpaceDN w:val="0"/>
        <w:bidi w:val="0"/>
        <w:adjustRightInd w:val="0"/>
        <w:snapToGrid w:val="0"/>
        <w:spacing w:before="65" w:line="360" w:lineRule="auto"/>
        <w:ind w:left="420" w:leftChars="200"/>
        <w:jc w:val="left"/>
        <w:textAlignment w:val="baseline"/>
        <w:rPr>
          <w:rFonts w:hint="eastAsia" w:ascii="宋体" w:hAnsi="宋体" w:eastAsia="宋体" w:cs="宋体"/>
          <w:spacing w:val="10"/>
          <w:sz w:val="20"/>
          <w:szCs w:val="20"/>
          <w:lang w:val="en-US" w:eastAsia="zh-CN"/>
        </w:rPr>
      </w:pPr>
      <w:r>
        <w:rPr>
          <w:rFonts w:hint="eastAsia" w:ascii="宋体" w:hAnsi="宋体" w:eastAsia="宋体" w:cs="宋体"/>
          <w:spacing w:val="10"/>
          <w:sz w:val="20"/>
          <w:szCs w:val="20"/>
          <w:lang w:val="en-US" w:eastAsia="zh-CN"/>
        </w:rPr>
        <w:t>请注意本文件的某些内容可能涉及专利。本文件的发布机构不承担识别专利的责任。</w:t>
      </w:r>
    </w:p>
    <w:p w14:paraId="03E64BB1">
      <w:pPr>
        <w:keepNext w:val="0"/>
        <w:keepLines w:val="0"/>
        <w:pageBreakBefore w:val="0"/>
        <w:widowControl/>
        <w:kinsoku w:val="0"/>
        <w:wordWrap/>
        <w:overflowPunct/>
        <w:topLinePunct w:val="0"/>
        <w:autoSpaceDE w:val="0"/>
        <w:autoSpaceDN w:val="0"/>
        <w:bidi w:val="0"/>
        <w:adjustRightInd w:val="0"/>
        <w:snapToGrid w:val="0"/>
        <w:spacing w:before="65" w:line="360" w:lineRule="auto"/>
        <w:ind w:left="420" w:leftChars="200"/>
        <w:jc w:val="left"/>
        <w:textAlignment w:val="baseline"/>
        <w:rPr>
          <w:rFonts w:hint="eastAsia" w:ascii="宋体" w:hAnsi="宋体" w:eastAsia="宋体" w:cs="宋体"/>
          <w:spacing w:val="10"/>
          <w:sz w:val="20"/>
          <w:szCs w:val="20"/>
          <w:lang w:val="en-US" w:eastAsia="zh-CN"/>
        </w:rPr>
      </w:pPr>
      <w:r>
        <w:rPr>
          <w:rFonts w:hint="eastAsia" w:ascii="宋体" w:hAnsi="宋体" w:eastAsia="宋体" w:cs="宋体"/>
          <w:spacing w:val="10"/>
          <w:sz w:val="20"/>
          <w:szCs w:val="20"/>
          <w:lang w:val="en-US" w:eastAsia="zh-CN"/>
        </w:rPr>
        <w:t>本文件由江西省食品科学技术学会提出并归口。</w:t>
      </w:r>
    </w:p>
    <w:p w14:paraId="0D560F05">
      <w:pPr>
        <w:keepNext w:val="0"/>
        <w:keepLines w:val="0"/>
        <w:pageBreakBefore w:val="0"/>
        <w:widowControl/>
        <w:kinsoku w:val="0"/>
        <w:wordWrap/>
        <w:overflowPunct/>
        <w:topLinePunct w:val="0"/>
        <w:autoSpaceDE w:val="0"/>
        <w:autoSpaceDN w:val="0"/>
        <w:bidi w:val="0"/>
        <w:adjustRightInd w:val="0"/>
        <w:snapToGrid w:val="0"/>
        <w:spacing w:before="65" w:line="360" w:lineRule="auto"/>
        <w:ind w:left="420" w:leftChars="200"/>
        <w:jc w:val="left"/>
        <w:textAlignment w:val="baseline"/>
        <w:rPr>
          <w:rFonts w:hint="default" w:ascii="宋体" w:hAnsi="宋体" w:eastAsia="宋体" w:cs="宋体"/>
          <w:color w:val="000000"/>
          <w:kern w:val="0"/>
          <w:sz w:val="16"/>
          <w:szCs w:val="16"/>
          <w:lang w:val="en-US" w:eastAsia="zh-CN" w:bidi="ar"/>
        </w:rPr>
      </w:pPr>
      <w:r>
        <w:rPr>
          <w:rFonts w:hint="eastAsia" w:ascii="宋体" w:hAnsi="宋体" w:eastAsia="宋体" w:cs="宋体"/>
          <w:spacing w:val="10"/>
          <w:sz w:val="20"/>
          <w:szCs w:val="20"/>
          <w:lang w:val="en-US" w:eastAsia="zh-CN"/>
        </w:rPr>
        <w:t>本文件起草单位:南昌大学食品学院</w:t>
      </w:r>
    </w:p>
    <w:p w14:paraId="21BEE167">
      <w:pPr>
        <w:keepNext w:val="0"/>
        <w:keepLines w:val="0"/>
        <w:pageBreakBefore w:val="0"/>
        <w:widowControl/>
        <w:kinsoku w:val="0"/>
        <w:wordWrap/>
        <w:overflowPunct/>
        <w:topLinePunct w:val="0"/>
        <w:autoSpaceDE w:val="0"/>
        <w:autoSpaceDN w:val="0"/>
        <w:bidi w:val="0"/>
        <w:adjustRightInd w:val="0"/>
        <w:snapToGrid w:val="0"/>
        <w:spacing w:before="65" w:line="360" w:lineRule="auto"/>
        <w:ind w:left="420" w:leftChars="200"/>
        <w:jc w:val="left"/>
        <w:textAlignment w:val="baseline"/>
        <w:rPr>
          <w:rFonts w:hint="eastAsia" w:ascii="宋体" w:hAnsi="宋体" w:eastAsia="宋体" w:cs="宋体"/>
          <w:spacing w:val="10"/>
          <w:sz w:val="20"/>
          <w:szCs w:val="20"/>
          <w:lang w:val="en-US" w:eastAsia="zh-CN"/>
        </w:rPr>
      </w:pPr>
      <w:r>
        <w:rPr>
          <w:rFonts w:hint="eastAsia" w:ascii="宋体" w:hAnsi="宋体" w:eastAsia="宋体" w:cs="宋体"/>
          <w:spacing w:val="10"/>
          <w:sz w:val="20"/>
          <w:szCs w:val="20"/>
          <w:lang w:val="en-US" w:eastAsia="zh-CN"/>
        </w:rPr>
        <w:t>本文件主要起草人:尧梅香、付玉梅、朱晓娟。</w:t>
      </w:r>
    </w:p>
    <w:p w14:paraId="463D5F31">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ascii="宋体" w:hAnsi="宋体" w:eastAsia="宋体" w:cs="宋体"/>
          <w:sz w:val="20"/>
          <w:szCs w:val="20"/>
        </w:rPr>
        <w:sectPr>
          <w:footerReference r:id="rId7" w:type="default"/>
          <w:pgSz w:w="11906" w:h="16839"/>
          <w:pgMar w:top="400" w:right="1348" w:bottom="1337" w:left="1129" w:header="0" w:footer="1063" w:gutter="0"/>
          <w:pgBorders>
            <w:top w:val="none" w:sz="0" w:space="0"/>
            <w:left w:val="none" w:sz="0" w:space="0"/>
            <w:bottom w:val="none" w:sz="0" w:space="0"/>
            <w:right w:val="none" w:sz="0" w:space="0"/>
          </w:pgBorders>
          <w:cols w:space="720" w:num="1"/>
        </w:sectPr>
      </w:pPr>
    </w:p>
    <w:p w14:paraId="439CD856">
      <w:pPr>
        <w:pStyle w:val="8"/>
        <w:keepNext w:val="0"/>
        <w:keepLines w:val="0"/>
        <w:widowControl/>
        <w:suppressLineNumbers w:val="0"/>
        <w:jc w:val="center"/>
        <w:rPr>
          <w:rFonts w:hint="eastAsia" w:ascii="黑体" w:hAnsi="黑体" w:eastAsia="黑体" w:cs="黑体"/>
          <w:sz w:val="32"/>
          <w:szCs w:val="32"/>
        </w:rPr>
      </w:pPr>
      <w:r>
        <w:rPr>
          <w:rFonts w:hint="eastAsia" w:ascii="黑体" w:hAnsi="黑体" w:eastAsia="黑体" w:cs="黑体"/>
          <w:sz w:val="32"/>
          <w:szCs w:val="32"/>
        </w:rPr>
        <w:t>食药同源护肝类复合提取物 加工技术规范</w:t>
      </w:r>
    </w:p>
    <w:p w14:paraId="3540A22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color w:val="000000"/>
          <w:sz w:val="20"/>
          <w:szCs w:val="20"/>
        </w:rPr>
      </w:pPr>
    </w:p>
    <w:p w14:paraId="7E01722E">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rPr>
      </w:pPr>
      <w:r>
        <w:rPr>
          <w:rFonts w:hint="eastAsia" w:ascii="黑体" w:hAnsi="黑体" w:eastAsia="黑体" w:cs="黑体"/>
          <w:b w:val="0"/>
          <w:bCs w:val="0"/>
          <w:color w:val="000000"/>
          <w:sz w:val="21"/>
          <w:szCs w:val="21"/>
        </w:rPr>
        <w:t>1</w:t>
      </w:r>
      <w:r>
        <w:rPr>
          <w:rFonts w:hint="eastAsia" w:ascii="黑体" w:hAnsi="黑体" w:eastAsia="黑体" w:cs="黑体"/>
          <w:b w:val="0"/>
          <w:bCs w:val="0"/>
          <w:color w:val="000000"/>
          <w:sz w:val="21"/>
          <w:szCs w:val="21"/>
          <w:lang w:val="en-US" w:eastAsia="zh-CN"/>
        </w:rPr>
        <w:t xml:space="preserve"> </w:t>
      </w:r>
      <w:r>
        <w:rPr>
          <w:rFonts w:hint="eastAsia" w:ascii="黑体" w:hAnsi="黑体" w:eastAsia="黑体" w:cs="黑体"/>
          <w:b w:val="0"/>
          <w:bCs w:val="0"/>
          <w:color w:val="000000"/>
          <w:sz w:val="21"/>
          <w:szCs w:val="21"/>
        </w:rPr>
        <w:t>范围</w:t>
      </w:r>
    </w:p>
    <w:p w14:paraId="674A023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本文件规定了食药同源护肝类复合提取物的术语和定义、原料要求、加工工艺、关键工序技术要求、成品质量要求及包装、贮存、运输要求。</w:t>
      </w:r>
    </w:p>
    <w:p w14:paraId="7047350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color w:val="000000"/>
          <w:sz w:val="20"/>
          <w:szCs w:val="20"/>
        </w:rPr>
      </w:pPr>
      <w:r>
        <w:rPr>
          <w:rFonts w:ascii="宋体" w:hAnsi="宋体" w:eastAsia="宋体" w:cs="宋体"/>
          <w:snapToGrid w:val="0"/>
          <w:color w:val="000000"/>
          <w:kern w:val="0"/>
          <w:sz w:val="21"/>
          <w:szCs w:val="21"/>
          <w:lang w:val="en-US" w:eastAsia="zh-CN" w:bidi="ar"/>
        </w:rPr>
        <w:t>本文件适用于以 2～5 种药食同源护肝类原料为主要原料，经乙醇梯度提取、大孔树脂富集、超滤膜精制、喷雾干燥制成的复合提取物，用于护肝类普通食品、保健食品原料的生产加工。</w:t>
      </w:r>
    </w:p>
    <w:p w14:paraId="032891CB">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color w:val="000000"/>
          <w:sz w:val="20"/>
          <w:szCs w:val="20"/>
        </w:rPr>
      </w:pPr>
    </w:p>
    <w:p w14:paraId="71BE523E">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rPr>
      </w:pPr>
      <w:r>
        <w:rPr>
          <w:rFonts w:hint="eastAsia" w:ascii="黑体" w:hAnsi="黑体" w:eastAsia="黑体" w:cs="黑体"/>
          <w:b w:val="0"/>
          <w:bCs w:val="0"/>
          <w:color w:val="000000"/>
          <w:sz w:val="21"/>
          <w:szCs w:val="21"/>
        </w:rPr>
        <w:t>2 规范性引用文件</w:t>
      </w:r>
    </w:p>
    <w:p w14:paraId="2BF51B8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下列文件对于本文件的应用是必不可少的。凡是注日期的引用文件，仅注日期的版本适用于本文件。凡是不注日期的引用文件，其最新版本（包括所有的修改单）适用于本文件</w:t>
      </w:r>
    </w:p>
    <w:p w14:paraId="110107A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GB/T 1.1—2020 标准化工作导则 第 1 部分：标准的结构和编写 </w:t>
      </w:r>
    </w:p>
    <w:p w14:paraId="07D821D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GB 2762 食品安全国家标准 食品中污染物限量 </w:t>
      </w:r>
    </w:p>
    <w:p w14:paraId="532B45D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GB 2763 食品安全国家标准 食品中农药最大残留限量 </w:t>
      </w:r>
    </w:p>
    <w:p w14:paraId="5AF4878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GB 4789.1 食品安全国家标准 食品微生物学检验 总则</w:t>
      </w:r>
    </w:p>
    <w:p w14:paraId="77A9E2E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GB 4789.</w:t>
      </w:r>
      <w:r>
        <w:rPr>
          <w:rFonts w:hint="eastAsia" w:ascii="宋体" w:hAnsi="宋体" w:eastAsia="宋体" w:cs="宋体"/>
          <w:snapToGrid w:val="0"/>
          <w:color w:val="000000"/>
          <w:kern w:val="0"/>
          <w:sz w:val="21"/>
          <w:szCs w:val="21"/>
          <w:lang w:val="en-US" w:eastAsia="zh-CN" w:bidi="ar"/>
        </w:rPr>
        <w:t>2</w:t>
      </w:r>
      <w:r>
        <w:rPr>
          <w:rFonts w:ascii="宋体" w:hAnsi="宋体" w:eastAsia="宋体" w:cs="宋体"/>
          <w:snapToGrid w:val="0"/>
          <w:color w:val="000000"/>
          <w:kern w:val="0"/>
          <w:sz w:val="21"/>
          <w:szCs w:val="21"/>
          <w:lang w:val="en-US" w:eastAsia="zh-CN" w:bidi="ar"/>
        </w:rPr>
        <w:t xml:space="preserve"> 食品安全国家标准 食品微生物学检验 菌落总数测定</w:t>
      </w:r>
    </w:p>
    <w:p w14:paraId="7DA29B4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GB 4789.</w:t>
      </w:r>
      <w:r>
        <w:rPr>
          <w:rFonts w:hint="eastAsia" w:ascii="宋体" w:hAnsi="宋体" w:eastAsia="宋体" w:cs="宋体"/>
          <w:snapToGrid w:val="0"/>
          <w:color w:val="000000"/>
          <w:kern w:val="0"/>
          <w:sz w:val="21"/>
          <w:szCs w:val="21"/>
          <w:lang w:val="en-US" w:eastAsia="zh-CN" w:bidi="ar"/>
        </w:rPr>
        <w:t>3</w:t>
      </w:r>
      <w:r>
        <w:rPr>
          <w:rFonts w:ascii="宋体" w:hAnsi="宋体" w:eastAsia="宋体" w:cs="宋体"/>
          <w:snapToGrid w:val="0"/>
          <w:color w:val="000000"/>
          <w:kern w:val="0"/>
          <w:sz w:val="21"/>
          <w:szCs w:val="21"/>
          <w:lang w:val="en-US" w:eastAsia="zh-CN" w:bidi="ar"/>
        </w:rPr>
        <w:t xml:space="preserve"> 食品安全国家标准 食品微生物学检验 大肠菌群计数</w:t>
      </w:r>
    </w:p>
    <w:p w14:paraId="36FF453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GB 4789.1</w:t>
      </w:r>
      <w:r>
        <w:rPr>
          <w:rFonts w:hint="eastAsia" w:ascii="宋体" w:hAnsi="宋体" w:eastAsia="宋体" w:cs="宋体"/>
          <w:snapToGrid w:val="0"/>
          <w:color w:val="000000"/>
          <w:kern w:val="0"/>
          <w:sz w:val="21"/>
          <w:szCs w:val="21"/>
          <w:lang w:val="en-US" w:eastAsia="zh-CN" w:bidi="ar"/>
        </w:rPr>
        <w:t>5</w:t>
      </w:r>
      <w:r>
        <w:rPr>
          <w:rFonts w:ascii="宋体" w:hAnsi="宋体" w:eastAsia="宋体" w:cs="宋体"/>
          <w:snapToGrid w:val="0"/>
          <w:color w:val="000000"/>
          <w:kern w:val="0"/>
          <w:sz w:val="21"/>
          <w:szCs w:val="21"/>
          <w:lang w:val="en-US" w:eastAsia="zh-CN" w:bidi="ar"/>
        </w:rPr>
        <w:t xml:space="preserve"> 食品安全国家标准 食品微生物学检验 霉菌和酵母计数</w:t>
      </w:r>
    </w:p>
    <w:p w14:paraId="72389C9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GB 5009.3 食品安全国家标准 食品中水分的测定 </w:t>
      </w:r>
    </w:p>
    <w:p w14:paraId="22EE815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GB 5009.4 食品安全国家标准 食品中灰分的测定</w:t>
      </w:r>
    </w:p>
    <w:p w14:paraId="2A46AF7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hint="default"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GB 5009.11 食品安全国家标准 食品中总砷及无机砷的测定</w:t>
      </w:r>
    </w:p>
    <w:p w14:paraId="4754F91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hint="eastAsia"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GB 5009.12 食品安全国家标准 食品铅的测定</w:t>
      </w:r>
    </w:p>
    <w:p w14:paraId="1A19666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hint="eastAsia"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GB 5009.17 食品安全国家标准 食品中总汞及有机汞的测定</w:t>
      </w:r>
    </w:p>
    <w:p w14:paraId="065D4A9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 xml:space="preserve">GB/T 5009.19 食品安全国家标准 </w:t>
      </w:r>
      <w:r>
        <w:rPr>
          <w:rFonts w:ascii="宋体" w:hAnsi="宋体" w:eastAsia="宋体" w:cs="宋体"/>
          <w:snapToGrid w:val="0"/>
          <w:color w:val="000000"/>
          <w:kern w:val="0"/>
          <w:sz w:val="21"/>
          <w:szCs w:val="21"/>
          <w:lang w:val="en-US" w:eastAsia="zh-CN" w:bidi="ar"/>
        </w:rPr>
        <w:t>食品中有机氯农药多组分残留量的测定</w:t>
      </w:r>
    </w:p>
    <w:p w14:paraId="1119DF6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GB 14881 食品安全国家标准 食品生产通用卫生规范 </w:t>
      </w:r>
    </w:p>
    <w:p w14:paraId="7AA1A8F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rPr>
      </w:pPr>
    </w:p>
    <w:p w14:paraId="520DD6C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rPr>
      </w:pPr>
      <w:r>
        <w:rPr>
          <w:rFonts w:hint="eastAsia" w:ascii="黑体" w:hAnsi="黑体" w:eastAsia="黑体" w:cs="黑体"/>
          <w:b w:val="0"/>
          <w:bCs w:val="0"/>
          <w:color w:val="000000"/>
          <w:sz w:val="21"/>
          <w:szCs w:val="21"/>
        </w:rPr>
        <w:t>3 术语和定义</w:t>
      </w:r>
    </w:p>
    <w:p w14:paraId="7AC4C8F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0"/>
          <w:szCs w:val="20"/>
          <w:lang w:val="en-US" w:eastAsia="zh-CN" w:bidi="ar"/>
        </w:rPr>
      </w:pPr>
      <w:r>
        <w:rPr>
          <w:rFonts w:ascii="宋体" w:hAnsi="宋体" w:eastAsia="宋体" w:cs="宋体"/>
          <w:snapToGrid w:val="0"/>
          <w:color w:val="000000"/>
          <w:kern w:val="0"/>
          <w:sz w:val="21"/>
          <w:szCs w:val="21"/>
          <w:lang w:val="en-US" w:eastAsia="zh-CN" w:bidi="ar"/>
        </w:rPr>
        <w:t>下列术语和定义适用于本文件。</w:t>
      </w:r>
      <w:r>
        <w:rPr>
          <w:rFonts w:ascii="宋体" w:hAnsi="宋体" w:eastAsia="宋体" w:cs="宋体"/>
          <w:snapToGrid w:val="0"/>
          <w:color w:val="000000"/>
          <w:kern w:val="0"/>
          <w:sz w:val="20"/>
          <w:szCs w:val="20"/>
          <w:lang w:val="en-US" w:eastAsia="zh-CN" w:bidi="ar"/>
        </w:rPr>
        <w:t xml:space="preserve"> </w:t>
      </w:r>
    </w:p>
    <w:p w14:paraId="7CEC2EA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3.1 食药同源护肝原料</w:t>
      </w:r>
    </w:p>
    <w:p w14:paraId="189219E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00" w:firstLineChars="200"/>
        <w:jc w:val="left"/>
        <w:textAlignment w:val="baseline"/>
        <w:rPr>
          <w:rFonts w:ascii="宋体" w:hAnsi="宋体" w:eastAsia="宋体" w:cs="宋体"/>
          <w:snapToGrid w:val="0"/>
          <w:color w:val="000000"/>
          <w:kern w:val="0"/>
          <w:sz w:val="20"/>
          <w:szCs w:val="20"/>
          <w:lang w:val="en-US" w:eastAsia="zh-CN" w:bidi="ar"/>
        </w:rPr>
      </w:pPr>
      <w:r>
        <w:rPr>
          <w:rFonts w:ascii="宋体" w:hAnsi="宋体" w:eastAsia="宋体" w:cs="宋体"/>
          <w:snapToGrid w:val="0"/>
          <w:color w:val="000000"/>
          <w:kern w:val="0"/>
          <w:sz w:val="20"/>
          <w:szCs w:val="20"/>
          <w:lang w:val="en-US" w:eastAsia="zh-CN" w:bidi="ar"/>
        </w:rPr>
        <w:t xml:space="preserve"> </w:t>
      </w:r>
      <w:r>
        <w:rPr>
          <w:rFonts w:ascii="宋体" w:hAnsi="宋体" w:eastAsia="宋体" w:cs="宋体"/>
          <w:snapToGrid w:val="0"/>
          <w:color w:val="000000"/>
          <w:kern w:val="0"/>
          <w:sz w:val="21"/>
          <w:szCs w:val="21"/>
          <w:lang w:val="en-US" w:eastAsia="zh-CN" w:bidi="ar"/>
        </w:rPr>
        <w:t>列入国家</w:t>
      </w:r>
      <w:r>
        <w:rPr>
          <w:rFonts w:hint="eastAsia" w:ascii="宋体" w:hAnsi="宋体" w:eastAsia="宋体" w:cs="宋体"/>
          <w:snapToGrid w:val="0"/>
          <w:color w:val="000000"/>
          <w:kern w:val="0"/>
          <w:sz w:val="21"/>
          <w:szCs w:val="21"/>
          <w:lang w:val="en-US" w:eastAsia="zh-CN" w:bidi="ar"/>
        </w:rPr>
        <w:t>卫生健康委员会公告</w:t>
      </w:r>
      <w:r>
        <w:rPr>
          <w:rFonts w:ascii="宋体" w:hAnsi="宋体" w:eastAsia="宋体" w:cs="宋体"/>
          <w:snapToGrid w:val="0"/>
          <w:color w:val="000000"/>
          <w:kern w:val="0"/>
          <w:sz w:val="21"/>
          <w:szCs w:val="21"/>
          <w:lang w:val="en-US" w:eastAsia="zh-CN" w:bidi="ar"/>
        </w:rPr>
        <w:t>《</w:t>
      </w:r>
      <w:r>
        <w:rPr>
          <w:rFonts w:hint="eastAsia" w:ascii="宋体" w:hAnsi="宋体" w:eastAsia="宋体" w:cs="宋体"/>
          <w:snapToGrid w:val="0"/>
          <w:color w:val="000000"/>
          <w:kern w:val="0"/>
          <w:sz w:val="21"/>
          <w:szCs w:val="21"/>
          <w:lang w:val="en-US" w:eastAsia="zh-CN" w:bidi="ar"/>
        </w:rPr>
        <w:t>按照传统既是食品又是中药材物质名单</w:t>
      </w:r>
      <w:r>
        <w:rPr>
          <w:rFonts w:ascii="宋体" w:hAnsi="宋体" w:eastAsia="宋体" w:cs="宋体"/>
          <w:snapToGrid w:val="0"/>
          <w:color w:val="000000"/>
          <w:kern w:val="0"/>
          <w:sz w:val="21"/>
          <w:szCs w:val="21"/>
          <w:lang w:val="en-US" w:eastAsia="zh-CN" w:bidi="ar"/>
        </w:rPr>
        <w:t xml:space="preserve">》，具有抗氧化、抗炎、护肝等潜在调理功能的植物原料。 </w:t>
      </w:r>
    </w:p>
    <w:p w14:paraId="07D04C5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 xml:space="preserve">3.2 食药同源护肝类复合提取物 </w:t>
      </w:r>
    </w:p>
    <w:p w14:paraId="5D26342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right="0" w:firstLine="420" w:firstLineChars="200"/>
        <w:jc w:val="left"/>
        <w:textAlignment w:val="baseline"/>
        <w:rPr>
          <w:rFonts w:ascii="宋体" w:hAnsi="宋体" w:eastAsia="宋体" w:cs="宋体"/>
          <w:snapToGrid w:val="0"/>
          <w:color w:val="000000"/>
          <w:kern w:val="0"/>
          <w:sz w:val="20"/>
          <w:szCs w:val="20"/>
          <w:lang w:val="en-US" w:eastAsia="zh-CN" w:bidi="ar"/>
        </w:rPr>
      </w:pPr>
      <w:r>
        <w:rPr>
          <w:rFonts w:ascii="宋体" w:hAnsi="宋体" w:eastAsia="宋体" w:cs="宋体"/>
          <w:snapToGrid w:val="0"/>
          <w:color w:val="000000"/>
          <w:kern w:val="0"/>
          <w:sz w:val="21"/>
          <w:szCs w:val="21"/>
          <w:lang w:val="en-US" w:eastAsia="zh-CN" w:bidi="ar"/>
        </w:rPr>
        <w:t>以 2～5 种食药同源护肝原料为基础，经科学配伍、乙醇梯度提取、大孔树脂富集、超滤膜精制、</w:t>
      </w:r>
      <w:r>
        <w:rPr>
          <w:rFonts w:hint="eastAsia" w:ascii="宋体" w:hAnsi="宋体" w:eastAsia="宋体" w:cs="宋体"/>
          <w:snapToGrid w:val="0"/>
          <w:color w:val="000000"/>
          <w:kern w:val="0"/>
          <w:sz w:val="21"/>
          <w:szCs w:val="21"/>
          <w:lang w:val="en-US" w:eastAsia="zh-CN" w:bidi="ar"/>
        </w:rPr>
        <w:t>浓缩</w:t>
      </w:r>
      <w:r>
        <w:rPr>
          <w:rFonts w:ascii="宋体" w:hAnsi="宋体" w:eastAsia="宋体" w:cs="宋体"/>
          <w:snapToGrid w:val="0"/>
          <w:color w:val="000000"/>
          <w:kern w:val="0"/>
          <w:sz w:val="21"/>
          <w:szCs w:val="21"/>
          <w:lang w:val="en-US" w:eastAsia="zh-CN" w:bidi="ar"/>
        </w:rPr>
        <w:t>制成，富含多糖、黄酮、多酚、皂苷等活性成分，具有护肝调理潜力的</w:t>
      </w:r>
      <w:r>
        <w:rPr>
          <w:rFonts w:hint="eastAsia" w:ascii="宋体" w:hAnsi="宋体" w:eastAsia="宋体" w:cs="宋体"/>
          <w:snapToGrid w:val="0"/>
          <w:color w:val="000000"/>
          <w:kern w:val="0"/>
          <w:sz w:val="21"/>
          <w:szCs w:val="21"/>
          <w:lang w:val="en-US" w:eastAsia="zh-CN" w:bidi="ar"/>
        </w:rPr>
        <w:t>组合物</w:t>
      </w:r>
      <w:r>
        <w:rPr>
          <w:rFonts w:ascii="宋体" w:hAnsi="宋体" w:eastAsia="宋体" w:cs="宋体"/>
          <w:snapToGrid w:val="0"/>
          <w:color w:val="000000"/>
          <w:kern w:val="0"/>
          <w:sz w:val="21"/>
          <w:szCs w:val="21"/>
          <w:lang w:val="en-US" w:eastAsia="zh-CN" w:bidi="ar"/>
        </w:rPr>
        <w:t>。</w:t>
      </w:r>
      <w:r>
        <w:rPr>
          <w:rFonts w:ascii="宋体" w:hAnsi="宋体" w:eastAsia="宋体" w:cs="宋体"/>
          <w:snapToGrid w:val="0"/>
          <w:color w:val="000000"/>
          <w:kern w:val="0"/>
          <w:sz w:val="20"/>
          <w:szCs w:val="20"/>
          <w:lang w:val="en-US" w:eastAsia="zh-CN" w:bidi="ar"/>
        </w:rPr>
        <w:t xml:space="preserve"> </w:t>
      </w:r>
    </w:p>
    <w:p w14:paraId="3F55521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 xml:space="preserve">3.3 乙醇梯度提取 </w:t>
      </w:r>
    </w:p>
    <w:p w14:paraId="5463992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0"/>
          <w:szCs w:val="20"/>
          <w:lang w:val="en-US" w:eastAsia="zh-CN" w:bidi="ar"/>
        </w:rPr>
      </w:pPr>
      <w:r>
        <w:rPr>
          <w:rFonts w:ascii="宋体" w:hAnsi="宋体" w:eastAsia="宋体" w:cs="宋体"/>
          <w:snapToGrid w:val="0"/>
          <w:color w:val="000000"/>
          <w:kern w:val="0"/>
          <w:sz w:val="21"/>
          <w:szCs w:val="21"/>
          <w:lang w:val="en-US" w:eastAsia="zh-CN" w:bidi="ar"/>
        </w:rPr>
        <w:t xml:space="preserve">采用不同浓度食用乙醇分步提取原料，分别富集小分子脂溶性活性成分与大分子水溶性活性成分的食品级提取工艺。 </w:t>
      </w:r>
    </w:p>
    <w:p w14:paraId="10F12D4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3.4 大孔树脂富集</w:t>
      </w:r>
    </w:p>
    <w:p w14:paraId="36C404D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right="0" w:firstLine="420" w:firstLineChars="200"/>
        <w:jc w:val="left"/>
        <w:textAlignment w:val="baseline"/>
        <w:rPr>
          <w:rFonts w:ascii="宋体" w:hAnsi="宋体" w:eastAsia="宋体" w:cs="宋体"/>
          <w:snapToGrid w:val="0"/>
          <w:color w:val="000000"/>
          <w:kern w:val="0"/>
          <w:sz w:val="20"/>
          <w:szCs w:val="20"/>
          <w:lang w:val="en-US" w:eastAsia="zh-CN" w:bidi="ar"/>
        </w:rPr>
      </w:pPr>
      <w:r>
        <w:rPr>
          <w:rFonts w:ascii="宋体" w:hAnsi="宋体" w:eastAsia="宋体" w:cs="宋体"/>
          <w:snapToGrid w:val="0"/>
          <w:color w:val="000000"/>
          <w:kern w:val="0"/>
          <w:sz w:val="21"/>
          <w:szCs w:val="21"/>
          <w:lang w:val="en-US" w:eastAsia="zh-CN" w:bidi="ar"/>
        </w:rPr>
        <w:t>采用食品级大孔吸附树脂，选择性吸附黄酮、皂苷等脂溶性活性成分，去除水溶性杂质的精制工艺。</w:t>
      </w:r>
      <w:r>
        <w:rPr>
          <w:rFonts w:ascii="宋体" w:hAnsi="宋体" w:eastAsia="宋体" w:cs="宋体"/>
          <w:snapToGrid w:val="0"/>
          <w:color w:val="000000"/>
          <w:kern w:val="0"/>
          <w:sz w:val="20"/>
          <w:szCs w:val="20"/>
          <w:lang w:val="en-US" w:eastAsia="zh-CN" w:bidi="ar"/>
        </w:rPr>
        <w:t xml:space="preserve"> </w:t>
      </w:r>
    </w:p>
    <w:p w14:paraId="20898EC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3.5 超滤膜精制</w:t>
      </w:r>
    </w:p>
    <w:p w14:paraId="5E2BB2C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采用食品级超滤膜，依据分子量差异截留大分子杂质，保留小分子活性成分的低温精制工艺。</w:t>
      </w:r>
    </w:p>
    <w:p w14:paraId="22CA38F9">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rPr>
      </w:pPr>
      <w:r>
        <w:rPr>
          <w:rFonts w:hint="eastAsia" w:ascii="黑体" w:hAnsi="黑体" w:eastAsia="黑体" w:cs="黑体"/>
          <w:b w:val="0"/>
          <w:bCs w:val="0"/>
          <w:color w:val="000000"/>
          <w:sz w:val="21"/>
          <w:szCs w:val="21"/>
        </w:rPr>
        <w:t>4 原料要求</w:t>
      </w:r>
    </w:p>
    <w:p w14:paraId="3D5FA10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4.1 原料来源</w:t>
      </w:r>
    </w:p>
    <w:p w14:paraId="427B98D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0"/>
          <w:szCs w:val="20"/>
          <w:lang w:val="en-US" w:eastAsia="zh-CN" w:bidi="ar"/>
        </w:rPr>
        <w:t xml:space="preserve"> </w:t>
      </w:r>
      <w:r>
        <w:rPr>
          <w:rFonts w:hint="eastAsia" w:ascii="宋体" w:hAnsi="宋体" w:eastAsia="宋体" w:cs="宋体"/>
          <w:snapToGrid w:val="0"/>
          <w:color w:val="000000"/>
          <w:kern w:val="0"/>
          <w:sz w:val="20"/>
          <w:szCs w:val="20"/>
          <w:lang w:val="en-US" w:eastAsia="zh-CN" w:bidi="ar"/>
        </w:rPr>
        <w:t xml:space="preserve">  </w:t>
      </w:r>
      <w:r>
        <w:rPr>
          <w:rFonts w:ascii="宋体" w:hAnsi="宋体" w:eastAsia="宋体" w:cs="宋体"/>
          <w:snapToGrid w:val="0"/>
          <w:color w:val="000000"/>
          <w:kern w:val="0"/>
          <w:sz w:val="21"/>
          <w:szCs w:val="21"/>
          <w:lang w:val="en-US" w:eastAsia="zh-CN" w:bidi="ar"/>
        </w:rPr>
        <w:t>选用《</w:t>
      </w:r>
      <w:r>
        <w:rPr>
          <w:rFonts w:hint="eastAsia" w:ascii="宋体" w:hAnsi="宋体" w:eastAsia="宋体" w:cs="宋体"/>
          <w:snapToGrid w:val="0"/>
          <w:color w:val="000000"/>
          <w:kern w:val="0"/>
          <w:sz w:val="21"/>
          <w:szCs w:val="21"/>
          <w:lang w:val="en-US" w:eastAsia="zh-CN" w:bidi="ar"/>
        </w:rPr>
        <w:t>按照传统既是食品又是中药材物质名单</w:t>
      </w:r>
      <w:r>
        <w:rPr>
          <w:rFonts w:ascii="宋体" w:hAnsi="宋体" w:eastAsia="宋体" w:cs="宋体"/>
          <w:snapToGrid w:val="0"/>
          <w:color w:val="000000"/>
          <w:kern w:val="0"/>
          <w:sz w:val="21"/>
          <w:szCs w:val="21"/>
          <w:lang w:val="en-US" w:eastAsia="zh-CN" w:bidi="ar"/>
        </w:rPr>
        <w:t xml:space="preserve">》内的护肝类原料，原料应来自固定产地，品质稳定，无霉变、无异味、无虫蛀、无杂质。 </w:t>
      </w:r>
    </w:p>
    <w:p w14:paraId="01893AE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 xml:space="preserve">4.2 原料质量 </w:t>
      </w:r>
    </w:p>
    <w:p w14:paraId="43A2D28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感官：色泽正常、形态完整、无腐败变质；</w:t>
      </w:r>
    </w:p>
    <w:p w14:paraId="2C52857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卫生：重金属、农药残留限量应符合 GB 2762、GB 2763 的规定； </w:t>
      </w:r>
    </w:p>
    <w:p w14:paraId="2ADFCA3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0"/>
          <w:szCs w:val="20"/>
          <w:lang w:val="en-US" w:eastAsia="zh-CN" w:bidi="ar"/>
        </w:rPr>
      </w:pPr>
      <w:r>
        <w:rPr>
          <w:rFonts w:ascii="宋体" w:hAnsi="宋体" w:eastAsia="宋体" w:cs="宋体"/>
          <w:snapToGrid w:val="0"/>
          <w:color w:val="000000"/>
          <w:kern w:val="0"/>
          <w:sz w:val="21"/>
          <w:szCs w:val="21"/>
          <w:lang w:val="en-US" w:eastAsia="zh-CN" w:bidi="ar"/>
        </w:rPr>
        <w:t xml:space="preserve">配伍：原料种类为 2～5 种，遵循食品安全性原则，无配伍禁忌。 </w:t>
      </w:r>
    </w:p>
    <w:p w14:paraId="3CEE653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 xml:space="preserve">4.3 原料预处理 </w:t>
      </w:r>
    </w:p>
    <w:p w14:paraId="109A40B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color w:val="000000"/>
          <w:sz w:val="20"/>
          <w:szCs w:val="20"/>
        </w:rPr>
      </w:pPr>
      <w:r>
        <w:rPr>
          <w:rFonts w:ascii="宋体" w:hAnsi="宋体" w:eastAsia="宋体" w:cs="宋体"/>
          <w:snapToGrid w:val="0"/>
          <w:color w:val="000000"/>
          <w:kern w:val="0"/>
          <w:sz w:val="21"/>
          <w:szCs w:val="21"/>
          <w:lang w:val="en-US" w:eastAsia="zh-CN" w:bidi="ar"/>
        </w:rPr>
        <w:t>原料经清洗、除杂、低温烘干（温度≤60℃）、粉碎至 20 目～40 目，密封备用。</w:t>
      </w:r>
    </w:p>
    <w:p w14:paraId="5BD4AC11">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rPr>
      </w:pPr>
      <w:r>
        <w:rPr>
          <w:rFonts w:hint="eastAsia" w:ascii="黑体" w:hAnsi="黑体" w:eastAsia="黑体" w:cs="黑体"/>
          <w:b w:val="0"/>
          <w:bCs w:val="0"/>
          <w:color w:val="000000"/>
          <w:sz w:val="21"/>
          <w:szCs w:val="21"/>
        </w:rPr>
        <w:t>5 加工工艺</w:t>
      </w:r>
    </w:p>
    <w:p w14:paraId="040752D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宋体" w:hAnsi="宋体" w:eastAsia="宋体" w:cs="宋体"/>
          <w:snapToGrid w:val="0"/>
          <w:color w:val="000000"/>
          <w:kern w:val="0"/>
          <w:sz w:val="21"/>
          <w:szCs w:val="21"/>
          <w:lang w:val="en-US" w:eastAsia="zh-CN" w:bidi="ar"/>
        </w:rPr>
      </w:pPr>
      <w:r>
        <w:rPr>
          <w:rFonts w:hint="eastAsia" w:ascii="黑体" w:hAnsi="黑体" w:eastAsia="黑体" w:cs="黑体"/>
          <w:b w:val="0"/>
          <w:bCs w:val="0"/>
          <w:color w:val="000000"/>
          <w:sz w:val="21"/>
          <w:szCs w:val="21"/>
          <w:lang w:val="en-US" w:eastAsia="zh-CN"/>
        </w:rPr>
        <w:t>5.1 工艺流程</w:t>
      </w:r>
    </w:p>
    <w:p w14:paraId="346AEC9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 </w:t>
      </w:r>
      <w:r>
        <w:rPr>
          <w:rFonts w:ascii="宋体" w:hAnsi="宋体" w:eastAsia="宋体" w:cs="宋体"/>
          <w:snapToGrid w:val="0"/>
          <w:color w:val="000000"/>
          <w:kern w:val="0"/>
          <w:sz w:val="21"/>
          <w:szCs w:val="21"/>
          <w:lang w:val="en-US" w:eastAsia="zh-CN" w:bidi="ar"/>
        </w:rPr>
        <w:t xml:space="preserve">原料预处理→乙醇梯度提取→粗滤合并→大孔树脂富集→洗脱液浓缩→超滤膜精制→精提液浓缩→喷雾干燥→成品包装 </w:t>
      </w:r>
    </w:p>
    <w:p w14:paraId="35737F7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5.2 乙醇梯度提取</w:t>
      </w:r>
    </w:p>
    <w:p w14:paraId="2DB35C0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第一步（脂溶性活性成分富集）：采用 </w:t>
      </w:r>
      <w:r>
        <w:rPr>
          <w:rFonts w:hint="eastAsia" w:ascii="宋体" w:hAnsi="宋体" w:eastAsia="宋体" w:cs="宋体"/>
          <w:snapToGrid w:val="0"/>
          <w:color w:val="000000"/>
          <w:kern w:val="0"/>
          <w:sz w:val="21"/>
          <w:szCs w:val="21"/>
          <w:lang w:val="en-US" w:eastAsia="zh-CN" w:bidi="ar"/>
        </w:rPr>
        <w:t>7</w:t>
      </w:r>
      <w:r>
        <w:rPr>
          <w:rFonts w:ascii="宋体" w:hAnsi="宋体" w:eastAsia="宋体" w:cs="宋体"/>
          <w:snapToGrid w:val="0"/>
          <w:color w:val="000000"/>
          <w:kern w:val="0"/>
          <w:sz w:val="21"/>
          <w:szCs w:val="21"/>
          <w:lang w:val="en-US" w:eastAsia="zh-CN" w:bidi="ar"/>
        </w:rPr>
        <w:t xml:space="preserve">0%～80% 食用乙醇，料液比 1:8～1:15，回流提取 1 次～2 次，每次 1h～2h，提取温度 70℃～80℃，富集黄酮、皂苷等成分； </w:t>
      </w:r>
    </w:p>
    <w:p w14:paraId="227FE0C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第二步（水溶性活性成分富集）：提取后药渣加入 10%～20% 食用乙醇，料液比 1:1</w:t>
      </w:r>
      <w:r>
        <w:rPr>
          <w:rFonts w:hint="eastAsia" w:ascii="宋体" w:hAnsi="宋体" w:eastAsia="宋体" w:cs="宋体"/>
          <w:snapToGrid w:val="0"/>
          <w:color w:val="000000"/>
          <w:kern w:val="0"/>
          <w:sz w:val="21"/>
          <w:szCs w:val="21"/>
          <w:lang w:val="en-US" w:eastAsia="zh-CN" w:bidi="ar"/>
        </w:rPr>
        <w:t>2</w:t>
      </w:r>
      <w:r>
        <w:rPr>
          <w:rFonts w:ascii="宋体" w:hAnsi="宋体" w:eastAsia="宋体" w:cs="宋体"/>
          <w:snapToGrid w:val="0"/>
          <w:color w:val="000000"/>
          <w:kern w:val="0"/>
          <w:sz w:val="21"/>
          <w:szCs w:val="21"/>
          <w:lang w:val="en-US" w:eastAsia="zh-CN" w:bidi="ar"/>
        </w:rPr>
        <w:t xml:space="preserve">～1:15，回流提取 1 次，时间 1h～2h，提取温度 70℃～80℃，富集多糖等成分； </w:t>
      </w:r>
    </w:p>
    <w:p w14:paraId="5C68FFE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合并两次提取液，经 400 目滤布粗滤，去除残渣。 </w:t>
      </w:r>
    </w:p>
    <w:p w14:paraId="2831180F">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 xml:space="preserve">5.3 大孔树脂富集 </w:t>
      </w:r>
    </w:p>
    <w:p w14:paraId="412D3E6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树脂选型：食品级 AB-8、D101 或 HPD-100 大孔吸附树脂； </w:t>
      </w:r>
    </w:p>
    <w:p w14:paraId="63BD928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上样：粗滤液浓缩至 0.5g/mL～1.0g/mL（生药浓度），室温条件下上样； </w:t>
      </w:r>
    </w:p>
    <w:p w14:paraId="42762A9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0"/>
          <w:szCs w:val="20"/>
          <w:lang w:val="en-US" w:eastAsia="zh-CN" w:bidi="ar"/>
        </w:rPr>
      </w:pPr>
      <w:r>
        <w:rPr>
          <w:rFonts w:ascii="宋体" w:hAnsi="宋体" w:eastAsia="宋体" w:cs="宋体"/>
          <w:snapToGrid w:val="0"/>
          <w:color w:val="000000"/>
          <w:kern w:val="0"/>
          <w:sz w:val="21"/>
          <w:szCs w:val="21"/>
          <w:lang w:val="en-US" w:eastAsia="zh-CN" w:bidi="ar"/>
        </w:rPr>
        <w:t>除杂：用 2 倍～3 倍柱体积纯水洗涤，去除水溶性杂质；</w:t>
      </w:r>
      <w:r>
        <w:rPr>
          <w:rFonts w:ascii="宋体" w:hAnsi="宋体" w:eastAsia="宋体" w:cs="宋体"/>
          <w:snapToGrid w:val="0"/>
          <w:color w:val="000000"/>
          <w:kern w:val="0"/>
          <w:sz w:val="20"/>
          <w:szCs w:val="20"/>
          <w:lang w:val="en-US" w:eastAsia="zh-CN" w:bidi="ar"/>
        </w:rPr>
        <w:t xml:space="preserve"> </w:t>
      </w:r>
    </w:p>
    <w:p w14:paraId="0E7F12C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洗脱：用 </w:t>
      </w:r>
      <w:r>
        <w:rPr>
          <w:rFonts w:hint="eastAsia" w:ascii="宋体" w:hAnsi="宋体" w:eastAsia="宋体" w:cs="宋体"/>
          <w:snapToGrid w:val="0"/>
          <w:color w:val="000000"/>
          <w:kern w:val="0"/>
          <w:sz w:val="21"/>
          <w:szCs w:val="21"/>
          <w:lang w:val="en-US" w:eastAsia="zh-CN" w:bidi="ar"/>
        </w:rPr>
        <w:t>6</w:t>
      </w:r>
      <w:r>
        <w:rPr>
          <w:rFonts w:ascii="宋体" w:hAnsi="宋体" w:eastAsia="宋体" w:cs="宋体"/>
          <w:snapToGrid w:val="0"/>
          <w:color w:val="000000"/>
          <w:kern w:val="0"/>
          <w:sz w:val="21"/>
          <w:szCs w:val="21"/>
          <w:lang w:val="en-US" w:eastAsia="zh-CN" w:bidi="ar"/>
        </w:rPr>
        <w:t xml:space="preserve">0% 食用乙醇洗脱，收集洗脱液； </w:t>
      </w:r>
    </w:p>
    <w:p w14:paraId="71204B9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浓缩：洗脱液真空浓缩（温度≤60℃）至固形物含量 15%～20%。 </w:t>
      </w:r>
    </w:p>
    <w:p w14:paraId="60080EF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 xml:space="preserve">5.4 超滤膜精制 </w:t>
      </w:r>
    </w:p>
    <w:p w14:paraId="16B6460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膜选型：食品级 10kDa～50kDa 截留分子量超滤膜； </w:t>
      </w:r>
    </w:p>
    <w:p w14:paraId="5F00726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操作条件：工作压力 0.2MPa～0.4MPa，温度 25℃～35℃； </w:t>
      </w:r>
    </w:p>
    <w:p w14:paraId="2D7DE29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精制要求：去除大分子蛋白、多糖杂质，保留黄酮、多酚、小分子皂苷等活性成分。 </w:t>
      </w:r>
    </w:p>
    <w:p w14:paraId="080A429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5.5 精提液浓缩</w:t>
      </w:r>
    </w:p>
    <w:p w14:paraId="2FE86F6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超滤滤液真空浓缩（温度≤60℃）至固形物含量 25%～30%，备用。 </w:t>
      </w:r>
    </w:p>
    <w:p w14:paraId="74F5476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 xml:space="preserve">5.6 喷雾干燥 </w:t>
      </w:r>
    </w:p>
    <w:p w14:paraId="3CAA117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进风温度：160℃～180℃； </w:t>
      </w:r>
    </w:p>
    <w:p w14:paraId="019DABA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出风温度：75℃～85℃； </w:t>
      </w:r>
    </w:p>
    <w:p w14:paraId="67DD271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进料速率：5mL/min～10mL/min； </w:t>
      </w:r>
    </w:p>
    <w:p w14:paraId="0677BC4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助干剂：可添加 5%～10% 食品级麦芽糊精； </w:t>
      </w:r>
    </w:p>
    <w:p w14:paraId="09496D0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干燥要求：成品水分≤5.0%，粉末均匀、流动性良好。</w:t>
      </w:r>
    </w:p>
    <w:p w14:paraId="483B582F">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rPr>
      </w:pPr>
    </w:p>
    <w:p w14:paraId="384319BD">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rPr>
      </w:pPr>
      <w:r>
        <w:rPr>
          <w:rFonts w:hint="eastAsia" w:ascii="黑体" w:hAnsi="黑体" w:eastAsia="黑体" w:cs="黑体"/>
          <w:b w:val="0"/>
          <w:bCs w:val="0"/>
          <w:color w:val="000000"/>
          <w:sz w:val="21"/>
          <w:szCs w:val="21"/>
        </w:rPr>
        <w:t>6 成品质量要求</w:t>
      </w:r>
    </w:p>
    <w:p w14:paraId="77ADAB6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 xml:space="preserve">6.1 感官指标 </w:t>
      </w:r>
    </w:p>
    <w:p w14:paraId="7C4E5D2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hint="eastAsia" w:ascii="宋体" w:hAnsi="宋体" w:eastAsia="宋体" w:cs="宋体"/>
          <w:snapToGrid w:val="0"/>
          <w:color w:val="000000"/>
          <w:kern w:val="0"/>
          <w:sz w:val="20"/>
          <w:szCs w:val="20"/>
          <w:lang w:val="en-US" w:eastAsia="zh-CN" w:bidi="ar"/>
        </w:rPr>
      </w:pPr>
      <w:r>
        <w:rPr>
          <w:rFonts w:hint="eastAsia" w:ascii="宋体" w:hAnsi="宋体" w:eastAsia="宋体" w:cs="宋体"/>
          <w:snapToGrid w:val="0"/>
          <w:color w:val="000000"/>
          <w:kern w:val="0"/>
          <w:sz w:val="21"/>
          <w:szCs w:val="21"/>
          <w:lang w:val="en-US" w:eastAsia="zh-CN" w:bidi="ar"/>
        </w:rPr>
        <w:t>应符合表1的规定。</w:t>
      </w:r>
    </w:p>
    <w:p w14:paraId="40517BC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center"/>
        <w:textAlignment w:val="baseline"/>
        <w:rPr>
          <w:rFonts w:hint="eastAsia" w:ascii="黑体" w:hAnsi="黑体" w:eastAsia="黑体" w:cs="黑体"/>
          <w:b w:val="0"/>
          <w:bCs w:val="0"/>
          <w:snapToGrid w:val="0"/>
          <w:color w:val="000000"/>
          <w:kern w:val="0"/>
          <w:sz w:val="21"/>
          <w:szCs w:val="21"/>
          <w:lang w:val="en-US" w:eastAsia="zh-CN" w:bidi="ar"/>
        </w:rPr>
      </w:pPr>
      <w:r>
        <w:rPr>
          <w:rFonts w:hint="eastAsia" w:ascii="黑体" w:hAnsi="黑体" w:eastAsia="黑体" w:cs="黑体"/>
          <w:b w:val="0"/>
          <w:bCs w:val="0"/>
          <w:snapToGrid w:val="0"/>
          <w:color w:val="000000"/>
          <w:kern w:val="0"/>
          <w:sz w:val="21"/>
          <w:szCs w:val="21"/>
          <w:lang w:val="en-US" w:eastAsia="zh-CN" w:bidi="ar"/>
        </w:rPr>
        <w:t>表1 感官指标及要求</w:t>
      </w:r>
    </w:p>
    <w:tbl>
      <w:tblPr>
        <w:tblStyle w:val="10"/>
        <w:tblpPr w:leftFromText="180" w:rightFromText="180" w:vertAnchor="text" w:horzAnchor="page" w:tblpX="2729" w:tblpY="189"/>
        <w:tblOverlap w:val="never"/>
        <w:tblW w:w="0" w:type="auto"/>
        <w:tblInd w:w="0" w:type="dxa"/>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Layout w:type="autofit"/>
        <w:tblCellMar>
          <w:top w:w="0" w:type="dxa"/>
          <w:left w:w="108" w:type="dxa"/>
          <w:bottom w:w="0" w:type="dxa"/>
          <w:right w:w="108" w:type="dxa"/>
        </w:tblCellMar>
      </w:tblPr>
      <w:tblGrid>
        <w:gridCol w:w="1607"/>
        <w:gridCol w:w="3186"/>
        <w:gridCol w:w="2364"/>
      </w:tblGrid>
      <w:tr w14:paraId="6082D256">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PrEx>
        <w:tc>
          <w:tcPr>
            <w:tcW w:w="1607" w:type="dxa"/>
            <w:tcBorders>
              <w:bottom w:val="single" w:color="auto" w:sz="6" w:space="0"/>
            </w:tcBorders>
            <w:vAlign w:val="top"/>
          </w:tcPr>
          <w:p w14:paraId="4DF4A752">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vertAlign w:val="baseline"/>
                <w:lang w:val="en-US" w:eastAsia="zh-CN" w:bidi="ar"/>
              </w:rPr>
              <w:t>项目</w:t>
            </w:r>
          </w:p>
        </w:tc>
        <w:tc>
          <w:tcPr>
            <w:tcW w:w="3186" w:type="dxa"/>
            <w:tcBorders>
              <w:bottom w:val="single" w:color="auto" w:sz="6" w:space="0"/>
            </w:tcBorders>
            <w:vAlign w:val="top"/>
          </w:tcPr>
          <w:p w14:paraId="2C9A5DFD">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vertAlign w:val="baseline"/>
                <w:lang w:val="en-US" w:eastAsia="zh-CN" w:bidi="ar"/>
              </w:rPr>
              <w:t>要求</w:t>
            </w:r>
          </w:p>
        </w:tc>
        <w:tc>
          <w:tcPr>
            <w:tcW w:w="2364" w:type="dxa"/>
            <w:tcBorders>
              <w:bottom w:val="single" w:color="auto" w:sz="6" w:space="0"/>
            </w:tcBorders>
            <w:vAlign w:val="top"/>
          </w:tcPr>
          <w:p w14:paraId="334FC800">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vertAlign w:val="baseline"/>
                <w:lang w:val="en-US" w:eastAsia="zh-CN" w:bidi="ar"/>
              </w:rPr>
              <w:t>测定方法</w:t>
            </w:r>
          </w:p>
        </w:tc>
      </w:tr>
      <w:tr w14:paraId="154E5296">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1607" w:type="dxa"/>
            <w:tcBorders>
              <w:top w:val="single" w:color="auto" w:sz="6" w:space="0"/>
              <w:tl2br w:val="nil"/>
              <w:tr2bl w:val="nil"/>
            </w:tcBorders>
            <w:vAlign w:val="center"/>
          </w:tcPr>
          <w:p w14:paraId="287F4AAE">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vertAlign w:val="baseline"/>
                <w:lang w:val="en-US" w:eastAsia="zh-CN" w:bidi="ar"/>
              </w:rPr>
            </w:pPr>
            <w:r>
              <w:rPr>
                <w:rFonts w:ascii="宋体" w:hAnsi="宋体" w:eastAsia="宋体" w:cs="宋体"/>
                <w:snapToGrid w:val="0"/>
                <w:color w:val="000000"/>
                <w:kern w:val="0"/>
                <w:sz w:val="21"/>
                <w:szCs w:val="21"/>
                <w:lang w:val="en-US" w:eastAsia="zh-CN" w:bidi="ar"/>
              </w:rPr>
              <w:t>色泽</w:t>
            </w:r>
          </w:p>
        </w:tc>
        <w:tc>
          <w:tcPr>
            <w:tcW w:w="3186" w:type="dxa"/>
            <w:tcBorders>
              <w:top w:val="single" w:color="auto" w:sz="6" w:space="0"/>
              <w:tl2br w:val="nil"/>
              <w:tr2bl w:val="nil"/>
            </w:tcBorders>
            <w:vAlign w:val="center"/>
          </w:tcPr>
          <w:p w14:paraId="4EA4F582">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vertAlign w:val="baseline"/>
                <w:lang w:val="en-US" w:eastAsia="zh-CN" w:bidi="ar"/>
              </w:rPr>
            </w:pPr>
            <w:r>
              <w:rPr>
                <w:rFonts w:ascii="宋体" w:hAnsi="宋体" w:eastAsia="宋体" w:cs="宋体"/>
                <w:snapToGrid w:val="0"/>
                <w:color w:val="000000"/>
                <w:kern w:val="0"/>
                <w:sz w:val="21"/>
                <w:szCs w:val="21"/>
                <w:lang w:val="en-US" w:eastAsia="zh-CN" w:bidi="ar"/>
              </w:rPr>
              <w:t>棕黄色至浅棕褐色均匀粉末</w:t>
            </w:r>
          </w:p>
        </w:tc>
        <w:tc>
          <w:tcPr>
            <w:tcW w:w="2364" w:type="dxa"/>
            <w:vMerge w:val="restart"/>
            <w:tcBorders>
              <w:top w:val="single" w:color="auto" w:sz="6" w:space="0"/>
              <w:tl2br w:val="nil"/>
              <w:tr2bl w:val="nil"/>
            </w:tcBorders>
            <w:vAlign w:val="center"/>
          </w:tcPr>
          <w:p w14:paraId="0F31F544">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vertAlign w:val="baseline"/>
                <w:lang w:val="en-US" w:eastAsia="zh-CN" w:bidi="ar"/>
              </w:rPr>
            </w:pPr>
            <w:r>
              <w:rPr>
                <w:rFonts w:hint="default" w:ascii="宋体" w:hAnsi="宋体" w:eastAsia="宋体" w:cs="宋体"/>
                <w:snapToGrid w:val="0"/>
                <w:color w:val="000000"/>
                <w:kern w:val="0"/>
                <w:sz w:val="21"/>
                <w:szCs w:val="21"/>
                <w:vertAlign w:val="baseline"/>
                <w:lang w:val="en-US" w:eastAsia="zh-CN" w:bidi="ar"/>
              </w:rPr>
              <w:t>取适量样品，目测，品</w:t>
            </w:r>
          </w:p>
          <w:p w14:paraId="667AAEEC">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vertAlign w:val="baseline"/>
                <w:lang w:val="en-US" w:eastAsia="zh-CN" w:bidi="ar"/>
              </w:rPr>
            </w:pPr>
            <w:r>
              <w:rPr>
                <w:rFonts w:hint="default" w:ascii="宋体" w:hAnsi="宋体" w:eastAsia="宋体" w:cs="宋体"/>
                <w:snapToGrid w:val="0"/>
                <w:color w:val="000000"/>
                <w:kern w:val="0"/>
                <w:sz w:val="21"/>
                <w:szCs w:val="21"/>
                <w:vertAlign w:val="baseline"/>
                <w:lang w:val="en-US" w:eastAsia="zh-CN" w:bidi="ar"/>
              </w:rPr>
              <w:t>其滋味(固态产品按产品说明冲调)嗅其气味</w:t>
            </w:r>
          </w:p>
        </w:tc>
      </w:tr>
      <w:tr w14:paraId="1D801680">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1607" w:type="dxa"/>
            <w:tcBorders>
              <w:tl2br w:val="nil"/>
              <w:tr2bl w:val="nil"/>
            </w:tcBorders>
            <w:vAlign w:val="center"/>
          </w:tcPr>
          <w:p w14:paraId="59166FBF">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lang w:val="en-US" w:eastAsia="zh-CN" w:bidi="ar"/>
              </w:rPr>
              <w:t>滋味、</w:t>
            </w:r>
            <w:r>
              <w:rPr>
                <w:rFonts w:ascii="宋体" w:hAnsi="宋体" w:eastAsia="宋体" w:cs="宋体"/>
                <w:snapToGrid w:val="0"/>
                <w:color w:val="000000"/>
                <w:kern w:val="0"/>
                <w:sz w:val="21"/>
                <w:szCs w:val="21"/>
                <w:lang w:val="en-US" w:eastAsia="zh-CN" w:bidi="ar"/>
              </w:rPr>
              <w:t>气味</w:t>
            </w:r>
          </w:p>
        </w:tc>
        <w:tc>
          <w:tcPr>
            <w:tcW w:w="3186" w:type="dxa"/>
            <w:tcBorders>
              <w:tl2br w:val="nil"/>
              <w:tr2bl w:val="nil"/>
            </w:tcBorders>
            <w:vAlign w:val="center"/>
          </w:tcPr>
          <w:p w14:paraId="7C7179E5">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vertAlign w:val="baseline"/>
                <w:lang w:val="en-US" w:eastAsia="zh-CN" w:bidi="ar"/>
              </w:rPr>
            </w:pPr>
            <w:r>
              <w:rPr>
                <w:rFonts w:ascii="宋体" w:hAnsi="宋体" w:eastAsia="宋体" w:cs="宋体"/>
                <w:snapToGrid w:val="0"/>
                <w:color w:val="000000"/>
                <w:kern w:val="0"/>
                <w:sz w:val="21"/>
                <w:szCs w:val="21"/>
                <w:lang w:val="en-US" w:eastAsia="zh-CN" w:bidi="ar"/>
              </w:rPr>
              <w:t>具有原料特有的清香，无异味、无焦糊味</w:t>
            </w:r>
          </w:p>
        </w:tc>
        <w:tc>
          <w:tcPr>
            <w:tcW w:w="2364" w:type="dxa"/>
            <w:vMerge w:val="continue"/>
            <w:tcBorders>
              <w:tl2br w:val="nil"/>
              <w:tr2bl w:val="nil"/>
            </w:tcBorders>
          </w:tcPr>
          <w:p w14:paraId="0A1BB72D">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0"/>
                <w:szCs w:val="20"/>
                <w:vertAlign w:val="baseline"/>
                <w:lang w:val="en-US" w:eastAsia="zh-CN" w:bidi="ar"/>
              </w:rPr>
            </w:pPr>
          </w:p>
        </w:tc>
      </w:tr>
      <w:tr w14:paraId="0D0BC257">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1607" w:type="dxa"/>
            <w:tcBorders>
              <w:tl2br w:val="nil"/>
              <w:tr2bl w:val="nil"/>
            </w:tcBorders>
            <w:vAlign w:val="center"/>
          </w:tcPr>
          <w:p w14:paraId="0A0FB84C">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lang w:val="en-US" w:eastAsia="zh-CN" w:bidi="ar"/>
              </w:rPr>
              <w:t>组织</w:t>
            </w:r>
            <w:r>
              <w:rPr>
                <w:rFonts w:ascii="宋体" w:hAnsi="宋体" w:eastAsia="宋体" w:cs="宋体"/>
                <w:snapToGrid w:val="0"/>
                <w:color w:val="000000"/>
                <w:kern w:val="0"/>
                <w:sz w:val="21"/>
                <w:szCs w:val="21"/>
                <w:lang w:val="en-US" w:eastAsia="zh-CN" w:bidi="ar"/>
              </w:rPr>
              <w:t>形态</w:t>
            </w:r>
          </w:p>
        </w:tc>
        <w:tc>
          <w:tcPr>
            <w:tcW w:w="3186" w:type="dxa"/>
            <w:tcBorders>
              <w:tl2br w:val="nil"/>
              <w:tr2bl w:val="nil"/>
            </w:tcBorders>
            <w:vAlign w:val="center"/>
          </w:tcPr>
          <w:p w14:paraId="38EB6E17">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vertAlign w:val="baseline"/>
                <w:lang w:val="en-US" w:eastAsia="zh-CN" w:bidi="ar"/>
              </w:rPr>
            </w:pPr>
            <w:r>
              <w:rPr>
                <w:rFonts w:ascii="宋体" w:hAnsi="宋体" w:eastAsia="宋体" w:cs="宋体"/>
                <w:snapToGrid w:val="0"/>
                <w:color w:val="000000"/>
                <w:kern w:val="0"/>
                <w:sz w:val="21"/>
                <w:szCs w:val="21"/>
                <w:lang w:val="en-US" w:eastAsia="zh-CN" w:bidi="ar"/>
              </w:rPr>
              <w:t>粉末细腻、无结块、无肉眼可见杂质</w:t>
            </w:r>
          </w:p>
        </w:tc>
        <w:tc>
          <w:tcPr>
            <w:tcW w:w="2364" w:type="dxa"/>
            <w:vMerge w:val="continue"/>
            <w:tcBorders>
              <w:tl2br w:val="nil"/>
              <w:tr2bl w:val="nil"/>
            </w:tcBorders>
          </w:tcPr>
          <w:p w14:paraId="0A64C311">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0"/>
                <w:szCs w:val="20"/>
                <w:vertAlign w:val="baseline"/>
                <w:lang w:val="en-US" w:eastAsia="zh-CN" w:bidi="ar"/>
              </w:rPr>
            </w:pPr>
          </w:p>
        </w:tc>
      </w:tr>
      <w:tr w14:paraId="086A096C">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1607" w:type="dxa"/>
            <w:tcBorders>
              <w:tl2br w:val="nil"/>
              <w:tr2bl w:val="nil"/>
            </w:tcBorders>
            <w:vAlign w:val="center"/>
          </w:tcPr>
          <w:p w14:paraId="6454CE4D">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vertAlign w:val="baseline"/>
                <w:lang w:val="en-US" w:eastAsia="zh-CN" w:bidi="ar"/>
              </w:rPr>
            </w:pPr>
            <w:r>
              <w:rPr>
                <w:rFonts w:ascii="宋体" w:hAnsi="宋体" w:eastAsia="宋体" w:cs="宋体"/>
                <w:snapToGrid w:val="0"/>
                <w:color w:val="000000"/>
                <w:kern w:val="0"/>
                <w:sz w:val="21"/>
                <w:szCs w:val="21"/>
                <w:lang w:val="en-US" w:eastAsia="zh-CN" w:bidi="ar"/>
              </w:rPr>
              <w:t>溶解性</w:t>
            </w:r>
          </w:p>
        </w:tc>
        <w:tc>
          <w:tcPr>
            <w:tcW w:w="3186" w:type="dxa"/>
            <w:tcBorders>
              <w:tl2br w:val="nil"/>
              <w:tr2bl w:val="nil"/>
            </w:tcBorders>
            <w:vAlign w:val="center"/>
          </w:tcPr>
          <w:p w14:paraId="0CE62EBB">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vertAlign w:val="baseline"/>
                <w:lang w:val="en-US" w:eastAsia="zh-CN" w:bidi="ar"/>
              </w:rPr>
            </w:pPr>
            <w:r>
              <w:rPr>
                <w:rFonts w:ascii="宋体" w:hAnsi="宋体" w:eastAsia="宋体" w:cs="宋体"/>
                <w:snapToGrid w:val="0"/>
                <w:color w:val="000000"/>
                <w:kern w:val="0"/>
                <w:sz w:val="21"/>
                <w:szCs w:val="21"/>
                <w:lang w:val="en-US" w:eastAsia="zh-CN" w:bidi="ar"/>
              </w:rPr>
              <w:t>60℃温水可快速分散溶解，无明显沉淀</w:t>
            </w:r>
          </w:p>
        </w:tc>
        <w:tc>
          <w:tcPr>
            <w:tcW w:w="2364" w:type="dxa"/>
            <w:vMerge w:val="continue"/>
            <w:tcBorders>
              <w:tl2br w:val="nil"/>
              <w:tr2bl w:val="nil"/>
            </w:tcBorders>
          </w:tcPr>
          <w:p w14:paraId="74BB0156">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0"/>
                <w:szCs w:val="20"/>
                <w:vertAlign w:val="baseline"/>
                <w:lang w:val="en-US" w:eastAsia="zh-CN" w:bidi="ar"/>
              </w:rPr>
            </w:pPr>
          </w:p>
        </w:tc>
      </w:tr>
    </w:tbl>
    <w:p w14:paraId="37AE51B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left"/>
        <w:textAlignment w:val="baseline"/>
        <w:rPr>
          <w:rFonts w:ascii="宋体" w:hAnsi="宋体" w:eastAsia="宋体" w:cs="宋体"/>
          <w:snapToGrid w:val="0"/>
          <w:color w:val="000000"/>
          <w:kern w:val="0"/>
          <w:sz w:val="20"/>
          <w:szCs w:val="20"/>
          <w:lang w:val="en-US" w:eastAsia="zh-CN" w:bidi="ar"/>
        </w:rPr>
      </w:pPr>
    </w:p>
    <w:p w14:paraId="0E3B025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left"/>
        <w:textAlignment w:val="baseline"/>
        <w:rPr>
          <w:rFonts w:hint="eastAsia" w:ascii="黑体" w:hAnsi="黑体" w:eastAsia="黑体" w:cs="黑体"/>
          <w:snapToGrid w:val="0"/>
          <w:color w:val="000000"/>
          <w:kern w:val="0"/>
          <w:sz w:val="20"/>
          <w:szCs w:val="20"/>
          <w:lang w:val="en-US" w:eastAsia="zh-CN" w:bidi="ar"/>
        </w:rPr>
      </w:pPr>
    </w:p>
    <w:p w14:paraId="52A6A9E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left"/>
        <w:textAlignment w:val="baseline"/>
        <w:rPr>
          <w:rFonts w:hint="eastAsia" w:ascii="黑体" w:hAnsi="黑体" w:eastAsia="黑体" w:cs="黑体"/>
          <w:snapToGrid w:val="0"/>
          <w:color w:val="000000"/>
          <w:kern w:val="0"/>
          <w:sz w:val="20"/>
          <w:szCs w:val="20"/>
          <w:lang w:val="en-US" w:eastAsia="zh-CN" w:bidi="ar"/>
        </w:rPr>
      </w:pPr>
    </w:p>
    <w:p w14:paraId="4F19714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left"/>
        <w:textAlignment w:val="baseline"/>
        <w:rPr>
          <w:rFonts w:hint="eastAsia" w:ascii="黑体" w:hAnsi="黑体" w:eastAsia="黑体" w:cs="黑体"/>
          <w:snapToGrid w:val="0"/>
          <w:color w:val="000000"/>
          <w:kern w:val="0"/>
          <w:sz w:val="20"/>
          <w:szCs w:val="20"/>
          <w:lang w:val="en-US" w:eastAsia="zh-CN" w:bidi="ar"/>
        </w:rPr>
      </w:pPr>
    </w:p>
    <w:p w14:paraId="1662724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left"/>
        <w:textAlignment w:val="baseline"/>
        <w:rPr>
          <w:rFonts w:hint="eastAsia" w:ascii="黑体" w:hAnsi="黑体" w:eastAsia="黑体" w:cs="黑体"/>
          <w:snapToGrid w:val="0"/>
          <w:color w:val="000000"/>
          <w:kern w:val="0"/>
          <w:sz w:val="20"/>
          <w:szCs w:val="20"/>
          <w:lang w:val="en-US" w:eastAsia="zh-CN" w:bidi="ar"/>
        </w:rPr>
      </w:pPr>
    </w:p>
    <w:p w14:paraId="781094B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left"/>
        <w:textAlignment w:val="baseline"/>
        <w:rPr>
          <w:rFonts w:hint="eastAsia" w:ascii="黑体" w:hAnsi="黑体" w:eastAsia="黑体" w:cs="黑体"/>
          <w:snapToGrid w:val="0"/>
          <w:color w:val="000000"/>
          <w:kern w:val="0"/>
          <w:sz w:val="20"/>
          <w:szCs w:val="20"/>
          <w:lang w:val="en-US" w:eastAsia="zh-CN" w:bidi="ar"/>
        </w:rPr>
      </w:pPr>
    </w:p>
    <w:p w14:paraId="2E84B69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left"/>
        <w:textAlignment w:val="baseline"/>
        <w:rPr>
          <w:rFonts w:hint="eastAsia" w:ascii="黑体" w:hAnsi="黑体" w:eastAsia="黑体" w:cs="黑体"/>
          <w:snapToGrid w:val="0"/>
          <w:color w:val="000000"/>
          <w:kern w:val="0"/>
          <w:sz w:val="20"/>
          <w:szCs w:val="20"/>
          <w:lang w:val="en-US" w:eastAsia="zh-CN" w:bidi="ar"/>
        </w:rPr>
      </w:pPr>
    </w:p>
    <w:p w14:paraId="77E7895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left"/>
        <w:textAlignment w:val="baseline"/>
        <w:rPr>
          <w:rFonts w:hint="eastAsia" w:ascii="黑体" w:hAnsi="黑体" w:eastAsia="黑体" w:cs="黑体"/>
          <w:snapToGrid w:val="0"/>
          <w:color w:val="000000"/>
          <w:kern w:val="0"/>
          <w:sz w:val="20"/>
          <w:szCs w:val="20"/>
          <w:lang w:val="en-US" w:eastAsia="zh-CN" w:bidi="ar"/>
        </w:rPr>
      </w:pPr>
    </w:p>
    <w:p w14:paraId="7F2C278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left"/>
        <w:textAlignment w:val="baseline"/>
        <w:rPr>
          <w:rFonts w:hint="eastAsia" w:ascii="黑体" w:hAnsi="黑体" w:eastAsia="黑体" w:cs="黑体"/>
          <w:snapToGrid w:val="0"/>
          <w:color w:val="000000"/>
          <w:kern w:val="0"/>
          <w:sz w:val="20"/>
          <w:szCs w:val="20"/>
          <w:lang w:val="en-US" w:eastAsia="zh-CN" w:bidi="ar"/>
        </w:rPr>
      </w:pPr>
    </w:p>
    <w:p w14:paraId="5644DE2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left"/>
        <w:textAlignment w:val="baseline"/>
        <w:rPr>
          <w:rFonts w:hint="eastAsia" w:ascii="黑体" w:hAnsi="黑体" w:eastAsia="黑体" w:cs="黑体"/>
          <w:snapToGrid w:val="0"/>
          <w:color w:val="000000"/>
          <w:kern w:val="0"/>
          <w:sz w:val="20"/>
          <w:szCs w:val="20"/>
          <w:lang w:val="en-US" w:eastAsia="zh-CN" w:bidi="ar"/>
        </w:rPr>
      </w:pPr>
    </w:p>
    <w:p w14:paraId="2E2843B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6.2 理化指标</w:t>
      </w:r>
    </w:p>
    <w:p w14:paraId="2767334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00"/>
        <w:jc w:val="left"/>
        <w:textAlignment w:val="baseline"/>
        <w:rPr>
          <w:rFonts w:hint="eastAsia" w:ascii="宋体" w:hAnsi="宋体" w:eastAsia="宋体" w:cs="宋体"/>
          <w:snapToGrid w:val="0"/>
          <w:color w:val="000000"/>
          <w:kern w:val="0"/>
          <w:sz w:val="20"/>
          <w:szCs w:val="20"/>
          <w:lang w:val="en-US" w:eastAsia="zh-CN" w:bidi="ar"/>
        </w:rPr>
      </w:pPr>
      <w:r>
        <w:rPr>
          <w:rFonts w:hint="eastAsia" w:ascii="宋体" w:hAnsi="宋体" w:eastAsia="宋体" w:cs="宋体"/>
          <w:snapToGrid w:val="0"/>
          <w:color w:val="000000"/>
          <w:kern w:val="0"/>
          <w:sz w:val="21"/>
          <w:szCs w:val="21"/>
          <w:lang w:val="en-US" w:eastAsia="zh-CN" w:bidi="ar"/>
        </w:rPr>
        <w:t>应符合表2的规定。</w:t>
      </w:r>
    </w:p>
    <w:p w14:paraId="39C61A2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eastAsia" w:ascii="宋体" w:hAnsi="宋体" w:eastAsia="宋体" w:cs="宋体"/>
          <w:snapToGrid w:val="0"/>
          <w:color w:val="000000"/>
          <w:kern w:val="0"/>
          <w:sz w:val="21"/>
          <w:szCs w:val="21"/>
          <w:lang w:val="en-US" w:eastAsia="zh-CN" w:bidi="ar"/>
        </w:rPr>
      </w:pPr>
      <w:r>
        <w:rPr>
          <w:rFonts w:hint="eastAsia" w:ascii="黑体" w:hAnsi="黑体" w:eastAsia="黑体" w:cs="黑体"/>
          <w:snapToGrid w:val="0"/>
          <w:color w:val="000000"/>
          <w:kern w:val="0"/>
          <w:sz w:val="21"/>
          <w:szCs w:val="21"/>
          <w:lang w:val="en-US" w:eastAsia="zh-CN" w:bidi="ar"/>
        </w:rPr>
        <w:t>表2 理化指标及要求</w:t>
      </w:r>
    </w:p>
    <w:tbl>
      <w:tblPr>
        <w:tblStyle w:val="10"/>
        <w:tblW w:w="0" w:type="auto"/>
        <w:jc w:val="center"/>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Layout w:type="autofit"/>
        <w:tblCellMar>
          <w:top w:w="0" w:type="dxa"/>
          <w:left w:w="108" w:type="dxa"/>
          <w:bottom w:w="0" w:type="dxa"/>
          <w:right w:w="108" w:type="dxa"/>
        </w:tblCellMar>
      </w:tblPr>
      <w:tblGrid>
        <w:gridCol w:w="2538"/>
        <w:gridCol w:w="2128"/>
        <w:gridCol w:w="2491"/>
      </w:tblGrid>
      <w:tr w14:paraId="42C05AE6">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jc w:val="center"/>
        </w:trPr>
        <w:tc>
          <w:tcPr>
            <w:tcW w:w="2538" w:type="dxa"/>
            <w:tcBorders>
              <w:bottom w:val="single" w:color="auto" w:sz="6" w:space="0"/>
            </w:tcBorders>
            <w:shd w:val="clear" w:color="auto" w:fill="auto"/>
            <w:vAlign w:val="top"/>
          </w:tcPr>
          <w:p w14:paraId="35F7677A">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项目</w:t>
            </w:r>
          </w:p>
        </w:tc>
        <w:tc>
          <w:tcPr>
            <w:tcW w:w="2128" w:type="dxa"/>
            <w:tcBorders>
              <w:bottom w:val="single" w:color="auto" w:sz="6" w:space="0"/>
            </w:tcBorders>
            <w:shd w:val="clear" w:color="auto" w:fill="auto"/>
            <w:vAlign w:val="top"/>
          </w:tcPr>
          <w:p w14:paraId="7DDA40AB">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要求</w:t>
            </w:r>
          </w:p>
        </w:tc>
        <w:tc>
          <w:tcPr>
            <w:tcW w:w="2491" w:type="dxa"/>
            <w:tcBorders>
              <w:bottom w:val="single" w:color="auto" w:sz="6" w:space="0"/>
            </w:tcBorders>
            <w:shd w:val="clear" w:color="auto" w:fill="auto"/>
            <w:vAlign w:val="top"/>
          </w:tcPr>
          <w:p w14:paraId="27075BD6">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测定方法</w:t>
            </w:r>
          </w:p>
        </w:tc>
      </w:tr>
      <w:tr w14:paraId="56DF31EE">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jc w:val="center"/>
        </w:trPr>
        <w:tc>
          <w:tcPr>
            <w:tcW w:w="2538" w:type="dxa"/>
            <w:tcBorders>
              <w:top w:val="single" w:color="auto" w:sz="6" w:space="0"/>
              <w:tl2br w:val="nil"/>
              <w:tr2bl w:val="nil"/>
            </w:tcBorders>
            <w:vAlign w:val="top"/>
          </w:tcPr>
          <w:p w14:paraId="52DBAE34">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水分</w:t>
            </w:r>
          </w:p>
        </w:tc>
        <w:tc>
          <w:tcPr>
            <w:tcW w:w="2128" w:type="dxa"/>
            <w:tcBorders>
              <w:top w:val="single" w:color="auto" w:sz="6" w:space="0"/>
              <w:tl2br w:val="nil"/>
              <w:tr2bl w:val="nil"/>
            </w:tcBorders>
            <w:vAlign w:val="top"/>
          </w:tcPr>
          <w:p w14:paraId="403B22F4">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≤5.0%</w:t>
            </w:r>
          </w:p>
        </w:tc>
        <w:tc>
          <w:tcPr>
            <w:tcW w:w="2491" w:type="dxa"/>
            <w:tcBorders>
              <w:top w:val="single" w:color="auto" w:sz="6" w:space="0"/>
              <w:tl2br w:val="nil"/>
              <w:tr2bl w:val="nil"/>
            </w:tcBorders>
            <w:vAlign w:val="top"/>
          </w:tcPr>
          <w:p w14:paraId="65A076D4">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GB 5009.3</w:t>
            </w:r>
          </w:p>
        </w:tc>
      </w:tr>
      <w:tr w14:paraId="1DAD9F09">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jc w:val="center"/>
        </w:trPr>
        <w:tc>
          <w:tcPr>
            <w:tcW w:w="2538" w:type="dxa"/>
            <w:tcBorders>
              <w:tl2br w:val="nil"/>
              <w:tr2bl w:val="nil"/>
            </w:tcBorders>
            <w:vAlign w:val="top"/>
          </w:tcPr>
          <w:p w14:paraId="65CBEC8D">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总灰分</w:t>
            </w:r>
          </w:p>
        </w:tc>
        <w:tc>
          <w:tcPr>
            <w:tcW w:w="2128" w:type="dxa"/>
            <w:tcBorders>
              <w:tl2br w:val="nil"/>
              <w:tr2bl w:val="nil"/>
            </w:tcBorders>
            <w:vAlign w:val="top"/>
          </w:tcPr>
          <w:p w14:paraId="63F32D73">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≤7.0%</w:t>
            </w:r>
          </w:p>
        </w:tc>
        <w:tc>
          <w:tcPr>
            <w:tcW w:w="2491" w:type="dxa"/>
            <w:tcBorders>
              <w:tl2br w:val="nil"/>
              <w:tr2bl w:val="nil"/>
            </w:tcBorders>
            <w:vAlign w:val="top"/>
          </w:tcPr>
          <w:p w14:paraId="116BEAD3">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GB 5009.4</w:t>
            </w:r>
          </w:p>
        </w:tc>
      </w:tr>
      <w:tr w14:paraId="33D517AD">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jc w:val="center"/>
        </w:trPr>
        <w:tc>
          <w:tcPr>
            <w:tcW w:w="2538" w:type="dxa"/>
            <w:tcBorders>
              <w:tl2br w:val="nil"/>
              <w:tr2bl w:val="nil"/>
            </w:tcBorders>
            <w:vAlign w:val="top"/>
          </w:tcPr>
          <w:p w14:paraId="11556CE4">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总黄酮</w:t>
            </w:r>
          </w:p>
        </w:tc>
        <w:tc>
          <w:tcPr>
            <w:tcW w:w="2128" w:type="dxa"/>
            <w:tcBorders>
              <w:tl2br w:val="nil"/>
              <w:tr2bl w:val="nil"/>
            </w:tcBorders>
            <w:vAlign w:val="top"/>
          </w:tcPr>
          <w:p w14:paraId="1BBDA4E0">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w:t>
            </w:r>
            <w:r>
              <w:rPr>
                <w:rFonts w:hint="eastAsia" w:ascii="宋体" w:hAnsi="宋体" w:eastAsia="宋体" w:cs="宋体"/>
                <w:snapToGrid w:val="0"/>
                <w:color w:val="000000"/>
                <w:kern w:val="0"/>
                <w:sz w:val="21"/>
                <w:szCs w:val="21"/>
                <w:lang w:val="en-US" w:eastAsia="zh-CN" w:bidi="ar"/>
              </w:rPr>
              <w:t>3</w:t>
            </w:r>
            <w:r>
              <w:rPr>
                <w:rFonts w:ascii="宋体" w:hAnsi="宋体" w:eastAsia="宋体" w:cs="宋体"/>
                <w:snapToGrid w:val="0"/>
                <w:color w:val="000000"/>
                <w:kern w:val="0"/>
                <w:sz w:val="21"/>
                <w:szCs w:val="21"/>
                <w:lang w:val="en-US" w:eastAsia="zh-CN" w:bidi="ar"/>
              </w:rPr>
              <w:t>.0%</w:t>
            </w:r>
          </w:p>
        </w:tc>
        <w:tc>
          <w:tcPr>
            <w:tcW w:w="2491" w:type="dxa"/>
            <w:tcBorders>
              <w:tl2br w:val="nil"/>
              <w:tr2bl w:val="nil"/>
            </w:tcBorders>
            <w:vAlign w:val="top"/>
          </w:tcPr>
          <w:p w14:paraId="4C7B4A8C">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检测方法应执行附录A.1</w:t>
            </w:r>
          </w:p>
        </w:tc>
      </w:tr>
      <w:tr w14:paraId="034906C7">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jc w:val="center"/>
        </w:trPr>
        <w:tc>
          <w:tcPr>
            <w:tcW w:w="2538" w:type="dxa"/>
            <w:tcBorders>
              <w:tl2br w:val="nil"/>
              <w:tr2bl w:val="nil"/>
            </w:tcBorders>
            <w:vAlign w:val="top"/>
          </w:tcPr>
          <w:p w14:paraId="7D91CDB7">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总多糖</w:t>
            </w:r>
          </w:p>
        </w:tc>
        <w:tc>
          <w:tcPr>
            <w:tcW w:w="2128" w:type="dxa"/>
            <w:tcBorders>
              <w:tl2br w:val="nil"/>
              <w:tr2bl w:val="nil"/>
            </w:tcBorders>
            <w:vAlign w:val="top"/>
          </w:tcPr>
          <w:p w14:paraId="2BED6EBB">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w:t>
            </w:r>
            <w:r>
              <w:rPr>
                <w:rFonts w:hint="eastAsia" w:ascii="宋体" w:hAnsi="宋体" w:eastAsia="宋体" w:cs="宋体"/>
                <w:snapToGrid w:val="0"/>
                <w:color w:val="000000"/>
                <w:kern w:val="0"/>
                <w:sz w:val="21"/>
                <w:szCs w:val="21"/>
                <w:lang w:val="en-US" w:eastAsia="zh-CN" w:bidi="ar"/>
              </w:rPr>
              <w:t>10</w:t>
            </w:r>
            <w:r>
              <w:rPr>
                <w:rFonts w:ascii="宋体" w:hAnsi="宋体" w:eastAsia="宋体" w:cs="宋体"/>
                <w:snapToGrid w:val="0"/>
                <w:color w:val="000000"/>
                <w:kern w:val="0"/>
                <w:sz w:val="21"/>
                <w:szCs w:val="21"/>
                <w:lang w:val="en-US" w:eastAsia="zh-CN" w:bidi="ar"/>
              </w:rPr>
              <w:t>.0%</w:t>
            </w:r>
          </w:p>
        </w:tc>
        <w:tc>
          <w:tcPr>
            <w:tcW w:w="2491" w:type="dxa"/>
            <w:tcBorders>
              <w:tl2br w:val="nil"/>
              <w:tr2bl w:val="nil"/>
            </w:tcBorders>
            <w:vAlign w:val="top"/>
          </w:tcPr>
          <w:p w14:paraId="2FDB822D">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检测方法应执行附录A.2</w:t>
            </w:r>
          </w:p>
        </w:tc>
      </w:tr>
      <w:tr w14:paraId="20A90577">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jc w:val="center"/>
        </w:trPr>
        <w:tc>
          <w:tcPr>
            <w:tcW w:w="2538" w:type="dxa"/>
            <w:tcBorders>
              <w:tl2br w:val="nil"/>
              <w:tr2bl w:val="nil"/>
            </w:tcBorders>
            <w:vAlign w:val="top"/>
          </w:tcPr>
          <w:p w14:paraId="06813CE4">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总皂苷</w:t>
            </w:r>
          </w:p>
        </w:tc>
        <w:tc>
          <w:tcPr>
            <w:tcW w:w="2128" w:type="dxa"/>
            <w:tcBorders>
              <w:tl2br w:val="nil"/>
              <w:tr2bl w:val="nil"/>
            </w:tcBorders>
            <w:vAlign w:val="top"/>
          </w:tcPr>
          <w:p w14:paraId="3BAB9E02">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w:t>
            </w:r>
            <w:r>
              <w:rPr>
                <w:rFonts w:hint="eastAsia" w:ascii="宋体" w:hAnsi="宋体" w:eastAsia="宋体" w:cs="宋体"/>
                <w:snapToGrid w:val="0"/>
                <w:color w:val="000000"/>
                <w:kern w:val="0"/>
                <w:sz w:val="21"/>
                <w:szCs w:val="21"/>
                <w:lang w:val="en-US" w:eastAsia="zh-CN" w:bidi="ar"/>
              </w:rPr>
              <w:t>1</w:t>
            </w:r>
            <w:r>
              <w:rPr>
                <w:rFonts w:ascii="宋体" w:hAnsi="宋体" w:eastAsia="宋体" w:cs="宋体"/>
                <w:snapToGrid w:val="0"/>
                <w:color w:val="000000"/>
                <w:kern w:val="0"/>
                <w:sz w:val="21"/>
                <w:szCs w:val="21"/>
                <w:lang w:val="en-US" w:eastAsia="zh-CN" w:bidi="ar"/>
              </w:rPr>
              <w:t>.5%</w:t>
            </w:r>
          </w:p>
        </w:tc>
        <w:tc>
          <w:tcPr>
            <w:tcW w:w="2491" w:type="dxa"/>
            <w:tcBorders>
              <w:tl2br w:val="nil"/>
              <w:tr2bl w:val="nil"/>
            </w:tcBorders>
            <w:vAlign w:val="top"/>
          </w:tcPr>
          <w:p w14:paraId="04E37ACC">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检测方法应执行附录A.3</w:t>
            </w:r>
          </w:p>
        </w:tc>
      </w:tr>
      <w:tr w14:paraId="26489414">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jc w:val="center"/>
        </w:trPr>
        <w:tc>
          <w:tcPr>
            <w:tcW w:w="2538" w:type="dxa"/>
            <w:tcBorders>
              <w:tl2br w:val="nil"/>
              <w:tr2bl w:val="nil"/>
            </w:tcBorders>
            <w:vAlign w:val="top"/>
          </w:tcPr>
          <w:p w14:paraId="77411A06">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铅（以Pb计），mg/kg</w:t>
            </w:r>
          </w:p>
        </w:tc>
        <w:tc>
          <w:tcPr>
            <w:tcW w:w="2128" w:type="dxa"/>
            <w:tcBorders>
              <w:tl2br w:val="nil"/>
              <w:tr2bl w:val="nil"/>
            </w:tcBorders>
            <w:vAlign w:val="top"/>
          </w:tcPr>
          <w:p w14:paraId="566D7655">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≤0.5</w:t>
            </w:r>
          </w:p>
        </w:tc>
        <w:tc>
          <w:tcPr>
            <w:tcW w:w="2491" w:type="dxa"/>
            <w:tcBorders>
              <w:tl2br w:val="nil"/>
              <w:tr2bl w:val="nil"/>
            </w:tcBorders>
            <w:vAlign w:val="top"/>
          </w:tcPr>
          <w:p w14:paraId="28F02F6C">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GB 5009.12</w:t>
            </w:r>
          </w:p>
        </w:tc>
      </w:tr>
      <w:tr w14:paraId="46BABEB4">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jc w:val="center"/>
        </w:trPr>
        <w:tc>
          <w:tcPr>
            <w:tcW w:w="2538" w:type="dxa"/>
            <w:tcBorders>
              <w:tl2br w:val="nil"/>
              <w:tr2bl w:val="nil"/>
            </w:tcBorders>
            <w:vAlign w:val="top"/>
          </w:tcPr>
          <w:p w14:paraId="34ECF02A">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总砷（以 As 计），mg/kg</w:t>
            </w:r>
          </w:p>
        </w:tc>
        <w:tc>
          <w:tcPr>
            <w:tcW w:w="2128" w:type="dxa"/>
            <w:tcBorders>
              <w:tl2br w:val="nil"/>
              <w:tr2bl w:val="nil"/>
            </w:tcBorders>
            <w:vAlign w:val="top"/>
          </w:tcPr>
          <w:p w14:paraId="381EF155">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≤0.2</w:t>
            </w:r>
          </w:p>
        </w:tc>
        <w:tc>
          <w:tcPr>
            <w:tcW w:w="2491" w:type="dxa"/>
            <w:tcBorders>
              <w:tl2br w:val="nil"/>
              <w:tr2bl w:val="nil"/>
            </w:tcBorders>
            <w:vAlign w:val="top"/>
          </w:tcPr>
          <w:p w14:paraId="311BE171">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GB 5009.11</w:t>
            </w:r>
          </w:p>
        </w:tc>
      </w:tr>
      <w:tr w14:paraId="7D963673">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jc w:val="center"/>
        </w:trPr>
        <w:tc>
          <w:tcPr>
            <w:tcW w:w="2538" w:type="dxa"/>
            <w:tcBorders>
              <w:tl2br w:val="nil"/>
              <w:tr2bl w:val="nil"/>
            </w:tcBorders>
            <w:vAlign w:val="top"/>
          </w:tcPr>
          <w:p w14:paraId="7B8F4EB3">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汞（以Hg计），mg/kg</w:t>
            </w:r>
          </w:p>
        </w:tc>
        <w:tc>
          <w:tcPr>
            <w:tcW w:w="2128" w:type="dxa"/>
            <w:tcBorders>
              <w:tl2br w:val="nil"/>
              <w:tr2bl w:val="nil"/>
            </w:tcBorders>
            <w:vAlign w:val="top"/>
          </w:tcPr>
          <w:p w14:paraId="3A767B36">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≤0.1</w:t>
            </w:r>
          </w:p>
        </w:tc>
        <w:tc>
          <w:tcPr>
            <w:tcW w:w="2491" w:type="dxa"/>
            <w:tcBorders>
              <w:tl2br w:val="nil"/>
              <w:tr2bl w:val="nil"/>
            </w:tcBorders>
            <w:vAlign w:val="top"/>
          </w:tcPr>
          <w:p w14:paraId="7C3A6ABF">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GB 5009.17</w:t>
            </w:r>
          </w:p>
        </w:tc>
      </w:tr>
      <w:tr w14:paraId="609D6D75">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jc w:val="center"/>
        </w:trPr>
        <w:tc>
          <w:tcPr>
            <w:tcW w:w="2538" w:type="dxa"/>
            <w:tcBorders>
              <w:tl2br w:val="nil"/>
              <w:tr2bl w:val="nil"/>
            </w:tcBorders>
            <w:vAlign w:val="top"/>
          </w:tcPr>
          <w:p w14:paraId="70A4A91A">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eastAsia"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六六六，mg/kg</w:t>
            </w:r>
          </w:p>
        </w:tc>
        <w:tc>
          <w:tcPr>
            <w:tcW w:w="2128" w:type="dxa"/>
            <w:tcBorders>
              <w:tl2br w:val="nil"/>
              <w:tr2bl w:val="nil"/>
            </w:tcBorders>
            <w:vAlign w:val="top"/>
          </w:tcPr>
          <w:p w14:paraId="77EC004A">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≤0.05</w:t>
            </w:r>
          </w:p>
        </w:tc>
        <w:tc>
          <w:tcPr>
            <w:tcW w:w="2491" w:type="dxa"/>
            <w:tcBorders>
              <w:tl2br w:val="nil"/>
              <w:tr2bl w:val="nil"/>
            </w:tcBorders>
            <w:vAlign w:val="top"/>
          </w:tcPr>
          <w:p w14:paraId="3C86BA70">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eastAsia"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GB/T 5009.19</w:t>
            </w:r>
          </w:p>
        </w:tc>
      </w:tr>
      <w:tr w14:paraId="434B8D23">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jc w:val="center"/>
        </w:trPr>
        <w:tc>
          <w:tcPr>
            <w:tcW w:w="2538" w:type="dxa"/>
            <w:tcBorders>
              <w:tl2br w:val="nil"/>
              <w:tr2bl w:val="nil"/>
            </w:tcBorders>
            <w:vAlign w:val="top"/>
          </w:tcPr>
          <w:p w14:paraId="2234E8BC">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eastAsia"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滴滴涕，mg/kg</w:t>
            </w:r>
          </w:p>
        </w:tc>
        <w:tc>
          <w:tcPr>
            <w:tcW w:w="2128" w:type="dxa"/>
            <w:tcBorders>
              <w:tl2br w:val="nil"/>
              <w:tr2bl w:val="nil"/>
            </w:tcBorders>
            <w:vAlign w:val="top"/>
          </w:tcPr>
          <w:p w14:paraId="5A8D85D1">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≤0.01</w:t>
            </w:r>
          </w:p>
        </w:tc>
        <w:tc>
          <w:tcPr>
            <w:tcW w:w="2491" w:type="dxa"/>
            <w:tcBorders>
              <w:tl2br w:val="nil"/>
              <w:tr2bl w:val="nil"/>
            </w:tcBorders>
            <w:vAlign w:val="top"/>
          </w:tcPr>
          <w:p w14:paraId="4C07FDE7">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eastAsia"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GB/T 5009.19</w:t>
            </w:r>
          </w:p>
        </w:tc>
      </w:tr>
    </w:tbl>
    <w:p w14:paraId="53E1703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left"/>
        <w:textAlignment w:val="baseline"/>
        <w:rPr>
          <w:rFonts w:hint="eastAsia" w:ascii="黑体" w:hAnsi="黑体" w:eastAsia="黑体" w:cs="黑体"/>
          <w:snapToGrid w:val="0"/>
          <w:color w:val="000000"/>
          <w:kern w:val="0"/>
          <w:sz w:val="20"/>
          <w:szCs w:val="20"/>
          <w:lang w:val="en-US" w:eastAsia="zh-CN" w:bidi="ar"/>
        </w:rPr>
      </w:pPr>
    </w:p>
    <w:p w14:paraId="4BA29C4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 xml:space="preserve">6.3 微生物指标 </w:t>
      </w:r>
    </w:p>
    <w:p w14:paraId="5744F8A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left"/>
        <w:textAlignment w:val="baseline"/>
        <w:rPr>
          <w:rFonts w:hint="eastAsia"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0"/>
          <w:szCs w:val="20"/>
          <w:lang w:val="en-US" w:eastAsia="zh-CN" w:bidi="ar"/>
        </w:rPr>
        <w:t xml:space="preserve">     </w:t>
      </w:r>
      <w:r>
        <w:rPr>
          <w:rFonts w:hint="eastAsia" w:ascii="宋体" w:hAnsi="宋体" w:eastAsia="宋体" w:cs="宋体"/>
          <w:snapToGrid w:val="0"/>
          <w:color w:val="000000"/>
          <w:kern w:val="0"/>
          <w:sz w:val="21"/>
          <w:szCs w:val="21"/>
          <w:lang w:val="en-US" w:eastAsia="zh-CN" w:bidi="ar"/>
        </w:rPr>
        <w:t>应符合表3的规定。</w:t>
      </w:r>
    </w:p>
    <w:p w14:paraId="11AF257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center"/>
        <w:textAlignment w:val="baseline"/>
        <w:rPr>
          <w:rFonts w:hint="eastAsia" w:ascii="黑体" w:hAnsi="黑体" w:eastAsia="黑体" w:cs="黑体"/>
          <w:snapToGrid w:val="0"/>
          <w:color w:val="000000"/>
          <w:kern w:val="0"/>
          <w:sz w:val="21"/>
          <w:szCs w:val="21"/>
          <w:lang w:val="en-US" w:eastAsia="zh-CN" w:bidi="ar"/>
        </w:rPr>
      </w:pPr>
      <w:r>
        <w:rPr>
          <w:rFonts w:hint="eastAsia" w:ascii="黑体" w:hAnsi="黑体" w:eastAsia="黑体" w:cs="黑体"/>
          <w:snapToGrid w:val="0"/>
          <w:color w:val="000000"/>
          <w:kern w:val="0"/>
          <w:sz w:val="21"/>
          <w:szCs w:val="21"/>
          <w:lang w:val="en-US" w:eastAsia="zh-CN" w:bidi="ar"/>
        </w:rPr>
        <w:t>表3  微生物指标限量</w:t>
      </w:r>
    </w:p>
    <w:tbl>
      <w:tblPr>
        <w:tblStyle w:val="10"/>
        <w:tblpPr w:leftFromText="180" w:rightFromText="180" w:vertAnchor="text" w:horzAnchor="page" w:tblpX="2793" w:tblpY="170"/>
        <w:tblOverlap w:val="never"/>
        <w:tblW w:w="0" w:type="auto"/>
        <w:tblInd w:w="0" w:type="dxa"/>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Layout w:type="autofit"/>
        <w:tblCellMar>
          <w:top w:w="0" w:type="dxa"/>
          <w:left w:w="108" w:type="dxa"/>
          <w:bottom w:w="0" w:type="dxa"/>
          <w:right w:w="108" w:type="dxa"/>
        </w:tblCellMar>
      </w:tblPr>
      <w:tblGrid>
        <w:gridCol w:w="2393"/>
        <w:gridCol w:w="787"/>
        <w:gridCol w:w="787"/>
        <w:gridCol w:w="787"/>
        <w:gridCol w:w="789"/>
        <w:gridCol w:w="1607"/>
      </w:tblGrid>
      <w:tr w14:paraId="6FC3FD27">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393" w:type="dxa"/>
            <w:vMerge w:val="restart"/>
            <w:tcBorders>
              <w:bottom w:val="single" w:color="auto" w:sz="6" w:space="0"/>
            </w:tcBorders>
            <w:shd w:val="clear" w:color="auto" w:fill="auto"/>
            <w:vAlign w:val="top"/>
          </w:tcPr>
          <w:p w14:paraId="414CC460">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rightChars="0"/>
              <w:jc w:val="center"/>
              <w:textAlignment w:val="baseline"/>
              <w:rPr>
                <w:rFonts w:hint="default"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项目</w:t>
            </w:r>
          </w:p>
        </w:tc>
        <w:tc>
          <w:tcPr>
            <w:tcW w:w="3150" w:type="dxa"/>
            <w:gridSpan w:val="4"/>
            <w:tcBorders>
              <w:bottom w:val="single" w:color="auto" w:sz="6" w:space="0"/>
            </w:tcBorders>
            <w:shd w:val="clear" w:color="auto" w:fill="auto"/>
            <w:vAlign w:val="top"/>
          </w:tcPr>
          <w:p w14:paraId="40F26AA8">
            <w:pPr>
              <w:keepNext w:val="0"/>
              <w:keepLines w:val="0"/>
              <w:widowControl/>
              <w:suppressLineNumbers w:val="0"/>
              <w:jc w:val="center"/>
              <w:rPr>
                <w:rFonts w:hint="default"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采样方案及限量</w:t>
            </w:r>
          </w:p>
        </w:tc>
        <w:tc>
          <w:tcPr>
            <w:tcW w:w="1607" w:type="dxa"/>
            <w:vMerge w:val="restart"/>
            <w:tcBorders>
              <w:bottom w:val="single" w:color="auto" w:sz="6" w:space="0"/>
            </w:tcBorders>
            <w:shd w:val="clear" w:color="auto" w:fill="auto"/>
            <w:vAlign w:val="top"/>
          </w:tcPr>
          <w:p w14:paraId="543EA5DE">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rightChars="0"/>
              <w:jc w:val="center"/>
              <w:textAlignment w:val="baseline"/>
              <w:rPr>
                <w:rFonts w:hint="default"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测定方法</w:t>
            </w:r>
          </w:p>
        </w:tc>
      </w:tr>
      <w:tr w14:paraId="143DF193">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393" w:type="dxa"/>
            <w:vMerge w:val="continue"/>
            <w:tcBorders>
              <w:top w:val="single" w:color="auto" w:sz="6" w:space="0"/>
              <w:tl2br w:val="nil"/>
              <w:tr2bl w:val="nil"/>
            </w:tcBorders>
            <w:vAlign w:val="top"/>
          </w:tcPr>
          <w:p w14:paraId="183EC872">
            <w:pPr>
              <w:keepNext w:val="0"/>
              <w:keepLines w:val="0"/>
              <w:widowControl/>
              <w:suppressLineNumbers w:val="0"/>
              <w:jc w:val="left"/>
              <w:rPr>
                <w:rFonts w:hint="eastAsia" w:ascii="宋体" w:hAnsi="宋体" w:eastAsia="宋体" w:cs="宋体"/>
                <w:snapToGrid w:val="0"/>
                <w:color w:val="000000"/>
                <w:kern w:val="0"/>
                <w:sz w:val="21"/>
                <w:szCs w:val="21"/>
                <w:lang w:val="en-US" w:eastAsia="zh-CN" w:bidi="ar"/>
              </w:rPr>
            </w:pPr>
          </w:p>
        </w:tc>
        <w:tc>
          <w:tcPr>
            <w:tcW w:w="787" w:type="dxa"/>
            <w:tcBorders>
              <w:top w:val="single" w:color="auto" w:sz="6" w:space="0"/>
              <w:tl2br w:val="nil"/>
              <w:tr2bl w:val="nil"/>
            </w:tcBorders>
            <w:vAlign w:val="top"/>
          </w:tcPr>
          <w:p w14:paraId="5BF1FB51">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vertAlign w:val="baseline"/>
                <w:lang w:val="en-US" w:eastAsia="zh-CN" w:bidi="ar"/>
              </w:rPr>
              <w:t>n</w:t>
            </w:r>
          </w:p>
        </w:tc>
        <w:tc>
          <w:tcPr>
            <w:tcW w:w="787" w:type="dxa"/>
            <w:tcBorders>
              <w:top w:val="single" w:color="auto" w:sz="6" w:space="0"/>
              <w:tl2br w:val="nil"/>
              <w:tr2bl w:val="nil"/>
            </w:tcBorders>
            <w:vAlign w:val="top"/>
          </w:tcPr>
          <w:p w14:paraId="471CA769">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vertAlign w:val="baseline"/>
                <w:lang w:val="en-US" w:eastAsia="zh-CN" w:bidi="ar"/>
              </w:rPr>
              <w:t>c</w:t>
            </w:r>
          </w:p>
        </w:tc>
        <w:tc>
          <w:tcPr>
            <w:tcW w:w="787" w:type="dxa"/>
            <w:tcBorders>
              <w:top w:val="single" w:color="auto" w:sz="6" w:space="0"/>
              <w:tl2br w:val="nil"/>
              <w:tr2bl w:val="nil"/>
            </w:tcBorders>
            <w:vAlign w:val="top"/>
          </w:tcPr>
          <w:p w14:paraId="52F25D12">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vertAlign w:val="baseline"/>
                <w:lang w:val="en-US" w:eastAsia="zh-CN" w:bidi="ar"/>
              </w:rPr>
              <w:t>m</w:t>
            </w:r>
          </w:p>
        </w:tc>
        <w:tc>
          <w:tcPr>
            <w:tcW w:w="789" w:type="dxa"/>
            <w:tcBorders>
              <w:top w:val="single" w:color="auto" w:sz="6" w:space="0"/>
              <w:tl2br w:val="nil"/>
              <w:tr2bl w:val="nil"/>
            </w:tcBorders>
            <w:vAlign w:val="top"/>
          </w:tcPr>
          <w:p w14:paraId="1DDE04E4">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vertAlign w:val="baseline"/>
                <w:lang w:val="en-US" w:eastAsia="zh-CN" w:bidi="ar"/>
              </w:rPr>
              <w:t>M</w:t>
            </w:r>
          </w:p>
        </w:tc>
        <w:tc>
          <w:tcPr>
            <w:tcW w:w="1607" w:type="dxa"/>
            <w:vMerge w:val="continue"/>
            <w:tcBorders>
              <w:top w:val="single" w:color="auto" w:sz="6" w:space="0"/>
              <w:tl2br w:val="nil"/>
              <w:tr2bl w:val="nil"/>
            </w:tcBorders>
            <w:vAlign w:val="top"/>
          </w:tcPr>
          <w:p w14:paraId="7FB683B0">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vertAlign w:val="baseline"/>
                <w:lang w:val="en-US" w:eastAsia="zh-CN" w:bidi="ar"/>
              </w:rPr>
            </w:pPr>
          </w:p>
        </w:tc>
      </w:tr>
      <w:tr w14:paraId="35FC54BB">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393" w:type="dxa"/>
            <w:tcBorders>
              <w:tl2br w:val="nil"/>
              <w:tr2bl w:val="nil"/>
            </w:tcBorders>
            <w:vAlign w:val="top"/>
          </w:tcPr>
          <w:p w14:paraId="4154225F">
            <w:pPr>
              <w:keepNext w:val="0"/>
              <w:keepLines w:val="0"/>
              <w:widowControl/>
              <w:suppressLineNumbers w:val="0"/>
              <w:jc w:val="left"/>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lang w:val="en-US" w:eastAsia="zh-CN" w:bidi="ar"/>
              </w:rPr>
              <w:t xml:space="preserve">菌落总数/(CFU/g) </w:t>
            </w:r>
          </w:p>
        </w:tc>
        <w:tc>
          <w:tcPr>
            <w:tcW w:w="787" w:type="dxa"/>
            <w:tcBorders>
              <w:tl2br w:val="nil"/>
              <w:tr2bl w:val="nil"/>
            </w:tcBorders>
            <w:vAlign w:val="top"/>
          </w:tcPr>
          <w:p w14:paraId="0D03D71B">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vertAlign w:val="baseline"/>
                <w:lang w:val="en-US" w:eastAsia="zh-CN" w:bidi="ar"/>
              </w:rPr>
              <w:t>5</w:t>
            </w:r>
          </w:p>
        </w:tc>
        <w:tc>
          <w:tcPr>
            <w:tcW w:w="787" w:type="dxa"/>
            <w:tcBorders>
              <w:tl2br w:val="nil"/>
              <w:tr2bl w:val="nil"/>
            </w:tcBorders>
            <w:vAlign w:val="top"/>
          </w:tcPr>
          <w:p w14:paraId="3FD5E38F">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vertAlign w:val="baseline"/>
                <w:lang w:val="en-US" w:eastAsia="zh-CN" w:bidi="ar"/>
              </w:rPr>
              <w:t>1</w:t>
            </w:r>
          </w:p>
        </w:tc>
        <w:tc>
          <w:tcPr>
            <w:tcW w:w="787" w:type="dxa"/>
            <w:tcBorders>
              <w:tl2br w:val="nil"/>
              <w:tr2bl w:val="nil"/>
            </w:tcBorders>
            <w:vAlign w:val="top"/>
          </w:tcPr>
          <w:p w14:paraId="0B91CF2F">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vertAlign w:val="baseline"/>
                <w:lang w:val="en-US" w:eastAsia="zh-CN" w:bidi="ar"/>
              </w:rPr>
              <w:t>10</w:t>
            </w:r>
            <w:r>
              <w:rPr>
                <w:rFonts w:hint="eastAsia" w:ascii="宋体" w:hAnsi="宋体" w:eastAsia="宋体" w:cs="宋体"/>
                <w:snapToGrid w:val="0"/>
                <w:color w:val="000000"/>
                <w:kern w:val="0"/>
                <w:sz w:val="21"/>
                <w:szCs w:val="21"/>
                <w:vertAlign w:val="superscript"/>
                <w:lang w:val="en-US" w:eastAsia="zh-CN" w:bidi="ar"/>
              </w:rPr>
              <w:t>4</w:t>
            </w:r>
          </w:p>
        </w:tc>
        <w:tc>
          <w:tcPr>
            <w:tcW w:w="789" w:type="dxa"/>
            <w:tcBorders>
              <w:tl2br w:val="nil"/>
              <w:tr2bl w:val="nil"/>
            </w:tcBorders>
            <w:vAlign w:val="top"/>
          </w:tcPr>
          <w:p w14:paraId="5E5180C2">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vertAlign w:val="baseline"/>
                <w:lang w:val="en-US" w:eastAsia="zh-CN" w:bidi="ar"/>
              </w:rPr>
              <w:t>10</w:t>
            </w:r>
            <w:r>
              <w:rPr>
                <w:rFonts w:hint="eastAsia" w:ascii="宋体" w:hAnsi="宋体" w:eastAsia="宋体" w:cs="宋体"/>
                <w:snapToGrid w:val="0"/>
                <w:color w:val="000000"/>
                <w:kern w:val="0"/>
                <w:sz w:val="21"/>
                <w:szCs w:val="21"/>
                <w:vertAlign w:val="superscript"/>
                <w:lang w:val="en-US" w:eastAsia="zh-CN" w:bidi="ar"/>
              </w:rPr>
              <w:t>5</w:t>
            </w:r>
          </w:p>
        </w:tc>
        <w:tc>
          <w:tcPr>
            <w:tcW w:w="1607" w:type="dxa"/>
            <w:tcBorders>
              <w:tl2br w:val="nil"/>
              <w:tr2bl w:val="nil"/>
            </w:tcBorders>
            <w:vAlign w:val="top"/>
          </w:tcPr>
          <w:p w14:paraId="505CF394">
            <w:pPr>
              <w:keepNext w:val="0"/>
              <w:keepLines w:val="0"/>
              <w:widowControl/>
              <w:suppressLineNumbers w:val="0"/>
              <w:jc w:val="left"/>
              <w:rPr>
                <w:rFonts w:hint="eastAsia"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GB 4789.2</w:t>
            </w:r>
          </w:p>
          <w:p w14:paraId="7DD0F6D5">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vertAlign w:val="baseline"/>
                <w:lang w:val="en-US" w:eastAsia="zh-CN" w:bidi="ar"/>
              </w:rPr>
            </w:pPr>
          </w:p>
        </w:tc>
      </w:tr>
      <w:tr w14:paraId="49E3176D">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393" w:type="dxa"/>
            <w:tcBorders>
              <w:tl2br w:val="nil"/>
              <w:tr2bl w:val="nil"/>
            </w:tcBorders>
            <w:vAlign w:val="top"/>
          </w:tcPr>
          <w:p w14:paraId="73B06093">
            <w:pPr>
              <w:keepNext w:val="0"/>
              <w:keepLines w:val="0"/>
              <w:widowControl/>
              <w:suppressLineNumbers w:val="0"/>
              <w:jc w:val="left"/>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lang w:val="en-US" w:eastAsia="zh-CN" w:bidi="ar"/>
              </w:rPr>
              <w:t>大肠菌群/(CFU/g)</w:t>
            </w:r>
          </w:p>
        </w:tc>
        <w:tc>
          <w:tcPr>
            <w:tcW w:w="787" w:type="dxa"/>
            <w:tcBorders>
              <w:tl2br w:val="nil"/>
              <w:tr2bl w:val="nil"/>
            </w:tcBorders>
            <w:vAlign w:val="top"/>
          </w:tcPr>
          <w:p w14:paraId="3970CC5D">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vertAlign w:val="baseline"/>
                <w:lang w:val="en-US" w:eastAsia="zh-CN" w:bidi="ar"/>
              </w:rPr>
              <w:t>5</w:t>
            </w:r>
          </w:p>
        </w:tc>
        <w:tc>
          <w:tcPr>
            <w:tcW w:w="787" w:type="dxa"/>
            <w:tcBorders>
              <w:tl2br w:val="nil"/>
              <w:tr2bl w:val="nil"/>
            </w:tcBorders>
            <w:vAlign w:val="top"/>
          </w:tcPr>
          <w:p w14:paraId="3CE6A622">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vertAlign w:val="baseline"/>
                <w:lang w:val="en-US" w:eastAsia="zh-CN" w:bidi="ar"/>
              </w:rPr>
              <w:t>2</w:t>
            </w:r>
          </w:p>
        </w:tc>
        <w:tc>
          <w:tcPr>
            <w:tcW w:w="787" w:type="dxa"/>
            <w:tcBorders>
              <w:tl2br w:val="nil"/>
              <w:tr2bl w:val="nil"/>
            </w:tcBorders>
            <w:vAlign w:val="top"/>
          </w:tcPr>
          <w:p w14:paraId="164E3C9A">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vertAlign w:val="baseline"/>
                <w:lang w:val="en-US" w:eastAsia="zh-CN" w:bidi="ar"/>
              </w:rPr>
              <w:t>10</w:t>
            </w:r>
          </w:p>
        </w:tc>
        <w:tc>
          <w:tcPr>
            <w:tcW w:w="789" w:type="dxa"/>
            <w:tcBorders>
              <w:tl2br w:val="nil"/>
              <w:tr2bl w:val="nil"/>
            </w:tcBorders>
            <w:vAlign w:val="top"/>
          </w:tcPr>
          <w:p w14:paraId="10EC3A0D">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vertAlign w:val="baseline"/>
                <w:lang w:val="en-US" w:eastAsia="zh-CN" w:bidi="ar"/>
              </w:rPr>
              <w:t>10</w:t>
            </w:r>
            <w:r>
              <w:rPr>
                <w:rFonts w:hint="eastAsia" w:ascii="宋体" w:hAnsi="宋体" w:eastAsia="宋体" w:cs="宋体"/>
                <w:snapToGrid w:val="0"/>
                <w:color w:val="000000"/>
                <w:kern w:val="0"/>
                <w:sz w:val="21"/>
                <w:szCs w:val="21"/>
                <w:vertAlign w:val="superscript"/>
                <w:lang w:val="en-US" w:eastAsia="zh-CN" w:bidi="ar"/>
              </w:rPr>
              <w:t>2</w:t>
            </w:r>
          </w:p>
        </w:tc>
        <w:tc>
          <w:tcPr>
            <w:tcW w:w="1607" w:type="dxa"/>
            <w:tcBorders>
              <w:tl2br w:val="nil"/>
              <w:tr2bl w:val="nil"/>
            </w:tcBorders>
            <w:vAlign w:val="top"/>
          </w:tcPr>
          <w:p w14:paraId="3CE0843B">
            <w:pPr>
              <w:keepNext w:val="0"/>
              <w:keepLines w:val="0"/>
              <w:widowControl/>
              <w:suppressLineNumbers w:val="0"/>
              <w:jc w:val="left"/>
              <w:rPr>
                <w:rFonts w:hint="eastAsia"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GB 4789.3</w:t>
            </w:r>
          </w:p>
          <w:p w14:paraId="1979A08E">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vertAlign w:val="baseline"/>
                <w:lang w:val="en-US" w:eastAsia="zh-CN" w:bidi="ar"/>
              </w:rPr>
            </w:pPr>
          </w:p>
        </w:tc>
      </w:tr>
      <w:tr w14:paraId="03EA52F9">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393" w:type="dxa"/>
            <w:tcBorders>
              <w:tl2br w:val="nil"/>
              <w:tr2bl w:val="nil"/>
            </w:tcBorders>
            <w:vAlign w:val="top"/>
          </w:tcPr>
          <w:p w14:paraId="6F88BF0B">
            <w:pPr>
              <w:keepNext w:val="0"/>
              <w:keepLines w:val="0"/>
              <w:widowControl/>
              <w:suppressLineNumbers w:val="0"/>
              <w:jc w:val="left"/>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lang w:val="en-US" w:eastAsia="zh-CN" w:bidi="ar"/>
              </w:rPr>
              <w:t>霉菌/（CFU/g或CFU/mL）</w:t>
            </w:r>
          </w:p>
        </w:tc>
        <w:tc>
          <w:tcPr>
            <w:tcW w:w="3150" w:type="dxa"/>
            <w:gridSpan w:val="4"/>
            <w:tcBorders>
              <w:tl2br w:val="nil"/>
              <w:tr2bl w:val="nil"/>
            </w:tcBorders>
            <w:vAlign w:val="top"/>
          </w:tcPr>
          <w:p w14:paraId="18F90DD4">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lang w:val="en-US" w:eastAsia="zh-CN" w:bidi="ar"/>
              </w:rPr>
              <w:t>≤20</w:t>
            </w:r>
          </w:p>
        </w:tc>
        <w:tc>
          <w:tcPr>
            <w:tcW w:w="1607" w:type="dxa"/>
            <w:tcBorders>
              <w:tl2br w:val="nil"/>
              <w:tr2bl w:val="nil"/>
            </w:tcBorders>
            <w:vAlign w:val="top"/>
          </w:tcPr>
          <w:p w14:paraId="5D92F270">
            <w:pPr>
              <w:keepNext w:val="0"/>
              <w:keepLines w:val="0"/>
              <w:widowControl/>
              <w:suppressLineNumbers w:val="0"/>
              <w:jc w:val="left"/>
              <w:rPr>
                <w:rFonts w:hint="default"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GB 4789.15</w:t>
            </w:r>
          </w:p>
        </w:tc>
      </w:tr>
      <w:tr w14:paraId="0D87CC00">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393" w:type="dxa"/>
            <w:tcBorders>
              <w:tl2br w:val="nil"/>
              <w:tr2bl w:val="nil"/>
            </w:tcBorders>
            <w:vAlign w:val="top"/>
          </w:tcPr>
          <w:p w14:paraId="1C85774F">
            <w:pPr>
              <w:keepNext w:val="0"/>
              <w:keepLines w:val="0"/>
              <w:widowControl/>
              <w:suppressLineNumbers w:val="0"/>
              <w:jc w:val="left"/>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lang w:val="en-US" w:eastAsia="zh-CN" w:bidi="ar"/>
              </w:rPr>
              <w:t xml:space="preserve">酵母d /（CFU/g或CFU/mL） </w:t>
            </w:r>
          </w:p>
        </w:tc>
        <w:tc>
          <w:tcPr>
            <w:tcW w:w="3150" w:type="dxa"/>
            <w:gridSpan w:val="4"/>
            <w:tcBorders>
              <w:tl2br w:val="nil"/>
              <w:tr2bl w:val="nil"/>
            </w:tcBorders>
            <w:vAlign w:val="top"/>
          </w:tcPr>
          <w:p w14:paraId="4BC70679">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right="0"/>
              <w:jc w:val="left"/>
              <w:textAlignment w:val="baseline"/>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lang w:val="en-US" w:eastAsia="zh-CN" w:bidi="ar"/>
              </w:rPr>
              <w:t>≤20</w:t>
            </w:r>
          </w:p>
        </w:tc>
        <w:tc>
          <w:tcPr>
            <w:tcW w:w="1607" w:type="dxa"/>
            <w:tcBorders>
              <w:tl2br w:val="nil"/>
              <w:tr2bl w:val="nil"/>
            </w:tcBorders>
            <w:vAlign w:val="top"/>
          </w:tcPr>
          <w:p w14:paraId="3C6CE63D">
            <w:pPr>
              <w:keepNext w:val="0"/>
              <w:keepLines w:val="0"/>
              <w:widowControl/>
              <w:suppressLineNumbers w:val="0"/>
              <w:jc w:val="left"/>
              <w:rPr>
                <w:rFonts w:hint="default" w:ascii="宋体" w:hAnsi="宋体" w:eastAsia="宋体" w:cs="宋体"/>
                <w:snapToGrid w:val="0"/>
                <w:color w:val="000000"/>
                <w:kern w:val="0"/>
                <w:sz w:val="21"/>
                <w:szCs w:val="21"/>
                <w:lang w:val="en-US" w:eastAsia="zh-CN" w:bidi="ar"/>
              </w:rPr>
            </w:pPr>
            <w:r>
              <w:rPr>
                <w:rFonts w:hint="eastAsia" w:ascii="宋体" w:hAnsi="宋体" w:eastAsia="宋体" w:cs="宋体"/>
                <w:snapToGrid w:val="0"/>
                <w:color w:val="000000"/>
                <w:kern w:val="0"/>
                <w:sz w:val="21"/>
                <w:szCs w:val="21"/>
                <w:lang w:val="en-US" w:eastAsia="zh-CN" w:bidi="ar"/>
              </w:rPr>
              <w:t>GB 4789.15</w:t>
            </w:r>
          </w:p>
        </w:tc>
      </w:tr>
      <w:tr w14:paraId="3F95FDB4">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7150" w:type="dxa"/>
            <w:gridSpan w:val="6"/>
            <w:tcBorders>
              <w:tl2br w:val="nil"/>
              <w:tr2bl w:val="nil"/>
            </w:tcBorders>
            <w:vAlign w:val="top"/>
          </w:tcPr>
          <w:p w14:paraId="54D88AC7">
            <w:pPr>
              <w:keepNext w:val="0"/>
              <w:keepLines w:val="0"/>
              <w:widowControl/>
              <w:suppressLineNumbers w:val="0"/>
              <w:jc w:val="left"/>
              <w:rPr>
                <w:rFonts w:hint="default" w:ascii="宋体" w:hAnsi="宋体" w:eastAsia="宋体" w:cs="宋体"/>
                <w:snapToGrid w:val="0"/>
                <w:color w:val="000000"/>
                <w:kern w:val="0"/>
                <w:sz w:val="21"/>
                <w:szCs w:val="21"/>
                <w:vertAlign w:val="baseline"/>
                <w:lang w:val="en-US" w:eastAsia="zh-CN" w:bidi="ar"/>
              </w:rPr>
            </w:pPr>
            <w:r>
              <w:rPr>
                <w:rFonts w:hint="eastAsia" w:ascii="宋体" w:hAnsi="宋体" w:eastAsia="宋体" w:cs="宋体"/>
                <w:snapToGrid w:val="0"/>
                <w:color w:val="000000"/>
                <w:kern w:val="0"/>
                <w:sz w:val="21"/>
                <w:szCs w:val="21"/>
                <w:lang w:val="en-US" w:eastAsia="zh-CN" w:bidi="ar"/>
              </w:rPr>
              <w:t xml:space="preserve">注:样品的采集和处理按GB4789.1执行，n为同一批次产品应采集的样品件数;c为最大可允许超出m值的样品数;m为微生物指标可接受水平的限量值;M为微生物指标的最高安全限量值。 </w:t>
            </w:r>
          </w:p>
        </w:tc>
      </w:tr>
    </w:tbl>
    <w:p w14:paraId="3EE5944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left"/>
        <w:textAlignment w:val="baseline"/>
        <w:rPr>
          <w:rFonts w:hint="default" w:ascii="宋体" w:hAnsi="宋体" w:eastAsia="宋体" w:cs="宋体"/>
          <w:snapToGrid w:val="0"/>
          <w:color w:val="000000"/>
          <w:kern w:val="0"/>
          <w:sz w:val="21"/>
          <w:szCs w:val="21"/>
          <w:lang w:val="en-US" w:eastAsia="zh-CN" w:bidi="ar"/>
        </w:rPr>
      </w:pPr>
    </w:p>
    <w:p w14:paraId="1AE5D54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left"/>
        <w:textAlignment w:val="baseline"/>
        <w:rPr>
          <w:rFonts w:ascii="宋体" w:hAnsi="宋体" w:eastAsia="宋体" w:cs="宋体"/>
          <w:snapToGrid w:val="0"/>
          <w:color w:val="000000"/>
          <w:kern w:val="0"/>
          <w:sz w:val="21"/>
          <w:szCs w:val="21"/>
          <w:lang w:val="en-US" w:eastAsia="zh-CN" w:bidi="ar"/>
        </w:rPr>
      </w:pPr>
    </w:p>
    <w:p w14:paraId="589EAEF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left"/>
        <w:textAlignment w:val="baseline"/>
        <w:rPr>
          <w:color w:val="000000"/>
          <w:sz w:val="21"/>
          <w:szCs w:val="21"/>
        </w:rPr>
      </w:pPr>
      <w:r>
        <w:rPr>
          <w:rFonts w:ascii="宋体" w:hAnsi="宋体" w:eastAsia="宋体" w:cs="宋体"/>
          <w:snapToGrid w:val="0"/>
          <w:color w:val="000000"/>
          <w:kern w:val="0"/>
          <w:sz w:val="21"/>
          <w:szCs w:val="21"/>
          <w:lang w:val="en-US" w:eastAsia="zh-CN" w:bidi="ar"/>
        </w:rPr>
        <w:t xml:space="preserve"> </w:t>
      </w:r>
    </w:p>
    <w:p w14:paraId="1C6640A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color w:val="000000"/>
          <w:sz w:val="21"/>
          <w:szCs w:val="21"/>
        </w:rPr>
      </w:pPr>
    </w:p>
    <w:p w14:paraId="570FF555">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color w:val="000000"/>
          <w:sz w:val="21"/>
          <w:szCs w:val="21"/>
        </w:rPr>
      </w:pPr>
    </w:p>
    <w:p w14:paraId="26942755">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color w:val="000000"/>
          <w:sz w:val="21"/>
          <w:szCs w:val="21"/>
        </w:rPr>
      </w:pPr>
    </w:p>
    <w:p w14:paraId="5DCECA2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color w:val="000000"/>
          <w:sz w:val="21"/>
          <w:szCs w:val="21"/>
        </w:rPr>
      </w:pPr>
    </w:p>
    <w:p w14:paraId="26C17E2E">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color w:val="000000"/>
          <w:sz w:val="21"/>
          <w:szCs w:val="21"/>
        </w:rPr>
      </w:pPr>
    </w:p>
    <w:p w14:paraId="61B854D4">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color w:val="000000"/>
          <w:sz w:val="21"/>
          <w:szCs w:val="21"/>
        </w:rPr>
      </w:pPr>
    </w:p>
    <w:p w14:paraId="5794F66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color w:val="000000"/>
          <w:sz w:val="21"/>
          <w:szCs w:val="21"/>
        </w:rPr>
      </w:pPr>
    </w:p>
    <w:p w14:paraId="6EFCF275">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color w:val="000000"/>
          <w:sz w:val="21"/>
          <w:szCs w:val="21"/>
        </w:rPr>
      </w:pPr>
    </w:p>
    <w:p w14:paraId="2DAB20C7">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rPr>
      </w:pPr>
      <w:r>
        <w:rPr>
          <w:rFonts w:hint="eastAsia" w:ascii="黑体" w:hAnsi="黑体" w:eastAsia="黑体" w:cs="黑体"/>
          <w:b w:val="0"/>
          <w:bCs w:val="0"/>
          <w:color w:val="000000"/>
          <w:sz w:val="21"/>
          <w:szCs w:val="21"/>
        </w:rPr>
        <w:t>7 包装、贮存与运输</w:t>
      </w:r>
    </w:p>
    <w:p w14:paraId="28D548C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7.1 包装</w:t>
      </w:r>
    </w:p>
    <w:p w14:paraId="481A503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 </w:t>
      </w:r>
      <w:r>
        <w:rPr>
          <w:rFonts w:hint="eastAsia" w:ascii="宋体" w:hAnsi="宋体" w:eastAsia="宋体" w:cs="宋体"/>
          <w:snapToGrid w:val="0"/>
          <w:color w:val="000000"/>
          <w:kern w:val="0"/>
          <w:sz w:val="21"/>
          <w:szCs w:val="21"/>
          <w:lang w:val="en-US" w:eastAsia="zh-CN" w:bidi="ar"/>
        </w:rPr>
        <w:t xml:space="preserve">  </w:t>
      </w:r>
      <w:r>
        <w:rPr>
          <w:rFonts w:ascii="宋体" w:hAnsi="宋体" w:eastAsia="宋体" w:cs="宋体"/>
          <w:snapToGrid w:val="0"/>
          <w:color w:val="000000"/>
          <w:kern w:val="0"/>
          <w:sz w:val="21"/>
          <w:szCs w:val="21"/>
          <w:lang w:val="en-US" w:eastAsia="zh-CN" w:bidi="ar"/>
        </w:rPr>
        <w:t>采用食品级铝箔复合袋或避光密封罐包装，净含量为 100g、250g、500g。</w:t>
      </w:r>
    </w:p>
    <w:p w14:paraId="36DEB50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标签应注明产品名称、原料组成、主要成分含量、生产日期、保质期、生产企业名称及地址、执行标准编号等信息。</w:t>
      </w:r>
    </w:p>
    <w:p w14:paraId="52401C1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7.2 贮存</w:t>
      </w:r>
    </w:p>
    <w:p w14:paraId="71B342E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产品应置于阴凉干燥、通风避光处贮存，环境温度≤25℃，相对湿度≤65%，</w:t>
      </w:r>
    </w:p>
    <w:p w14:paraId="5E2772C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 xml:space="preserve">保质期 24 个月。 </w:t>
      </w:r>
    </w:p>
    <w:p w14:paraId="3FCD992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7.3 运输</w:t>
      </w:r>
    </w:p>
    <w:p w14:paraId="5DF1B7B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常温运输，避免暴晒、雨淋、高温及剧烈挤压。</w:t>
      </w:r>
    </w:p>
    <w:p w14:paraId="32C6B0B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right="0" w:firstLine="420" w:firstLineChars="200"/>
        <w:jc w:val="left"/>
        <w:textAlignment w:val="baseline"/>
        <w:rPr>
          <w:color w:val="000000"/>
          <w:sz w:val="21"/>
          <w:szCs w:val="21"/>
        </w:rPr>
      </w:pPr>
      <w:r>
        <w:rPr>
          <w:rFonts w:ascii="宋体" w:hAnsi="宋体" w:eastAsia="宋体" w:cs="宋体"/>
          <w:snapToGrid w:val="0"/>
          <w:color w:val="000000"/>
          <w:kern w:val="0"/>
          <w:sz w:val="21"/>
          <w:szCs w:val="21"/>
          <w:lang w:val="en-US" w:eastAsia="zh-CN" w:bidi="ar"/>
        </w:rPr>
        <w:t>运输工具应清洁、卫生、干燥，符合食品运输相关要求。</w:t>
      </w:r>
    </w:p>
    <w:p w14:paraId="4A89CDA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color w:val="000000"/>
          <w:sz w:val="21"/>
          <w:szCs w:val="21"/>
        </w:rPr>
      </w:pPr>
    </w:p>
    <w:p w14:paraId="1ABD1FF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rPr>
      </w:pPr>
      <w:r>
        <w:rPr>
          <w:rFonts w:hint="eastAsia" w:ascii="黑体" w:hAnsi="黑体" w:eastAsia="黑体" w:cs="黑体"/>
          <w:b w:val="0"/>
          <w:bCs w:val="0"/>
          <w:color w:val="000000"/>
          <w:sz w:val="21"/>
          <w:szCs w:val="21"/>
        </w:rPr>
        <w:t>8 生产卫生</w:t>
      </w:r>
    </w:p>
    <w:p w14:paraId="514F5CB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r>
        <w:rPr>
          <w:rFonts w:ascii="宋体" w:hAnsi="宋体" w:eastAsia="宋体" w:cs="宋体"/>
          <w:snapToGrid w:val="0"/>
          <w:color w:val="000000"/>
          <w:kern w:val="0"/>
          <w:sz w:val="21"/>
          <w:szCs w:val="21"/>
          <w:lang w:val="en-US" w:eastAsia="zh-CN" w:bidi="ar"/>
        </w:rPr>
        <w:t>产品生产全过程应符合 GB 14881 的规定，做好人员、设备、环境、物料的卫生管控，确保产品安全卫生。</w:t>
      </w:r>
    </w:p>
    <w:p w14:paraId="384E0CB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ascii="宋体" w:hAnsi="宋体" w:eastAsia="宋体" w:cs="宋体"/>
          <w:snapToGrid w:val="0"/>
          <w:color w:val="000000"/>
          <w:kern w:val="0"/>
          <w:sz w:val="21"/>
          <w:szCs w:val="21"/>
          <w:lang w:val="en-US" w:eastAsia="zh-CN" w:bidi="ar"/>
        </w:rPr>
      </w:pPr>
    </w:p>
    <w:p w14:paraId="0B87217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center"/>
        <w:textAlignment w:val="baseline"/>
        <w:rPr>
          <w:rFonts w:hint="eastAsia" w:ascii="黑体" w:hAnsi="黑体" w:eastAsia="黑体" w:cs="黑体"/>
          <w:b w:val="0"/>
          <w:bCs w:val="0"/>
          <w:snapToGrid w:val="0"/>
          <w:color w:val="000000"/>
          <w:kern w:val="0"/>
          <w:sz w:val="21"/>
          <w:szCs w:val="21"/>
          <w:lang w:val="en-US" w:eastAsia="zh-CN" w:bidi="ar"/>
        </w:rPr>
      </w:pPr>
      <w:r>
        <w:rPr>
          <w:rFonts w:hint="eastAsia" w:ascii="黑体" w:hAnsi="黑体" w:eastAsia="黑体" w:cs="黑体"/>
          <w:b w:val="0"/>
          <w:bCs w:val="0"/>
          <w:snapToGrid w:val="0"/>
          <w:color w:val="000000"/>
          <w:kern w:val="0"/>
          <w:sz w:val="21"/>
          <w:szCs w:val="21"/>
          <w:lang w:val="en-US" w:eastAsia="zh-CN" w:bidi="ar"/>
        </w:rPr>
        <w:t>附录 A（规范性） 活性成分测定方法</w:t>
      </w:r>
    </w:p>
    <w:p w14:paraId="154835C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A.1 总黄酮</w:t>
      </w:r>
    </w:p>
    <w:p w14:paraId="209AFF5E">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eastAsia" w:ascii="黑体" w:hAnsi="黑体" w:eastAsia="黑体" w:cs="黑体"/>
          <w:b w:val="0"/>
          <w:bCs w:val="0"/>
          <w:color w:val="000000"/>
          <w:sz w:val="21"/>
          <w:szCs w:val="21"/>
          <w:lang w:val="en-US" w:eastAsia="zh-CN"/>
        </w:rPr>
      </w:pPr>
      <w:r>
        <w:rPr>
          <w:rFonts w:hint="eastAsia" w:ascii="黑体" w:hAnsi="黑体" w:eastAsia="黑体" w:cs="黑体"/>
          <w:b w:val="0"/>
          <w:bCs w:val="0"/>
          <w:color w:val="000000"/>
          <w:sz w:val="21"/>
          <w:szCs w:val="21"/>
          <w:lang w:val="en-US" w:eastAsia="zh-CN"/>
        </w:rPr>
        <w:t>A.1.1 原理</w:t>
      </w:r>
    </w:p>
    <w:p w14:paraId="0A7DCF1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样品经乙醇提取后，黄酮类化合物与亚硝酸钠、硝酸铝、氢氧化钠显色，在 510 nm 处比色定量，以芦丁为对照品。</w:t>
      </w:r>
    </w:p>
    <w:p w14:paraId="0760DEE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default" w:ascii="黑体" w:hAnsi="黑体" w:eastAsia="黑体" w:cs="黑体"/>
          <w:b w:val="0"/>
          <w:bCs w:val="0"/>
          <w:color w:val="000000"/>
          <w:sz w:val="21"/>
          <w:szCs w:val="21"/>
          <w:lang w:val="en-US" w:eastAsia="zh-CN"/>
        </w:rPr>
      </w:pPr>
      <w:r>
        <w:rPr>
          <w:rFonts w:hint="default" w:ascii="黑体" w:hAnsi="黑体" w:eastAsia="黑体" w:cs="黑体"/>
          <w:b w:val="0"/>
          <w:bCs w:val="0"/>
          <w:color w:val="000000"/>
          <w:sz w:val="21"/>
          <w:szCs w:val="21"/>
          <w:lang w:val="en-US" w:eastAsia="zh-CN"/>
        </w:rPr>
        <w:t>A.1.2 试剂</w:t>
      </w:r>
    </w:p>
    <w:p w14:paraId="2937FF6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5% 亚硝酸钠溶液；10% 硝酸铝溶液；4% 氢氧化钠溶液；70% 乙醇；芦丁对照品（纯度≥98%）。</w:t>
      </w:r>
    </w:p>
    <w:p w14:paraId="399431F5">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default" w:ascii="黑体" w:hAnsi="黑体" w:eastAsia="黑体" w:cs="黑体"/>
          <w:b w:val="0"/>
          <w:bCs w:val="0"/>
          <w:color w:val="000000"/>
          <w:sz w:val="21"/>
          <w:szCs w:val="21"/>
          <w:lang w:val="en-US" w:eastAsia="zh-CN"/>
        </w:rPr>
      </w:pPr>
      <w:r>
        <w:rPr>
          <w:rFonts w:hint="default" w:ascii="黑体" w:hAnsi="黑体" w:eastAsia="黑体" w:cs="黑体"/>
          <w:b w:val="0"/>
          <w:bCs w:val="0"/>
          <w:color w:val="000000"/>
          <w:sz w:val="21"/>
          <w:szCs w:val="21"/>
          <w:lang w:val="en-US" w:eastAsia="zh-CN"/>
        </w:rPr>
        <w:t>A.1.3 测定步骤</w:t>
      </w:r>
    </w:p>
    <w:p w14:paraId="4D216FD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精密称取 0.1 g 样品，加 70% 乙醇 50 mL，超声 30 min，冷却定容至 100 mL，过滤得供试液。取 1 mL 供试液，加 5% 亚硝酸钠 0.3 mL，摇匀静置 6 min；加 10% 硝酸铝 0.3 mL，摇匀静置 6 min；加 4% 氢氧化钠 4 mL，加水定容至 10 mL，摇匀静置 15 min。于 510 nm 测定吸光度，用芦丁标准曲线计算含量。</w:t>
      </w:r>
    </w:p>
    <w:p w14:paraId="055F791B">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default" w:ascii="黑体" w:hAnsi="黑体" w:eastAsia="黑体" w:cs="黑体"/>
          <w:b w:val="0"/>
          <w:bCs w:val="0"/>
          <w:color w:val="000000"/>
          <w:sz w:val="21"/>
          <w:szCs w:val="21"/>
          <w:lang w:val="en-US" w:eastAsia="zh-CN"/>
        </w:rPr>
      </w:pPr>
      <w:r>
        <w:rPr>
          <w:rFonts w:hint="default" w:ascii="黑体" w:hAnsi="黑体" w:eastAsia="黑体" w:cs="黑体"/>
          <w:b w:val="0"/>
          <w:bCs w:val="0"/>
          <w:color w:val="000000"/>
          <w:sz w:val="21"/>
          <w:szCs w:val="21"/>
          <w:lang w:val="en-US" w:eastAsia="zh-CN"/>
        </w:rPr>
        <w:t>A.1.4 结果计算</w:t>
      </w:r>
    </w:p>
    <w:p w14:paraId="646BF1E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center"/>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总黄酮（%）=（C×V×D）/（m×1000）×100</w:t>
      </w:r>
    </w:p>
    <w:p w14:paraId="7C9B165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 xml:space="preserve">式中： </w:t>
      </w:r>
      <w:r>
        <w:rPr>
          <w:rFonts w:hint="eastAsia" w:ascii="宋体" w:hAnsi="宋体" w:eastAsia="宋体" w:cs="宋体"/>
          <w:b w:val="0"/>
          <w:bCs w:val="0"/>
          <w:snapToGrid w:val="0"/>
          <w:color w:val="000000"/>
          <w:kern w:val="0"/>
          <w:sz w:val="21"/>
          <w:szCs w:val="21"/>
          <w:lang w:val="en-US" w:eastAsia="zh-CN" w:bidi="ar"/>
        </w:rPr>
        <w:t xml:space="preserve"> </w:t>
      </w:r>
      <w:r>
        <w:rPr>
          <w:rFonts w:hint="default" w:ascii="宋体" w:hAnsi="宋体" w:eastAsia="宋体" w:cs="宋体"/>
          <w:b w:val="0"/>
          <w:bCs w:val="0"/>
          <w:snapToGrid w:val="0"/>
          <w:color w:val="000000"/>
          <w:kern w:val="0"/>
          <w:sz w:val="21"/>
          <w:szCs w:val="21"/>
          <w:lang w:val="en-US" w:eastAsia="zh-CN" w:bidi="ar"/>
        </w:rPr>
        <w:t>C—— 标准曲线查得浓度，mg/mL；</w:t>
      </w:r>
    </w:p>
    <w:p w14:paraId="32F373B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210" w:firstLineChars="1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 xml:space="preserve"> </w:t>
      </w:r>
      <w:r>
        <w:rPr>
          <w:rFonts w:hint="eastAsia" w:ascii="宋体" w:hAnsi="宋体" w:eastAsia="宋体" w:cs="宋体"/>
          <w:b w:val="0"/>
          <w:bCs w:val="0"/>
          <w:snapToGrid w:val="0"/>
          <w:color w:val="000000"/>
          <w:kern w:val="0"/>
          <w:sz w:val="21"/>
          <w:szCs w:val="21"/>
          <w:lang w:val="en-US" w:eastAsia="zh-CN" w:bidi="ar"/>
        </w:rPr>
        <w:t xml:space="preserve">         </w:t>
      </w:r>
      <w:r>
        <w:rPr>
          <w:rFonts w:hint="default" w:ascii="宋体" w:hAnsi="宋体" w:eastAsia="宋体" w:cs="宋体"/>
          <w:b w:val="0"/>
          <w:bCs w:val="0"/>
          <w:snapToGrid w:val="0"/>
          <w:color w:val="000000"/>
          <w:kern w:val="0"/>
          <w:sz w:val="21"/>
          <w:szCs w:val="21"/>
          <w:lang w:val="en-US" w:eastAsia="zh-CN" w:bidi="ar"/>
        </w:rPr>
        <w:t xml:space="preserve">V—— 供试液定容体积，mL； </w:t>
      </w:r>
    </w:p>
    <w:p w14:paraId="1B60C82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right="0" w:firstLine="1260" w:firstLineChars="6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D—— 稀释倍数；</w:t>
      </w:r>
    </w:p>
    <w:p w14:paraId="28BC0C8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right="0" w:firstLine="420" w:firstLineChars="2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 xml:space="preserve"> </w:t>
      </w:r>
      <w:r>
        <w:rPr>
          <w:rFonts w:hint="eastAsia" w:ascii="宋体" w:hAnsi="宋体" w:eastAsia="宋体" w:cs="宋体"/>
          <w:b w:val="0"/>
          <w:bCs w:val="0"/>
          <w:snapToGrid w:val="0"/>
          <w:color w:val="000000"/>
          <w:kern w:val="0"/>
          <w:sz w:val="21"/>
          <w:szCs w:val="21"/>
          <w:lang w:val="en-US" w:eastAsia="zh-CN" w:bidi="ar"/>
        </w:rPr>
        <w:t xml:space="preserve">       </w:t>
      </w:r>
      <w:r>
        <w:rPr>
          <w:rFonts w:hint="default" w:ascii="宋体" w:hAnsi="宋体" w:eastAsia="宋体" w:cs="宋体"/>
          <w:b w:val="0"/>
          <w:bCs w:val="0"/>
          <w:snapToGrid w:val="0"/>
          <w:color w:val="000000"/>
          <w:kern w:val="0"/>
          <w:sz w:val="21"/>
          <w:szCs w:val="21"/>
          <w:lang w:val="en-US" w:eastAsia="zh-CN" w:bidi="ar"/>
        </w:rPr>
        <w:t>m—— 样品质量，g。</w:t>
      </w:r>
    </w:p>
    <w:p w14:paraId="21A5456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default" w:ascii="黑体" w:hAnsi="黑体" w:eastAsia="黑体" w:cs="黑体"/>
          <w:b w:val="0"/>
          <w:bCs w:val="0"/>
          <w:color w:val="000000"/>
          <w:sz w:val="21"/>
          <w:szCs w:val="21"/>
          <w:lang w:val="en-US" w:eastAsia="zh-CN"/>
        </w:rPr>
      </w:pPr>
      <w:r>
        <w:rPr>
          <w:rFonts w:hint="default" w:ascii="黑体" w:hAnsi="黑体" w:eastAsia="黑体" w:cs="黑体"/>
          <w:b w:val="0"/>
          <w:bCs w:val="0"/>
          <w:color w:val="000000"/>
          <w:sz w:val="21"/>
          <w:szCs w:val="21"/>
          <w:lang w:val="en-US" w:eastAsia="zh-CN"/>
        </w:rPr>
        <w:t>A.2 总多糖</w:t>
      </w:r>
    </w:p>
    <w:p w14:paraId="6165566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default" w:ascii="黑体" w:hAnsi="黑体" w:eastAsia="黑体" w:cs="黑体"/>
          <w:b w:val="0"/>
          <w:bCs w:val="0"/>
          <w:color w:val="000000"/>
          <w:sz w:val="21"/>
          <w:szCs w:val="21"/>
          <w:lang w:val="en-US" w:eastAsia="zh-CN"/>
        </w:rPr>
      </w:pPr>
      <w:r>
        <w:rPr>
          <w:rFonts w:hint="default" w:ascii="黑体" w:hAnsi="黑体" w:eastAsia="黑体" w:cs="黑体"/>
          <w:b w:val="0"/>
          <w:bCs w:val="0"/>
          <w:color w:val="000000"/>
          <w:sz w:val="21"/>
          <w:szCs w:val="21"/>
          <w:lang w:val="en-US" w:eastAsia="zh-CN"/>
        </w:rPr>
        <w:t>A.2.1 原理</w:t>
      </w:r>
    </w:p>
    <w:p w14:paraId="48963C6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样品水提后，多糖与苯酚 - 硫酸显色，在 490 nm 处比色定量，以葡萄糖为对照品。</w:t>
      </w:r>
    </w:p>
    <w:p w14:paraId="56C4C81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default" w:ascii="黑体" w:hAnsi="黑体" w:eastAsia="黑体" w:cs="黑体"/>
          <w:b w:val="0"/>
          <w:bCs w:val="0"/>
          <w:color w:val="000000"/>
          <w:sz w:val="21"/>
          <w:szCs w:val="21"/>
          <w:lang w:val="en-US" w:eastAsia="zh-CN"/>
        </w:rPr>
      </w:pPr>
      <w:r>
        <w:rPr>
          <w:rFonts w:hint="default" w:ascii="黑体" w:hAnsi="黑体" w:eastAsia="黑体" w:cs="黑体"/>
          <w:b w:val="0"/>
          <w:bCs w:val="0"/>
          <w:color w:val="000000"/>
          <w:sz w:val="21"/>
          <w:szCs w:val="21"/>
          <w:lang w:val="en-US" w:eastAsia="zh-CN"/>
        </w:rPr>
        <w:t>A.2.2 试剂</w:t>
      </w:r>
    </w:p>
    <w:p w14:paraId="317F778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5% 苯酚溶液；浓硫酸；葡萄糖对照品（纯度≥98%）。</w:t>
      </w:r>
    </w:p>
    <w:p w14:paraId="03925FB9">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default" w:ascii="黑体" w:hAnsi="黑体" w:eastAsia="黑体" w:cs="黑体"/>
          <w:b w:val="0"/>
          <w:bCs w:val="0"/>
          <w:color w:val="000000"/>
          <w:sz w:val="21"/>
          <w:szCs w:val="21"/>
          <w:lang w:val="en-US" w:eastAsia="zh-CN"/>
        </w:rPr>
      </w:pPr>
      <w:r>
        <w:rPr>
          <w:rFonts w:hint="default" w:ascii="黑体" w:hAnsi="黑体" w:eastAsia="黑体" w:cs="黑体"/>
          <w:b w:val="0"/>
          <w:bCs w:val="0"/>
          <w:color w:val="000000"/>
          <w:sz w:val="21"/>
          <w:szCs w:val="21"/>
          <w:lang w:val="en-US" w:eastAsia="zh-CN"/>
        </w:rPr>
        <w:t>A.2.3 测定步骤</w:t>
      </w:r>
    </w:p>
    <w:p w14:paraId="34936F0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精密称取 0.1 g 样品，加水 50 mL，沸水浴 2 h，冷却定容至 100 mL，过滤得供试液。取 1 mL 供试液，加 5% 苯酚 1 mL，摇匀，迅速加浓硫酸 5 mL，摇匀，沸水浴 15 min，冷却至室温。于 490 nm 测定吸光度，用葡萄糖标准曲线计算含量。</w:t>
      </w:r>
    </w:p>
    <w:p w14:paraId="32E2DA9E">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default" w:ascii="黑体" w:hAnsi="黑体" w:eastAsia="黑体" w:cs="黑体"/>
          <w:b w:val="0"/>
          <w:bCs w:val="0"/>
          <w:color w:val="000000"/>
          <w:sz w:val="21"/>
          <w:szCs w:val="21"/>
          <w:lang w:val="en-US" w:eastAsia="zh-CN"/>
        </w:rPr>
      </w:pPr>
      <w:r>
        <w:rPr>
          <w:rFonts w:hint="default" w:ascii="黑体" w:hAnsi="黑体" w:eastAsia="黑体" w:cs="黑体"/>
          <w:b w:val="0"/>
          <w:bCs w:val="0"/>
          <w:color w:val="000000"/>
          <w:sz w:val="21"/>
          <w:szCs w:val="21"/>
          <w:lang w:val="en-US" w:eastAsia="zh-CN"/>
        </w:rPr>
        <w:t>A.2.4 结果计算</w:t>
      </w:r>
    </w:p>
    <w:p w14:paraId="794277C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center"/>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总多糖（%）=（C×V×D）/（m×1000）×100</w:t>
      </w:r>
    </w:p>
    <w:p w14:paraId="643B114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式中：</w:t>
      </w:r>
      <w:r>
        <w:rPr>
          <w:rFonts w:hint="eastAsia" w:ascii="宋体" w:hAnsi="宋体" w:eastAsia="宋体" w:cs="宋体"/>
          <w:b w:val="0"/>
          <w:bCs w:val="0"/>
          <w:snapToGrid w:val="0"/>
          <w:color w:val="000000"/>
          <w:kern w:val="0"/>
          <w:sz w:val="21"/>
          <w:szCs w:val="21"/>
          <w:lang w:val="en-US" w:eastAsia="zh-CN" w:bidi="ar"/>
        </w:rPr>
        <w:t xml:space="preserve"> </w:t>
      </w:r>
      <w:r>
        <w:rPr>
          <w:rFonts w:hint="default" w:ascii="宋体" w:hAnsi="宋体" w:eastAsia="宋体" w:cs="宋体"/>
          <w:b w:val="0"/>
          <w:bCs w:val="0"/>
          <w:snapToGrid w:val="0"/>
          <w:color w:val="000000"/>
          <w:kern w:val="0"/>
          <w:sz w:val="21"/>
          <w:szCs w:val="21"/>
          <w:lang w:val="en-US" w:eastAsia="zh-CN" w:bidi="ar"/>
        </w:rPr>
        <w:t xml:space="preserve"> C—— 标准曲线查得浓度，mg/mL； </w:t>
      </w:r>
    </w:p>
    <w:p w14:paraId="58C7103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1260" w:firstLineChars="6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 xml:space="preserve">V—— 供试液定容体积，mL； </w:t>
      </w:r>
    </w:p>
    <w:p w14:paraId="48ECE69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1260" w:firstLineChars="6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 xml:space="preserve">D—— 稀释倍数； </w:t>
      </w:r>
    </w:p>
    <w:p w14:paraId="297E0E2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1260" w:firstLineChars="6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m—— 样品质量，g。</w:t>
      </w:r>
    </w:p>
    <w:p w14:paraId="0AEF4F7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default" w:ascii="黑体" w:hAnsi="黑体" w:eastAsia="黑体" w:cs="黑体"/>
          <w:b w:val="0"/>
          <w:bCs w:val="0"/>
          <w:color w:val="000000"/>
          <w:sz w:val="21"/>
          <w:szCs w:val="21"/>
          <w:lang w:val="en-US" w:eastAsia="zh-CN"/>
        </w:rPr>
      </w:pPr>
      <w:r>
        <w:rPr>
          <w:rFonts w:hint="default" w:ascii="黑体" w:hAnsi="黑体" w:eastAsia="黑体" w:cs="黑体"/>
          <w:b w:val="0"/>
          <w:bCs w:val="0"/>
          <w:color w:val="000000"/>
          <w:sz w:val="21"/>
          <w:szCs w:val="21"/>
          <w:lang w:val="en-US" w:eastAsia="zh-CN"/>
        </w:rPr>
        <w:t>A.3 总皂苷</w:t>
      </w:r>
    </w:p>
    <w:p w14:paraId="78B1A30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default" w:ascii="黑体" w:hAnsi="黑体" w:eastAsia="黑体" w:cs="黑体"/>
          <w:b w:val="0"/>
          <w:bCs w:val="0"/>
          <w:color w:val="000000"/>
          <w:sz w:val="21"/>
          <w:szCs w:val="21"/>
          <w:lang w:val="en-US" w:eastAsia="zh-CN"/>
        </w:rPr>
      </w:pPr>
      <w:r>
        <w:rPr>
          <w:rFonts w:hint="default" w:ascii="黑体" w:hAnsi="黑体" w:eastAsia="黑体" w:cs="黑体"/>
          <w:b w:val="0"/>
          <w:bCs w:val="0"/>
          <w:color w:val="000000"/>
          <w:sz w:val="21"/>
          <w:szCs w:val="21"/>
          <w:lang w:val="en-US" w:eastAsia="zh-CN"/>
        </w:rPr>
        <w:t>A.3.1 原理</w:t>
      </w:r>
    </w:p>
    <w:p w14:paraId="4F4A6D4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样品经乙醇提取、正丁醇萃取后，皂苷与香草醛 - 高氯酸显色，在 540 nm 处比色定量，以人参皂苷 Rg1 为对照品。</w:t>
      </w:r>
    </w:p>
    <w:p w14:paraId="6B797BC7">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default" w:ascii="黑体" w:hAnsi="黑体" w:eastAsia="黑体" w:cs="黑体"/>
          <w:b w:val="0"/>
          <w:bCs w:val="0"/>
          <w:color w:val="000000"/>
          <w:sz w:val="21"/>
          <w:szCs w:val="21"/>
          <w:lang w:val="en-US" w:eastAsia="zh-CN"/>
        </w:rPr>
      </w:pPr>
      <w:r>
        <w:rPr>
          <w:rFonts w:hint="default" w:ascii="黑体" w:hAnsi="黑体" w:eastAsia="黑体" w:cs="黑体"/>
          <w:b w:val="0"/>
          <w:bCs w:val="0"/>
          <w:color w:val="000000"/>
          <w:sz w:val="21"/>
          <w:szCs w:val="21"/>
          <w:lang w:val="en-US" w:eastAsia="zh-CN"/>
        </w:rPr>
        <w:t>A.3.2 试剂</w:t>
      </w:r>
    </w:p>
    <w:p w14:paraId="21782E3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5% 香草醛冰醋酸溶液；高氯酸；冰醋酸；70% 乙醇；水饱和正丁醇；人参皂苷 Rg1 对照品（纯度≥98%）。</w:t>
      </w:r>
    </w:p>
    <w:p w14:paraId="0986BA57">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default" w:ascii="黑体" w:hAnsi="黑体" w:eastAsia="黑体" w:cs="黑体"/>
          <w:b w:val="0"/>
          <w:bCs w:val="0"/>
          <w:color w:val="000000"/>
          <w:sz w:val="21"/>
          <w:szCs w:val="21"/>
          <w:lang w:val="en-US" w:eastAsia="zh-CN"/>
        </w:rPr>
      </w:pPr>
      <w:r>
        <w:rPr>
          <w:rFonts w:hint="default" w:ascii="黑体" w:hAnsi="黑体" w:eastAsia="黑体" w:cs="黑体"/>
          <w:b w:val="0"/>
          <w:bCs w:val="0"/>
          <w:color w:val="000000"/>
          <w:sz w:val="21"/>
          <w:szCs w:val="21"/>
          <w:lang w:val="en-US" w:eastAsia="zh-CN"/>
        </w:rPr>
        <w:t>A.3.3 测定步骤</w:t>
      </w:r>
    </w:p>
    <w:p w14:paraId="76C7E69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精密称取 0.2 g 样品，加 70% 乙醇 50 mL，回流 1 h，过滤，滤液蒸干，残渣加水 20 mL 溶解，水饱和正丁醇萃取 3 次，合并正丁醇液，蒸干，残渣加甲醇定容至 10 mL，作为供试液。取 0.2 mL 供试液，水浴挥干，加 5% 香草醛冰醋酸 0.2 mL、高氯酸 0.8 mL，摇匀，60℃水浴 15 min，冰浴冷却，加冰醋酸 5 mL，摇匀。于 540 nm 测定吸光度，用人参皂苷 Rg1 标准曲线计算含量。</w:t>
      </w:r>
    </w:p>
    <w:p w14:paraId="1F8EE9CD">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textAlignment w:val="baseline"/>
        <w:rPr>
          <w:rFonts w:hint="default" w:ascii="黑体" w:hAnsi="黑体" w:eastAsia="黑体" w:cs="黑体"/>
          <w:b w:val="0"/>
          <w:bCs w:val="0"/>
          <w:color w:val="000000"/>
          <w:sz w:val="21"/>
          <w:szCs w:val="21"/>
          <w:lang w:val="en-US" w:eastAsia="zh-CN"/>
        </w:rPr>
      </w:pPr>
      <w:r>
        <w:rPr>
          <w:rFonts w:hint="default" w:ascii="黑体" w:hAnsi="黑体" w:eastAsia="黑体" w:cs="黑体"/>
          <w:b w:val="0"/>
          <w:bCs w:val="0"/>
          <w:color w:val="000000"/>
          <w:sz w:val="21"/>
          <w:szCs w:val="21"/>
          <w:lang w:val="en-US" w:eastAsia="zh-CN"/>
        </w:rPr>
        <w:t>A.3.4 结果计算</w:t>
      </w:r>
    </w:p>
    <w:p w14:paraId="0536FA0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right="0"/>
        <w:jc w:val="center"/>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总皂苷（%）=（C×V×D）/（m×1000）×100</w:t>
      </w:r>
    </w:p>
    <w:p w14:paraId="5047E25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right="0" w:firstLine="420" w:firstLineChars="2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式中：</w:t>
      </w:r>
      <w:r>
        <w:rPr>
          <w:rFonts w:hint="eastAsia" w:ascii="宋体" w:hAnsi="宋体" w:eastAsia="宋体" w:cs="宋体"/>
          <w:b w:val="0"/>
          <w:bCs w:val="0"/>
          <w:snapToGrid w:val="0"/>
          <w:color w:val="000000"/>
          <w:kern w:val="0"/>
          <w:sz w:val="21"/>
          <w:szCs w:val="21"/>
          <w:lang w:val="en-US" w:eastAsia="zh-CN" w:bidi="ar"/>
        </w:rPr>
        <w:t xml:space="preserve"> </w:t>
      </w:r>
      <w:r>
        <w:rPr>
          <w:rFonts w:hint="default" w:ascii="宋体" w:hAnsi="宋体" w:eastAsia="宋体" w:cs="宋体"/>
          <w:b w:val="0"/>
          <w:bCs w:val="0"/>
          <w:snapToGrid w:val="0"/>
          <w:color w:val="000000"/>
          <w:kern w:val="0"/>
          <w:sz w:val="21"/>
          <w:szCs w:val="21"/>
          <w:lang w:val="en-US" w:eastAsia="zh-CN" w:bidi="ar"/>
        </w:rPr>
        <w:t xml:space="preserve"> C—— 标准曲线查得浓度，mg/mL； </w:t>
      </w:r>
    </w:p>
    <w:p w14:paraId="11A9F01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right="0" w:firstLine="1260" w:firstLineChars="6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V—— 供试液定容体积，mL；</w:t>
      </w:r>
    </w:p>
    <w:p w14:paraId="32B8DBC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right="0" w:firstLine="1260" w:firstLineChars="6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 xml:space="preserve">D—— 稀释倍数； </w:t>
      </w:r>
    </w:p>
    <w:p w14:paraId="64A500C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right="0" w:firstLine="1260" w:firstLineChars="600"/>
        <w:jc w:val="left"/>
        <w:textAlignment w:val="baseline"/>
        <w:rPr>
          <w:rFonts w:hint="default" w:ascii="宋体" w:hAnsi="宋体" w:eastAsia="宋体" w:cs="宋体"/>
          <w:b w:val="0"/>
          <w:bCs w:val="0"/>
          <w:snapToGrid w:val="0"/>
          <w:color w:val="000000"/>
          <w:kern w:val="0"/>
          <w:sz w:val="21"/>
          <w:szCs w:val="21"/>
          <w:lang w:val="en-US" w:eastAsia="zh-CN" w:bidi="ar"/>
        </w:rPr>
      </w:pPr>
      <w:r>
        <w:rPr>
          <w:rFonts w:hint="default" w:ascii="宋体" w:hAnsi="宋体" w:eastAsia="宋体" w:cs="宋体"/>
          <w:b w:val="0"/>
          <w:bCs w:val="0"/>
          <w:snapToGrid w:val="0"/>
          <w:color w:val="000000"/>
          <w:kern w:val="0"/>
          <w:sz w:val="21"/>
          <w:szCs w:val="21"/>
          <w:lang w:val="en-US" w:eastAsia="zh-CN" w:bidi="ar"/>
        </w:rPr>
        <w:t>m—— 样品质量，g。</w:t>
      </w:r>
      <w:bookmarkStart w:id="2" w:name="_GoBack"/>
      <w:bookmarkEnd w:id="2"/>
    </w:p>
    <w:p w14:paraId="78CDEEA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0" w:beforeAutospacing="0" w:after="0" w:afterAutospacing="0" w:line="360" w:lineRule="auto"/>
        <w:ind w:left="0" w:right="0"/>
        <w:jc w:val="left"/>
        <w:textAlignment w:val="baseline"/>
        <w:rPr>
          <w:rFonts w:ascii="宋体" w:hAnsi="宋体" w:eastAsia="宋体" w:cs="宋体"/>
          <w:snapToGrid w:val="0"/>
          <w:color w:val="000000"/>
          <w:kern w:val="0"/>
          <w:sz w:val="20"/>
          <w:szCs w:val="20"/>
          <w:lang w:val="en-US" w:eastAsia="zh-CN" w:bidi="ar"/>
        </w:rPr>
      </w:pPr>
      <w:r>
        <w:rPr>
          <w:rFonts w:ascii="宋体" w:hAnsi="宋体" w:eastAsia="宋体" w:cs="宋体"/>
          <w:snapToGrid w:val="0"/>
          <w:color w:val="000000"/>
          <w:kern w:val="0"/>
          <w:sz w:val="20"/>
          <w:szCs w:val="20"/>
          <w:lang w:val="en-US" w:eastAsia="zh-CN" w:bidi="ar"/>
        </w:rPr>
        <mc:AlternateContent>
          <mc:Choice Requires="wps">
            <w:drawing>
              <wp:anchor distT="0" distB="0" distL="114300" distR="114300" simplePos="0" relativeHeight="251662336" behindDoc="0" locked="0" layoutInCell="1" allowOverlap="1">
                <wp:simplePos x="0" y="0"/>
                <wp:positionH relativeFrom="column">
                  <wp:posOffset>1819275</wp:posOffset>
                </wp:positionH>
                <wp:positionV relativeFrom="paragraph">
                  <wp:posOffset>175260</wp:posOffset>
                </wp:positionV>
                <wp:extent cx="2303780" cy="8890"/>
                <wp:effectExtent l="0" t="4445" r="7620" b="5715"/>
                <wp:wrapNone/>
                <wp:docPr id="1" name="直接连接符 1"/>
                <wp:cNvGraphicFramePr/>
                <a:graphic xmlns:a="http://schemas.openxmlformats.org/drawingml/2006/main">
                  <a:graphicData uri="http://schemas.microsoft.com/office/word/2010/wordprocessingShape">
                    <wps:wsp>
                      <wps:cNvCnPr/>
                      <wps:spPr>
                        <a:xfrm flipV="1">
                          <a:off x="2812415" y="9185275"/>
                          <a:ext cx="2303780" cy="8890"/>
                        </a:xfrm>
                        <a:prstGeom prst="line">
                          <a:avLst/>
                        </a:prstGeom>
                        <a:ln w="635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flip:y;margin-left:143.25pt;margin-top:13.8pt;height:0.7pt;width:181.4pt;z-index:251662336;mso-width-relative:page;mso-height-relative:page;" filled="f" stroked="t" coordsize="21600,21600" o:gfxdata="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HK7JKnaAAAACQEAAA8AAAAAAAAAAQAgAAAAIgAAAGRycy9kb3ducmV2LnhtbFBLAQIU&#10;ABQAAAAIAIdO4kCYuC2w8QEAALMDAAAOAAAAAAAAAAEAIAAAACkBAABkcnMvZTJvRG9jLnhtbFBL&#10;BQYAAAAABgAGAFkBAACMBQAAAAA=&#10;">
                <v:fill on="f" focussize="0,0"/>
                <v:stroke weight="0.5pt" color="#000000 [3213]" joinstyle="round"/>
                <v:imagedata o:title=""/>
                <o:lock v:ext="edit" aspectratio="f"/>
              </v:line>
            </w:pict>
          </mc:Fallback>
        </mc:AlternateContent>
      </w:r>
    </w:p>
    <w:sectPr>
      <w:headerReference r:id="rId8" w:type="default"/>
      <w:footerReference r:id="rId9" w:type="default"/>
      <w:pgSz w:w="11906" w:h="16839"/>
      <w:pgMar w:top="1715" w:right="1127" w:bottom="1337" w:left="1420" w:header="1393" w:footer="1062" w:gutter="0"/>
      <w:pgBorders>
        <w:top w:val="none" w:sz="0" w:space="0"/>
        <w:left w:val="none" w:sz="0" w:space="0"/>
        <w:bottom w:val="none" w:sz="0" w:space="0"/>
        <w:right w:val="none" w:sz="0" w:space="0"/>
      </w:pgBorders>
      <w:pgNumType w:fmt="decimal"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auto"/>
    <w:pitch w:val="default"/>
    <w:sig w:usb0="800002BF" w:usb1="38CF7CFA" w:usb2="00000016" w:usb3="00000000" w:csb0="00040001" w:csb1="00000000"/>
  </w:font>
  <w:font w:name="Verdana">
    <w:panose1 w:val="020B0604030504040204"/>
    <w:charset w:val="00"/>
    <w:family w:val="auto"/>
    <w:pitch w:val="default"/>
    <w:sig w:usb0="A0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D85FDD">
    <w:pPr>
      <w:pStyle w:val="5"/>
      <w:spacing w:line="264" w:lineRule="exact"/>
      <w:ind w:left="9055"/>
      <w:rPr>
        <w:sz w:val="20"/>
        <w:szCs w:val="20"/>
      </w:rPr>
    </w:pPr>
    <w:r>
      <w:rPr>
        <w:position w:val="1"/>
        <w:sz w:val="20"/>
        <w:szCs w:val="20"/>
      </w:rPr>
      <w:t>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B76C01">
    <w:pPr>
      <w:pStyle w:val="5"/>
      <w:spacing w:line="264" w:lineRule="exact"/>
      <w:ind w:left="273"/>
      <w:rPr>
        <w:sz w:val="20"/>
        <w:szCs w:val="20"/>
      </w:rPr>
    </w:pPr>
    <w:r>
      <w:rPr>
        <w:spacing w:val="-16"/>
        <w:position w:val="1"/>
        <w:sz w:val="20"/>
        <w:szCs w:val="20"/>
      </w:rPr>
      <w:t>II</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724FB3">
    <w:pPr>
      <w:pStyle w:val="5"/>
      <w:spacing w:line="264" w:lineRule="exact"/>
      <w:ind w:left="9028"/>
      <w:rPr>
        <w:rFonts w:hint="eastAsia" w:eastAsia="黑体"/>
        <w:sz w:val="20"/>
        <w:szCs w:val="20"/>
        <w:lang w:eastAsia="zh-CN"/>
      </w:rPr>
    </w:pPr>
    <w:r>
      <w:rPr>
        <w:sz w:val="20"/>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5FD24E">
                          <w:pPr>
                            <w:pStyle w:val="6"/>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365FD24E">
                    <w:pPr>
                      <w:pStyle w:val="6"/>
                    </w:pPr>
                    <w:r>
                      <w:fldChar w:fldCharType="begin"/>
                    </w:r>
                    <w:r>
                      <w:instrText xml:space="preserve"> PAGE  \* MERGEFORMAT </w:instrText>
                    </w:r>
                    <w:r>
                      <w:fldChar w:fldCharType="separate"/>
                    </w:r>
                    <w:r>
                      <w:t>4</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552BC">
    <w:pPr>
      <w:spacing w:line="14" w:lineRule="auto"/>
      <w:rPr>
        <w:rFonts w:ascii="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28C78C">
    <w:pPr>
      <w:pStyle w:val="5"/>
      <w:spacing w:before="54" w:line="237" w:lineRule="auto"/>
      <w:ind w:right="6"/>
      <w:jc w:val="right"/>
      <w:rPr>
        <w:sz w:val="20"/>
        <w:szCs w:val="20"/>
      </w:rPr>
    </w:pPr>
    <w:r>
      <w:rPr>
        <w:spacing w:val="6"/>
        <w:sz w:val="20"/>
        <w:szCs w:val="20"/>
      </w:rPr>
      <w:t>T/</w:t>
    </w:r>
    <w:r>
      <w:rPr>
        <w:sz w:val="20"/>
        <w:szCs w:val="20"/>
      </w:rPr>
      <w:t>JGE</w:t>
    </w:r>
    <w:r>
      <w:rPr>
        <w:spacing w:val="6"/>
        <w:sz w:val="20"/>
        <w:szCs w:val="20"/>
      </w:rPr>
      <w:t xml:space="preserve"> 0017—2022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000000"/>
    <w:rsid w:val="08003848"/>
    <w:rsid w:val="15EC4C6B"/>
    <w:rsid w:val="22B77D79"/>
    <w:rsid w:val="25987F14"/>
    <w:rsid w:val="4C905EF9"/>
    <w:rsid w:val="567E21CC"/>
    <w:rsid w:val="5B7B0CA8"/>
    <w:rsid w:val="75DC441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w:basedOn w:val="1"/>
    <w:semiHidden/>
    <w:qFormat/>
    <w:uiPriority w:val="0"/>
    <w:rPr>
      <w:rFonts w:ascii="黑体" w:hAnsi="黑体" w:eastAsia="黑体" w:cs="黑体"/>
      <w:sz w:val="28"/>
      <w:szCs w:val="28"/>
      <w:lang w:val="en-US" w:eastAsia="en-US" w:bidi="ar-SA"/>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table" w:customStyle="1" w:styleId="13">
    <w:name w:val="Table Normal"/>
    <w:semiHidden/>
    <w:unhideWhenUsed/>
    <w:qFormat/>
    <w:uiPriority w:val="0"/>
    <w:tblPr>
      <w:tblCellMar>
        <w:top w:w="0" w:type="dxa"/>
        <w:left w:w="0" w:type="dxa"/>
        <w:bottom w:w="0" w:type="dxa"/>
        <w:right w:w="0" w:type="dxa"/>
      </w:tblCellMar>
    </w:tblPr>
  </w:style>
  <w:style w:type="paragraph" w:customStyle="1" w:styleId="14">
    <w:name w:val="Table Text"/>
    <w:basedOn w:val="1"/>
    <w:semiHidden/>
    <w:qFormat/>
    <w:uiPriority w:val="0"/>
    <w:rPr>
      <w:rFonts w:ascii="宋体" w:hAnsi="宋体" w:eastAsia="宋体" w:cs="宋体"/>
      <w:sz w:val="18"/>
      <w:szCs w:val="18"/>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2.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Pages>
  <Words>3501</Words>
  <Characters>4299</Characters>
  <TotalTime>20</TotalTime>
  <ScaleCrop>false</ScaleCrop>
  <LinksUpToDate>false</LinksUpToDate>
  <CharactersWithSpaces>4775</CharactersWithSpaces>
  <Application>WPS Office_12.1.0.26895_F1E327BC-269C-435d-A152-05C5408002CA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2022-03-14T14:28:00Z</dcterms:created>
  <dc:creator>陈亚茹</dc:creator>
  <cp:lastModifiedBy>香香</cp:lastModifiedBy>
  <dcterms:modified xsi:type="dcterms:W3CDTF">2026-06-15T02:32:22Z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2026-05-26T11:38:15Z</vt:filetime>
  </property>
  <property fmtid="{D5CDD505-2E9C-101B-9397-08002B2CF9AE}" pid="4" name="KSOTemplateDocerSaveRecord">
    <vt:lpwstr>eyJoZGlkIjoiMzEwNTM5NzYwMDRjMzkwZTVkZjY2ODkwMGIxNGU0OTUiLCJ1c2VySWQiOiIzMDMxMTA5MDUifQ==</vt:lpwstr>
  </property>
  <property fmtid="{D5CDD505-2E9C-101B-9397-08002B2CF9AE}" pid="5" name="KSOProductBuildVer">
    <vt:lpwstr>2052-12.1.0.26895</vt:lpwstr>
  </property>
  <property fmtid="{D5CDD505-2E9C-101B-9397-08002B2CF9AE}" pid="6" name="ICV">
    <vt:lpwstr>BA0E683895E24A60A5D162AE2B7B3F3D_12</vt:lpwstr>
  </property>
</Properties>
</file>