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3BBAE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4CAE393">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668948CE">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hint="eastAsia" w:ascii="黑体" w:hAnsi="黑体" w:eastAsia="黑体"/>
                <w:sz w:val="21"/>
                <w:szCs w:val="21"/>
              </w:rPr>
              <w:fldChar w:fldCharType="begin">
                <w:ffData>
                  <w:name w:val="ICS"/>
                  <w:enabled/>
                  <w:calcOnExit w:val="0"/>
                  <w:textInput>
                    <w:default w:val="01.120"/>
                  </w:textInput>
                </w:ffData>
              </w:fldChar>
            </w:r>
            <w:bookmarkStart w:id="0" w:name="ICS"/>
            <w:r>
              <w:rPr>
                <w:rFonts w:hint="eastAsia" w:ascii="黑体" w:hAnsi="黑体" w:eastAsia="黑体"/>
                <w:sz w:val="21"/>
                <w:szCs w:val="21"/>
              </w:rPr>
              <w:instrText xml:space="preserve"> </w:instrText>
            </w:r>
            <w:r>
              <w:rPr>
                <w:rFonts w:ascii="黑体" w:hAnsi="黑体" w:eastAsia="黑体"/>
                <w:sz w:val="21"/>
                <w:szCs w:val="21"/>
              </w:rPr>
              <w:instrText xml:space="preserve">FORMTEXT</w:instrText>
            </w:r>
            <w:r>
              <w:rPr>
                <w:rFonts w:hint="eastAsia" w:ascii="黑体" w:hAnsi="黑体" w:eastAsia="黑体"/>
                <w:sz w:val="21"/>
                <w:szCs w:val="21"/>
              </w:rPr>
              <w:instrText xml:space="preserve"> </w:instrText>
            </w:r>
            <w:r>
              <w:rPr>
                <w:rFonts w:hint="eastAsia" w:ascii="黑体" w:hAnsi="黑体" w:eastAsia="黑体"/>
                <w:sz w:val="21"/>
                <w:szCs w:val="21"/>
              </w:rPr>
              <w:fldChar w:fldCharType="separate"/>
            </w:r>
            <w:r>
              <w:rPr>
                <w:rFonts w:hint="eastAsia" w:ascii="黑体" w:hAnsi="黑体" w:eastAsia="黑体"/>
                <w:sz w:val="21"/>
                <w:szCs w:val="21"/>
              </w:rPr>
              <w:t>01.120</w:t>
            </w:r>
            <w:r>
              <w:rPr>
                <w:rFonts w:hint="eastAsia" w:ascii="黑体" w:hAnsi="黑体" w:eastAsia="黑体"/>
                <w:sz w:val="21"/>
                <w:szCs w:val="21"/>
              </w:rPr>
              <w:fldChar w:fldCharType="end"/>
            </w:r>
            <w:bookmarkEnd w:id="0"/>
          </w:p>
        </w:tc>
      </w:tr>
      <w:tr w14:paraId="7C7266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0D696615">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3A48FD4D">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1F7DDB0B">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default w:val="GCB"/>
                          <w:maxLength w:val="7"/>
                        </w:textInput>
                      </w:ffData>
                    </w:fldChar>
                  </w:r>
                  <w:bookmarkStart w:id="1" w:name="c1"/>
                  <w:r>
                    <w:instrText xml:space="preserve"> FORMTEXT </w:instrText>
                  </w:r>
                  <w:r>
                    <w:fldChar w:fldCharType="separate"/>
                  </w:r>
                  <w:r>
                    <w:rPr>
                      <w:rFonts w:hint="eastAsia"/>
                      <w:lang w:val="en-US" w:eastAsia="zh-CN"/>
                    </w:rPr>
                    <w:t>GBC</w:t>
                  </w:r>
                  <w:r>
                    <w:fldChar w:fldCharType="end"/>
                  </w:r>
                  <w:bookmarkEnd w:id="1"/>
                </w:p>
              </w:tc>
            </w:tr>
          </w:tbl>
          <w:p w14:paraId="1D2A57AE">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hint="eastAsia" w:ascii="黑体" w:hAnsi="黑体" w:eastAsia="黑体"/>
                <w:sz w:val="21"/>
                <w:szCs w:val="21"/>
              </w:rPr>
              <w:fldChar w:fldCharType="begin">
                <w:ffData>
                  <w:name w:val="CSDN"/>
                  <w:enabled/>
                  <w:calcOnExit w:val="0"/>
                  <w:textInput>
                    <w:default w:val="Z00"/>
                  </w:textInput>
                </w:ffData>
              </w:fldChar>
            </w:r>
            <w:bookmarkStart w:id="2" w:name="CSDN"/>
            <w:r>
              <w:rPr>
                <w:rFonts w:hint="eastAsia" w:ascii="黑体" w:hAnsi="黑体" w:eastAsia="黑体"/>
                <w:sz w:val="21"/>
                <w:szCs w:val="21"/>
              </w:rPr>
              <w:instrText xml:space="preserve"> FORMTEXT </w:instrText>
            </w:r>
            <w:r>
              <w:rPr>
                <w:rFonts w:hint="eastAsia" w:ascii="黑体" w:hAnsi="黑体" w:eastAsia="黑体"/>
                <w:sz w:val="21"/>
                <w:szCs w:val="21"/>
              </w:rPr>
              <w:fldChar w:fldCharType="separate"/>
            </w:r>
            <w:r>
              <w:rPr>
                <w:rFonts w:hint="eastAsia" w:ascii="黑体" w:hAnsi="黑体" w:eastAsia="黑体"/>
                <w:sz w:val="21"/>
                <w:szCs w:val="21"/>
              </w:rPr>
              <w:t>Z00</w:t>
            </w:r>
            <w:r>
              <w:rPr>
                <w:rFonts w:hint="eastAsia" w:ascii="黑体" w:hAnsi="黑体" w:eastAsia="黑体"/>
                <w:sz w:val="21"/>
                <w:szCs w:val="21"/>
              </w:rPr>
              <w:fldChar w:fldCharType="end"/>
            </w:r>
            <w:bookmarkEnd w:id="2"/>
          </w:p>
        </w:tc>
      </w:tr>
    </w:tbl>
    <w:p w14:paraId="4BD26655">
      <w:pPr>
        <w:pStyle w:val="50"/>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default w:val="广西物品编码与标准化促进会"/>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广西物品编码与标准化促进会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61ACA936">
      <w:pPr>
        <w:pStyle w:val="195"/>
      </w:pPr>
      <w:r>
        <w:t>T/</w:t>
      </w:r>
      <w:r>
        <w:fldChar w:fldCharType="begin">
          <w:ffData>
            <w:name w:val="文字1"/>
            <w:enabled/>
            <w:calcOnExit w:val="0"/>
            <w:textInput>
              <w:default w:val="GCB"/>
            </w:textInput>
          </w:ffData>
        </w:fldChar>
      </w:r>
      <w:bookmarkStart w:id="5" w:name="文字1"/>
      <w:r>
        <w:instrText xml:space="preserve"> FORMTEXT </w:instrText>
      </w:r>
      <w:r>
        <w:fldChar w:fldCharType="separate"/>
      </w:r>
      <w:r>
        <w:t>GCB</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2026"/>
            </w:textInput>
          </w:ffData>
        </w:fldChar>
      </w:r>
      <w:bookmarkStart w:id="7" w:name="NSTD_CODE_B"/>
      <w:r>
        <w:instrText xml:space="preserve"> FORMTEXT </w:instrText>
      </w:r>
      <w:r>
        <w:fldChar w:fldCharType="separate"/>
      </w:r>
      <w:r>
        <w:t>2026</w:t>
      </w:r>
      <w:r>
        <w:fldChar w:fldCharType="end"/>
      </w:r>
      <w:bookmarkEnd w:id="7"/>
    </w:p>
    <w:p w14:paraId="37E470C2">
      <w:pPr>
        <w:pStyle w:val="196"/>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1C68AC8">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48C6FF5C">
      <w:pPr>
        <w:pStyle w:val="50"/>
        <w:framePr w:w="9639" w:h="6976" w:hRule="exact" w:hSpace="0" w:vSpace="0" w:wrap="around" w:hAnchor="page" w:y="6408"/>
        <w:jc w:val="center"/>
        <w:rPr>
          <w:rFonts w:hint="eastAsia" w:ascii="黑体" w:hAnsi="黑体" w:eastAsia="黑体"/>
          <w:b w:val="0"/>
          <w:bCs w:val="0"/>
          <w:w w:val="100"/>
        </w:rPr>
      </w:pPr>
    </w:p>
    <w:p w14:paraId="153F4B0F">
      <w:pPr>
        <w:pStyle w:val="197"/>
        <w:framePr w:h="6974" w:hRule="exact" w:wrap="around" w:x="1419" w:anchorLock="1"/>
        <w:rPr>
          <w:rFonts w:hint="eastAsia"/>
        </w:rPr>
      </w:pPr>
      <w:r>
        <w:rPr>
          <w:rFonts w:hint="eastAsia"/>
        </w:rPr>
        <w:fldChar w:fldCharType="begin">
          <w:ffData>
            <w:name w:val="CSTD_NAME"/>
            <w:enabled/>
            <w:calcOnExit w:val="0"/>
            <w:textInput>
              <w:default w:val="生态环境研学课程设计指南"/>
            </w:textInput>
          </w:ffData>
        </w:fldChar>
      </w:r>
      <w:bookmarkStart w:id="9" w:name="CSTD_NAME"/>
      <w:r>
        <w:rPr>
          <w:rFonts w:hint="eastAsia"/>
        </w:rPr>
        <w:instrText xml:space="preserve"> FORMTEXT </w:instrText>
      </w:r>
      <w:r>
        <w:rPr>
          <w:rFonts w:hint="eastAsia"/>
        </w:rPr>
        <w:fldChar w:fldCharType="separate"/>
      </w:r>
      <w:bookmarkStart w:id="78" w:name="_GoBack"/>
      <w:bookmarkEnd w:id="78"/>
      <w:r>
        <w:rPr>
          <w:rFonts w:hint="eastAsia"/>
        </w:rPr>
        <w:t>生态环境科普研学课程设计指南</w:t>
      </w:r>
      <w:r>
        <w:rPr>
          <w:rFonts w:hint="eastAsia"/>
        </w:rPr>
        <w:fldChar w:fldCharType="end"/>
      </w:r>
      <w:bookmarkEnd w:id="9"/>
    </w:p>
    <w:p w14:paraId="382F41BC">
      <w:pPr>
        <w:framePr w:w="9639" w:h="6974" w:hRule="exact" w:wrap="around" w:vAnchor="page" w:hAnchor="page" w:x="1419" w:y="6408" w:anchorLock="1"/>
        <w:ind w:left="-1418"/>
      </w:pPr>
    </w:p>
    <w:p w14:paraId="07F9A77C">
      <w:pPr>
        <w:pStyle w:val="125"/>
        <w:framePr w:w="9639" w:h="6974" w:hRule="exact" w:wrap="around" w:vAnchor="page" w:hAnchor="page" w:x="1419" w:y="6408" w:anchorLock="1"/>
        <w:textAlignment w:val="bottom"/>
        <w:rPr>
          <w:rFonts w:hint="eastAsia" w:ascii="黑体" w:hAnsi="黑体" w:eastAsia="黑体"/>
          <w:szCs w:val="28"/>
        </w:rPr>
      </w:pPr>
      <w:r>
        <w:rPr>
          <w:rFonts w:hint="eastAsia" w:ascii="黑体" w:hAnsi="黑体" w:eastAsia="黑体"/>
          <w:szCs w:val="28"/>
        </w:rPr>
        <w:fldChar w:fldCharType="begin">
          <w:ffData>
            <w:name w:val="ESTD_NAME"/>
            <w:enabled/>
            <w:calcOnExit w:val="0"/>
            <w:textInput>
              <w:default w:val="Guidelines for designing the educational tourism couses on ecological environment science popularization"/>
            </w:textInput>
          </w:ffData>
        </w:fldChar>
      </w:r>
      <w:bookmarkStart w:id="10" w:name="ESTD_NAME"/>
      <w:r>
        <w:rPr>
          <w:rFonts w:hint="eastAsia" w:ascii="黑体" w:hAnsi="黑体" w:eastAsia="黑体"/>
          <w:szCs w:val="28"/>
        </w:rPr>
        <w:instrText xml:space="preserve"> FORMTEXT </w:instrText>
      </w:r>
      <w:r>
        <w:rPr>
          <w:rFonts w:hint="eastAsia" w:ascii="黑体" w:hAnsi="黑体" w:eastAsia="黑体"/>
          <w:szCs w:val="28"/>
        </w:rPr>
        <w:fldChar w:fldCharType="separate"/>
      </w:r>
      <w:r>
        <w:rPr>
          <w:rFonts w:hint="eastAsia" w:ascii="黑体" w:hAnsi="黑体" w:eastAsia="黑体"/>
          <w:szCs w:val="28"/>
        </w:rPr>
        <w:t>Guidelines for designing educational tourism courses on ecological environment science popularization</w:t>
      </w:r>
      <w:r>
        <w:rPr>
          <w:rFonts w:hint="eastAsia" w:ascii="黑体" w:hAnsi="黑体" w:eastAsia="黑体"/>
          <w:szCs w:val="28"/>
        </w:rPr>
        <w:fldChar w:fldCharType="end"/>
      </w:r>
      <w:bookmarkEnd w:id="10"/>
    </w:p>
    <w:p w14:paraId="0F9AFFE4">
      <w:pPr>
        <w:framePr w:w="9639" w:h="6974" w:hRule="exact" w:wrap="around" w:vAnchor="page" w:hAnchor="page" w:x="1419" w:y="6408" w:anchorLock="1"/>
        <w:spacing w:line="760" w:lineRule="exact"/>
        <w:ind w:left="-1418"/>
      </w:pPr>
    </w:p>
    <w:p w14:paraId="48577803">
      <w:pPr>
        <w:pStyle w:val="125"/>
        <w:framePr w:w="9639" w:h="6974" w:hRule="exact" w:wrap="around" w:vAnchor="page" w:hAnchor="page" w:x="1419" w:y="6408" w:anchorLock="1"/>
        <w:textAlignment w:val="bottom"/>
        <w:rPr>
          <w:rFonts w:eastAsia="黑体"/>
          <w:szCs w:val="28"/>
        </w:rPr>
      </w:pPr>
    </w:p>
    <w:p w14:paraId="5EA3EF0B">
      <w:pPr>
        <w:pStyle w:val="125"/>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52165EAC">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rFonts w:hint="eastAsia"/>
          <w:sz w:val="21"/>
          <w:szCs w:val="28"/>
        </w:rPr>
        <w:t>（本草案完成时间）</w:t>
      </w:r>
      <w:r>
        <w:rPr>
          <w:sz w:val="21"/>
          <w:szCs w:val="28"/>
        </w:rPr>
        <w:fldChar w:fldCharType="end"/>
      </w:r>
      <w:bookmarkEnd w:id="12"/>
    </w:p>
    <w:p w14:paraId="3F3AD8FB">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4FA2EF9F">
      <w:pPr>
        <w:pStyle w:val="193"/>
        <w:framePr w:wrap="around" w:y="14176"/>
      </w:pPr>
      <w:r>
        <w:rPr>
          <w:rFonts w:ascii="黑体"/>
        </w:rPr>
        <w:fldChar w:fldCharType="begin">
          <w:ffData>
            <w:name w:val="PLSH_DATE_Y"/>
            <w:enabled/>
            <w:calcOnExit w:val="0"/>
            <w:textInput>
              <w:default w:val="2026"/>
              <w:maxLength w:val="4"/>
            </w:textInput>
          </w:ffData>
        </w:fldChar>
      </w:r>
      <w:bookmarkStart w:id="14" w:name="PLSH_DATE_Y"/>
      <w:r>
        <w:rPr>
          <w:rFonts w:ascii="黑体"/>
        </w:rPr>
        <w:instrText xml:space="preserve"> FORMTEXT </w:instrText>
      </w:r>
      <w:r>
        <w:rPr>
          <w:rFonts w:ascii="黑体"/>
        </w:rPr>
        <w:fldChar w:fldCharType="separate"/>
      </w:r>
      <w:r>
        <w:rPr>
          <w:rFonts w:ascii="黑体"/>
        </w:rPr>
        <w:t>2026</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14:paraId="38CF89D1">
      <w:pPr>
        <w:pStyle w:val="194"/>
        <w:framePr w:wrap="around" w:y="14176"/>
      </w:pPr>
      <w:r>
        <w:rPr>
          <w:rFonts w:ascii="黑体"/>
        </w:rPr>
        <w:fldChar w:fldCharType="begin">
          <w:ffData>
            <w:name w:val="CROT_DATE_Y"/>
            <w:enabled/>
            <w:calcOnExit w:val="0"/>
            <w:textInput>
              <w:default w:val="2026"/>
              <w:maxLength w:val="4"/>
            </w:textInput>
          </w:ffData>
        </w:fldChar>
      </w:r>
      <w:bookmarkStart w:id="17" w:name="CROT_DATE_Y"/>
      <w:r>
        <w:rPr>
          <w:rFonts w:ascii="黑体"/>
        </w:rPr>
        <w:instrText xml:space="preserve"> FORMTEXT </w:instrText>
      </w:r>
      <w:r>
        <w:rPr>
          <w:rFonts w:ascii="黑体"/>
        </w:rPr>
        <w:fldChar w:fldCharType="separate"/>
      </w:r>
      <w:r>
        <w:rPr>
          <w:rFonts w:ascii="黑体"/>
        </w:rPr>
        <w:t>2026</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14:paraId="0CE6F5B7">
      <w:pPr>
        <w:pStyle w:val="151"/>
        <w:framePr w:h="584" w:hRule="exact" w:hSpace="181" w:vSpace="181" w:wrap="around" w:y="14800"/>
        <w:rPr>
          <w:rFonts w:hint="eastAsia" w:hAnsi="黑体"/>
        </w:rPr>
      </w:pPr>
      <w:r>
        <w:rPr>
          <w:rFonts w:hint="eastAsia" w:hAnsi="黑体"/>
          <w:w w:val="100"/>
          <w:sz w:val="28"/>
        </w:rPr>
        <w:fldChar w:fldCharType="begin">
          <w:ffData>
            <w:name w:val="fm"/>
            <w:enabled/>
            <w:calcOnExit w:val="0"/>
            <w:textInput>
              <w:default w:val="广西物品编码与标准化促进会"/>
            </w:textInput>
          </w:ffData>
        </w:fldChar>
      </w:r>
      <w:bookmarkStart w:id="20" w:name="fm"/>
      <w:r>
        <w:rPr>
          <w:rFonts w:hint="eastAsia" w:hAnsi="黑体"/>
          <w:w w:val="100"/>
          <w:sz w:val="28"/>
        </w:rPr>
        <w:instrText xml:space="preserve"> </w:instrText>
      </w:r>
      <w:r>
        <w:rPr>
          <w:rFonts w:hAnsi="黑体"/>
          <w:w w:val="100"/>
          <w:sz w:val="28"/>
        </w:rPr>
        <w:instrText xml:space="preserve">FORMTEXT</w:instrText>
      </w:r>
      <w:r>
        <w:rPr>
          <w:rFonts w:hint="eastAsia" w:hAnsi="黑体"/>
          <w:w w:val="100"/>
          <w:sz w:val="28"/>
        </w:rPr>
        <w:instrText xml:space="preserve"> </w:instrText>
      </w:r>
      <w:r>
        <w:rPr>
          <w:rFonts w:hint="eastAsia" w:hAnsi="黑体"/>
          <w:w w:val="100"/>
          <w:sz w:val="28"/>
        </w:rPr>
        <w:fldChar w:fldCharType="separate"/>
      </w:r>
      <w:r>
        <w:rPr>
          <w:rFonts w:hint="eastAsia" w:hAnsi="黑体"/>
          <w:w w:val="100"/>
          <w:sz w:val="28"/>
        </w:rPr>
        <w:t>广西物品编码与标准化促进会</w:t>
      </w:r>
      <w:r>
        <w:rPr>
          <w:rFonts w:hint="eastAsia" w:hAnsi="黑体"/>
          <w:w w:val="100"/>
          <w:sz w:val="28"/>
        </w:rPr>
        <w:fldChar w:fldCharType="end"/>
      </w:r>
      <w:bookmarkEnd w:id="20"/>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136D1858">
      <w:pPr>
        <w:rPr>
          <w:rFonts w:hint="eastAsia" w:ascii="宋体" w:hAnsi="宋体"/>
          <w:sz w:val="28"/>
          <w:szCs w:val="28"/>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5B4B978C">
      <w:pPr>
        <w:pStyle w:val="89"/>
        <w:spacing w:after="360"/>
      </w:pPr>
      <w:bookmarkStart w:id="21" w:name="_Toc225518173"/>
      <w:bookmarkStart w:id="22" w:name="_Toc225518123"/>
      <w:bookmarkStart w:id="23" w:name="BookMark2"/>
      <w:r>
        <w:rPr>
          <w:rFonts w:hint="eastAsia"/>
          <w:spacing w:val="320"/>
        </w:rPr>
        <w:t>前</w:t>
      </w:r>
      <w:r>
        <w:rPr>
          <w:rFonts w:hint="eastAsia"/>
        </w:rPr>
        <w:t>言</w:t>
      </w:r>
      <w:bookmarkEnd w:id="21"/>
      <w:bookmarkEnd w:id="22"/>
    </w:p>
    <w:p w14:paraId="7E01BCCF">
      <w:pPr>
        <w:pStyle w:val="56"/>
        <w:ind w:firstLine="420"/>
      </w:pPr>
      <w:r>
        <w:rPr>
          <w:rFonts w:hint="eastAsia"/>
        </w:rPr>
        <w:t>本文件按照GB/T 1.1—2020《标准化工作导则  第1部分：标准化文件的结构和起草规则》的规定起草。</w:t>
      </w:r>
    </w:p>
    <w:p w14:paraId="23B54112">
      <w:pPr>
        <w:pStyle w:val="56"/>
        <w:ind w:firstLine="420"/>
      </w:pPr>
      <w:r>
        <w:rPr>
          <w:rFonts w:hint="eastAsia"/>
        </w:rPr>
        <w:t>请注意本文件的某些内容可能涉及专利。本文件的发布机构不承担识别专利的责任。</w:t>
      </w:r>
    </w:p>
    <w:p w14:paraId="7B8E0A5B">
      <w:pPr>
        <w:pStyle w:val="56"/>
        <w:ind w:firstLine="420"/>
      </w:pPr>
      <w:r>
        <w:rPr>
          <w:rFonts w:hint="eastAsia"/>
        </w:rPr>
        <w:t>本文件由广西壮族自治区辐射环境监督管理站提出并宣</w:t>
      </w:r>
      <w:r>
        <w:rPr>
          <w:rFonts w:hint="eastAsia"/>
          <w:lang w:eastAsia="zh-CN"/>
        </w:rPr>
        <w:t>贯</w:t>
      </w:r>
      <w:r>
        <w:rPr>
          <w:rFonts w:hint="eastAsia"/>
        </w:rPr>
        <w:t>。</w:t>
      </w:r>
    </w:p>
    <w:p w14:paraId="13303574">
      <w:pPr>
        <w:pStyle w:val="56"/>
        <w:ind w:firstLine="420"/>
      </w:pPr>
      <w:r>
        <w:rPr>
          <w:rFonts w:hint="eastAsia"/>
        </w:rPr>
        <w:t>本文件由广西物品编码与标准化促进会归口。</w:t>
      </w:r>
    </w:p>
    <w:p w14:paraId="3B7F684D">
      <w:pPr>
        <w:pStyle w:val="56"/>
        <w:ind w:firstLine="420"/>
      </w:pPr>
      <w:r>
        <w:rPr>
          <w:rFonts w:hint="eastAsia"/>
        </w:rPr>
        <w:t>本文件起草单位：广西壮族自治区辐射环境监督管理站、广西壮族自治区标准技术研究院、北部湾大学、广西防城港核电有限公司、广西科学院。</w:t>
      </w:r>
    </w:p>
    <w:p w14:paraId="21D11E8D">
      <w:pPr>
        <w:pStyle w:val="56"/>
        <w:ind w:firstLine="420"/>
      </w:pPr>
      <w:r>
        <w:rPr>
          <w:rFonts w:hint="eastAsia"/>
        </w:rPr>
        <w:t>本文件主要起草人：黄美琴、龙婷婷、岑旭、莫冬丽、翁石磊、邹家明、亢振军、廖日权、王晓飞、向辉云、李秀媚、何佶蔓、徐聘、巫迪、陈秀娟、江菲菲、李文妍、林明媚、庞海敏、黄彬丽、刘锦玲。</w:t>
      </w:r>
    </w:p>
    <w:p w14:paraId="6E8DD31F">
      <w:pPr>
        <w:pStyle w:val="56"/>
        <w:ind w:firstLine="420"/>
      </w:pPr>
    </w:p>
    <w:p w14:paraId="51E94C8A">
      <w:pPr>
        <w:pStyle w:val="56"/>
        <w:ind w:firstLine="420"/>
        <w:sectPr>
          <w:headerReference r:id="rId11" w:type="default"/>
          <w:footerReference r:id="rId13" w:type="default"/>
          <w:headerReference r:id="rId12" w:type="even"/>
          <w:footerReference r:id="rId14" w:type="even"/>
          <w:pgSz w:w="11906" w:h="16838"/>
          <w:pgMar w:top="1928" w:right="1134" w:bottom="1134" w:left="1134" w:header="1418" w:footer="1134" w:gutter="284"/>
          <w:pgNumType w:fmt="upperRoman" w:start="1"/>
          <w:cols w:space="425" w:num="1"/>
          <w:formProt w:val="0"/>
          <w:docGrid w:linePitch="312" w:charSpace="0"/>
        </w:sectPr>
      </w:pPr>
    </w:p>
    <w:bookmarkEnd w:id="23"/>
    <w:p w14:paraId="7E2A22C5">
      <w:pPr>
        <w:spacing w:line="20" w:lineRule="exact"/>
        <w:jc w:val="center"/>
        <w:rPr>
          <w:rFonts w:hint="eastAsia" w:ascii="黑体" w:hAnsi="黑体" w:eastAsia="黑体"/>
          <w:sz w:val="32"/>
          <w:szCs w:val="32"/>
        </w:rPr>
      </w:pPr>
      <w:bookmarkStart w:id="24" w:name="BookMark4"/>
    </w:p>
    <w:p w14:paraId="3184DB33">
      <w:pPr>
        <w:spacing w:line="20" w:lineRule="exact"/>
        <w:jc w:val="center"/>
        <w:rPr>
          <w:rFonts w:hint="eastAsia" w:ascii="黑体" w:hAnsi="黑体" w:eastAsia="黑体"/>
          <w:sz w:val="32"/>
          <w:szCs w:val="32"/>
        </w:rPr>
      </w:pPr>
    </w:p>
    <w:sdt>
      <w:sdtPr>
        <w:tag w:val="NEW_STAND_NAME"/>
        <w:id w:val="595910757"/>
        <w:lock w:val="sdtLocked"/>
        <w:placeholder>
          <w:docPart w:val="E05D8C06D0864FE3BE209C8DD763E72C"/>
        </w:placeholder>
      </w:sdtPr>
      <w:sdtContent>
        <w:p w14:paraId="50DA0247">
          <w:pPr>
            <w:pStyle w:val="177"/>
            <w:spacing w:before="240" w:beforeLines="100" w:after="528" w:afterLines="220"/>
            <w:rPr>
              <w:rFonts w:hint="eastAsia"/>
            </w:rPr>
          </w:pPr>
          <w:bookmarkStart w:id="25" w:name="NEW_STAND_NAME"/>
          <w:r>
            <w:rPr>
              <w:rFonts w:hint="eastAsia"/>
            </w:rPr>
            <w:t>生态环境科普研学课程设计指南</w:t>
          </w:r>
        </w:p>
      </w:sdtContent>
    </w:sdt>
    <w:bookmarkEnd w:id="25"/>
    <w:p w14:paraId="569633F6">
      <w:pPr>
        <w:pStyle w:val="104"/>
        <w:spacing w:before="240" w:after="240"/>
      </w:pPr>
      <w:bookmarkStart w:id="26" w:name="_Toc225518174"/>
      <w:bookmarkStart w:id="27" w:name="_Toc26718930"/>
      <w:bookmarkStart w:id="28" w:name="_Toc26986771"/>
      <w:bookmarkStart w:id="29" w:name="_Toc17233333"/>
      <w:bookmarkStart w:id="30" w:name="_Toc97192964"/>
      <w:bookmarkStart w:id="31" w:name="_Toc24884211"/>
      <w:bookmarkStart w:id="32" w:name="_Toc17233325"/>
      <w:bookmarkStart w:id="33" w:name="_Toc26648465"/>
      <w:bookmarkStart w:id="34" w:name="_Toc225518124"/>
      <w:bookmarkStart w:id="35" w:name="_Toc24884218"/>
      <w:bookmarkStart w:id="36" w:name="_Toc26986530"/>
      <w:r>
        <w:rPr>
          <w:rFonts w:hint="eastAsia"/>
        </w:rPr>
        <w:t>范围</w:t>
      </w:r>
      <w:bookmarkEnd w:id="26"/>
      <w:bookmarkEnd w:id="27"/>
      <w:bookmarkEnd w:id="28"/>
      <w:bookmarkEnd w:id="29"/>
      <w:bookmarkEnd w:id="30"/>
      <w:bookmarkEnd w:id="31"/>
      <w:bookmarkEnd w:id="32"/>
      <w:bookmarkEnd w:id="33"/>
      <w:bookmarkEnd w:id="34"/>
      <w:bookmarkEnd w:id="35"/>
      <w:bookmarkEnd w:id="36"/>
    </w:p>
    <w:p w14:paraId="5B5439DC">
      <w:pPr>
        <w:pStyle w:val="56"/>
        <w:ind w:firstLine="420"/>
      </w:pPr>
      <w:bookmarkStart w:id="37" w:name="_Toc24884212"/>
      <w:bookmarkStart w:id="38" w:name="_Toc17233334"/>
      <w:bookmarkStart w:id="39" w:name="_Toc24884219"/>
      <w:bookmarkStart w:id="40" w:name="_Toc17233326"/>
      <w:bookmarkStart w:id="41" w:name="_Toc26648466"/>
      <w:r>
        <w:rPr>
          <w:rFonts w:hint="eastAsia"/>
        </w:rPr>
        <w:t>本文件界定了生态环境科普研学相关术语和定义，提供了生态环境科普研学课程设计的课程目标、课程设计核心要素、课程设计流程、实施流程、课程评价及安全保障的指南。</w:t>
      </w:r>
    </w:p>
    <w:p w14:paraId="493C906D">
      <w:pPr>
        <w:pStyle w:val="56"/>
        <w:ind w:firstLine="420"/>
      </w:pPr>
      <w:r>
        <w:rPr>
          <w:rFonts w:hint="eastAsia"/>
        </w:rPr>
        <w:t>本文件适用于生态环境科普研学课程的设计。</w:t>
      </w:r>
    </w:p>
    <w:p w14:paraId="337D87D4">
      <w:pPr>
        <w:pStyle w:val="104"/>
        <w:spacing w:before="240" w:after="240"/>
      </w:pPr>
      <w:bookmarkStart w:id="42" w:name="_Toc26986531"/>
      <w:bookmarkStart w:id="43" w:name="_Toc225518175"/>
      <w:bookmarkStart w:id="44" w:name="_Toc97192965"/>
      <w:bookmarkStart w:id="45" w:name="_Toc225518125"/>
      <w:bookmarkStart w:id="46" w:name="_Toc26718931"/>
      <w:bookmarkStart w:id="47" w:name="_Toc26986772"/>
      <w:r>
        <w:rPr>
          <w:rFonts w:hint="eastAsia"/>
        </w:rPr>
        <w:t>规范性引用文件</w:t>
      </w:r>
      <w:bookmarkEnd w:id="37"/>
      <w:bookmarkEnd w:id="38"/>
      <w:bookmarkEnd w:id="39"/>
      <w:bookmarkEnd w:id="40"/>
      <w:bookmarkEnd w:id="41"/>
      <w:bookmarkEnd w:id="42"/>
      <w:bookmarkEnd w:id="43"/>
      <w:bookmarkEnd w:id="44"/>
      <w:bookmarkEnd w:id="45"/>
      <w:bookmarkEnd w:id="46"/>
      <w:bookmarkEnd w:id="47"/>
    </w:p>
    <w:sdt>
      <w:sdtPr>
        <w:rPr>
          <w:rFonts w:hint="eastAsia"/>
        </w:rPr>
        <w:id w:val="715848253"/>
        <w:placeholder>
          <w:docPart w:val="897EABA8663C47519C7ACBBD78CC4B97"/>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71D0AEDF">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6DD19F90">
      <w:pPr>
        <w:pStyle w:val="56"/>
        <w:ind w:firstLine="420"/>
      </w:pPr>
      <w:r>
        <w:rPr>
          <w:rFonts w:hint="eastAsia"/>
        </w:rPr>
        <w:t>GB/T 32844  科普资源分类与代码</w:t>
      </w:r>
    </w:p>
    <w:p w14:paraId="34708269">
      <w:pPr>
        <w:pStyle w:val="104"/>
        <w:spacing w:before="240" w:after="240"/>
      </w:pPr>
      <w:bookmarkStart w:id="48" w:name="_Toc225518176"/>
      <w:bookmarkStart w:id="49" w:name="_Toc225518126"/>
      <w:bookmarkStart w:id="50" w:name="_Toc97192966"/>
      <w:r>
        <w:rPr>
          <w:rFonts w:hint="eastAsia"/>
          <w:szCs w:val="21"/>
        </w:rPr>
        <w:t>术语和定义</w:t>
      </w:r>
      <w:bookmarkEnd w:id="48"/>
      <w:bookmarkEnd w:id="49"/>
      <w:bookmarkEnd w:id="50"/>
    </w:p>
    <w:sdt>
      <w:sdtPr>
        <w:rPr>
          <w:rFonts w:hint="eastAsia"/>
        </w:rPr>
        <w:id w:val="-1909835108"/>
        <w:placeholder>
          <w:docPart w:val="E63F858118524BB3B7F5C168AC5A556D"/>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eastAsia"/>
        </w:rPr>
      </w:sdtEndPr>
      <w:sdtContent>
        <w:p w14:paraId="5B47BEF9">
          <w:pPr>
            <w:pStyle w:val="56"/>
            <w:ind w:firstLine="420"/>
          </w:pPr>
          <w:bookmarkStart w:id="51" w:name="_Toc26986532"/>
          <w:bookmarkEnd w:id="51"/>
          <w:r>
            <w:rPr>
              <w:rFonts w:hint="eastAsia"/>
            </w:rPr>
            <w:t>GB/T 32844界定的以及下列术语和定义适用于本文件。</w:t>
          </w:r>
        </w:p>
      </w:sdtContent>
    </w:sdt>
    <w:p w14:paraId="6A764593">
      <w:pPr>
        <w:pStyle w:val="223"/>
        <w:ind w:left="420" w:hanging="420" w:hangingChars="200"/>
        <w:rPr>
          <w:rFonts w:hint="eastAsia" w:ascii="黑体" w:hAnsi="黑体" w:eastAsia="黑体"/>
        </w:rPr>
      </w:pPr>
      <w:r>
        <w:rPr>
          <w:rFonts w:ascii="黑体" w:hAnsi="黑体" w:eastAsia="黑体"/>
        </w:rPr>
        <w:br w:type="textWrapping"/>
      </w:r>
      <w:bookmarkStart w:id="52" w:name="OLE_LINK2"/>
      <w:r>
        <w:rPr>
          <w:rFonts w:hint="eastAsia" w:ascii="黑体" w:hAnsi="黑体" w:eastAsia="黑体"/>
        </w:rPr>
        <w:t>生态环境科普研学课程</w:t>
      </w:r>
      <w:bookmarkEnd w:id="52"/>
      <w:r>
        <w:rPr>
          <w:rFonts w:hint="eastAsia" w:ascii="黑体" w:hAnsi="黑体" w:eastAsia="黑体"/>
        </w:rPr>
        <w:t xml:space="preserve">  educational tourism courses on ecological environment science popularization</w:t>
      </w:r>
    </w:p>
    <w:p w14:paraId="5658008D">
      <w:pPr>
        <w:pStyle w:val="56"/>
        <w:ind w:firstLine="420"/>
      </w:pPr>
      <w:r>
        <w:rPr>
          <w:rFonts w:hint="eastAsia"/>
        </w:rPr>
        <w:t>依托生态环境保护设施、监测站点或科研场所，以生态环境保护、污染治理、生态修复及人与自然和谐共生为核心内容，通过实地考察、实践体验、探究学习等方式面向中小学生开展的教育活动。</w:t>
      </w:r>
    </w:p>
    <w:p w14:paraId="422F3D8A">
      <w:pPr>
        <w:pStyle w:val="104"/>
        <w:spacing w:before="240" w:after="240"/>
      </w:pPr>
      <w:bookmarkStart w:id="53" w:name="_Toc225518178"/>
      <w:bookmarkStart w:id="54" w:name="_Toc225518133"/>
      <w:r>
        <w:rPr>
          <w:rFonts w:hint="eastAsia"/>
        </w:rPr>
        <w:t>课程设计核心要素</w:t>
      </w:r>
    </w:p>
    <w:p w14:paraId="6CE830AB">
      <w:pPr>
        <w:pStyle w:val="105"/>
        <w:spacing w:before="120" w:after="120"/>
      </w:pPr>
      <w:r>
        <w:rPr>
          <w:rFonts w:hint="eastAsia"/>
        </w:rPr>
        <w:t>调研分析</w:t>
      </w:r>
    </w:p>
    <w:p w14:paraId="229FF461">
      <w:pPr>
        <w:pStyle w:val="56"/>
        <w:ind w:firstLine="420"/>
      </w:pPr>
      <w:r>
        <w:rPr>
          <w:rFonts w:hint="eastAsia"/>
        </w:rPr>
        <w:t>开展前期调研，明确课程设计的基础和需求。</w:t>
      </w:r>
    </w:p>
    <w:p w14:paraId="6D6EE236">
      <w:pPr>
        <w:pStyle w:val="132"/>
      </w:pPr>
      <w:r>
        <w:rPr>
          <w:rFonts w:hint="eastAsia"/>
        </w:rPr>
        <w:t>需求调研：了解不同学段学生的知识储备、探究能力、兴趣爱好和研学需求，结合学校的教育目标和综合素质评价要求，明确课程的定位和重点。</w:t>
      </w:r>
    </w:p>
    <w:p w14:paraId="51E91B91">
      <w:pPr>
        <w:pStyle w:val="132"/>
        <w:rPr>
          <w:rFonts w:hint="eastAsia"/>
        </w:rPr>
      </w:pPr>
      <w:r>
        <w:rPr>
          <w:rFonts w:hint="eastAsia"/>
        </w:rPr>
        <w:t>资源调研：调研研学地点的生态资源、设施条件、专业优势和合作意愿，挖掘特色资源，确定课程的实施场地和核心内容。</w:t>
      </w:r>
    </w:p>
    <w:p w14:paraId="3D0AF702">
      <w:pPr>
        <w:pStyle w:val="132"/>
        <w:rPr>
          <w:rFonts w:hint="eastAsia"/>
        </w:rPr>
      </w:pPr>
      <w:r>
        <w:rPr>
          <w:rFonts w:hint="eastAsia"/>
        </w:rPr>
        <w:t>政策调研：梳理生态环境科普、研学旅行、绿色低碳教育相关的政策要求和标准规范，确保课程设计符合国家和地方的相关规定。</w:t>
      </w:r>
    </w:p>
    <w:p w14:paraId="2958B4CB">
      <w:pPr>
        <w:pStyle w:val="105"/>
        <w:spacing w:before="120" w:after="120"/>
      </w:pPr>
      <w:r>
        <w:rPr>
          <w:rFonts w:hint="eastAsia"/>
        </w:rPr>
        <w:t>课程目标</w:t>
      </w:r>
      <w:bookmarkEnd w:id="53"/>
      <w:bookmarkEnd w:id="54"/>
    </w:p>
    <w:p w14:paraId="4B1CAB88">
      <w:pPr>
        <w:pStyle w:val="56"/>
        <w:ind w:firstLine="420"/>
      </w:pPr>
      <w:r>
        <w:rPr>
          <w:rFonts w:hint="eastAsia"/>
        </w:rPr>
        <w:t>宜根据不同学生学段，从科学观念、科学思维、探究实践、态度责任四个维度来设计相应的课程目标。</w:t>
      </w:r>
    </w:p>
    <w:p w14:paraId="25ED6DCE">
      <w:pPr>
        <w:pStyle w:val="132"/>
        <w:rPr>
          <w:rFonts w:hint="eastAsia" w:hAnsi="宋体"/>
        </w:rPr>
      </w:pPr>
      <w:bookmarkStart w:id="55" w:name="OLE_LINK6"/>
      <w:r>
        <w:rPr>
          <w:rFonts w:hint="eastAsia" w:hAnsi="宋体"/>
        </w:rPr>
        <w:t>小学阶段（3～6年级）</w:t>
      </w:r>
      <w:r>
        <w:rPr>
          <w:rFonts w:hAnsi="宋体"/>
        </w:rPr>
        <w:t>的学生以具体形象思维为主，好奇心强</w:t>
      </w:r>
      <w:r>
        <w:rPr>
          <w:rFonts w:hint="eastAsia" w:hAnsi="宋体"/>
        </w:rPr>
        <w:t>，</w:t>
      </w:r>
      <w:r>
        <w:rPr>
          <w:rFonts w:hAnsi="宋体"/>
        </w:rPr>
        <w:t>目标是激发兴趣、建立初步认知、养成良好习惯</w:t>
      </w:r>
      <w:r>
        <w:rPr>
          <w:rFonts w:hint="eastAsia" w:hAnsi="宋体"/>
        </w:rPr>
        <w:t>：</w:t>
      </w:r>
    </w:p>
    <w:p w14:paraId="209A32CF">
      <w:pPr>
        <w:pStyle w:val="187"/>
      </w:pPr>
      <w:bookmarkStart w:id="56" w:name="OLE_LINK5"/>
      <w:r>
        <w:rPr>
          <w:rFonts w:hint="eastAsia"/>
        </w:rPr>
        <w:t>科学观念：</w:t>
      </w:r>
      <w:r>
        <w:t>认识基本生态要素，了解人与自然、生物与环境相互依存的简单关系</w:t>
      </w:r>
      <w:r>
        <w:rPr>
          <w:rFonts w:hint="eastAsia"/>
        </w:rPr>
        <w:t>，</w:t>
      </w:r>
      <w:r>
        <w:t>知晓基础环保常识，能区分常见生态破坏与环境保护行为</w:t>
      </w:r>
      <w:r>
        <w:rPr>
          <w:rFonts w:hint="eastAsia"/>
        </w:rPr>
        <w:t>；</w:t>
      </w:r>
    </w:p>
    <w:p w14:paraId="569BE0CD">
      <w:pPr>
        <w:pStyle w:val="187"/>
      </w:pPr>
      <w:r>
        <w:rPr>
          <w:rFonts w:hint="eastAsia"/>
        </w:rPr>
        <w:t>科学思维：</w:t>
      </w:r>
      <w:r>
        <w:t>学会观察、对比身边生态现象，能简单描述事物变化</w:t>
      </w:r>
      <w:r>
        <w:rPr>
          <w:rFonts w:hint="eastAsia"/>
        </w:rPr>
        <w:t>，</w:t>
      </w:r>
      <w:r>
        <w:t>初步建立因果思维</w:t>
      </w:r>
      <w:r>
        <w:rPr>
          <w:rFonts w:hint="eastAsia"/>
        </w:rPr>
        <w:t>，</w:t>
      </w:r>
      <w:r>
        <w:t>养成直观、简单的逻辑判断习惯</w:t>
      </w:r>
      <w:r>
        <w:rPr>
          <w:rFonts w:hint="eastAsia"/>
        </w:rPr>
        <w:t>；</w:t>
      </w:r>
    </w:p>
    <w:p w14:paraId="350BFBC1">
      <w:pPr>
        <w:pStyle w:val="187"/>
        <w:rPr>
          <w:rFonts w:hint="eastAsia" w:hAnsi="宋体"/>
        </w:rPr>
      </w:pPr>
      <w:r>
        <w:rPr>
          <w:rFonts w:hint="eastAsia" w:hAnsi="宋体"/>
        </w:rPr>
        <w:t>探究实践：</w:t>
      </w:r>
      <w:r>
        <w:rPr>
          <w:rFonts w:hAnsi="宋体"/>
        </w:rPr>
        <w:t>能在研学中完成观察记录、样本辨认等基础活动</w:t>
      </w:r>
      <w:r>
        <w:rPr>
          <w:rFonts w:hint="eastAsia" w:hAnsi="宋体"/>
        </w:rPr>
        <w:t>，</w:t>
      </w:r>
      <w:r>
        <w:rPr>
          <w:rFonts w:hAnsi="宋体"/>
        </w:rPr>
        <w:t>跟随引导开展小组简单协作，动手完成低难度实践任务</w:t>
      </w:r>
      <w:r>
        <w:rPr>
          <w:rFonts w:hint="eastAsia" w:hAnsi="宋体"/>
        </w:rPr>
        <w:t>；</w:t>
      </w:r>
    </w:p>
    <w:p w14:paraId="27C5E871">
      <w:pPr>
        <w:pStyle w:val="187"/>
      </w:pPr>
      <w:r>
        <w:rPr>
          <w:rFonts w:hint="eastAsia" w:hAnsi="宋体"/>
        </w:rPr>
        <w:t>责任态度：</w:t>
      </w:r>
      <w:r>
        <w:rPr>
          <w:rFonts w:hAnsi="宋体"/>
        </w:rPr>
        <w:t>萌发热爱自然、爱护动植物的情感</w:t>
      </w:r>
      <w:r>
        <w:rPr>
          <w:rFonts w:hint="eastAsia" w:hAnsi="宋体"/>
        </w:rPr>
        <w:t>，</w:t>
      </w:r>
      <w:r>
        <w:rPr>
          <w:rFonts w:hAnsi="宋体"/>
        </w:rPr>
        <w:t>树立“保护环境从小事做起”的意识，愿意在日常生活中践行简单环保行为。</w:t>
      </w:r>
    </w:p>
    <w:bookmarkEnd w:id="56"/>
    <w:p w14:paraId="6E72FBE8">
      <w:pPr>
        <w:pStyle w:val="132"/>
      </w:pPr>
      <w:r>
        <w:rPr>
          <w:rFonts w:hint="eastAsia"/>
        </w:rPr>
        <w:t>初中阶段（7～9年级）的</w:t>
      </w:r>
      <w:r>
        <w:t>学生抽象逻辑思维开始发展，能处理更复杂的概念关系</w:t>
      </w:r>
      <w:r>
        <w:rPr>
          <w:rFonts w:hint="eastAsia"/>
        </w:rPr>
        <w:t>，</w:t>
      </w:r>
      <w:r>
        <w:t>目标是建立系统联系、掌握科学方法、形成理性态度</w:t>
      </w:r>
      <w:r>
        <w:rPr>
          <w:rFonts w:hint="eastAsia"/>
        </w:rPr>
        <w:t>：</w:t>
      </w:r>
    </w:p>
    <w:p w14:paraId="4C36F0B6">
      <w:pPr>
        <w:pStyle w:val="187"/>
      </w:pPr>
      <w:r>
        <w:rPr>
          <w:rFonts w:hint="eastAsia"/>
        </w:rPr>
        <w:t>科学观念：</w:t>
      </w:r>
      <w:r>
        <w:t>理解</w:t>
      </w:r>
      <w:r>
        <w:rPr>
          <w:rFonts w:hint="eastAsia"/>
        </w:rPr>
        <w:t>生态环境相关</w:t>
      </w:r>
      <w:r>
        <w:t>基础概念；掌握</w:t>
      </w:r>
      <w:r>
        <w:rPr>
          <w:rFonts w:hint="eastAsia"/>
        </w:rPr>
        <w:t>环境污染的</w:t>
      </w:r>
      <w:r>
        <w:t>成因与危害，了解生态保护的基本举措与相关法律法规常识</w:t>
      </w:r>
      <w:r>
        <w:rPr>
          <w:rFonts w:hint="eastAsia"/>
        </w:rPr>
        <w:t>；</w:t>
      </w:r>
    </w:p>
    <w:p w14:paraId="72BD52A7">
      <w:pPr>
        <w:pStyle w:val="187"/>
      </w:pPr>
      <w:r>
        <w:rPr>
          <w:rFonts w:hint="eastAsia"/>
        </w:rPr>
        <w:t>科学思维：</w:t>
      </w:r>
      <w:r>
        <w:t>具备归纳、分析、推理能力，能剖析简单生态问题的形成原因与影响；学会多角度看待环境问题，区分现象与本质，初步形成系统性、辩证的环境认知</w:t>
      </w:r>
      <w:r>
        <w:rPr>
          <w:rFonts w:hint="eastAsia"/>
        </w:rPr>
        <w:t>；</w:t>
      </w:r>
    </w:p>
    <w:p w14:paraId="6418B705">
      <w:pPr>
        <w:pStyle w:val="187"/>
      </w:pPr>
      <w:r>
        <w:rPr>
          <w:rFonts w:hint="eastAsia"/>
        </w:rPr>
        <w:t>探究实践：</w:t>
      </w:r>
      <w:r>
        <w:t>可独立或以小组形式设计简易调查方案，</w:t>
      </w:r>
      <w:r>
        <w:rPr>
          <w:rFonts w:hint="eastAsia"/>
        </w:rPr>
        <w:t>在辅助下</w:t>
      </w:r>
      <w:r>
        <w:t>开展环境取样、数据记录、走访调研、现象分析等实践活动</w:t>
      </w:r>
      <w:r>
        <w:rPr>
          <w:rFonts w:hint="eastAsia"/>
        </w:rPr>
        <w:t>，</w:t>
      </w:r>
      <w:r>
        <w:t>掌握基础实地探究方法</w:t>
      </w:r>
      <w:r>
        <w:rPr>
          <w:rFonts w:hint="eastAsia"/>
        </w:rPr>
        <w:t>；</w:t>
      </w:r>
    </w:p>
    <w:p w14:paraId="23321974">
      <w:pPr>
        <w:pStyle w:val="187"/>
      </w:pPr>
      <w:r>
        <w:rPr>
          <w:rFonts w:hint="eastAsia"/>
        </w:rPr>
        <w:t>责任态度：能</w:t>
      </w:r>
      <w:r>
        <w:t>正视当前生态环境面临的问题，增强生态危机感与集体环保意识</w:t>
      </w:r>
      <w:r>
        <w:rPr>
          <w:rFonts w:hint="eastAsia"/>
        </w:rPr>
        <w:t>，</w:t>
      </w:r>
      <w:r>
        <w:t>自觉遵守环保规范，主动参与校园、社区环保志愿活动，树立公共环境责任意识。</w:t>
      </w:r>
    </w:p>
    <w:p w14:paraId="54073A6D">
      <w:pPr>
        <w:pStyle w:val="132"/>
      </w:pPr>
      <w:r>
        <w:rPr>
          <w:rFonts w:hint="eastAsia"/>
        </w:rPr>
        <w:t>高中阶段（10</w:t>
      </w:r>
      <w:r>
        <w:rPr>
          <w:rFonts w:hint="eastAsia" w:hAnsi="宋体"/>
        </w:rPr>
        <w:t>～</w:t>
      </w:r>
      <w:r>
        <w:rPr>
          <w:rFonts w:hint="eastAsia"/>
        </w:rPr>
        <w:t>12年级）的</w:t>
      </w:r>
      <w:r>
        <w:t>学生具备较强的抽象逻辑和系统思维能力</w:t>
      </w:r>
      <w:r>
        <w:rPr>
          <w:rFonts w:hint="eastAsia"/>
        </w:rPr>
        <w:t>，</w:t>
      </w:r>
      <w:r>
        <w:t>目标是建立系统模型、发展批判性思维、推动社会实践</w:t>
      </w:r>
      <w:r>
        <w:rPr>
          <w:rFonts w:hint="eastAsia"/>
        </w:rPr>
        <w:t>：</w:t>
      </w:r>
    </w:p>
    <w:p w14:paraId="345945C9">
      <w:pPr>
        <w:pStyle w:val="187"/>
      </w:pPr>
      <w:r>
        <w:rPr>
          <w:rFonts w:hint="eastAsia"/>
        </w:rPr>
        <w:t>科学观念：</w:t>
      </w:r>
      <w:r>
        <w:t>深度理解</w:t>
      </w:r>
      <w:r>
        <w:rPr>
          <w:rFonts w:hint="eastAsia"/>
        </w:rPr>
        <w:t>生态环境相关</w:t>
      </w:r>
      <w:r>
        <w:t>专业知识</w:t>
      </w:r>
      <w:r>
        <w:rPr>
          <w:rFonts w:hint="eastAsia"/>
        </w:rPr>
        <w:t>，</w:t>
      </w:r>
      <w:r>
        <w:t>理清经济发展、人类活动与生态保护的内在联系，了解国内外生态保护政策、技术与发展现状</w:t>
      </w:r>
      <w:r>
        <w:rPr>
          <w:rFonts w:hint="eastAsia"/>
        </w:rPr>
        <w:t>；</w:t>
      </w:r>
    </w:p>
    <w:p w14:paraId="5FD6EFDB">
      <w:pPr>
        <w:pStyle w:val="187"/>
      </w:pPr>
      <w:r>
        <w:rPr>
          <w:rFonts w:hint="eastAsia"/>
        </w:rPr>
        <w:t>科学思维：</w:t>
      </w:r>
      <w:r>
        <w:t>运用逻辑推理、综合研判、批判性思维分析复杂生态环境问题</w:t>
      </w:r>
      <w:r>
        <w:rPr>
          <w:rFonts w:hint="eastAsia"/>
        </w:rPr>
        <w:t>，</w:t>
      </w:r>
      <w:r>
        <w:t>能辩证权衡发展与环保的关系，具备系统思维、全局思维，可预判环境行为带来的长期影响</w:t>
      </w:r>
      <w:r>
        <w:rPr>
          <w:rFonts w:hint="eastAsia"/>
        </w:rPr>
        <w:t>；</w:t>
      </w:r>
    </w:p>
    <w:p w14:paraId="53BC9B78">
      <w:pPr>
        <w:pStyle w:val="187"/>
      </w:pPr>
      <w:r>
        <w:rPr>
          <w:rFonts w:hint="eastAsia"/>
        </w:rPr>
        <w:t>探究实践：能在辅助下开展生态环境专题研究，能独立</w:t>
      </w:r>
      <w:r>
        <w:t>运用调研、实验、访谈等多种探究方式，</w:t>
      </w:r>
      <w:r>
        <w:rPr>
          <w:rFonts w:hint="eastAsia"/>
        </w:rPr>
        <w:t>能用探究方式解决现实生活中的生态环保问题；</w:t>
      </w:r>
    </w:p>
    <w:p w14:paraId="05A52E8D">
      <w:pPr>
        <w:pStyle w:val="187"/>
      </w:pPr>
      <w:r>
        <w:rPr>
          <w:rFonts w:hint="eastAsia"/>
        </w:rPr>
        <w:t>责任态度：</w:t>
      </w:r>
      <w:r>
        <w:t>树立生态文明理念与可持续发展观，强化公民生态责任与社会担当</w:t>
      </w:r>
      <w:r>
        <w:rPr>
          <w:rFonts w:hint="eastAsia"/>
        </w:rPr>
        <w:t>，</w:t>
      </w:r>
      <w:r>
        <w:t>主动传播生态环保知识，立志参与生态保护、绿色发展相关实践，具备长远环保行动力与社会使命感。</w:t>
      </w:r>
      <w:bookmarkEnd w:id="55"/>
    </w:p>
    <w:p w14:paraId="2CF7968A">
      <w:pPr>
        <w:pStyle w:val="105"/>
        <w:spacing w:before="120" w:after="120"/>
      </w:pPr>
      <w:r>
        <w:t>课程主题</w:t>
      </w:r>
    </w:p>
    <w:p w14:paraId="3156F244">
      <w:pPr>
        <w:pStyle w:val="165"/>
      </w:pPr>
      <w:r>
        <w:rPr>
          <w:rFonts w:hint="eastAsia"/>
        </w:rPr>
        <w:t>宜</w:t>
      </w:r>
      <w:r>
        <w:t>紧扣生态环境科普核心，结合研学基地的资源特色和学生学段特点，明确具体、聚焦单一，避免宽泛空洞。</w:t>
      </w:r>
    </w:p>
    <w:p w14:paraId="6F98F524">
      <w:pPr>
        <w:pStyle w:val="165"/>
      </w:pPr>
      <w:r>
        <w:t>主题设计</w:t>
      </w:r>
      <w:r>
        <w:rPr>
          <w:rFonts w:hint="eastAsia"/>
        </w:rPr>
        <w:t>宜</w:t>
      </w:r>
      <w:r>
        <w:t>体现时代性，结合当前生态环境保护热点问题，增强课程的针对性和现实意义；同时兼顾在地性，挖掘本地生态资源特色，让学生了解身边的生态环境，增强地域生态保护认同感。</w:t>
      </w:r>
    </w:p>
    <w:p w14:paraId="5A014922">
      <w:pPr>
        <w:pStyle w:val="165"/>
      </w:pPr>
      <w:r>
        <w:t>同一基地</w:t>
      </w:r>
      <w:r>
        <w:rPr>
          <w:rFonts w:hint="eastAsia"/>
        </w:rPr>
        <w:t>宜</w:t>
      </w:r>
      <w:r>
        <w:t>设计多个梯度化主题，适配不同学段学生的需求，形成系列化课程体系。</w:t>
      </w:r>
    </w:p>
    <w:p w14:paraId="7E5F7C48">
      <w:pPr>
        <w:pStyle w:val="165"/>
      </w:pPr>
      <w:r>
        <w:rPr>
          <w:rFonts w:hint="eastAsia"/>
        </w:rPr>
        <w:t>宜通过协议等方式确定课程设计版权归属。</w:t>
      </w:r>
    </w:p>
    <w:p w14:paraId="4C9AE1DB">
      <w:pPr>
        <w:pStyle w:val="165"/>
      </w:pPr>
      <w:r>
        <w:t>结合调研结果，紧扣生态环境科普核心和绿色低碳发展要求，确定课程主题</w:t>
      </w:r>
      <w:r>
        <w:rPr>
          <w:rFonts w:hint="eastAsia"/>
        </w:rPr>
        <w:t>。</w:t>
      </w:r>
    </w:p>
    <w:p w14:paraId="4B6B6223">
      <w:pPr>
        <w:pStyle w:val="165"/>
        <w:rPr>
          <w:rFonts w:hint="eastAsia"/>
        </w:rPr>
      </w:pPr>
      <w:r>
        <w:t>主题宜聚焦、有特色，适配不同学段学生的需求。</w:t>
      </w:r>
    </w:p>
    <w:p w14:paraId="302FDBAE">
      <w:pPr>
        <w:pStyle w:val="105"/>
        <w:spacing w:before="120" w:after="120"/>
      </w:pPr>
      <w:r>
        <w:t>课程内容</w:t>
      </w:r>
    </w:p>
    <w:p w14:paraId="370B7010">
      <w:pPr>
        <w:pStyle w:val="165"/>
      </w:pPr>
      <w:r>
        <w:rPr>
          <w:rFonts w:hint="eastAsia"/>
        </w:rPr>
        <w:t>宜紧扣课程主题，兼顾科学性、实践性和趣味性，结合学生学段特点分层设计：</w:t>
      </w:r>
    </w:p>
    <w:p w14:paraId="4CD6E516">
      <w:pPr>
        <w:pStyle w:val="132"/>
      </w:pPr>
      <w:r>
        <w:rPr>
          <w:rFonts w:hint="eastAsia"/>
        </w:rPr>
        <w:t>小学阶段（3</w:t>
      </w:r>
      <w:r>
        <w:rPr>
          <w:rFonts w:hint="eastAsia" w:hAnsi="宋体"/>
        </w:rPr>
        <w:t>～</w:t>
      </w:r>
      <w:r>
        <w:rPr>
          <w:rFonts w:hint="eastAsia"/>
        </w:rPr>
        <w:t>6年级）：以直观体验、趣味认知为主，侧重常见动植物识别、简单生态现象观察、基础环保行为养成，内容浅显易懂、互动性强，注重激发学生的兴趣。</w:t>
      </w:r>
    </w:p>
    <w:p w14:paraId="6B1F5D93">
      <w:pPr>
        <w:pStyle w:val="132"/>
      </w:pPr>
      <w:r>
        <w:rPr>
          <w:rFonts w:hint="eastAsia"/>
        </w:rPr>
        <w:t>初中阶段（7</w:t>
      </w:r>
      <w:r>
        <w:rPr>
          <w:rFonts w:hint="eastAsia" w:hAnsi="宋体"/>
        </w:rPr>
        <w:t>～</w:t>
      </w:r>
      <w:r>
        <w:rPr>
          <w:rFonts w:hint="eastAsia"/>
        </w:rPr>
        <w:t>9年级）：以基础科普、简单探究为主，侧重生态系统的组成与功能、常见生态环境问题的成因与危害、基础环保技术，引导学生开展简单的调研和实践活动。</w:t>
      </w:r>
    </w:p>
    <w:p w14:paraId="2D55AF6A">
      <w:pPr>
        <w:pStyle w:val="132"/>
      </w:pPr>
      <w:r>
        <w:rPr>
          <w:rFonts w:hint="eastAsia"/>
        </w:rPr>
        <w:t>高中阶段（10</w:t>
      </w:r>
      <w:r>
        <w:rPr>
          <w:rFonts w:hint="eastAsia" w:hAnsi="宋体"/>
        </w:rPr>
        <w:t>～</w:t>
      </w:r>
      <w:r>
        <w:rPr>
          <w:rFonts w:hint="eastAsia"/>
        </w:rPr>
        <w:t>12年级）：以深度探究、实践应用为主，侧重生态环境科学原理、生态保护技术的应用、生态环境政策分析、复杂生态问题调研，培养学生的科学探究能力和创新实践能力，结合学科知识开展跨学科探究。</w:t>
      </w:r>
    </w:p>
    <w:p w14:paraId="4B373545">
      <w:pPr>
        <w:pStyle w:val="165"/>
      </w:pPr>
      <w:bookmarkStart w:id="57" w:name="OLE_LINK1"/>
      <w:r>
        <w:rPr>
          <w:rFonts w:hint="eastAsia"/>
        </w:rPr>
        <w:t>宜包含“理论科普、实践探究、总结反思”三个模块，三者有机结合、层层递进：</w:t>
      </w:r>
    </w:p>
    <w:p w14:paraId="20038803">
      <w:pPr>
        <w:pStyle w:val="132"/>
      </w:pPr>
      <w:r>
        <w:rPr>
          <w:rFonts w:hint="eastAsia"/>
        </w:rPr>
        <w:t>理论科普模块可通过讲解、视频、图文资料等形式，时长占比不超过课程总时长的30</w:t>
      </w:r>
      <w:r>
        <w:rPr>
          <w:rFonts w:hint="eastAsia" w:hAnsi="宋体"/>
        </w:rPr>
        <w:t>％</w:t>
      </w:r>
      <w:r>
        <w:rPr>
          <w:rFonts w:hint="eastAsia"/>
        </w:rPr>
        <w:t>；</w:t>
      </w:r>
    </w:p>
    <w:p w14:paraId="42859CCD">
      <w:pPr>
        <w:pStyle w:val="132"/>
      </w:pPr>
      <w:r>
        <w:rPr>
          <w:rFonts w:hint="eastAsia"/>
        </w:rPr>
        <w:t>实践探究模块宜作为核心模块，设计观察、实验、调研、实践等具体任务，时长占比不低于课程总时长的50</w:t>
      </w:r>
      <w:r>
        <w:rPr>
          <w:rFonts w:hint="eastAsia" w:hAnsi="宋体"/>
        </w:rPr>
        <w:t>％</w:t>
      </w:r>
      <w:r>
        <w:rPr>
          <w:rFonts w:hint="eastAsia"/>
        </w:rPr>
        <w:t>；</w:t>
      </w:r>
    </w:p>
    <w:p w14:paraId="1ADD49C7">
      <w:pPr>
        <w:pStyle w:val="132"/>
      </w:pPr>
      <w:r>
        <w:rPr>
          <w:rFonts w:hint="eastAsia"/>
        </w:rPr>
        <w:t>总结反思模块引导学生梳理研学收获，分享探究成果，反思自身行为，明确生态保护的责任与义务，将研学收获转化为绿色生活行动，时长占比不低于课程总时长的20</w:t>
      </w:r>
      <w:r>
        <w:rPr>
          <w:rFonts w:hint="eastAsia" w:hAnsi="宋体"/>
        </w:rPr>
        <w:t>％</w:t>
      </w:r>
      <w:r>
        <w:rPr>
          <w:rFonts w:hint="eastAsia"/>
        </w:rPr>
        <w:t>。</w:t>
      </w:r>
    </w:p>
    <w:bookmarkEnd w:id="57"/>
    <w:p w14:paraId="366420F3">
      <w:pPr>
        <w:pStyle w:val="165"/>
      </w:pPr>
      <w:r>
        <w:t>内容设计</w:t>
      </w:r>
      <w:r>
        <w:rPr>
          <w:rFonts w:hint="eastAsia"/>
        </w:rPr>
        <w:t>宜</w:t>
      </w:r>
      <w:r>
        <w:t>避免形式化、同质化，结合研学基地的独特资源，挖掘特色内容，增强课程的独特性和吸引力。</w:t>
      </w:r>
    </w:p>
    <w:p w14:paraId="3A50D2F5">
      <w:pPr>
        <w:pStyle w:val="165"/>
      </w:pPr>
      <w:r>
        <w:rPr>
          <w:rFonts w:hint="eastAsia"/>
        </w:rPr>
        <w:t>宜</w:t>
      </w:r>
      <w:r>
        <w:t>融入绿色低碳发展理念，结合全国节能宣传周、全国低碳日、世界环境日、世界地球日等主题宣传节点，设计相关实践活动，强化学生的绿色低碳生活意识。</w:t>
      </w:r>
    </w:p>
    <w:p w14:paraId="49B9E230">
      <w:pPr>
        <w:pStyle w:val="105"/>
        <w:spacing w:before="120" w:after="120"/>
      </w:pPr>
      <w:bookmarkStart w:id="58" w:name="_Toc225518139"/>
      <w:r>
        <w:rPr>
          <w:rFonts w:hint="eastAsia"/>
        </w:rPr>
        <w:t>课程</w:t>
      </w:r>
      <w:bookmarkEnd w:id="58"/>
      <w:r>
        <w:rPr>
          <w:rFonts w:hint="eastAsia"/>
        </w:rPr>
        <w:t>模块</w:t>
      </w:r>
    </w:p>
    <w:p w14:paraId="7B271577">
      <w:pPr>
        <w:pStyle w:val="56"/>
        <w:ind w:firstLine="420"/>
      </w:pPr>
      <w:r>
        <w:rPr>
          <w:rFonts w:hint="eastAsia"/>
        </w:rPr>
        <w:t>课程内容宜聚焦以下四类核心模块进行差异化设计。</w:t>
      </w:r>
    </w:p>
    <w:p w14:paraId="256F61C1">
      <w:pPr>
        <w:pStyle w:val="112"/>
        <w:spacing w:before="120" w:after="120"/>
      </w:pPr>
      <w:r>
        <w:rPr>
          <w:rFonts w:hint="eastAsia"/>
        </w:rPr>
        <w:t>课程模块分类</w:t>
      </w:r>
    </w:p>
    <w:tbl>
      <w:tblPr>
        <w:tblStyle w:val="27"/>
        <w:tblW w:w="920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1390"/>
        <w:gridCol w:w="7814"/>
      </w:tblGrid>
      <w:tr w14:paraId="575E35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7" w:hRule="atLeast"/>
          <w:tblHeader/>
          <w:jc w:val="center"/>
        </w:trPr>
        <w:tc>
          <w:tcPr>
            <w:tcW w:w="1390" w:type="dxa"/>
            <w:tcBorders>
              <w:top w:val="single" w:color="auto" w:sz="8" w:space="0"/>
              <w:bottom w:val="single" w:color="auto" w:sz="8" w:space="0"/>
            </w:tcBorders>
            <w:vAlign w:val="center"/>
          </w:tcPr>
          <w:p w14:paraId="3D05F5C4">
            <w:pPr>
              <w:pStyle w:val="178"/>
              <w:snapToGrid w:val="0"/>
              <w:rPr>
                <w:bCs/>
              </w:rPr>
            </w:pPr>
            <w:r>
              <w:rPr>
                <w:rFonts w:hint="eastAsia"/>
                <w:bCs/>
              </w:rPr>
              <w:t>模块类别</w:t>
            </w:r>
          </w:p>
        </w:tc>
        <w:tc>
          <w:tcPr>
            <w:tcW w:w="7814" w:type="dxa"/>
            <w:tcBorders>
              <w:top w:val="single" w:color="auto" w:sz="8" w:space="0"/>
              <w:bottom w:val="single" w:color="auto" w:sz="8" w:space="0"/>
            </w:tcBorders>
            <w:vAlign w:val="center"/>
          </w:tcPr>
          <w:p w14:paraId="28B23313">
            <w:pPr>
              <w:pStyle w:val="178"/>
              <w:snapToGrid w:val="0"/>
              <w:rPr>
                <w:bCs/>
              </w:rPr>
            </w:pPr>
            <w:r>
              <w:rPr>
                <w:rFonts w:hint="eastAsia"/>
                <w:bCs/>
              </w:rPr>
              <w:t>核心内容设计方向</w:t>
            </w:r>
          </w:p>
        </w:tc>
      </w:tr>
      <w:tr w14:paraId="75A1E1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390" w:type="dxa"/>
            <w:tcBorders>
              <w:top w:val="single" w:color="auto" w:sz="8" w:space="0"/>
            </w:tcBorders>
            <w:vAlign w:val="center"/>
          </w:tcPr>
          <w:p w14:paraId="543EC6AE">
            <w:pPr>
              <w:pStyle w:val="178"/>
              <w:snapToGrid w:val="0"/>
            </w:pPr>
            <w:r>
              <w:t>生态系统与自然观察</w:t>
            </w:r>
          </w:p>
        </w:tc>
        <w:tc>
          <w:tcPr>
            <w:tcW w:w="7814" w:type="dxa"/>
            <w:tcBorders>
              <w:top w:val="single" w:color="auto" w:sz="8" w:space="0"/>
            </w:tcBorders>
            <w:vAlign w:val="center"/>
          </w:tcPr>
          <w:p w14:paraId="0758D2F6">
            <w:pPr>
              <w:pStyle w:val="178"/>
              <w:snapToGrid w:val="0"/>
              <w:jc w:val="left"/>
            </w:pPr>
            <w:r>
              <w:t>生态系统组成、生物关系与生态平衡基础知识</w:t>
            </w:r>
            <w:r>
              <w:rPr>
                <w:rFonts w:hint="eastAsia"/>
              </w:rPr>
              <w:t>，</w:t>
            </w:r>
            <w:r>
              <w:t>依托户外场景，开展动植物辨识、生境观察、植被调查等自然探究活动，直观理解生态系统的整体性与关联性</w:t>
            </w:r>
            <w:r>
              <w:rPr>
                <w:rFonts w:hint="eastAsia"/>
              </w:rPr>
              <w:t>。</w:t>
            </w:r>
          </w:p>
        </w:tc>
      </w:tr>
      <w:tr w14:paraId="344963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390" w:type="dxa"/>
            <w:vAlign w:val="center"/>
          </w:tcPr>
          <w:p w14:paraId="5E4F76E3">
            <w:pPr>
              <w:pStyle w:val="178"/>
              <w:snapToGrid w:val="0"/>
            </w:pPr>
            <w:r>
              <w:t>环境污染与治理</w:t>
            </w:r>
          </w:p>
        </w:tc>
        <w:tc>
          <w:tcPr>
            <w:tcW w:w="7814" w:type="dxa"/>
            <w:vAlign w:val="center"/>
          </w:tcPr>
          <w:p w14:paraId="2990D508">
            <w:pPr>
              <w:pStyle w:val="178"/>
              <w:snapToGrid w:val="0"/>
              <w:jc w:val="left"/>
            </w:pPr>
            <w:r>
              <w:t>水、土壤、大气、垃圾等常见污染的成因、危害及治理常识</w:t>
            </w:r>
            <w:r>
              <w:rPr>
                <w:rFonts w:hint="eastAsia"/>
              </w:rPr>
              <w:t>，</w:t>
            </w:r>
            <w:r>
              <w:t>通过水质检测、环境点位排查、治理设施观摩等实操调研，实地发现生态问题、分析污染影响</w:t>
            </w:r>
            <w:r>
              <w:rPr>
                <w:rFonts w:hint="eastAsia"/>
              </w:rPr>
              <w:t>，</w:t>
            </w:r>
            <w:r>
              <w:t>树立科学治污、主动护绿的责任意识</w:t>
            </w:r>
            <w:r>
              <w:rPr>
                <w:rFonts w:hint="eastAsia"/>
              </w:rPr>
              <w:t>。</w:t>
            </w:r>
          </w:p>
        </w:tc>
      </w:tr>
      <w:tr w14:paraId="57570C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390" w:type="dxa"/>
            <w:vAlign w:val="center"/>
          </w:tcPr>
          <w:p w14:paraId="7E747C08">
            <w:pPr>
              <w:pStyle w:val="178"/>
            </w:pPr>
            <w:r>
              <w:t>低碳生活与绿色发展</w:t>
            </w:r>
          </w:p>
        </w:tc>
        <w:tc>
          <w:tcPr>
            <w:tcW w:w="7814" w:type="dxa"/>
            <w:vAlign w:val="center"/>
          </w:tcPr>
          <w:p w14:paraId="55C73C09">
            <w:pPr>
              <w:pStyle w:val="178"/>
              <w:ind w:left="105" w:leftChars="50"/>
              <w:jc w:val="both"/>
            </w:pPr>
            <w:r>
              <w:t>立足日常生活场景，科普低碳概念、资源节约、绿色生活的核心内涵，讲解个人日常行为与生态环境、</w:t>
            </w:r>
            <w:r>
              <w:rPr>
                <w:rFonts w:hint="eastAsia"/>
              </w:rPr>
              <w:t>“双碳”</w:t>
            </w:r>
            <w:r>
              <w:t>发展的关联逻辑</w:t>
            </w:r>
            <w:r>
              <w:rPr>
                <w:rFonts w:hint="eastAsia"/>
              </w:rPr>
              <w:t>，</w:t>
            </w:r>
            <w:r>
              <w:t>开展家庭/校园碳排放简易测算、垃圾分类实操、节能降耗体验、绿色出行调研、生态绿植养护等生活化实践任务，让学生在体验中感知低碳行为的价值</w:t>
            </w:r>
            <w:r>
              <w:rPr>
                <w:rFonts w:hint="eastAsia"/>
              </w:rPr>
              <w:t>。</w:t>
            </w:r>
          </w:p>
        </w:tc>
      </w:tr>
      <w:tr w14:paraId="0F12E9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390" w:type="dxa"/>
            <w:vAlign w:val="center"/>
          </w:tcPr>
          <w:p w14:paraId="417F9015">
            <w:pPr>
              <w:pStyle w:val="178"/>
            </w:pPr>
            <w:r>
              <w:rPr>
                <w:rFonts w:hint="eastAsia"/>
              </w:rPr>
              <w:t>政策与公众参与</w:t>
            </w:r>
          </w:p>
        </w:tc>
        <w:tc>
          <w:tcPr>
            <w:tcW w:w="7814" w:type="dxa"/>
            <w:vAlign w:val="center"/>
          </w:tcPr>
          <w:p w14:paraId="5AB93AD5">
            <w:pPr>
              <w:pStyle w:val="178"/>
              <w:jc w:val="both"/>
            </w:pPr>
            <w:r>
              <w:t>解读生态文明建设、生态环境保护、公众参与环保的相关基础政策、法律法规与社会意义</w:t>
            </w:r>
            <w:r>
              <w:rPr>
                <w:rFonts w:hint="eastAsia"/>
              </w:rPr>
              <w:t>，</w:t>
            </w:r>
            <w:r>
              <w:t>设计环保主题宣讲、生态公益宣传策划、社区环保调研、公众环保认知问卷走访等实践任务，引导学生主动参与生态科普与社会联动保护</w:t>
            </w:r>
            <w:r>
              <w:rPr>
                <w:rFonts w:hint="eastAsia"/>
              </w:rPr>
              <w:t>，提倡绿色低碳生活方式。</w:t>
            </w:r>
          </w:p>
        </w:tc>
      </w:tr>
    </w:tbl>
    <w:p w14:paraId="6394B175">
      <w:pPr>
        <w:pStyle w:val="105"/>
        <w:spacing w:before="120" w:after="120"/>
      </w:pPr>
      <w:bookmarkStart w:id="59" w:name="_Toc225518140"/>
      <w:r>
        <w:t>敏感内容设计策略</w:t>
      </w:r>
      <w:bookmarkEnd w:id="59"/>
    </w:p>
    <w:p w14:paraId="5A68CD2A">
      <w:pPr>
        <w:pStyle w:val="56"/>
        <w:ind w:firstLine="420"/>
      </w:pPr>
      <w:r>
        <w:t>针对涉及国家安全、保密或公众敏感度高的课程设计，</w:t>
      </w:r>
      <w:r>
        <w:rPr>
          <w:rFonts w:hint="eastAsia"/>
        </w:rPr>
        <w:t>宜遵循下列要求：</w:t>
      </w:r>
    </w:p>
    <w:p w14:paraId="0193A12C">
      <w:pPr>
        <w:pStyle w:val="132"/>
      </w:pPr>
      <w:r>
        <w:t>重点介绍国家生态环境安全</w:t>
      </w:r>
      <w:r>
        <w:rPr>
          <w:rFonts w:hint="eastAsia"/>
        </w:rPr>
        <w:t>“</w:t>
      </w:r>
      <w:r>
        <w:t>哨兵</w:t>
      </w:r>
      <w:r>
        <w:rPr>
          <w:rFonts w:hint="eastAsia"/>
        </w:rPr>
        <w:t>”</w:t>
      </w:r>
      <w:r>
        <w:t>的历史沿革</w:t>
      </w:r>
      <w:r>
        <w:rPr>
          <w:rFonts w:hint="eastAsia"/>
        </w:rPr>
        <w:t>，</w:t>
      </w:r>
      <w:r>
        <w:t>诠释</w:t>
      </w:r>
      <w:r>
        <w:rPr>
          <w:rFonts w:hint="eastAsia"/>
        </w:rPr>
        <w:t>“</w:t>
      </w:r>
      <w:r>
        <w:t>爱国、创新、求实、奉献、协同、育人</w:t>
      </w:r>
      <w:r>
        <w:rPr>
          <w:rFonts w:hint="eastAsia"/>
        </w:rPr>
        <w:t>”</w:t>
      </w:r>
      <w:r>
        <w:t>的科学家精神</w:t>
      </w:r>
      <w:r>
        <w:rPr>
          <w:rFonts w:hint="eastAsia"/>
        </w:rPr>
        <w:t>；</w:t>
      </w:r>
    </w:p>
    <w:p w14:paraId="179AD174">
      <w:pPr>
        <w:pStyle w:val="132"/>
        <w:rPr>
          <w:b/>
        </w:rPr>
      </w:pPr>
      <w:r>
        <w:t>通过展示设备（非涉密部分）、讲解监测数据在国家决策中的作用</w:t>
      </w:r>
      <w:r>
        <w:rPr>
          <w:rFonts w:hint="eastAsia"/>
        </w:rPr>
        <w:t>；</w:t>
      </w:r>
    </w:p>
    <w:p w14:paraId="29621906">
      <w:pPr>
        <w:pStyle w:val="132"/>
      </w:pPr>
      <w:r>
        <w:t>重点讲解</w:t>
      </w:r>
      <w:r>
        <w:rPr>
          <w:rFonts w:hint="eastAsia"/>
        </w:rPr>
        <w:t>生态环境治理设备</w:t>
      </w:r>
      <w:r>
        <w:t>应用等科普知识，避免涉及具体参数、安保细节及核心机密数据</w:t>
      </w:r>
      <w:r>
        <w:rPr>
          <w:rFonts w:hint="eastAsia"/>
        </w:rPr>
        <w:t>；</w:t>
      </w:r>
    </w:p>
    <w:p w14:paraId="3366BDE8">
      <w:pPr>
        <w:pStyle w:val="132"/>
      </w:pPr>
      <w:r>
        <w:t>课程动线严格限制在非涉密、非辐射风险的科普展厅、文化长廊</w:t>
      </w:r>
      <w:r>
        <w:rPr>
          <w:rFonts w:hint="eastAsia"/>
        </w:rPr>
        <w:t>内</w:t>
      </w:r>
      <w:r>
        <w:t>办公实验区。</w:t>
      </w:r>
    </w:p>
    <w:p w14:paraId="07902A64">
      <w:pPr>
        <w:pStyle w:val="105"/>
        <w:spacing w:before="120" w:after="120"/>
      </w:pPr>
      <w:r>
        <w:rPr>
          <w:rFonts w:hint="eastAsia"/>
        </w:rPr>
        <w:t>课程类型</w:t>
      </w:r>
    </w:p>
    <w:p w14:paraId="4343A625">
      <w:pPr>
        <w:pStyle w:val="56"/>
        <w:ind w:firstLine="420"/>
      </w:pPr>
      <w:r>
        <w:rPr>
          <w:rFonts w:hint="eastAsia"/>
        </w:rPr>
        <w:t>按照实践方式，将课程划分为</w:t>
      </w:r>
      <w:bookmarkStart w:id="60" w:name="OLE_LINK8"/>
      <w:bookmarkStart w:id="61" w:name="OLE_LINK7"/>
      <w:r>
        <w:rPr>
          <w:rFonts w:hint="eastAsia"/>
        </w:rPr>
        <w:t>以下四种类型：</w:t>
      </w:r>
      <w:bookmarkEnd w:id="60"/>
      <w:bookmarkEnd w:id="61"/>
      <w:r>
        <w:t>观摩体验类</w:t>
      </w:r>
      <w:r>
        <w:rPr>
          <w:rFonts w:hint="eastAsia"/>
        </w:rPr>
        <w:t>：以现场展览观看、实地体验为主的课程。该类课程宜在环保科普馆、环境监测站、</w:t>
      </w:r>
      <w:r>
        <w:t>污水处理厂</w:t>
      </w:r>
      <w:r>
        <w:rPr>
          <w:rFonts w:hint="eastAsia"/>
        </w:rPr>
        <w:t>等场地开展，重在向学生展示生态环境相关的基础知识、前沿进展，以及环保科技创新工艺与成果等，让学生置身于科学情境中，直观感知科学现象。</w:t>
      </w:r>
    </w:p>
    <w:p w14:paraId="1549B169">
      <w:pPr>
        <w:pStyle w:val="132"/>
      </w:pPr>
      <w:r>
        <w:rPr>
          <w:rFonts w:hint="eastAsia"/>
        </w:rPr>
        <w:t>科学考察类：以实地样本采集与处理、仪器操作与使用为主的课程，宜在湿地公园、自然保护区、城市绿地等场地开展，重在将理论知识与实践探索相结合，让学生置身于真实的自然环境中</w:t>
      </w:r>
      <w:r>
        <w:rPr>
          <w:rFonts w:hint="eastAsia"/>
          <w:lang w:eastAsia="zh-CN"/>
        </w:rPr>
        <w:t>；</w:t>
      </w:r>
    </w:p>
    <w:p w14:paraId="4727C610">
      <w:pPr>
        <w:pStyle w:val="132"/>
      </w:pPr>
      <w:r>
        <w:rPr>
          <w:rFonts w:hint="eastAsia"/>
        </w:rPr>
        <w:t>科学探究类：以探究生态规律为主的课程。该类课程旨在解决生态环保问题，重在通过完整的实践探究过程解决生态环境问题或探索生态环境现象</w:t>
      </w:r>
      <w:r>
        <w:rPr>
          <w:rFonts w:hint="eastAsia"/>
          <w:lang w:eastAsia="zh-CN"/>
        </w:rPr>
        <w:t>；</w:t>
      </w:r>
    </w:p>
    <w:p w14:paraId="5BE62123">
      <w:pPr>
        <w:pStyle w:val="132"/>
      </w:pPr>
      <w:r>
        <w:rPr>
          <w:rFonts w:hint="eastAsia"/>
        </w:rPr>
        <w:t>专题研究类</w:t>
      </w:r>
      <w:r>
        <w:rPr>
          <w:rFonts w:hint="eastAsia"/>
          <w:lang w:eastAsia="zh-CN"/>
        </w:rPr>
        <w:t>：</w:t>
      </w:r>
      <w:r>
        <w:rPr>
          <w:rFonts w:hint="eastAsia"/>
        </w:rPr>
        <w:t xml:space="preserve">该类课程需要针对生态环境某一问题进行系统深入的研究。 </w:t>
      </w:r>
    </w:p>
    <w:p w14:paraId="269226F0">
      <w:pPr>
        <w:pStyle w:val="105"/>
        <w:spacing w:before="120" w:after="120"/>
      </w:pPr>
      <w:r>
        <w:rPr>
          <w:rFonts w:hint="eastAsia"/>
        </w:rPr>
        <w:t>课程资源</w:t>
      </w:r>
    </w:p>
    <w:p w14:paraId="4FEC9C41">
      <w:pPr>
        <w:pStyle w:val="65"/>
        <w:spacing w:before="120" w:after="120"/>
      </w:pPr>
      <w:r>
        <w:rPr>
          <w:rFonts w:hint="eastAsia"/>
        </w:rPr>
        <w:t>人员配置</w:t>
      </w:r>
    </w:p>
    <w:p w14:paraId="43334600">
      <w:pPr>
        <w:pStyle w:val="164"/>
      </w:pPr>
      <w:r>
        <w:rPr>
          <w:rFonts w:hint="eastAsia"/>
        </w:rPr>
        <w:t>宜实行“技术人员+研学导师”双师制。技术人员负责专业内容准确性，研学导师负责教学互动与控场。</w:t>
      </w:r>
    </w:p>
    <w:p w14:paraId="2111466B">
      <w:pPr>
        <w:pStyle w:val="164"/>
      </w:pPr>
      <w:r>
        <w:rPr>
          <w:rFonts w:hint="eastAsia"/>
        </w:rPr>
        <w:t>宜依托高校、科研院所、行业协会及生态主管部门，</w:t>
      </w:r>
      <w:r>
        <w:t>组建由科研人员、教师组成的兼职导师库。</w:t>
      </w:r>
    </w:p>
    <w:p w14:paraId="2EC7373C">
      <w:pPr>
        <w:pStyle w:val="164"/>
      </w:pPr>
      <w:r>
        <w:rPr>
          <w:rFonts w:hint="eastAsia"/>
        </w:rPr>
        <w:t>技术人员宜符合下列要求：</w:t>
      </w:r>
    </w:p>
    <w:p w14:paraId="2B9ED3C3">
      <w:pPr>
        <w:pStyle w:val="132"/>
      </w:pPr>
      <w:r>
        <w:rPr>
          <w:rFonts w:hint="eastAsia"/>
        </w:rPr>
        <w:t>具备</w:t>
      </w:r>
      <w:r>
        <w:t>生态环境相关专业</w:t>
      </w:r>
      <w:r>
        <w:rPr>
          <w:rFonts w:hint="eastAsia"/>
        </w:rPr>
        <w:t>知识</w:t>
      </w:r>
      <w:r>
        <w:t>，</w:t>
      </w:r>
      <w:r>
        <w:rPr>
          <w:rFonts w:hint="eastAsia"/>
        </w:rPr>
        <w:t>且持有岗位相应资格证书，</w:t>
      </w:r>
      <w:r>
        <w:t>熟悉生态环境科普知识和绿色低碳发展理念；</w:t>
      </w:r>
    </w:p>
    <w:p w14:paraId="072EA6F3">
      <w:pPr>
        <w:pStyle w:val="132"/>
        <w:rPr>
          <w:lang w:bidi="th-TH"/>
        </w:rPr>
      </w:pPr>
      <w:r>
        <w:rPr>
          <w:lang w:bidi="th-TH"/>
        </w:rPr>
        <w:t>掌握研学所用各类器材设备的操作、校准与日常维护，包含水质检测工具、土壤测试仪、测温测湿设备、标本观察工具、记录测绘器材等</w:t>
      </w:r>
      <w:r>
        <w:rPr>
          <w:rFonts w:hint="eastAsia"/>
          <w:lang w:bidi="th-TH"/>
        </w:rPr>
        <w:t>；</w:t>
      </w:r>
    </w:p>
    <w:p w14:paraId="23C77A37">
      <w:pPr>
        <w:pStyle w:val="132"/>
        <w:rPr>
          <w:lang w:bidi="th-TH"/>
        </w:rPr>
      </w:pPr>
      <w:r>
        <w:rPr>
          <w:lang w:bidi="th-TH"/>
        </w:rPr>
        <w:t>具备户外研学安全保障能力与基础应急处置常识，熟悉场地风险点位</w:t>
      </w:r>
      <w:r>
        <w:rPr>
          <w:rFonts w:hint="eastAsia"/>
          <w:lang w:bidi="th-TH"/>
        </w:rPr>
        <w:t>，</w:t>
      </w:r>
      <w:r>
        <w:rPr>
          <w:lang w:bidi="th-TH"/>
        </w:rPr>
        <w:t>遇到突发设备问题、场地环境问题可快速处置，配合导师做好现场秩序维护与应急保障工作</w:t>
      </w:r>
      <w:r>
        <w:rPr>
          <w:rFonts w:hint="eastAsia"/>
          <w:lang w:bidi="th-TH"/>
        </w:rPr>
        <w:t>。</w:t>
      </w:r>
    </w:p>
    <w:p w14:paraId="36A863D3">
      <w:pPr>
        <w:pStyle w:val="164"/>
      </w:pPr>
      <w:r>
        <w:rPr>
          <w:rFonts w:hint="eastAsia"/>
        </w:rPr>
        <w:t>研学导师宜符合下列要求：</w:t>
      </w:r>
    </w:p>
    <w:p w14:paraId="750A794E">
      <w:pPr>
        <w:pStyle w:val="132"/>
      </w:pPr>
      <w:r>
        <w:t>持有研学导师相关资格证书</w:t>
      </w:r>
      <w:r>
        <w:rPr>
          <w:rFonts w:hint="eastAsia"/>
        </w:rPr>
        <w:t>；</w:t>
      </w:r>
    </w:p>
    <w:p w14:paraId="2DDC9581">
      <w:pPr>
        <w:pStyle w:val="132"/>
      </w:pPr>
      <w:r>
        <w:rPr>
          <w:rFonts w:hint="eastAsia"/>
        </w:rPr>
        <w:t>具有良好的</w:t>
      </w:r>
      <w:r>
        <w:t>组织协调与执行能力</w:t>
      </w:r>
      <w:r>
        <w:rPr>
          <w:rFonts w:hint="eastAsia"/>
        </w:rPr>
        <w:t>；</w:t>
      </w:r>
    </w:p>
    <w:p w14:paraId="02604C8F">
      <w:pPr>
        <w:pStyle w:val="132"/>
      </w:pPr>
      <w:r>
        <w:rPr>
          <w:rFonts w:hint="eastAsia"/>
        </w:rPr>
        <w:t>能够独立开展讲解与教学；</w:t>
      </w:r>
    </w:p>
    <w:p w14:paraId="4365C37F">
      <w:pPr>
        <w:pStyle w:val="132"/>
      </w:pPr>
      <w:r>
        <w:t>具备研学活动组织能力、沟通表达能力和应急处置能力</w:t>
      </w:r>
      <w:r>
        <w:rPr>
          <w:rFonts w:hint="eastAsia"/>
        </w:rPr>
        <w:t>。</w:t>
      </w:r>
    </w:p>
    <w:p w14:paraId="3209A5CC">
      <w:pPr>
        <w:pStyle w:val="164"/>
      </w:pPr>
      <w:r>
        <w:rPr>
          <w:rFonts w:hint="eastAsia"/>
        </w:rPr>
        <w:t>宜</w:t>
      </w:r>
      <w:r>
        <w:t>根据学生人数合理配备研学导师，</w:t>
      </w:r>
      <w:r>
        <w:rPr>
          <w:rFonts w:hint="eastAsia"/>
        </w:rPr>
        <w:t>研学导师学生配比为</w:t>
      </w:r>
      <w:r>
        <w:t>1:15；每支研学队伍</w:t>
      </w:r>
      <w:r>
        <w:rPr>
          <w:rFonts w:hint="eastAsia"/>
        </w:rPr>
        <w:t>宜</w:t>
      </w:r>
      <w:r>
        <w:t>至少配备1名安全员，在研学实践过程中随团开展安全教育和防控工作。</w:t>
      </w:r>
    </w:p>
    <w:p w14:paraId="372A589A">
      <w:pPr>
        <w:pStyle w:val="164"/>
      </w:pPr>
      <w:r>
        <w:t>定期开展研学导师培训，内容包括生态环境科普知识、研学活动组织技巧、安全管理规范、应急处置方法等，提升导师的专业能力和综合素养；鼓励导师参与生态环境科研实践和交流活动，更新知识储备。</w:t>
      </w:r>
    </w:p>
    <w:p w14:paraId="6E95EF73">
      <w:pPr>
        <w:pStyle w:val="65"/>
        <w:spacing w:before="120" w:after="120"/>
      </w:pPr>
      <w:r>
        <w:rPr>
          <w:rFonts w:hint="eastAsia"/>
        </w:rPr>
        <w:t>研学地点</w:t>
      </w:r>
    </w:p>
    <w:p w14:paraId="090FF103">
      <w:pPr>
        <w:pStyle w:val="164"/>
      </w:pPr>
      <w:r>
        <w:t>具备合法的运营资质，符合生态环境保护相关规定；具备开展生态环境科普研学的资源条件，能够为课程实施提供场地、设备、专业指导等支持。</w:t>
      </w:r>
    </w:p>
    <w:p w14:paraId="439DB8A9">
      <w:pPr>
        <w:pStyle w:val="164"/>
      </w:pPr>
      <w:r>
        <w:t>基地资源</w:t>
      </w:r>
      <w:r>
        <w:rPr>
          <w:rFonts w:hint="eastAsia"/>
        </w:rPr>
        <w:t>宜</w:t>
      </w:r>
      <w:r>
        <w:t>具有科普价值，能够直观展示生态环境相关知识和绿色低碳技术；资源布局合理，便于开展实践探究活动，且不破坏生态环境。</w:t>
      </w:r>
    </w:p>
    <w:p w14:paraId="14C20A8E">
      <w:pPr>
        <w:pStyle w:val="164"/>
      </w:pPr>
      <w:r>
        <w:rPr>
          <w:rFonts w:hint="eastAsia"/>
        </w:rPr>
        <w:t>宜</w:t>
      </w:r>
      <w:r>
        <w:t>配备必要的科普设施、实践设备和安全设施；具备完善的后勤保障设施，满足学生的研学需求。</w:t>
      </w:r>
    </w:p>
    <w:p w14:paraId="731BB749">
      <w:pPr>
        <w:pStyle w:val="164"/>
      </w:pPr>
      <w:r>
        <w:rPr>
          <w:rFonts w:hint="eastAsia"/>
        </w:rPr>
        <w:t>宜</w:t>
      </w:r>
      <w:r>
        <w:t>建立完善的管理制度，明确专人负责研学活动的对接、指导和安全管理</w:t>
      </w:r>
      <w:r>
        <w:rPr>
          <w:rFonts w:hint="eastAsia"/>
        </w:rPr>
        <w:t>。</w:t>
      </w:r>
    </w:p>
    <w:p w14:paraId="09535339">
      <w:pPr>
        <w:pStyle w:val="164"/>
      </w:pPr>
      <w:r>
        <w:rPr>
          <w:rFonts w:hint="eastAsia"/>
        </w:rPr>
        <w:t>宜</w:t>
      </w:r>
      <w:r>
        <w:t>制定生态保护预案，规范学生的研学行为，避免破坏基地生态环境</w:t>
      </w:r>
      <w:r>
        <w:rPr>
          <w:rFonts w:hint="eastAsia"/>
        </w:rPr>
        <w:t>。</w:t>
      </w:r>
    </w:p>
    <w:p w14:paraId="5CAC742B">
      <w:pPr>
        <w:pStyle w:val="164"/>
      </w:pPr>
      <w:r>
        <w:rPr>
          <w:rFonts w:hint="eastAsia"/>
        </w:rPr>
        <w:t>宜</w:t>
      </w:r>
      <w:r>
        <w:t>定期对基地设施、设备进行维护和检修，确保安全可用。</w:t>
      </w:r>
    </w:p>
    <w:p w14:paraId="5EF173E1">
      <w:pPr>
        <w:pStyle w:val="65"/>
        <w:spacing w:before="120" w:after="120"/>
      </w:pPr>
      <w:r>
        <w:rPr>
          <w:rFonts w:hint="eastAsia"/>
        </w:rPr>
        <w:t>资料开发</w:t>
      </w:r>
    </w:p>
    <w:p w14:paraId="6FF76BE8">
      <w:pPr>
        <w:pStyle w:val="164"/>
      </w:pPr>
      <w:r>
        <w:t>每个研学课程宜分别设计</w:t>
      </w:r>
      <w:bookmarkStart w:id="62" w:name="OLE_LINK9"/>
      <w:r>
        <w:rPr>
          <w:rFonts w:hint="eastAsia"/>
        </w:rPr>
        <w:t>课程教学方案</w:t>
      </w:r>
      <w:bookmarkEnd w:id="62"/>
      <w:r>
        <w:rPr>
          <w:rFonts w:hint="eastAsia"/>
        </w:rPr>
        <w:t>，课程教学方案宜包含：</w:t>
      </w:r>
    </w:p>
    <w:p w14:paraId="01F39613">
      <w:pPr>
        <w:pStyle w:val="132"/>
      </w:pPr>
      <w:r>
        <w:rPr>
          <w:rFonts w:hint="eastAsia"/>
        </w:rPr>
        <w:t>课程基本信息</w:t>
      </w:r>
      <w:r>
        <w:rPr>
          <w:rFonts w:hint="eastAsia"/>
          <w:lang w:eastAsia="zh-CN"/>
        </w:rPr>
        <w:t>；</w:t>
      </w:r>
    </w:p>
    <w:p w14:paraId="78D114DD">
      <w:pPr>
        <w:pStyle w:val="132"/>
      </w:pPr>
      <w:r>
        <w:rPr>
          <w:rFonts w:hint="eastAsia"/>
        </w:rPr>
        <w:t>课程目标</w:t>
      </w:r>
      <w:r>
        <w:rPr>
          <w:rFonts w:hint="eastAsia"/>
          <w:lang w:eastAsia="zh-CN"/>
        </w:rPr>
        <w:t>；</w:t>
      </w:r>
    </w:p>
    <w:p w14:paraId="081A6AD0">
      <w:pPr>
        <w:pStyle w:val="132"/>
      </w:pPr>
      <w:r>
        <w:rPr>
          <w:rFonts w:hint="eastAsia"/>
        </w:rPr>
        <w:t>课程内容</w:t>
      </w:r>
      <w:r>
        <w:rPr>
          <w:rFonts w:hint="eastAsia"/>
          <w:lang w:eastAsia="zh-CN"/>
        </w:rPr>
        <w:t>；</w:t>
      </w:r>
    </w:p>
    <w:p w14:paraId="78804FCD">
      <w:pPr>
        <w:pStyle w:val="132"/>
      </w:pPr>
      <w:r>
        <w:rPr>
          <w:rFonts w:hint="eastAsia"/>
        </w:rPr>
        <w:t>教学资源</w:t>
      </w:r>
      <w:r>
        <w:rPr>
          <w:rFonts w:hint="eastAsia"/>
          <w:lang w:eastAsia="zh-CN"/>
        </w:rPr>
        <w:t>；</w:t>
      </w:r>
    </w:p>
    <w:p w14:paraId="6D826C0C">
      <w:pPr>
        <w:pStyle w:val="132"/>
      </w:pPr>
      <w:r>
        <w:rPr>
          <w:rFonts w:hint="eastAsia"/>
        </w:rPr>
        <w:t>课程评价。</w:t>
      </w:r>
    </w:p>
    <w:p w14:paraId="3F77FCE0">
      <w:pPr>
        <w:pStyle w:val="56"/>
        <w:ind w:firstLine="420"/>
      </w:pPr>
      <w:r>
        <w:rPr>
          <w:rFonts w:hint="eastAsia"/>
        </w:rPr>
        <w:t>课程教学大纲参见附录A。</w:t>
      </w:r>
    </w:p>
    <w:p w14:paraId="792CE23B">
      <w:pPr>
        <w:pStyle w:val="164"/>
      </w:pPr>
      <w:r>
        <w:rPr>
          <w:rFonts w:hint="eastAsia"/>
        </w:rPr>
        <w:t>宜</w:t>
      </w:r>
      <w:r>
        <w:t>根据研学课程主题、目标、内容，以及研学对象，撰写研学手册。</w:t>
      </w:r>
    </w:p>
    <w:p w14:paraId="49EFEEDD">
      <w:pPr>
        <w:pStyle w:val="164"/>
      </w:pPr>
      <w:r>
        <w:rPr>
          <w:rFonts w:hint="eastAsia"/>
        </w:rPr>
        <w:t>研学手册内容参见附录B，应包括但不限于：</w:t>
      </w:r>
    </w:p>
    <w:p w14:paraId="14AB70D3">
      <w:pPr>
        <w:pStyle w:val="132"/>
      </w:pPr>
      <w:r>
        <w:rPr>
          <w:rFonts w:hint="eastAsia"/>
        </w:rPr>
        <w:t>主题、适用对象、地点、目标、行程安排、课程任务等基本内容；</w:t>
      </w:r>
    </w:p>
    <w:p w14:paraId="10140EA5">
      <w:pPr>
        <w:pStyle w:val="132"/>
      </w:pPr>
      <w:r>
        <w:rPr>
          <w:rFonts w:hint="eastAsia"/>
        </w:rPr>
        <w:t>地图和研学线路图、领队教师名单及联系方式、安全知识、团队全体学生名单、注意事项等重要信息。</w:t>
      </w:r>
    </w:p>
    <w:p w14:paraId="6A4520B1">
      <w:pPr>
        <w:pStyle w:val="105"/>
        <w:spacing w:before="120" w:after="120"/>
        <w:rPr>
          <w:rFonts w:hint="eastAsia"/>
        </w:rPr>
      </w:pPr>
      <w:r>
        <w:rPr>
          <w:rFonts w:hint="eastAsia"/>
        </w:rPr>
        <w:t>安全管理</w:t>
      </w:r>
    </w:p>
    <w:p w14:paraId="7904150B">
      <w:pPr>
        <w:pStyle w:val="165"/>
        <w:rPr>
          <w:rFonts w:hint="eastAsia"/>
        </w:rPr>
      </w:pPr>
      <w:r>
        <w:rPr>
          <w:rFonts w:hint="eastAsia"/>
        </w:rPr>
        <w:t>宜制定完善的安全应急预案，包括交通安全、人身安全、食品安全、突发疾病、恶劣天气、生态意外等场景的应急处置措施，明确应急联络方式、责任人和处置流程，定期组织应急演练。</w:t>
      </w:r>
    </w:p>
    <w:p w14:paraId="2CA832AB">
      <w:pPr>
        <w:pStyle w:val="165"/>
        <w:rPr>
          <w:rFonts w:hint="eastAsia"/>
        </w:rPr>
      </w:pPr>
      <w:r>
        <w:rPr>
          <w:rFonts w:hint="eastAsia"/>
        </w:rPr>
        <w:t>研学前宜全面排查安全隐患，研学场所宜设置明显的安全警示标识，划分安全活动区域；不准许学生进入危险区域（如深水区、陡坡、野生动物活动区等），研学导师和安全员全程巡查，及时制止危险行为。</w:t>
      </w:r>
    </w:p>
    <w:p w14:paraId="4BACA4B6">
      <w:pPr>
        <w:pStyle w:val="165"/>
        <w:rPr>
          <w:rFonts w:hint="eastAsia"/>
        </w:rPr>
      </w:pPr>
      <w:r>
        <w:rPr>
          <w:rFonts w:hint="eastAsia"/>
        </w:rPr>
        <w:t>准备充足的急救物资（如急救包、常用药品、消毒用品等），确保能够及时处理学生的突发疾病和轻微受伤；研学工具、器材需符合安全标准，定期检查和维护，避免因设备故障引发安全问题。</w:t>
      </w:r>
    </w:p>
    <w:p w14:paraId="3937A4BF">
      <w:pPr>
        <w:pStyle w:val="165"/>
        <w:rPr>
          <w:rFonts w:hint="eastAsia"/>
        </w:rPr>
      </w:pPr>
      <w:r>
        <w:rPr>
          <w:rFonts w:hint="eastAsia"/>
        </w:rPr>
        <w:t>选择具备合法运营资质、安全性能良好的交通工具，为学生购买意外险，签署知情同意书与安全责任书。</w:t>
      </w:r>
    </w:p>
    <w:p w14:paraId="6947F34B">
      <w:pPr>
        <w:pStyle w:val="165"/>
        <w:rPr>
          <w:rFonts w:hint="eastAsia"/>
        </w:rPr>
      </w:pPr>
      <w:r>
        <w:rPr>
          <w:rFonts w:hint="eastAsia"/>
        </w:rPr>
        <w:t>课前对学生进行全面的安全教育，包括交通安全、人身安全、环保安全、应急自救知识等。安全提醒宜贯穿整个研学过程。</w:t>
      </w:r>
    </w:p>
    <w:p w14:paraId="03DD346C">
      <w:pPr>
        <w:pStyle w:val="104"/>
        <w:spacing w:before="240" w:after="240"/>
      </w:pPr>
      <w:bookmarkStart w:id="63" w:name="_Toc225518181"/>
      <w:bookmarkStart w:id="64" w:name="_Toc225518146"/>
      <w:r>
        <w:rPr>
          <w:rFonts w:hint="eastAsia"/>
        </w:rPr>
        <w:t>课程评价</w:t>
      </w:r>
      <w:bookmarkEnd w:id="63"/>
      <w:bookmarkEnd w:id="64"/>
    </w:p>
    <w:p w14:paraId="5830D1E0">
      <w:pPr>
        <w:pStyle w:val="105"/>
        <w:spacing w:before="120" w:after="120"/>
      </w:pPr>
      <w:r>
        <w:rPr>
          <w:rFonts w:hint="eastAsia"/>
        </w:rPr>
        <w:t>评价内容</w:t>
      </w:r>
    </w:p>
    <w:p w14:paraId="63F05285">
      <w:pPr>
        <w:pStyle w:val="165"/>
      </w:pPr>
      <w:r>
        <w:rPr>
          <w:rFonts w:hint="eastAsia"/>
        </w:rPr>
        <w:t>评价</w:t>
      </w:r>
      <w:r>
        <w:t>学生在研学过程中的参与度、合作能力、探究能力、安全意识和环保行为，包括课堂互动、实践操作、小组合作、观察记录等情况。</w:t>
      </w:r>
    </w:p>
    <w:p w14:paraId="159A917C">
      <w:pPr>
        <w:pStyle w:val="165"/>
      </w:pPr>
      <w:r>
        <w:rPr>
          <w:rFonts w:hint="eastAsia"/>
        </w:rPr>
        <w:t>评价</w:t>
      </w:r>
      <w:r>
        <w:t>学生的研学成果，包括研学报告、手抄报、创意作品、实验报告、调研结论等，评价其知识掌握情况和能力提升效果。</w:t>
      </w:r>
    </w:p>
    <w:p w14:paraId="65CBFB5D">
      <w:pPr>
        <w:pStyle w:val="165"/>
      </w:pPr>
      <w:r>
        <w:rPr>
          <w:rFonts w:hint="eastAsia"/>
        </w:rPr>
        <w:t>评价</w:t>
      </w:r>
      <w:r>
        <w:t>学生在研学过程中的情感变化、环保意识和社会责任感，包括对生态环境的认同感、对绿色低碳理念的理解、参与环保实践的意愿等。</w:t>
      </w:r>
    </w:p>
    <w:p w14:paraId="5D771D43">
      <w:pPr>
        <w:pStyle w:val="105"/>
        <w:spacing w:before="120" w:after="120"/>
      </w:pPr>
      <w:r>
        <w:rPr>
          <w:rFonts w:hint="eastAsia"/>
        </w:rPr>
        <w:t>评价方式</w:t>
      </w:r>
    </w:p>
    <w:p w14:paraId="3DAA848F">
      <w:pPr>
        <w:pStyle w:val="165"/>
      </w:pPr>
      <w:r>
        <w:rPr>
          <w:rFonts w:hint="eastAsia"/>
        </w:rPr>
        <w:t>课程设计评价重点评估课程的时代性，与社会生活紧密联系，实践项目的探究价值，以及评价标准的客观性，可采用内部评价与外部评价两种方式进行：</w:t>
      </w:r>
    </w:p>
    <w:p w14:paraId="51AC2708">
      <w:pPr>
        <w:pStyle w:val="132"/>
      </w:pPr>
      <w:r>
        <w:rPr>
          <w:rFonts w:hint="eastAsia"/>
        </w:rPr>
        <w:t>内部评价由课程开发者、实施教师及学生代表共同参与，聚焦课程目标的适切性、内容的科学性、环节的逻辑性以及资源的适配性。通过集体备课、试课反馈、课后复盘等形式，自我审视课程设计的育人实效，及时调整优化；</w:t>
      </w:r>
    </w:p>
    <w:p w14:paraId="546249E1">
      <w:pPr>
        <w:pStyle w:val="132"/>
      </w:pPr>
      <w:r>
        <w:rPr>
          <w:rFonts w:hint="eastAsia"/>
        </w:rPr>
        <w:t>外部评价则引入教研员、学科专家、家长或社区代表等多元主体，从更广阔的视角审视课程。</w:t>
      </w:r>
    </w:p>
    <w:p w14:paraId="59B90CC3">
      <w:pPr>
        <w:pStyle w:val="165"/>
      </w:pPr>
      <w:r>
        <w:rPr>
          <w:rFonts w:hint="eastAsia"/>
        </w:rPr>
        <w:t>课程评价宜遵循发展导向、多元评价以及全面评价为准，宜避免只重结果，不重过程的现象。</w:t>
      </w:r>
    </w:p>
    <w:p w14:paraId="2B2B6E61">
      <w:pPr>
        <w:pStyle w:val="165"/>
      </w:pPr>
      <w:r>
        <w:rPr>
          <w:rFonts w:hint="eastAsia"/>
        </w:rPr>
        <w:t>评价方法宜由终结性评价发展为形式性评价，实行多次评价，如随时评价、“档案袋”式评价，突出过程性。</w:t>
      </w:r>
    </w:p>
    <w:p w14:paraId="3C365B67">
      <w:pPr>
        <w:pStyle w:val="165"/>
      </w:pPr>
      <w:r>
        <w:rPr>
          <w:rFonts w:hint="eastAsia"/>
        </w:rPr>
        <w:t>由定量评价发展到定量和定性相结合的评价，不仅关注学生的分数，还要看学生的学习动机、行为习惯、意志品质等。</w:t>
      </w:r>
    </w:p>
    <w:p w14:paraId="0C5D41EF">
      <w:pPr>
        <w:pStyle w:val="165"/>
      </w:pPr>
      <w:r>
        <w:rPr>
          <w:rFonts w:hint="eastAsia"/>
        </w:rPr>
        <w:t>宜对不同的学生采用不同的评价标准和方法，以促进所有学生都获得充分发展。</w:t>
      </w:r>
    </w:p>
    <w:p w14:paraId="70B7142F">
      <w:pPr>
        <w:pStyle w:val="105"/>
        <w:spacing w:before="120" w:after="120"/>
      </w:pPr>
      <w:bookmarkStart w:id="65" w:name="_Toc225518148"/>
      <w:r>
        <w:rPr>
          <w:rFonts w:hint="eastAsia"/>
        </w:rPr>
        <w:t>评价规则</w:t>
      </w:r>
      <w:bookmarkEnd w:id="65"/>
    </w:p>
    <w:p w14:paraId="3A8E4F47">
      <w:pPr>
        <w:pStyle w:val="56"/>
        <w:ind w:firstLine="420"/>
      </w:pPr>
      <w:r>
        <w:rPr>
          <w:rFonts w:hint="eastAsia"/>
        </w:rPr>
        <w:t>宜对课程设计进行逐项评分与综合评判，课程综合评价等级可采用等级制或百分制形式呈现。等级制分为优秀、良好、中等、合格、不合格五级。百分制与等级制的对应关系参考如下（也可根据具体评价目的另行明确）：</w:t>
      </w:r>
    </w:p>
    <w:p w14:paraId="0084288B">
      <w:pPr>
        <w:pStyle w:val="132"/>
      </w:pPr>
      <w:r>
        <w:rPr>
          <w:rFonts w:hint="eastAsia"/>
        </w:rPr>
        <w:t>优秀：90分≤综合得分≤100分；</w:t>
      </w:r>
    </w:p>
    <w:p w14:paraId="6914167D">
      <w:pPr>
        <w:pStyle w:val="132"/>
      </w:pPr>
      <w:r>
        <w:rPr>
          <w:rFonts w:hint="eastAsia"/>
        </w:rPr>
        <w:t>良好：80分≤综合得分＜90分；</w:t>
      </w:r>
    </w:p>
    <w:p w14:paraId="42AFA9E1">
      <w:pPr>
        <w:pStyle w:val="132"/>
      </w:pPr>
      <w:r>
        <w:rPr>
          <w:rFonts w:hint="eastAsia"/>
        </w:rPr>
        <w:t>中等：70分≤综合得分＜80分；</w:t>
      </w:r>
    </w:p>
    <w:p w14:paraId="6814F454">
      <w:pPr>
        <w:pStyle w:val="132"/>
      </w:pPr>
      <w:r>
        <w:rPr>
          <w:rFonts w:hint="eastAsia"/>
        </w:rPr>
        <w:t>合格：60分≤综合得分＜70分；</w:t>
      </w:r>
    </w:p>
    <w:p w14:paraId="06EE2152">
      <w:pPr>
        <w:pStyle w:val="132"/>
      </w:pPr>
      <w:r>
        <w:rPr>
          <w:rFonts w:hint="eastAsia"/>
        </w:rPr>
        <w:t>不合格：综合得分＜60分。</w:t>
      </w:r>
    </w:p>
    <w:p w14:paraId="7881025B">
      <w:pPr>
        <w:pStyle w:val="56"/>
        <w:ind w:firstLine="420"/>
      </w:pPr>
      <w:r>
        <w:rPr>
          <w:rFonts w:hint="eastAsia"/>
        </w:rPr>
        <w:t>具体指标见附录C。</w:t>
      </w:r>
    </w:p>
    <w:p w14:paraId="08444669">
      <w:pPr>
        <w:pStyle w:val="105"/>
        <w:spacing w:before="120" w:after="120"/>
      </w:pPr>
      <w:bookmarkStart w:id="66" w:name="_Toc225518150"/>
      <w:r>
        <w:rPr>
          <w:rFonts w:hint="eastAsia"/>
        </w:rPr>
        <w:t>评价</w:t>
      </w:r>
      <w:bookmarkEnd w:id="66"/>
      <w:r>
        <w:rPr>
          <w:rFonts w:hint="eastAsia"/>
        </w:rPr>
        <w:t>方法</w:t>
      </w:r>
    </w:p>
    <w:p w14:paraId="3E4DEC9B">
      <w:pPr>
        <w:pStyle w:val="56"/>
        <w:ind w:firstLine="420"/>
      </w:pPr>
      <w:r>
        <w:rPr>
          <w:rFonts w:hint="eastAsia"/>
        </w:rPr>
        <w:t>宜全面采集来自课程方案、教学过程、参与方反馈等各环节的信息，主要方法包括但不限于：</w:t>
      </w:r>
    </w:p>
    <w:p w14:paraId="4E7AD491">
      <w:pPr>
        <w:pStyle w:val="132"/>
      </w:pPr>
      <w:r>
        <w:rPr>
          <w:rFonts w:hint="eastAsia"/>
        </w:rPr>
        <w:t>文档审阅：查阅生态环境科普研学课程方案、研学手册、指导手册、应急预案、学生笔记等材料；</w:t>
      </w:r>
    </w:p>
    <w:p w14:paraId="5939ABD8">
      <w:pPr>
        <w:pStyle w:val="132"/>
      </w:pPr>
      <w:r>
        <w:rPr>
          <w:rFonts w:hint="eastAsia"/>
        </w:rPr>
        <w:t>满意度问卷调查：设计问卷收集学生、家长、带队教师的反馈数据，问卷内容覆盖对课程设计、课程实施与课程效果的体验与评估，满意度调查问卷见附录D；</w:t>
      </w:r>
    </w:p>
    <w:p w14:paraId="14827043">
      <w:pPr>
        <w:pStyle w:val="132"/>
      </w:pPr>
      <w:r>
        <w:rPr>
          <w:rFonts w:hint="eastAsia"/>
        </w:rPr>
        <w:t>现场观察：深入研学活动现场，记录现场教学实况；</w:t>
      </w:r>
    </w:p>
    <w:p w14:paraId="6B19784E">
      <w:pPr>
        <w:pStyle w:val="132"/>
      </w:pPr>
      <w:r>
        <w:rPr>
          <w:rFonts w:hint="eastAsia"/>
        </w:rPr>
        <w:t>访谈与座谈：通过个别访谈或小组座谈，获取各方对课程体验、成效及改进建议的详细信息；</w:t>
      </w:r>
    </w:p>
    <w:p w14:paraId="4B292A7E">
      <w:pPr>
        <w:pStyle w:val="132"/>
      </w:pPr>
      <w:r>
        <w:rPr>
          <w:rFonts w:hint="eastAsia"/>
        </w:rPr>
        <w:t>指标评分：依据附录C的评价指标体系，对课程的各项指标进行符合性判断与评分；应对收集到的各类数据与材料进行整理、比对和综合分析，明确课程优势与待改进之处；应基于分析，对照附录C的评价标准与等级划分，形成最终的评价等级结论。</w:t>
      </w:r>
    </w:p>
    <w:p w14:paraId="054FFBD1">
      <w:pPr>
        <w:pStyle w:val="105"/>
        <w:spacing w:before="120" w:after="120"/>
      </w:pPr>
      <w:bookmarkStart w:id="67" w:name="_Toc225518151"/>
      <w:r>
        <w:rPr>
          <w:rFonts w:hint="eastAsia"/>
        </w:rPr>
        <w:t>反馈机制</w:t>
      </w:r>
      <w:bookmarkEnd w:id="67"/>
    </w:p>
    <w:p w14:paraId="687C44CF">
      <w:pPr>
        <w:pStyle w:val="56"/>
        <w:ind w:firstLine="420"/>
      </w:pPr>
      <w:r>
        <w:rPr>
          <w:rFonts w:hint="eastAsia"/>
        </w:rPr>
        <w:t>定期汇总评价结果，优化课程设计与实施方式。</w:t>
      </w:r>
    </w:p>
    <w:p w14:paraId="23F56D88">
      <w:pPr>
        <w:pStyle w:val="56"/>
        <w:ind w:firstLine="420"/>
        <w:sectPr>
          <w:headerReference r:id="rId15" w:type="default"/>
          <w:footerReference r:id="rId17" w:type="default"/>
          <w:headerReference r:id="rId16" w:type="even"/>
          <w:footerReference r:id="rId18" w:type="even"/>
          <w:pgSz w:w="11906" w:h="16838"/>
          <w:pgMar w:top="1928" w:right="1134" w:bottom="1134" w:left="1134" w:header="1418" w:footer="1134" w:gutter="284"/>
          <w:pgNumType w:start="1"/>
          <w:cols w:space="425" w:num="1"/>
          <w:formProt w:val="0"/>
          <w:docGrid w:linePitch="312" w:charSpace="0"/>
        </w:sectPr>
      </w:pPr>
    </w:p>
    <w:bookmarkEnd w:id="24"/>
    <w:p w14:paraId="1977C437">
      <w:pPr>
        <w:pStyle w:val="198"/>
        <w:rPr>
          <w:rFonts w:hint="eastAsia"/>
          <w:vanish w:val="0"/>
        </w:rPr>
      </w:pPr>
      <w:bookmarkStart w:id="68" w:name="BookMark5"/>
    </w:p>
    <w:p w14:paraId="22AF223D">
      <w:pPr>
        <w:pStyle w:val="199"/>
        <w:rPr>
          <w:vanish w:val="0"/>
        </w:rPr>
      </w:pPr>
    </w:p>
    <w:p w14:paraId="33C130BD">
      <w:pPr>
        <w:pStyle w:val="76"/>
        <w:spacing w:after="120"/>
      </w:pPr>
      <w:r>
        <w:br w:type="textWrapping"/>
      </w:r>
      <w:bookmarkStart w:id="69" w:name="_Toc225518184"/>
      <w:bookmarkStart w:id="70" w:name="_Toc225518163"/>
      <w:r>
        <w:rPr>
          <w:rFonts w:hint="eastAsia"/>
        </w:rPr>
        <w:t>（资料性）</w:t>
      </w:r>
      <w:r>
        <w:br w:type="textWrapping"/>
      </w:r>
      <w:r>
        <w:rPr>
          <w:rFonts w:hint="eastAsia"/>
        </w:rPr>
        <w:t>课程教学大纲（示例）</w:t>
      </w:r>
    </w:p>
    <w:p w14:paraId="15778D71">
      <w:pPr>
        <w:pStyle w:val="56"/>
        <w:ind w:firstLine="420"/>
      </w:pPr>
      <w:r>
        <w:t>图</w:t>
      </w:r>
      <w:r>
        <w:rPr>
          <w:rFonts w:hint="eastAsia"/>
        </w:rPr>
        <w:t>A</w:t>
      </w:r>
      <w:r>
        <w:t>.1给出了课程教学大纲示例。</w:t>
      </w:r>
    </w:p>
    <w:p w14:paraId="2679E62B">
      <w:pPr>
        <w:pStyle w:val="56"/>
        <w:ind w:firstLine="420"/>
      </w:pPr>
    </w:p>
    <w:p w14:paraId="2D7FC95A">
      <w:pPr>
        <w:pStyle w:val="83"/>
        <w:numPr>
          <w:ilvl w:val="0"/>
          <w:numId w:val="0"/>
        </w:numPr>
        <w:spacing w:before="120" w:after="120"/>
      </w:pPr>
      <w:r>
        <w:drawing>
          <wp:inline distT="0" distB="0" distL="0" distR="0">
            <wp:extent cx="4619625" cy="6534150"/>
            <wp:effectExtent l="0" t="0" r="0" b="0"/>
            <wp:docPr id="907137133"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137133" name="图片 17"/>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a:xfrm>
                      <a:off x="0" y="0"/>
                      <a:ext cx="4667386" cy="6602168"/>
                    </a:xfrm>
                    <a:prstGeom prst="rect">
                      <a:avLst/>
                    </a:prstGeom>
                    <a:noFill/>
                    <a:ln>
                      <a:noFill/>
                    </a:ln>
                  </pic:spPr>
                </pic:pic>
              </a:graphicData>
            </a:graphic>
          </wp:inline>
        </w:drawing>
      </w:r>
      <w:r>
        <w:t xml:space="preserve"> </w:t>
      </w:r>
    </w:p>
    <w:p w14:paraId="1A5C5159">
      <w:pPr>
        <w:pStyle w:val="83"/>
        <w:spacing w:before="120" w:after="120"/>
      </w:pPr>
      <w:r>
        <w:rPr>
          <w:rFonts w:hint="eastAsia"/>
        </w:rPr>
        <w:t>课程教学大纲</w:t>
      </w:r>
    </w:p>
    <w:p w14:paraId="62A97A07">
      <w:pPr>
        <w:pStyle w:val="56"/>
        <w:ind w:firstLine="420"/>
        <w:jc w:val="center"/>
      </w:pPr>
      <w:r>
        <w:drawing>
          <wp:inline distT="0" distB="0" distL="0" distR="0">
            <wp:extent cx="5294630" cy="6304280"/>
            <wp:effectExtent l="0" t="0" r="1270" b="1270"/>
            <wp:docPr id="1168269274"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8269274" name="图片 16"/>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a:xfrm>
                      <a:off x="0" y="0"/>
                      <a:ext cx="5306678" cy="6318762"/>
                    </a:xfrm>
                    <a:prstGeom prst="rect">
                      <a:avLst/>
                    </a:prstGeom>
                    <a:noFill/>
                    <a:ln>
                      <a:noFill/>
                    </a:ln>
                  </pic:spPr>
                </pic:pic>
              </a:graphicData>
            </a:graphic>
          </wp:inline>
        </w:drawing>
      </w:r>
    </w:p>
    <w:p w14:paraId="1ABB4F50">
      <w:pPr>
        <w:pStyle w:val="83"/>
        <w:numPr>
          <w:ilvl w:val="0"/>
          <w:numId w:val="0"/>
        </w:numPr>
        <w:spacing w:before="120" w:after="120"/>
        <w:rPr>
          <w:szCs w:val="21"/>
          <w:lang w:bidi="th-TH"/>
        </w:rPr>
      </w:pPr>
      <w:r>
        <w:rPr>
          <w:rFonts w:hint="eastAsia" w:hAnsi="黑体"/>
        </w:rPr>
        <w:t>图A.1 课程教学大纲</w:t>
      </w:r>
      <w:r>
        <w:rPr>
          <w:rFonts w:hint="eastAsia" w:ascii="宋体" w:hAnsi="宋体" w:eastAsia="宋体"/>
        </w:rPr>
        <w:t>（第2页/共2页）</w:t>
      </w:r>
    </w:p>
    <w:bookmarkEnd w:id="69"/>
    <w:bookmarkEnd w:id="70"/>
    <w:p w14:paraId="1EDE71B4">
      <w:pPr>
        <w:pStyle w:val="56"/>
        <w:ind w:firstLine="420"/>
        <w:jc w:val="center"/>
        <w:sectPr>
          <w:headerReference r:id="rId19" w:type="default"/>
          <w:footerReference r:id="rId21" w:type="default"/>
          <w:headerReference r:id="rId20" w:type="even"/>
          <w:footerReference r:id="rId22" w:type="even"/>
          <w:pgSz w:w="11906" w:h="16838"/>
          <w:pgMar w:top="1928" w:right="1134" w:bottom="1134" w:left="1134" w:header="1418" w:footer="1134" w:gutter="284"/>
          <w:pgNumType w:start="1"/>
          <w:cols w:space="425" w:num="1"/>
          <w:formProt w:val="0"/>
          <w:docGrid w:linePitch="312" w:charSpace="0"/>
        </w:sectPr>
      </w:pPr>
    </w:p>
    <w:p w14:paraId="56BCBE5C">
      <w:pPr>
        <w:pStyle w:val="198"/>
        <w:rPr>
          <w:rFonts w:hint="eastAsia"/>
          <w:vanish w:val="0"/>
        </w:rPr>
      </w:pPr>
    </w:p>
    <w:p w14:paraId="21DFC390">
      <w:pPr>
        <w:pStyle w:val="199"/>
        <w:rPr>
          <w:vanish w:val="0"/>
        </w:rPr>
      </w:pPr>
    </w:p>
    <w:p w14:paraId="205E339F">
      <w:pPr>
        <w:pStyle w:val="76"/>
        <w:spacing w:after="120"/>
      </w:pPr>
      <w:r>
        <w:br w:type="textWrapping"/>
      </w:r>
      <w:r>
        <w:rPr>
          <w:rFonts w:hint="eastAsia"/>
        </w:rPr>
        <w:t>（资料性）</w:t>
      </w:r>
      <w:r>
        <w:br w:type="textWrapping"/>
      </w:r>
      <w:r>
        <w:rPr>
          <w:rFonts w:hint="eastAsia"/>
        </w:rPr>
        <w:t>研学手册大纲（示例）</w:t>
      </w:r>
    </w:p>
    <w:p w14:paraId="58EF191A">
      <w:pPr>
        <w:pStyle w:val="56"/>
        <w:ind w:firstLine="420"/>
      </w:pPr>
      <w:r>
        <w:t>图</w:t>
      </w:r>
      <w:r>
        <w:rPr>
          <w:rFonts w:hint="eastAsia"/>
        </w:rPr>
        <w:t>B</w:t>
      </w:r>
      <w:r>
        <w:t>.1给出了研学手册大纲</w:t>
      </w:r>
      <w:r>
        <w:rPr>
          <w:rFonts w:hint="eastAsia"/>
        </w:rPr>
        <w:t>示例</w:t>
      </w:r>
      <w:r>
        <w:t>。</w:t>
      </w:r>
    </w:p>
    <w:p w14:paraId="67A2D914">
      <w:pPr>
        <w:pStyle w:val="56"/>
        <w:ind w:firstLine="420"/>
      </w:pPr>
    </w:p>
    <w:p w14:paraId="6D6EBDE9">
      <w:pPr>
        <w:pStyle w:val="56"/>
        <w:ind w:firstLine="420"/>
        <w:jc w:val="center"/>
      </w:pPr>
      <w:r>
        <w:drawing>
          <wp:inline distT="0" distB="0" distL="0" distR="0">
            <wp:extent cx="5072380" cy="6566535"/>
            <wp:effectExtent l="0" t="0" r="0" b="5715"/>
            <wp:docPr id="672974493"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974493" name="图片 18"/>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a:xfrm>
                      <a:off x="0" y="0"/>
                      <a:ext cx="5095059" cy="6595688"/>
                    </a:xfrm>
                    <a:prstGeom prst="rect">
                      <a:avLst/>
                    </a:prstGeom>
                    <a:noFill/>
                    <a:ln>
                      <a:noFill/>
                    </a:ln>
                  </pic:spPr>
                </pic:pic>
              </a:graphicData>
            </a:graphic>
          </wp:inline>
        </w:drawing>
      </w:r>
    </w:p>
    <w:p w14:paraId="4C789831">
      <w:pPr>
        <w:pStyle w:val="83"/>
        <w:spacing w:before="120" w:after="120"/>
      </w:pPr>
      <w:r>
        <w:t>研学手册大纲</w:t>
      </w:r>
    </w:p>
    <w:p w14:paraId="49737614">
      <w:pPr>
        <w:pStyle w:val="56"/>
        <w:ind w:firstLine="420"/>
      </w:pPr>
    </w:p>
    <w:p w14:paraId="6D85B4C8">
      <w:pPr>
        <w:pStyle w:val="56"/>
        <w:ind w:firstLine="420"/>
        <w:sectPr>
          <w:pgSz w:w="11906" w:h="16838"/>
          <w:pgMar w:top="1928" w:right="1134" w:bottom="1134" w:left="1134" w:header="1418" w:footer="1134" w:gutter="284"/>
          <w:cols w:space="425" w:num="1"/>
          <w:formProt w:val="0"/>
          <w:docGrid w:linePitch="312" w:charSpace="0"/>
        </w:sectPr>
      </w:pPr>
    </w:p>
    <w:p w14:paraId="3D753C7D">
      <w:pPr>
        <w:pStyle w:val="198"/>
        <w:rPr>
          <w:rFonts w:hint="eastAsia"/>
          <w:vanish w:val="0"/>
        </w:rPr>
      </w:pPr>
    </w:p>
    <w:p w14:paraId="559E6D89">
      <w:pPr>
        <w:pStyle w:val="199"/>
        <w:rPr>
          <w:vanish w:val="0"/>
        </w:rPr>
      </w:pPr>
    </w:p>
    <w:p w14:paraId="39DD10B7">
      <w:pPr>
        <w:pStyle w:val="76"/>
        <w:spacing w:after="120"/>
      </w:pPr>
      <w:r>
        <w:br w:type="textWrapping"/>
      </w:r>
      <w:r>
        <w:rPr>
          <w:rFonts w:hint="eastAsia"/>
        </w:rPr>
        <w:t>（资料性）</w:t>
      </w:r>
      <w:r>
        <w:br w:type="textWrapping"/>
      </w:r>
      <w:r>
        <w:rPr>
          <w:rFonts w:hint="eastAsia"/>
        </w:rPr>
        <w:t>课程评价表</w:t>
      </w:r>
    </w:p>
    <w:p w14:paraId="02E2831C">
      <w:pPr>
        <w:pStyle w:val="211"/>
      </w:pPr>
      <w:r>
        <w:rPr>
          <w:rFonts w:hint="eastAsia"/>
        </w:rPr>
        <w:t>表C.1给出了课程评价表。</w:t>
      </w:r>
    </w:p>
    <w:p w14:paraId="46CC6C77">
      <w:pPr>
        <w:pStyle w:val="77"/>
        <w:spacing w:before="120" w:after="120"/>
      </w:pPr>
      <w:r>
        <w:rPr>
          <w:rFonts w:hint="eastAsia"/>
        </w:rPr>
        <w:t>课程评价表</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2448"/>
        <w:gridCol w:w="4356"/>
        <w:gridCol w:w="851"/>
        <w:gridCol w:w="1415"/>
      </w:tblGrid>
      <w:tr w14:paraId="5144FD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74" w:hRule="atLeast"/>
          <w:tblHeader/>
          <w:jc w:val="center"/>
        </w:trPr>
        <w:tc>
          <w:tcPr>
            <w:tcW w:w="2448" w:type="dxa"/>
            <w:tcBorders>
              <w:top w:val="single" w:color="auto" w:sz="8" w:space="0"/>
              <w:bottom w:val="single" w:color="auto" w:sz="8" w:space="0"/>
            </w:tcBorders>
            <w:vAlign w:val="center"/>
          </w:tcPr>
          <w:p w14:paraId="2B69D9EA">
            <w:pPr>
              <w:pStyle w:val="178"/>
              <w:spacing w:line="360" w:lineRule="exact"/>
            </w:pPr>
            <w:r>
              <w:rPr>
                <w:rFonts w:hint="eastAsia"/>
              </w:rPr>
              <w:t>评价指标</w:t>
            </w:r>
          </w:p>
        </w:tc>
        <w:tc>
          <w:tcPr>
            <w:tcW w:w="4356" w:type="dxa"/>
            <w:tcBorders>
              <w:top w:val="single" w:color="auto" w:sz="8" w:space="0"/>
              <w:bottom w:val="single" w:color="auto" w:sz="8" w:space="0"/>
            </w:tcBorders>
            <w:vAlign w:val="center"/>
          </w:tcPr>
          <w:p w14:paraId="16D9B7D5">
            <w:pPr>
              <w:pStyle w:val="178"/>
              <w:spacing w:line="360" w:lineRule="exact"/>
              <w:ind w:left="105" w:leftChars="50" w:right="105" w:rightChars="50"/>
              <w:rPr>
                <w:rFonts w:cs="DokChampa"/>
                <w:lang w:bidi="lo-LA"/>
              </w:rPr>
            </w:pPr>
            <w:r>
              <w:rPr>
                <w:rFonts w:hint="eastAsia" w:cs="DokChampa"/>
                <w:lang w:bidi="lo-LA"/>
              </w:rPr>
              <w:t>具体内容</w:t>
            </w:r>
          </w:p>
        </w:tc>
        <w:tc>
          <w:tcPr>
            <w:tcW w:w="851" w:type="dxa"/>
            <w:tcBorders>
              <w:bottom w:val="single" w:color="auto" w:sz="8" w:space="0"/>
            </w:tcBorders>
            <w:vAlign w:val="center"/>
          </w:tcPr>
          <w:p w14:paraId="396E2758">
            <w:pPr>
              <w:pStyle w:val="178"/>
              <w:spacing w:line="360" w:lineRule="exact"/>
            </w:pPr>
            <w:r>
              <w:rPr>
                <w:rFonts w:hint="eastAsia"/>
              </w:rPr>
              <w:t>得分</w:t>
            </w:r>
          </w:p>
        </w:tc>
        <w:tc>
          <w:tcPr>
            <w:tcW w:w="1415" w:type="dxa"/>
            <w:tcBorders>
              <w:bottom w:val="single" w:color="auto" w:sz="8" w:space="0"/>
            </w:tcBorders>
          </w:tcPr>
          <w:p w14:paraId="51E820F3">
            <w:pPr>
              <w:pStyle w:val="178"/>
              <w:spacing w:line="360" w:lineRule="exact"/>
            </w:pPr>
            <w:r>
              <w:rPr>
                <w:rFonts w:hint="eastAsia"/>
              </w:rPr>
              <w:t>其他建议</w:t>
            </w:r>
          </w:p>
        </w:tc>
      </w:tr>
      <w:tr w14:paraId="159142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448" w:type="dxa"/>
            <w:tcBorders>
              <w:top w:val="single" w:color="auto" w:sz="8" w:space="0"/>
            </w:tcBorders>
            <w:vAlign w:val="center"/>
          </w:tcPr>
          <w:p w14:paraId="5EB03960">
            <w:pPr>
              <w:pStyle w:val="178"/>
              <w:spacing w:line="360" w:lineRule="exact"/>
              <w:rPr>
                <w:rFonts w:cstheme="minorBidi"/>
                <w:lang w:bidi="th-TH"/>
              </w:rPr>
            </w:pPr>
            <w:r>
              <w:rPr>
                <w:rFonts w:hint="eastAsia"/>
              </w:rPr>
              <w:t>课程主题</w:t>
            </w:r>
          </w:p>
          <w:p w14:paraId="2995F5E9">
            <w:pPr>
              <w:pStyle w:val="178"/>
              <w:spacing w:line="360" w:lineRule="exact"/>
            </w:pPr>
            <w:r>
              <w:rPr>
                <w:rFonts w:hint="eastAsia"/>
              </w:rPr>
              <w:t>（5分）</w:t>
            </w:r>
          </w:p>
        </w:tc>
        <w:tc>
          <w:tcPr>
            <w:tcW w:w="4356" w:type="dxa"/>
            <w:tcBorders>
              <w:top w:val="single" w:color="auto" w:sz="8" w:space="0"/>
            </w:tcBorders>
            <w:vAlign w:val="center"/>
          </w:tcPr>
          <w:p w14:paraId="7907C3E8">
            <w:pPr>
              <w:pStyle w:val="178"/>
              <w:spacing w:line="360" w:lineRule="exact"/>
              <w:ind w:left="105" w:leftChars="50" w:right="105" w:rightChars="50"/>
              <w:jc w:val="both"/>
            </w:pPr>
            <w:r>
              <w:rPr>
                <w:rFonts w:hint="eastAsia"/>
              </w:rPr>
              <w:t>主题明确，结合热点话题进行设计，符合国家教育方针与生态环境科普要求。</w:t>
            </w:r>
          </w:p>
        </w:tc>
        <w:tc>
          <w:tcPr>
            <w:tcW w:w="851" w:type="dxa"/>
            <w:tcBorders>
              <w:top w:val="single" w:color="auto" w:sz="8" w:space="0"/>
            </w:tcBorders>
            <w:vAlign w:val="center"/>
          </w:tcPr>
          <w:p w14:paraId="39F39A6F">
            <w:pPr>
              <w:pStyle w:val="178"/>
              <w:spacing w:line="360" w:lineRule="exact"/>
              <w:rPr>
                <w:sz w:val="20"/>
                <w:szCs w:val="21"/>
              </w:rPr>
            </w:pPr>
          </w:p>
        </w:tc>
        <w:tc>
          <w:tcPr>
            <w:tcW w:w="1415" w:type="dxa"/>
            <w:tcBorders>
              <w:top w:val="single" w:color="auto" w:sz="8" w:space="0"/>
            </w:tcBorders>
          </w:tcPr>
          <w:p w14:paraId="5178779A">
            <w:pPr>
              <w:pStyle w:val="178"/>
              <w:spacing w:line="360" w:lineRule="exact"/>
            </w:pPr>
          </w:p>
        </w:tc>
      </w:tr>
      <w:tr w14:paraId="5B9C92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448" w:type="dxa"/>
            <w:vMerge w:val="restart"/>
            <w:vAlign w:val="center"/>
          </w:tcPr>
          <w:p w14:paraId="00B62C14">
            <w:pPr>
              <w:pStyle w:val="178"/>
              <w:spacing w:line="360" w:lineRule="exact"/>
            </w:pPr>
            <w:r>
              <w:rPr>
                <w:rFonts w:hint="eastAsia"/>
              </w:rPr>
              <w:t>课程目标</w:t>
            </w:r>
          </w:p>
          <w:p w14:paraId="67C5ABF8">
            <w:pPr>
              <w:pStyle w:val="178"/>
              <w:spacing w:line="360" w:lineRule="exact"/>
            </w:pPr>
            <w:r>
              <w:rPr>
                <w:rFonts w:hint="eastAsia"/>
                <w:lang w:eastAsia="zh-CN"/>
              </w:rPr>
              <w:t>(</w:t>
            </w:r>
            <w:r>
              <w:rPr>
                <w:rFonts w:hint="eastAsia"/>
              </w:rPr>
              <w:t>8</w:t>
            </w:r>
            <w:r>
              <w:rPr>
                <w:rFonts w:hint="eastAsia"/>
                <w:lang w:eastAsia="zh-CN"/>
              </w:rPr>
              <w:t>)</w:t>
            </w:r>
          </w:p>
        </w:tc>
        <w:tc>
          <w:tcPr>
            <w:tcW w:w="4356" w:type="dxa"/>
            <w:vAlign w:val="center"/>
          </w:tcPr>
          <w:p w14:paraId="2563257C">
            <w:pPr>
              <w:pStyle w:val="178"/>
              <w:spacing w:line="360" w:lineRule="exact"/>
              <w:ind w:left="105" w:leftChars="50" w:right="105" w:rightChars="50"/>
              <w:jc w:val="both"/>
            </w:pPr>
            <w:r>
              <w:rPr>
                <w:rFonts w:hint="eastAsia"/>
              </w:rPr>
              <w:t>针对不同学段学生进行分层设计，符合学生的认知水平和身心发展规律。</w:t>
            </w:r>
          </w:p>
        </w:tc>
        <w:tc>
          <w:tcPr>
            <w:tcW w:w="851" w:type="dxa"/>
            <w:vAlign w:val="center"/>
          </w:tcPr>
          <w:p w14:paraId="67A1C390">
            <w:pPr>
              <w:pStyle w:val="178"/>
              <w:spacing w:line="360" w:lineRule="exact"/>
              <w:jc w:val="both"/>
              <w:rPr>
                <w:sz w:val="20"/>
                <w:szCs w:val="21"/>
              </w:rPr>
            </w:pPr>
          </w:p>
        </w:tc>
        <w:tc>
          <w:tcPr>
            <w:tcW w:w="1415" w:type="dxa"/>
          </w:tcPr>
          <w:p w14:paraId="43D84A06">
            <w:pPr>
              <w:pStyle w:val="178"/>
              <w:spacing w:line="360" w:lineRule="exact"/>
              <w:jc w:val="both"/>
            </w:pPr>
          </w:p>
        </w:tc>
      </w:tr>
      <w:tr w14:paraId="45A943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448" w:type="dxa"/>
            <w:vMerge w:val="continue"/>
            <w:vAlign w:val="center"/>
          </w:tcPr>
          <w:p w14:paraId="20AA8664">
            <w:pPr>
              <w:pStyle w:val="178"/>
              <w:spacing w:line="360" w:lineRule="exact"/>
            </w:pPr>
          </w:p>
        </w:tc>
        <w:tc>
          <w:tcPr>
            <w:tcW w:w="4356" w:type="dxa"/>
            <w:vAlign w:val="center"/>
          </w:tcPr>
          <w:p w14:paraId="48F26A8B">
            <w:pPr>
              <w:pStyle w:val="178"/>
              <w:spacing w:line="360" w:lineRule="exact"/>
              <w:ind w:left="105" w:leftChars="50" w:right="105" w:rightChars="50"/>
              <w:jc w:val="both"/>
            </w:pPr>
            <w:r>
              <w:rPr>
                <w:rFonts w:hint="eastAsia"/>
              </w:rPr>
              <w:t>表述具体、明确、可衡量，能够指导整个课程的设计和实施。</w:t>
            </w:r>
          </w:p>
        </w:tc>
        <w:tc>
          <w:tcPr>
            <w:tcW w:w="851" w:type="dxa"/>
            <w:vAlign w:val="center"/>
          </w:tcPr>
          <w:p w14:paraId="16EE2386">
            <w:pPr>
              <w:pStyle w:val="178"/>
              <w:spacing w:line="360" w:lineRule="exact"/>
              <w:rPr>
                <w:sz w:val="20"/>
                <w:szCs w:val="21"/>
              </w:rPr>
            </w:pPr>
          </w:p>
        </w:tc>
        <w:tc>
          <w:tcPr>
            <w:tcW w:w="1415" w:type="dxa"/>
          </w:tcPr>
          <w:p w14:paraId="48D59B07">
            <w:pPr>
              <w:pStyle w:val="178"/>
              <w:spacing w:line="360" w:lineRule="exact"/>
            </w:pPr>
          </w:p>
        </w:tc>
      </w:tr>
      <w:tr w14:paraId="44783B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448" w:type="dxa"/>
            <w:vMerge w:val="restart"/>
            <w:vAlign w:val="center"/>
          </w:tcPr>
          <w:p w14:paraId="097FCA9C">
            <w:pPr>
              <w:pStyle w:val="178"/>
              <w:spacing w:line="360" w:lineRule="exact"/>
            </w:pPr>
            <w:r>
              <w:rPr>
                <w:rFonts w:hint="eastAsia"/>
              </w:rPr>
              <w:t>课程内容</w:t>
            </w:r>
          </w:p>
          <w:p w14:paraId="068C82D0">
            <w:pPr>
              <w:pStyle w:val="178"/>
              <w:spacing w:line="360" w:lineRule="exact"/>
            </w:pPr>
            <w:r>
              <w:rPr>
                <w:rFonts w:hint="eastAsia"/>
              </w:rPr>
              <w:t>（10分）</w:t>
            </w:r>
          </w:p>
        </w:tc>
        <w:tc>
          <w:tcPr>
            <w:tcW w:w="4356" w:type="dxa"/>
            <w:vAlign w:val="center"/>
          </w:tcPr>
          <w:p w14:paraId="57832B9F">
            <w:pPr>
              <w:pStyle w:val="178"/>
              <w:spacing w:line="360" w:lineRule="exact"/>
              <w:ind w:left="105" w:leftChars="50" w:right="105" w:rightChars="50"/>
              <w:jc w:val="both"/>
            </w:pPr>
            <w:r>
              <w:rPr>
                <w:rFonts w:hAnsi="宋体" w:cs="宋体"/>
                <w:kern w:val="2"/>
                <w:szCs w:val="18"/>
              </w:rPr>
              <w:t>内容科学、准确，能反映地区生态环境特色、现代环境监测与治理技术、生态保护实践等；针对</w:t>
            </w:r>
            <w:r>
              <w:rPr>
                <w:rFonts w:hint="eastAsia" w:hAnsi="宋体" w:cs="宋体"/>
                <w:kern w:val="2"/>
                <w:szCs w:val="18"/>
              </w:rPr>
              <w:t>涉密</w:t>
            </w:r>
            <w:r>
              <w:rPr>
                <w:rFonts w:hAnsi="宋体" w:cs="宋体"/>
                <w:kern w:val="2"/>
                <w:szCs w:val="18"/>
              </w:rPr>
              <w:t>单位，无敏感信息泄露风险</w:t>
            </w:r>
            <w:r>
              <w:rPr>
                <w:rFonts w:hint="eastAsia" w:hAnsi="宋体" w:cs="宋体"/>
                <w:kern w:val="2"/>
                <w:szCs w:val="18"/>
              </w:rPr>
              <w:t>。</w:t>
            </w:r>
          </w:p>
        </w:tc>
        <w:tc>
          <w:tcPr>
            <w:tcW w:w="851" w:type="dxa"/>
            <w:vAlign w:val="center"/>
          </w:tcPr>
          <w:p w14:paraId="5E2D463B">
            <w:pPr>
              <w:pStyle w:val="178"/>
              <w:spacing w:line="360" w:lineRule="exact"/>
              <w:rPr>
                <w:sz w:val="20"/>
                <w:szCs w:val="21"/>
              </w:rPr>
            </w:pPr>
          </w:p>
        </w:tc>
        <w:tc>
          <w:tcPr>
            <w:tcW w:w="1415" w:type="dxa"/>
          </w:tcPr>
          <w:p w14:paraId="09EC2C9D">
            <w:pPr>
              <w:pStyle w:val="178"/>
              <w:spacing w:line="360" w:lineRule="exact"/>
            </w:pPr>
          </w:p>
        </w:tc>
      </w:tr>
      <w:tr w14:paraId="191691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448" w:type="dxa"/>
            <w:vMerge w:val="continue"/>
            <w:vAlign w:val="center"/>
          </w:tcPr>
          <w:p w14:paraId="537F695F">
            <w:pPr>
              <w:pStyle w:val="178"/>
              <w:spacing w:line="360" w:lineRule="exact"/>
            </w:pPr>
          </w:p>
        </w:tc>
        <w:tc>
          <w:tcPr>
            <w:tcW w:w="4356" w:type="dxa"/>
            <w:vAlign w:val="center"/>
          </w:tcPr>
          <w:p w14:paraId="59FA4C0F">
            <w:pPr>
              <w:pStyle w:val="178"/>
              <w:spacing w:line="360" w:lineRule="exact"/>
              <w:ind w:left="105" w:leftChars="50" w:right="105" w:rightChars="50"/>
              <w:jc w:val="both"/>
            </w:pPr>
            <w:r>
              <w:rPr>
                <w:rFonts w:hint="eastAsia" w:hAnsi="宋体" w:cs="宋体"/>
                <w:kern w:val="2"/>
                <w:szCs w:val="18"/>
              </w:rPr>
              <w:t>兼具趣味性与实践性，设计了引导学生亲身实践的环境探究活动，引导学生动手操作、深入观察与主动思考。</w:t>
            </w:r>
          </w:p>
        </w:tc>
        <w:tc>
          <w:tcPr>
            <w:tcW w:w="851" w:type="dxa"/>
            <w:vAlign w:val="center"/>
          </w:tcPr>
          <w:p w14:paraId="7244C086">
            <w:pPr>
              <w:pStyle w:val="178"/>
              <w:spacing w:line="360" w:lineRule="exact"/>
              <w:rPr>
                <w:sz w:val="20"/>
                <w:szCs w:val="21"/>
              </w:rPr>
            </w:pPr>
          </w:p>
        </w:tc>
        <w:tc>
          <w:tcPr>
            <w:tcW w:w="1415" w:type="dxa"/>
          </w:tcPr>
          <w:p w14:paraId="529AD628">
            <w:pPr>
              <w:pStyle w:val="178"/>
              <w:spacing w:line="360" w:lineRule="exact"/>
            </w:pPr>
          </w:p>
        </w:tc>
      </w:tr>
      <w:tr w14:paraId="67B434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448" w:type="dxa"/>
            <w:vMerge w:val="continue"/>
            <w:vAlign w:val="center"/>
          </w:tcPr>
          <w:p w14:paraId="11DB9477">
            <w:pPr>
              <w:pStyle w:val="178"/>
              <w:spacing w:line="360" w:lineRule="exact"/>
            </w:pPr>
          </w:p>
        </w:tc>
        <w:tc>
          <w:tcPr>
            <w:tcW w:w="4356" w:type="dxa"/>
            <w:vAlign w:val="center"/>
          </w:tcPr>
          <w:p w14:paraId="2FDB4776">
            <w:pPr>
              <w:pStyle w:val="178"/>
              <w:spacing w:line="360" w:lineRule="exact"/>
              <w:ind w:left="105" w:leftChars="50" w:right="105" w:rightChars="50"/>
              <w:jc w:val="both"/>
            </w:pPr>
            <w:r>
              <w:rPr>
                <w:rFonts w:hint="eastAsia" w:hAnsi="宋体" w:cs="宋体"/>
                <w:kern w:val="2"/>
                <w:szCs w:val="18"/>
              </w:rPr>
              <w:t>线路设计围绕主题，符合生态环境科普要求，时间安排、交通衔接与资源利用高效、安全，符合学生认知与体力特点。</w:t>
            </w:r>
          </w:p>
        </w:tc>
        <w:tc>
          <w:tcPr>
            <w:tcW w:w="851" w:type="dxa"/>
            <w:vAlign w:val="center"/>
          </w:tcPr>
          <w:p w14:paraId="0A51567B">
            <w:pPr>
              <w:pStyle w:val="178"/>
              <w:spacing w:line="360" w:lineRule="exact"/>
              <w:rPr>
                <w:sz w:val="20"/>
                <w:szCs w:val="21"/>
              </w:rPr>
            </w:pPr>
          </w:p>
        </w:tc>
        <w:tc>
          <w:tcPr>
            <w:tcW w:w="1415" w:type="dxa"/>
          </w:tcPr>
          <w:p w14:paraId="6D6F73A3">
            <w:pPr>
              <w:pStyle w:val="178"/>
              <w:spacing w:line="360" w:lineRule="exact"/>
            </w:pPr>
          </w:p>
        </w:tc>
      </w:tr>
      <w:tr w14:paraId="24F7DD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448" w:type="dxa"/>
            <w:vAlign w:val="center"/>
          </w:tcPr>
          <w:p w14:paraId="075FDDCB">
            <w:pPr>
              <w:pStyle w:val="178"/>
              <w:spacing w:line="360" w:lineRule="exact"/>
            </w:pPr>
            <w:r>
              <w:rPr>
                <w:rFonts w:hint="eastAsia"/>
              </w:rPr>
              <w:t>课程资料</w:t>
            </w:r>
          </w:p>
          <w:p w14:paraId="03CC58DE">
            <w:pPr>
              <w:pStyle w:val="178"/>
              <w:spacing w:line="360" w:lineRule="exact"/>
            </w:pPr>
            <w:r>
              <w:rPr>
                <w:rFonts w:hint="eastAsia"/>
              </w:rPr>
              <w:t>（4分）</w:t>
            </w:r>
          </w:p>
        </w:tc>
        <w:tc>
          <w:tcPr>
            <w:tcW w:w="4356" w:type="dxa"/>
            <w:vAlign w:val="center"/>
          </w:tcPr>
          <w:p w14:paraId="5179DEE4">
            <w:pPr>
              <w:pStyle w:val="178"/>
              <w:spacing w:line="360" w:lineRule="exact"/>
              <w:ind w:left="105" w:leftChars="50" w:right="105" w:rightChars="50"/>
              <w:jc w:val="both"/>
            </w:pPr>
            <w:r>
              <w:rPr>
                <w:rFonts w:hint="eastAsia" w:hAnsi="宋体" w:cs="宋体"/>
                <w:kern w:val="2"/>
                <w:szCs w:val="18"/>
              </w:rPr>
              <w:t>能够根据课程主题、课程目标、课程内容和参与者的身心特点设计不同且完善的课程方案，并编制供师生使用的研学手册、安全告知书等资料。</w:t>
            </w:r>
          </w:p>
        </w:tc>
        <w:tc>
          <w:tcPr>
            <w:tcW w:w="851" w:type="dxa"/>
            <w:vAlign w:val="center"/>
          </w:tcPr>
          <w:p w14:paraId="4B68AB0B">
            <w:pPr>
              <w:pStyle w:val="178"/>
              <w:spacing w:line="360" w:lineRule="exact"/>
              <w:rPr>
                <w:sz w:val="20"/>
                <w:szCs w:val="21"/>
              </w:rPr>
            </w:pPr>
          </w:p>
        </w:tc>
        <w:tc>
          <w:tcPr>
            <w:tcW w:w="1415" w:type="dxa"/>
          </w:tcPr>
          <w:p w14:paraId="09769326">
            <w:pPr>
              <w:pStyle w:val="178"/>
              <w:spacing w:line="360" w:lineRule="exact"/>
            </w:pPr>
          </w:p>
        </w:tc>
      </w:tr>
      <w:tr w14:paraId="2F21DEF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448" w:type="dxa"/>
            <w:vAlign w:val="center"/>
          </w:tcPr>
          <w:p w14:paraId="53FCB9F4">
            <w:pPr>
              <w:pStyle w:val="178"/>
              <w:spacing w:line="360" w:lineRule="exact"/>
              <w:rPr>
                <w:rFonts w:hint="eastAsia" w:hAnsi="宋体" w:cs="宋体"/>
                <w:szCs w:val="18"/>
              </w:rPr>
            </w:pPr>
            <w:r>
              <w:rPr>
                <w:rFonts w:hAnsi="宋体" w:cs="宋体"/>
                <w:szCs w:val="18"/>
              </w:rPr>
              <w:t>课程时长</w:t>
            </w:r>
          </w:p>
          <w:p w14:paraId="2176A627">
            <w:pPr>
              <w:pStyle w:val="178"/>
              <w:spacing w:line="360" w:lineRule="exact"/>
            </w:pPr>
            <w:r>
              <w:rPr>
                <w:rFonts w:hAnsi="宋体" w:cs="宋体"/>
                <w:szCs w:val="18"/>
              </w:rPr>
              <w:t>（3分）</w:t>
            </w:r>
          </w:p>
        </w:tc>
        <w:tc>
          <w:tcPr>
            <w:tcW w:w="4356" w:type="dxa"/>
            <w:vAlign w:val="center"/>
          </w:tcPr>
          <w:p w14:paraId="5FD0D7D8">
            <w:pPr>
              <w:pStyle w:val="178"/>
              <w:spacing w:line="360" w:lineRule="exact"/>
              <w:ind w:left="105" w:leftChars="50" w:right="105" w:rightChars="50"/>
              <w:jc w:val="both"/>
              <w:rPr>
                <w:rFonts w:hint="eastAsia" w:hAnsi="宋体" w:cs="宋体"/>
                <w:kern w:val="2"/>
                <w:szCs w:val="18"/>
              </w:rPr>
            </w:pPr>
            <w:r>
              <w:rPr>
                <w:rFonts w:hint="eastAsia" w:hAnsi="宋体" w:cs="宋体"/>
                <w:szCs w:val="18"/>
              </w:rPr>
              <w:t>不同课程类型的时长合理，符合学生探究规律（通常以半天为宜），各环节时间分配均衡。</w:t>
            </w:r>
          </w:p>
        </w:tc>
        <w:tc>
          <w:tcPr>
            <w:tcW w:w="851" w:type="dxa"/>
            <w:vAlign w:val="center"/>
          </w:tcPr>
          <w:p w14:paraId="69F563B7">
            <w:pPr>
              <w:pStyle w:val="178"/>
              <w:spacing w:line="360" w:lineRule="exact"/>
              <w:rPr>
                <w:sz w:val="20"/>
                <w:szCs w:val="21"/>
              </w:rPr>
            </w:pPr>
          </w:p>
        </w:tc>
        <w:tc>
          <w:tcPr>
            <w:tcW w:w="1415" w:type="dxa"/>
          </w:tcPr>
          <w:p w14:paraId="05FF530D">
            <w:pPr>
              <w:pStyle w:val="178"/>
              <w:spacing w:line="360" w:lineRule="exact"/>
            </w:pPr>
          </w:p>
        </w:tc>
      </w:tr>
      <w:tr w14:paraId="6B5826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448" w:type="dxa"/>
            <w:vMerge w:val="restart"/>
            <w:vAlign w:val="center"/>
          </w:tcPr>
          <w:p w14:paraId="4173308D">
            <w:pPr>
              <w:pStyle w:val="178"/>
              <w:spacing w:line="360" w:lineRule="exact"/>
            </w:pPr>
            <w:r>
              <w:rPr>
                <w:rFonts w:hint="eastAsia"/>
              </w:rPr>
              <w:t>场地与</w:t>
            </w:r>
          </w:p>
          <w:p w14:paraId="7B1A5900">
            <w:pPr>
              <w:pStyle w:val="178"/>
              <w:spacing w:line="360" w:lineRule="exact"/>
            </w:pPr>
            <w:r>
              <w:rPr>
                <w:rFonts w:hint="eastAsia"/>
              </w:rPr>
              <w:t>设施</w:t>
            </w:r>
          </w:p>
          <w:p w14:paraId="3CD555A7">
            <w:pPr>
              <w:pStyle w:val="178"/>
              <w:spacing w:line="360" w:lineRule="exact"/>
              <w:rPr>
                <w:rFonts w:hint="eastAsia" w:hAnsi="宋体" w:cs="宋体"/>
                <w:szCs w:val="18"/>
              </w:rPr>
            </w:pPr>
            <w:r>
              <w:rPr>
                <w:rFonts w:hint="eastAsia"/>
              </w:rPr>
              <w:t>（5分）</w:t>
            </w:r>
          </w:p>
        </w:tc>
        <w:tc>
          <w:tcPr>
            <w:tcW w:w="4356" w:type="dxa"/>
            <w:vAlign w:val="center"/>
          </w:tcPr>
          <w:p w14:paraId="5F43BCDC">
            <w:pPr>
              <w:pStyle w:val="178"/>
              <w:spacing w:line="360" w:lineRule="exact"/>
              <w:ind w:left="105" w:leftChars="50" w:right="105" w:rightChars="50"/>
              <w:jc w:val="both"/>
              <w:rPr>
                <w:rFonts w:hint="eastAsia" w:hAnsi="宋体" w:cs="宋体"/>
                <w:szCs w:val="18"/>
              </w:rPr>
            </w:pPr>
            <w:r>
              <w:rPr>
                <w:rFonts w:hint="eastAsia" w:hAnsi="宋体" w:cs="宋体"/>
                <w:szCs w:val="18"/>
              </w:rPr>
              <w:t>场地是与生态环境相关的场所，能满足生态环境科普研学需求。</w:t>
            </w:r>
          </w:p>
        </w:tc>
        <w:tc>
          <w:tcPr>
            <w:tcW w:w="851" w:type="dxa"/>
            <w:vAlign w:val="center"/>
          </w:tcPr>
          <w:p w14:paraId="44B131EB">
            <w:pPr>
              <w:pStyle w:val="178"/>
              <w:spacing w:line="360" w:lineRule="exact"/>
              <w:rPr>
                <w:sz w:val="20"/>
                <w:szCs w:val="21"/>
              </w:rPr>
            </w:pPr>
          </w:p>
        </w:tc>
        <w:tc>
          <w:tcPr>
            <w:tcW w:w="1415" w:type="dxa"/>
          </w:tcPr>
          <w:p w14:paraId="5CD4D0B9">
            <w:pPr>
              <w:pStyle w:val="178"/>
              <w:spacing w:line="360" w:lineRule="exact"/>
            </w:pPr>
          </w:p>
        </w:tc>
      </w:tr>
      <w:tr w14:paraId="23EBCF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448" w:type="dxa"/>
            <w:vMerge w:val="continue"/>
            <w:vAlign w:val="center"/>
          </w:tcPr>
          <w:p w14:paraId="2FCC6EF4">
            <w:pPr>
              <w:pStyle w:val="178"/>
              <w:spacing w:line="360" w:lineRule="exact"/>
              <w:rPr>
                <w:rFonts w:hint="eastAsia" w:hAnsi="宋体" w:cs="宋体"/>
                <w:szCs w:val="18"/>
              </w:rPr>
            </w:pPr>
          </w:p>
        </w:tc>
        <w:tc>
          <w:tcPr>
            <w:tcW w:w="4356" w:type="dxa"/>
            <w:vAlign w:val="center"/>
          </w:tcPr>
          <w:p w14:paraId="50C95E3B">
            <w:pPr>
              <w:pStyle w:val="178"/>
              <w:spacing w:line="360" w:lineRule="exact"/>
              <w:ind w:left="105" w:leftChars="50" w:right="105" w:rightChars="50"/>
              <w:jc w:val="both"/>
              <w:rPr>
                <w:rFonts w:hint="eastAsia" w:hAnsi="宋体" w:cs="宋体"/>
                <w:szCs w:val="18"/>
              </w:rPr>
            </w:pPr>
            <w:r>
              <w:rPr>
                <w:rFonts w:hint="eastAsia" w:hAnsi="宋体" w:cs="宋体"/>
                <w:szCs w:val="18"/>
              </w:rPr>
              <w:t>生产区与教学区划分明确，安全通道合理；利用中控室/展厅/模拟沙盘替代高风险区域进行教学；实践器材等准备充分且适用。</w:t>
            </w:r>
          </w:p>
        </w:tc>
        <w:tc>
          <w:tcPr>
            <w:tcW w:w="851" w:type="dxa"/>
            <w:vAlign w:val="center"/>
          </w:tcPr>
          <w:p w14:paraId="5830E43C">
            <w:pPr>
              <w:pStyle w:val="178"/>
              <w:spacing w:line="360" w:lineRule="exact"/>
              <w:rPr>
                <w:sz w:val="20"/>
                <w:szCs w:val="21"/>
              </w:rPr>
            </w:pPr>
          </w:p>
        </w:tc>
        <w:tc>
          <w:tcPr>
            <w:tcW w:w="1415" w:type="dxa"/>
          </w:tcPr>
          <w:p w14:paraId="66B0B3BA">
            <w:pPr>
              <w:pStyle w:val="178"/>
              <w:spacing w:line="360" w:lineRule="exact"/>
            </w:pPr>
          </w:p>
        </w:tc>
      </w:tr>
      <w:tr w14:paraId="628282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448" w:type="dxa"/>
            <w:vAlign w:val="center"/>
          </w:tcPr>
          <w:p w14:paraId="2894530C">
            <w:pPr>
              <w:snapToGrid w:val="0"/>
              <w:spacing w:line="360" w:lineRule="exact"/>
              <w:jc w:val="center"/>
              <w:rPr>
                <w:rFonts w:hint="eastAsia" w:ascii="宋体" w:hAnsi="宋体" w:cs="宋体"/>
                <w:sz w:val="18"/>
                <w:szCs w:val="18"/>
              </w:rPr>
            </w:pPr>
            <w:bookmarkStart w:id="71" w:name="OLE_LINK12"/>
            <w:r>
              <w:rPr>
                <w:rFonts w:hint="eastAsia" w:ascii="宋体" w:hAnsi="宋体" w:cs="宋体"/>
                <w:sz w:val="18"/>
                <w:szCs w:val="18"/>
              </w:rPr>
              <w:t>安全保障</w:t>
            </w:r>
          </w:p>
          <w:p w14:paraId="5D42C3AE">
            <w:pPr>
              <w:pStyle w:val="178"/>
              <w:spacing w:line="360" w:lineRule="exact"/>
              <w:rPr>
                <w:rFonts w:hint="eastAsia" w:hAnsi="宋体" w:cs="宋体"/>
                <w:szCs w:val="18"/>
              </w:rPr>
            </w:pPr>
            <w:r>
              <w:rPr>
                <w:rFonts w:hint="eastAsia" w:hAnsi="宋体" w:cs="宋体"/>
                <w:kern w:val="2"/>
                <w:szCs w:val="18"/>
              </w:rPr>
              <w:t>（5分）</w:t>
            </w:r>
            <w:bookmarkEnd w:id="71"/>
          </w:p>
        </w:tc>
        <w:tc>
          <w:tcPr>
            <w:tcW w:w="4356" w:type="dxa"/>
            <w:vAlign w:val="center"/>
          </w:tcPr>
          <w:p w14:paraId="6559DF9F">
            <w:pPr>
              <w:pStyle w:val="178"/>
              <w:spacing w:line="360" w:lineRule="exact"/>
              <w:ind w:left="105" w:leftChars="50" w:right="105" w:rightChars="50"/>
              <w:jc w:val="both"/>
              <w:rPr>
                <w:rFonts w:hint="eastAsia" w:hAnsi="宋体" w:cs="宋体"/>
                <w:szCs w:val="18"/>
              </w:rPr>
            </w:pPr>
            <w:r>
              <w:rPr>
                <w:rFonts w:hint="eastAsia" w:hAnsi="宋体" w:cs="宋体"/>
                <w:szCs w:val="18"/>
              </w:rPr>
              <w:t>课程设立安全保障机制与应急预案、安排安全教育环节、落实安全防控措施等；制定专项隔离与应急预案（一票否决项）。</w:t>
            </w:r>
          </w:p>
        </w:tc>
        <w:tc>
          <w:tcPr>
            <w:tcW w:w="851" w:type="dxa"/>
            <w:vAlign w:val="center"/>
          </w:tcPr>
          <w:p w14:paraId="43E4C8CD">
            <w:pPr>
              <w:pStyle w:val="178"/>
              <w:spacing w:line="360" w:lineRule="exact"/>
              <w:rPr>
                <w:sz w:val="20"/>
                <w:szCs w:val="21"/>
              </w:rPr>
            </w:pPr>
          </w:p>
        </w:tc>
        <w:tc>
          <w:tcPr>
            <w:tcW w:w="1415" w:type="dxa"/>
          </w:tcPr>
          <w:p w14:paraId="3AF84BD8">
            <w:pPr>
              <w:pStyle w:val="178"/>
              <w:spacing w:line="360" w:lineRule="exact"/>
            </w:pPr>
            <w:bookmarkStart w:id="72" w:name="OLE_LINK11"/>
          </w:p>
        </w:tc>
      </w:tr>
    </w:tbl>
    <w:p w14:paraId="43D4301A">
      <w:pPr>
        <w:pStyle w:val="56"/>
        <w:ind w:firstLine="420"/>
      </w:pPr>
    </w:p>
    <w:p w14:paraId="3E462E9C">
      <w:pPr>
        <w:pStyle w:val="56"/>
        <w:spacing w:before="120" w:beforeLines="50" w:after="120" w:afterLines="50"/>
        <w:ind w:firstLine="0" w:firstLineChars="0"/>
        <w:jc w:val="center"/>
        <w:rPr>
          <w:rFonts w:hint="eastAsia" w:ascii="黑体" w:hAnsi="黑体" w:eastAsia="黑体"/>
        </w:rPr>
      </w:pPr>
      <w:bookmarkStart w:id="73" w:name="OLE_LINK10"/>
      <w:r>
        <w:rPr>
          <w:rFonts w:hint="eastAsia" w:ascii="黑体" w:hAnsi="黑体" w:eastAsia="黑体"/>
        </w:rPr>
        <w:t>表</w:t>
      </w:r>
      <w:bookmarkEnd w:id="72"/>
      <w:r>
        <w:rPr>
          <w:rFonts w:hint="eastAsia" w:ascii="黑体" w:hAnsi="黑体" w:eastAsia="黑体"/>
        </w:rPr>
        <w:t>C.1  课程评价表</w:t>
      </w:r>
      <w:r>
        <w:rPr>
          <w:rFonts w:hint="eastAsia" w:hAnsi="宋体"/>
        </w:rPr>
        <w:t>（续）</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2340"/>
        <w:gridCol w:w="4100"/>
        <w:gridCol w:w="1016"/>
        <w:gridCol w:w="1878"/>
      </w:tblGrid>
      <w:tr w14:paraId="3014FD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98" w:hRule="atLeast"/>
          <w:tblHeader/>
          <w:jc w:val="center"/>
        </w:trPr>
        <w:tc>
          <w:tcPr>
            <w:tcW w:w="2340" w:type="dxa"/>
            <w:tcBorders>
              <w:top w:val="single" w:color="auto" w:sz="4" w:space="0"/>
              <w:bottom w:val="single" w:color="auto" w:sz="8" w:space="0"/>
            </w:tcBorders>
            <w:vAlign w:val="center"/>
          </w:tcPr>
          <w:p w14:paraId="2576F65B">
            <w:pPr>
              <w:pStyle w:val="178"/>
              <w:spacing w:line="360" w:lineRule="exact"/>
              <w:ind w:left="105" w:leftChars="50" w:right="105" w:rightChars="50"/>
            </w:pPr>
            <w:r>
              <w:rPr>
                <w:rFonts w:hint="eastAsia"/>
              </w:rPr>
              <w:t>评价指标</w:t>
            </w:r>
          </w:p>
        </w:tc>
        <w:tc>
          <w:tcPr>
            <w:tcW w:w="4100" w:type="dxa"/>
            <w:tcBorders>
              <w:bottom w:val="single" w:color="auto" w:sz="8" w:space="0"/>
            </w:tcBorders>
            <w:vAlign w:val="center"/>
          </w:tcPr>
          <w:p w14:paraId="5FD5D92C">
            <w:pPr>
              <w:pStyle w:val="178"/>
              <w:spacing w:line="360" w:lineRule="exact"/>
              <w:ind w:left="105" w:leftChars="50" w:right="105" w:rightChars="50"/>
              <w:jc w:val="both"/>
            </w:pPr>
            <w:r>
              <w:rPr>
                <w:rFonts w:hint="eastAsia" w:cs="DokChampa"/>
                <w:lang w:bidi="lo-LA"/>
              </w:rPr>
              <w:t>具体内容</w:t>
            </w:r>
          </w:p>
        </w:tc>
        <w:tc>
          <w:tcPr>
            <w:tcW w:w="1016" w:type="dxa"/>
            <w:tcBorders>
              <w:bottom w:val="single" w:color="auto" w:sz="8" w:space="0"/>
            </w:tcBorders>
            <w:vAlign w:val="center"/>
          </w:tcPr>
          <w:p w14:paraId="29F95E34">
            <w:pPr>
              <w:pStyle w:val="178"/>
              <w:spacing w:line="360" w:lineRule="exact"/>
              <w:ind w:left="105" w:leftChars="50" w:right="105" w:rightChars="50"/>
            </w:pPr>
            <w:r>
              <w:rPr>
                <w:rFonts w:hint="eastAsia"/>
              </w:rPr>
              <w:t>得分</w:t>
            </w:r>
          </w:p>
        </w:tc>
        <w:tc>
          <w:tcPr>
            <w:tcW w:w="1878" w:type="dxa"/>
            <w:tcBorders>
              <w:bottom w:val="single" w:color="auto" w:sz="8" w:space="0"/>
            </w:tcBorders>
          </w:tcPr>
          <w:p w14:paraId="5E9FB5F9">
            <w:pPr>
              <w:pStyle w:val="178"/>
              <w:spacing w:line="360" w:lineRule="exact"/>
              <w:ind w:left="105" w:leftChars="50" w:right="105" w:rightChars="50"/>
            </w:pPr>
            <w:r>
              <w:rPr>
                <w:rFonts w:hint="eastAsia"/>
              </w:rPr>
              <w:t>其他建议</w:t>
            </w:r>
          </w:p>
        </w:tc>
      </w:tr>
      <w:tr w14:paraId="052568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340" w:type="dxa"/>
            <w:vAlign w:val="center"/>
          </w:tcPr>
          <w:p w14:paraId="304B34FC">
            <w:pPr>
              <w:snapToGrid w:val="0"/>
              <w:spacing w:line="360" w:lineRule="exact"/>
              <w:jc w:val="center"/>
              <w:rPr>
                <w:rFonts w:hint="eastAsia" w:ascii="宋体" w:hAnsi="宋体" w:cs="宋体"/>
                <w:sz w:val="18"/>
                <w:szCs w:val="18"/>
              </w:rPr>
            </w:pPr>
            <w:r>
              <w:rPr>
                <w:rFonts w:hint="eastAsia" w:ascii="宋体" w:hAnsi="宋体" w:cs="宋体"/>
                <w:sz w:val="18"/>
                <w:szCs w:val="18"/>
              </w:rPr>
              <w:t>安全保障</w:t>
            </w:r>
          </w:p>
          <w:p w14:paraId="503C8116">
            <w:pPr>
              <w:pStyle w:val="178"/>
              <w:spacing w:line="360" w:lineRule="exact"/>
              <w:ind w:left="105" w:leftChars="50" w:right="105" w:rightChars="50"/>
              <w:rPr>
                <w:rFonts w:hint="eastAsia" w:hAnsi="宋体" w:cs="宋体"/>
                <w:szCs w:val="18"/>
              </w:rPr>
            </w:pPr>
            <w:r>
              <w:rPr>
                <w:rFonts w:hint="eastAsia" w:hAnsi="宋体" w:cs="宋体"/>
                <w:kern w:val="2"/>
                <w:szCs w:val="18"/>
              </w:rPr>
              <w:t>（5分）</w:t>
            </w:r>
          </w:p>
        </w:tc>
        <w:tc>
          <w:tcPr>
            <w:tcW w:w="4100" w:type="dxa"/>
            <w:vAlign w:val="center"/>
          </w:tcPr>
          <w:p w14:paraId="3C310528">
            <w:pPr>
              <w:pStyle w:val="178"/>
              <w:spacing w:line="360" w:lineRule="exact"/>
              <w:ind w:left="105" w:leftChars="50" w:right="105" w:rightChars="50"/>
              <w:jc w:val="both"/>
            </w:pPr>
            <w:r>
              <w:rPr>
                <w:rFonts w:hint="eastAsia" w:hAnsi="宋体" w:cs="宋体"/>
                <w:szCs w:val="18"/>
              </w:rPr>
              <w:t>对潜在风险有明确、前置的安全告知、规范演示与必要的安全防护措施。</w:t>
            </w:r>
          </w:p>
        </w:tc>
        <w:tc>
          <w:tcPr>
            <w:tcW w:w="1016" w:type="dxa"/>
            <w:vAlign w:val="center"/>
          </w:tcPr>
          <w:p w14:paraId="3F9F930B">
            <w:pPr>
              <w:pStyle w:val="178"/>
              <w:spacing w:line="360" w:lineRule="exact"/>
              <w:ind w:left="105" w:leftChars="50" w:right="105" w:rightChars="50"/>
            </w:pPr>
          </w:p>
        </w:tc>
        <w:tc>
          <w:tcPr>
            <w:tcW w:w="1878" w:type="dxa"/>
          </w:tcPr>
          <w:p w14:paraId="67D8D9B8">
            <w:pPr>
              <w:pStyle w:val="178"/>
              <w:spacing w:line="360" w:lineRule="exact"/>
              <w:ind w:left="105" w:leftChars="50" w:right="105" w:rightChars="50"/>
            </w:pPr>
          </w:p>
        </w:tc>
      </w:tr>
      <w:tr w14:paraId="5D8E18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340" w:type="dxa"/>
            <w:vMerge w:val="restart"/>
            <w:vAlign w:val="center"/>
          </w:tcPr>
          <w:p w14:paraId="07156609">
            <w:pPr>
              <w:pStyle w:val="178"/>
              <w:spacing w:line="360" w:lineRule="exact"/>
              <w:ind w:left="105" w:leftChars="50" w:right="105" w:rightChars="50"/>
              <w:rPr>
                <w:rFonts w:hint="eastAsia" w:hAnsi="宋体" w:cs="宋体"/>
                <w:szCs w:val="18"/>
              </w:rPr>
            </w:pPr>
            <w:r>
              <w:rPr>
                <w:rFonts w:hint="eastAsia" w:hAnsi="宋体" w:cs="宋体"/>
                <w:szCs w:val="18"/>
              </w:rPr>
              <w:t>教学过程（12分）</w:t>
            </w:r>
          </w:p>
        </w:tc>
        <w:tc>
          <w:tcPr>
            <w:tcW w:w="4100" w:type="dxa"/>
            <w:vAlign w:val="center"/>
          </w:tcPr>
          <w:p w14:paraId="5AF81A4B">
            <w:pPr>
              <w:pStyle w:val="178"/>
              <w:spacing w:line="360" w:lineRule="exact"/>
              <w:ind w:left="105" w:leftChars="50" w:right="105" w:rightChars="50"/>
              <w:jc w:val="both"/>
              <w:rPr>
                <w:rFonts w:hint="eastAsia" w:hAnsi="宋体" w:cs="宋体"/>
                <w:szCs w:val="18"/>
                <w:lang w:bidi="ar"/>
              </w:rPr>
            </w:pPr>
            <w:r>
              <w:rPr>
                <w:rFonts w:hint="eastAsia" w:hAnsi="宋体" w:cs="宋体"/>
                <w:szCs w:val="18"/>
                <w:lang w:bidi="ar"/>
              </w:rPr>
              <w:t>课程实施流程完整、清晰，包含导入、体验、探究、分享、评估、拓展等关键环节。</w:t>
            </w:r>
          </w:p>
        </w:tc>
        <w:tc>
          <w:tcPr>
            <w:tcW w:w="1016" w:type="dxa"/>
            <w:vAlign w:val="center"/>
          </w:tcPr>
          <w:p w14:paraId="7B15A3D5">
            <w:pPr>
              <w:pStyle w:val="178"/>
              <w:spacing w:line="360" w:lineRule="exact"/>
              <w:ind w:left="105" w:leftChars="50" w:right="105" w:rightChars="50"/>
            </w:pPr>
          </w:p>
        </w:tc>
        <w:tc>
          <w:tcPr>
            <w:tcW w:w="1878" w:type="dxa"/>
          </w:tcPr>
          <w:p w14:paraId="083B1480">
            <w:pPr>
              <w:pStyle w:val="178"/>
              <w:spacing w:line="360" w:lineRule="exact"/>
              <w:ind w:left="105" w:leftChars="50" w:right="105" w:rightChars="50"/>
            </w:pPr>
          </w:p>
        </w:tc>
      </w:tr>
      <w:tr w14:paraId="1E449E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340" w:type="dxa"/>
            <w:vMerge w:val="continue"/>
          </w:tcPr>
          <w:p w14:paraId="2F42D14A">
            <w:pPr>
              <w:pStyle w:val="178"/>
              <w:spacing w:line="360" w:lineRule="exact"/>
              <w:ind w:left="105" w:leftChars="50" w:right="105" w:rightChars="50"/>
            </w:pPr>
          </w:p>
        </w:tc>
        <w:tc>
          <w:tcPr>
            <w:tcW w:w="4100" w:type="dxa"/>
            <w:vAlign w:val="center"/>
          </w:tcPr>
          <w:p w14:paraId="3163D448">
            <w:pPr>
              <w:pStyle w:val="178"/>
              <w:spacing w:line="360" w:lineRule="exact"/>
              <w:ind w:left="105" w:leftChars="50" w:right="105" w:rightChars="50"/>
              <w:jc w:val="both"/>
            </w:pPr>
            <w:r>
              <w:rPr>
                <w:rFonts w:hint="eastAsia" w:hAnsi="宋体" w:cs="宋体"/>
                <w:szCs w:val="18"/>
                <w:lang w:bidi="ar"/>
              </w:rPr>
              <w:t>研学导师根据课程主题、课程目标、课程内容和参与者的身心特点，采用讲授式、情景式、讨论式、实验式、小组合作式、多媒体辅助式等教学方法，讲解清晰生动，能否有效激发学生兴趣。</w:t>
            </w:r>
          </w:p>
        </w:tc>
        <w:tc>
          <w:tcPr>
            <w:tcW w:w="1016" w:type="dxa"/>
            <w:vAlign w:val="center"/>
          </w:tcPr>
          <w:p w14:paraId="5DD3A42C">
            <w:pPr>
              <w:pStyle w:val="178"/>
              <w:spacing w:line="360" w:lineRule="exact"/>
              <w:ind w:left="105" w:leftChars="50" w:right="105" w:rightChars="50"/>
            </w:pPr>
          </w:p>
        </w:tc>
        <w:tc>
          <w:tcPr>
            <w:tcW w:w="1878" w:type="dxa"/>
          </w:tcPr>
          <w:p w14:paraId="1B4E19E8">
            <w:pPr>
              <w:pStyle w:val="178"/>
              <w:spacing w:line="360" w:lineRule="exact"/>
              <w:ind w:left="105" w:leftChars="50" w:right="105" w:rightChars="50"/>
            </w:pPr>
          </w:p>
        </w:tc>
      </w:tr>
      <w:tr w14:paraId="3F8813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340" w:type="dxa"/>
            <w:vAlign w:val="center"/>
          </w:tcPr>
          <w:p w14:paraId="4987C13D">
            <w:pPr>
              <w:pStyle w:val="178"/>
              <w:spacing w:line="360" w:lineRule="exact"/>
              <w:ind w:left="105" w:leftChars="50" w:right="105" w:rightChars="50"/>
            </w:pPr>
            <w:r>
              <w:rPr>
                <w:rFonts w:hint="eastAsia" w:hAnsi="宋体" w:cs="宋体"/>
                <w:szCs w:val="18"/>
                <w:lang w:bidi="ar"/>
              </w:rPr>
              <w:t>实践指导（12分）</w:t>
            </w:r>
          </w:p>
        </w:tc>
        <w:tc>
          <w:tcPr>
            <w:tcW w:w="4100" w:type="dxa"/>
            <w:vAlign w:val="center"/>
          </w:tcPr>
          <w:p w14:paraId="780D270F">
            <w:pPr>
              <w:pStyle w:val="178"/>
              <w:spacing w:line="360" w:lineRule="exact"/>
              <w:ind w:left="105" w:leftChars="50" w:right="105" w:rightChars="50"/>
              <w:jc w:val="both"/>
            </w:pPr>
            <w:r>
              <w:rPr>
                <w:rFonts w:hint="eastAsia" w:hAnsi="宋体" w:cs="宋体"/>
                <w:szCs w:val="18"/>
                <w:lang w:bidi="ar"/>
              </w:rPr>
              <w:t>在生态环境实践活动中，强调学生的亲身体验，如动手操作（水质检测、土壤采样、植物辨识等）、实地考察、实验研究等，研学导师等工作人员进行规范、安全的操作示范，能给予学生及时、个别的指导与支持，能有效管理活动现场秩序。</w:t>
            </w:r>
          </w:p>
        </w:tc>
        <w:tc>
          <w:tcPr>
            <w:tcW w:w="1016" w:type="dxa"/>
            <w:vAlign w:val="center"/>
          </w:tcPr>
          <w:p w14:paraId="2BA06BDA">
            <w:pPr>
              <w:pStyle w:val="178"/>
              <w:spacing w:line="360" w:lineRule="exact"/>
              <w:ind w:left="105" w:leftChars="50" w:right="105" w:rightChars="50"/>
            </w:pPr>
          </w:p>
        </w:tc>
        <w:tc>
          <w:tcPr>
            <w:tcW w:w="1878" w:type="dxa"/>
          </w:tcPr>
          <w:p w14:paraId="44565858">
            <w:pPr>
              <w:pStyle w:val="178"/>
              <w:spacing w:line="360" w:lineRule="exact"/>
              <w:ind w:left="105" w:leftChars="50" w:right="105" w:rightChars="50"/>
            </w:pPr>
          </w:p>
        </w:tc>
      </w:tr>
      <w:tr w14:paraId="2D9205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340" w:type="dxa"/>
            <w:vAlign w:val="center"/>
          </w:tcPr>
          <w:p w14:paraId="625235FF">
            <w:pPr>
              <w:pStyle w:val="178"/>
              <w:spacing w:line="360" w:lineRule="exact"/>
              <w:ind w:left="105" w:leftChars="50" w:right="105" w:rightChars="50"/>
              <w:rPr>
                <w:rFonts w:hint="eastAsia" w:hAnsi="宋体" w:cs="宋体"/>
                <w:szCs w:val="18"/>
                <w:lang w:bidi="ar"/>
              </w:rPr>
            </w:pPr>
            <w:r>
              <w:rPr>
                <w:rFonts w:hint="eastAsia" w:hAnsi="宋体" w:cs="宋体"/>
                <w:szCs w:val="18"/>
                <w:lang w:bidi="ar"/>
              </w:rPr>
              <w:t>工作人员配置（6分）</w:t>
            </w:r>
          </w:p>
        </w:tc>
        <w:tc>
          <w:tcPr>
            <w:tcW w:w="4100" w:type="dxa"/>
            <w:vAlign w:val="center"/>
          </w:tcPr>
          <w:p w14:paraId="06EE5826">
            <w:pPr>
              <w:pStyle w:val="178"/>
              <w:spacing w:line="360" w:lineRule="exact"/>
              <w:ind w:left="105" w:leftChars="50" w:right="105" w:rightChars="50"/>
              <w:jc w:val="both"/>
              <w:rPr>
                <w:rFonts w:hint="eastAsia" w:hAnsi="宋体" w:cs="宋体"/>
                <w:szCs w:val="18"/>
                <w:lang w:bidi="ar"/>
              </w:rPr>
            </w:pPr>
            <w:r>
              <w:rPr>
                <w:rFonts w:hint="eastAsia" w:hAnsi="宋体" w:cs="宋体"/>
                <w:szCs w:val="18"/>
                <w:lang w:bidi="ar"/>
              </w:rPr>
              <w:t>根据学生人数和课程需要，配备研学导师、安全员、医护人员、后勤人员等工作人员，医护人员等持相关资格证书，研学导师具备有效履行生态环境科普和科教职责的能力素质。</w:t>
            </w:r>
          </w:p>
        </w:tc>
        <w:tc>
          <w:tcPr>
            <w:tcW w:w="1016" w:type="dxa"/>
            <w:vAlign w:val="center"/>
          </w:tcPr>
          <w:p w14:paraId="00B85B7D">
            <w:pPr>
              <w:pStyle w:val="178"/>
              <w:spacing w:line="360" w:lineRule="exact"/>
              <w:ind w:left="105" w:leftChars="50" w:right="105" w:rightChars="50"/>
            </w:pPr>
          </w:p>
        </w:tc>
        <w:tc>
          <w:tcPr>
            <w:tcW w:w="1878" w:type="dxa"/>
          </w:tcPr>
          <w:p w14:paraId="3B9A67EF">
            <w:pPr>
              <w:pStyle w:val="178"/>
              <w:spacing w:line="360" w:lineRule="exact"/>
              <w:ind w:left="105" w:leftChars="50" w:right="105" w:rightChars="50"/>
            </w:pPr>
          </w:p>
        </w:tc>
      </w:tr>
      <w:tr w14:paraId="66818D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340" w:type="dxa"/>
            <w:vAlign w:val="center"/>
          </w:tcPr>
          <w:p w14:paraId="55D7D49A">
            <w:pPr>
              <w:pStyle w:val="178"/>
              <w:spacing w:line="360" w:lineRule="exact"/>
              <w:ind w:left="105" w:leftChars="50" w:right="105" w:rightChars="50"/>
              <w:rPr>
                <w:rFonts w:hint="eastAsia" w:hAnsi="宋体" w:cs="宋体"/>
                <w:szCs w:val="18"/>
                <w:lang w:bidi="ar"/>
              </w:rPr>
            </w:pPr>
            <w:r>
              <w:rPr>
                <w:rFonts w:hint="eastAsia" w:hAnsi="宋体" w:cs="宋体"/>
                <w:szCs w:val="18"/>
                <w:lang w:bidi="ar"/>
              </w:rPr>
              <w:t>达成目标（12分）</w:t>
            </w:r>
          </w:p>
        </w:tc>
        <w:tc>
          <w:tcPr>
            <w:tcW w:w="4100" w:type="dxa"/>
            <w:vAlign w:val="center"/>
          </w:tcPr>
          <w:p w14:paraId="540409D6">
            <w:pPr>
              <w:pStyle w:val="178"/>
              <w:spacing w:line="360" w:lineRule="exact"/>
              <w:ind w:left="105" w:leftChars="50" w:right="105" w:rightChars="50"/>
              <w:jc w:val="both"/>
              <w:rPr>
                <w:rFonts w:hint="eastAsia" w:hAnsi="宋体" w:cs="宋体"/>
                <w:szCs w:val="18"/>
                <w:lang w:bidi="ar"/>
              </w:rPr>
            </w:pPr>
            <w:r>
              <w:rPr>
                <w:rFonts w:hint="eastAsia" w:hAnsi="宋体" w:cs="宋体"/>
                <w:szCs w:val="18"/>
                <w:lang w:bidi="ar"/>
              </w:rPr>
              <w:t>通过课后测试、现场观察或作品分析，评估学生在生态知识掌握（如环境指标含义）、技能学习（如监测仪器使用）和观念转变（如环保意识）方面达到预设课程目标。</w:t>
            </w:r>
          </w:p>
        </w:tc>
        <w:tc>
          <w:tcPr>
            <w:tcW w:w="1016" w:type="dxa"/>
            <w:vAlign w:val="center"/>
          </w:tcPr>
          <w:p w14:paraId="39FA342E">
            <w:pPr>
              <w:pStyle w:val="178"/>
              <w:spacing w:line="360" w:lineRule="exact"/>
              <w:ind w:left="105" w:leftChars="50" w:right="105" w:rightChars="50"/>
            </w:pPr>
          </w:p>
        </w:tc>
        <w:tc>
          <w:tcPr>
            <w:tcW w:w="1878" w:type="dxa"/>
          </w:tcPr>
          <w:p w14:paraId="4EB08F98">
            <w:pPr>
              <w:pStyle w:val="178"/>
              <w:spacing w:line="360" w:lineRule="exact"/>
              <w:ind w:left="105" w:leftChars="50" w:right="105" w:rightChars="50"/>
            </w:pPr>
          </w:p>
        </w:tc>
      </w:tr>
      <w:tr w14:paraId="34BF80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340" w:type="dxa"/>
            <w:vAlign w:val="center"/>
          </w:tcPr>
          <w:p w14:paraId="56E5E4A0">
            <w:pPr>
              <w:pStyle w:val="178"/>
              <w:spacing w:line="360" w:lineRule="exact"/>
              <w:ind w:left="105" w:leftChars="50" w:right="105" w:rightChars="50"/>
              <w:rPr>
                <w:rFonts w:hint="eastAsia" w:hAnsi="宋体" w:cs="宋体"/>
                <w:szCs w:val="18"/>
                <w:lang w:bidi="ar"/>
              </w:rPr>
            </w:pPr>
            <w:r>
              <w:rPr>
                <w:rFonts w:hint="eastAsia" w:hAnsi="宋体" w:cs="宋体"/>
                <w:szCs w:val="18"/>
                <w:lang w:bidi="ar"/>
              </w:rPr>
              <w:t>完成质量（10分）</w:t>
            </w:r>
          </w:p>
        </w:tc>
        <w:tc>
          <w:tcPr>
            <w:tcW w:w="4100" w:type="dxa"/>
            <w:vAlign w:val="center"/>
          </w:tcPr>
          <w:p w14:paraId="4C80B59A">
            <w:pPr>
              <w:pStyle w:val="178"/>
              <w:spacing w:line="360" w:lineRule="exact"/>
              <w:ind w:left="105" w:leftChars="50" w:right="105" w:rightChars="50"/>
              <w:jc w:val="both"/>
              <w:rPr>
                <w:rFonts w:hint="eastAsia" w:hAnsi="宋体" w:cs="宋体"/>
                <w:szCs w:val="18"/>
                <w:lang w:bidi="ar"/>
              </w:rPr>
            </w:pPr>
            <w:r>
              <w:rPr>
                <w:rFonts w:hint="eastAsia" w:hAnsi="宋体" w:cs="宋体"/>
                <w:szCs w:val="18"/>
                <w:lang w:bidi="ar"/>
              </w:rPr>
              <w:t>课程对学生产生了超越知识本身的积极影响，如科学素养提升、生态文明观念形成、对环境保护的情感认同等，课程具有推广价值或社会效益。</w:t>
            </w:r>
          </w:p>
        </w:tc>
        <w:tc>
          <w:tcPr>
            <w:tcW w:w="1016" w:type="dxa"/>
            <w:vAlign w:val="center"/>
          </w:tcPr>
          <w:p w14:paraId="00C3A8DF">
            <w:pPr>
              <w:pStyle w:val="178"/>
              <w:spacing w:line="360" w:lineRule="exact"/>
              <w:ind w:left="105" w:leftChars="50" w:right="105" w:rightChars="50"/>
            </w:pPr>
          </w:p>
        </w:tc>
        <w:tc>
          <w:tcPr>
            <w:tcW w:w="1878" w:type="dxa"/>
          </w:tcPr>
          <w:p w14:paraId="6D3210E8">
            <w:pPr>
              <w:pStyle w:val="178"/>
              <w:spacing w:line="360" w:lineRule="exact"/>
              <w:ind w:left="105" w:leftChars="50" w:right="105" w:rightChars="50"/>
            </w:pPr>
          </w:p>
        </w:tc>
      </w:tr>
      <w:tr w14:paraId="25DDE3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340" w:type="dxa"/>
            <w:vAlign w:val="center"/>
          </w:tcPr>
          <w:p w14:paraId="3DB72E31">
            <w:pPr>
              <w:pStyle w:val="178"/>
              <w:spacing w:line="360" w:lineRule="exact"/>
              <w:ind w:left="105" w:leftChars="50" w:right="105" w:rightChars="50"/>
              <w:rPr>
                <w:rFonts w:hint="eastAsia" w:hAnsi="宋体" w:cs="宋体"/>
                <w:szCs w:val="18"/>
                <w:lang w:bidi="ar"/>
              </w:rPr>
            </w:pPr>
            <w:r>
              <w:rPr>
                <w:rFonts w:hint="eastAsia" w:hAnsi="宋体" w:cs="宋体"/>
                <w:szCs w:val="18"/>
                <w:lang w:bidi="ar"/>
              </w:rPr>
              <w:t>学习感受（8分）</w:t>
            </w:r>
          </w:p>
        </w:tc>
        <w:tc>
          <w:tcPr>
            <w:tcW w:w="4100" w:type="dxa"/>
            <w:vAlign w:val="center"/>
          </w:tcPr>
          <w:p w14:paraId="3773DC67">
            <w:pPr>
              <w:pStyle w:val="178"/>
              <w:spacing w:line="360" w:lineRule="exact"/>
              <w:ind w:left="105" w:leftChars="50" w:right="105" w:rightChars="50"/>
              <w:jc w:val="both"/>
              <w:rPr>
                <w:rFonts w:hint="eastAsia" w:hAnsi="宋体" w:cs="宋体"/>
                <w:szCs w:val="18"/>
                <w:lang w:bidi="ar"/>
              </w:rPr>
            </w:pPr>
            <w:r>
              <w:rPr>
                <w:rFonts w:hint="eastAsia" w:hAnsi="宋体" w:cs="宋体"/>
                <w:szCs w:val="18"/>
                <w:lang w:bidi="ar"/>
              </w:rPr>
              <w:t>学生、家长、带队教师的满意度反馈积极。</w:t>
            </w:r>
          </w:p>
        </w:tc>
        <w:tc>
          <w:tcPr>
            <w:tcW w:w="1016" w:type="dxa"/>
            <w:vAlign w:val="center"/>
          </w:tcPr>
          <w:p w14:paraId="72DB23A5">
            <w:pPr>
              <w:pStyle w:val="178"/>
              <w:spacing w:line="360" w:lineRule="exact"/>
              <w:ind w:left="105" w:leftChars="50" w:right="105" w:rightChars="50"/>
            </w:pPr>
          </w:p>
        </w:tc>
        <w:tc>
          <w:tcPr>
            <w:tcW w:w="1878" w:type="dxa"/>
          </w:tcPr>
          <w:p w14:paraId="5BF3750A">
            <w:pPr>
              <w:pStyle w:val="178"/>
              <w:spacing w:line="360" w:lineRule="exact"/>
              <w:ind w:left="105" w:leftChars="50" w:right="105" w:rightChars="50"/>
            </w:pPr>
          </w:p>
        </w:tc>
      </w:tr>
      <w:bookmarkEnd w:id="73"/>
    </w:tbl>
    <w:p w14:paraId="3C8911C6">
      <w:pPr>
        <w:pStyle w:val="56"/>
        <w:ind w:firstLine="420"/>
      </w:pPr>
    </w:p>
    <w:p w14:paraId="717B9ED6">
      <w:pPr>
        <w:pStyle w:val="56"/>
        <w:ind w:firstLine="420"/>
        <w:jc w:val="center"/>
        <w:sectPr>
          <w:pgSz w:w="11906" w:h="16838"/>
          <w:pgMar w:top="1928" w:right="1134" w:bottom="1134" w:left="1134" w:header="1418" w:footer="1134" w:gutter="284"/>
          <w:cols w:space="425" w:num="1"/>
          <w:formProt w:val="0"/>
          <w:docGrid w:linePitch="312" w:charSpace="0"/>
        </w:sectPr>
      </w:pPr>
    </w:p>
    <w:p w14:paraId="2E8963A4">
      <w:pPr>
        <w:pStyle w:val="198"/>
        <w:rPr>
          <w:rFonts w:hint="eastAsia"/>
          <w:vanish w:val="0"/>
        </w:rPr>
      </w:pPr>
    </w:p>
    <w:p w14:paraId="67C053A2">
      <w:pPr>
        <w:pStyle w:val="199"/>
        <w:rPr>
          <w:vanish w:val="0"/>
        </w:rPr>
      </w:pPr>
    </w:p>
    <w:p w14:paraId="58554B83">
      <w:pPr>
        <w:pStyle w:val="76"/>
        <w:spacing w:after="120"/>
      </w:pPr>
      <w:r>
        <w:br w:type="textWrapping"/>
      </w:r>
      <w:bookmarkStart w:id="74" w:name="_Toc225518164"/>
      <w:bookmarkStart w:id="75" w:name="_Toc225518185"/>
      <w:r>
        <w:rPr>
          <w:rFonts w:hint="eastAsia"/>
        </w:rPr>
        <w:t>（资料性）</w:t>
      </w:r>
      <w:r>
        <w:br w:type="textWrapping"/>
      </w:r>
      <w:bookmarkStart w:id="76" w:name="OLE_LINK4"/>
      <w:r>
        <w:rPr>
          <w:rFonts w:hint="eastAsia"/>
        </w:rPr>
        <w:t>课程满意度问卷调查表（示例）</w:t>
      </w:r>
      <w:bookmarkEnd w:id="74"/>
      <w:bookmarkEnd w:id="75"/>
      <w:bookmarkEnd w:id="76"/>
    </w:p>
    <w:p w14:paraId="5B3EBC60">
      <w:pPr>
        <w:pStyle w:val="56"/>
        <w:ind w:firstLine="420"/>
      </w:pPr>
      <w:r>
        <w:rPr>
          <w:rFonts w:hint="eastAsia"/>
        </w:rPr>
        <w:t>图D.1给出了课程满意度问卷调查表示例。</w:t>
      </w:r>
    </w:p>
    <w:p w14:paraId="10CD9C46">
      <w:pPr>
        <w:pStyle w:val="56"/>
        <w:ind w:firstLine="420"/>
        <w:jc w:val="left"/>
      </w:pPr>
    </w:p>
    <w:p w14:paraId="3AF0E466">
      <w:pPr>
        <w:pStyle w:val="56"/>
        <w:ind w:firstLine="420"/>
        <w:jc w:val="center"/>
      </w:pPr>
      <w:r>
        <w:drawing>
          <wp:inline distT="0" distB="0" distL="0" distR="0">
            <wp:extent cx="5934075" cy="6934200"/>
            <wp:effectExtent l="0" t="0" r="9525" b="0"/>
            <wp:docPr id="196237802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2378026" name="图片 3"/>
                    <pic:cNvPicPr>
                      <a:picLocks noChangeAspect="1" noChangeArrowheads="1"/>
                    </pic:cNvPicPr>
                  </pic:nvPicPr>
                  <pic:blipFill>
                    <a:blip r:embed="rId33" cstate="print">
                      <a:extLst>
                        <a:ext uri="{28A0092B-C50C-407E-A947-70E740481C1C}">
                          <a14:useLocalDpi xmlns:a14="http://schemas.microsoft.com/office/drawing/2010/main" val="0"/>
                        </a:ext>
                      </a:extLst>
                    </a:blip>
                    <a:srcRect t="8173" b="9194"/>
                    <a:stretch>
                      <a:fillRect/>
                    </a:stretch>
                  </pic:blipFill>
                  <pic:spPr>
                    <a:xfrm>
                      <a:off x="0" y="0"/>
                      <a:ext cx="5934075" cy="6934200"/>
                    </a:xfrm>
                    <a:prstGeom prst="rect">
                      <a:avLst/>
                    </a:prstGeom>
                    <a:noFill/>
                    <a:ln>
                      <a:noFill/>
                    </a:ln>
                  </pic:spPr>
                </pic:pic>
              </a:graphicData>
            </a:graphic>
          </wp:inline>
        </w:drawing>
      </w:r>
    </w:p>
    <w:p w14:paraId="4676F505">
      <w:pPr>
        <w:pStyle w:val="83"/>
        <w:spacing w:before="120" w:after="120"/>
      </w:pPr>
      <w:r>
        <w:rPr>
          <w:rFonts w:hint="eastAsia"/>
        </w:rPr>
        <w:t>课程满意度问卷调查表</w:t>
      </w:r>
    </w:p>
    <w:p w14:paraId="5CA2A418">
      <w:pPr>
        <w:pStyle w:val="83"/>
        <w:numPr>
          <w:ilvl w:val="0"/>
          <w:numId w:val="0"/>
        </w:numPr>
        <w:spacing w:before="120" w:after="120"/>
      </w:pPr>
      <w:r>
        <w:drawing>
          <wp:inline distT="0" distB="0" distL="0" distR="0">
            <wp:extent cx="5934075" cy="7677150"/>
            <wp:effectExtent l="0" t="0" r="9525" b="0"/>
            <wp:docPr id="206549615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5496156" name="图片 4"/>
                    <pic:cNvPicPr>
                      <a:picLocks noChangeAspect="1" noChangeArrowheads="1"/>
                    </pic:cNvPicPr>
                  </pic:nvPicPr>
                  <pic:blipFill>
                    <a:blip r:embed="rId34" cstate="print">
                      <a:extLst>
                        <a:ext uri="{28A0092B-C50C-407E-A947-70E740481C1C}">
                          <a14:useLocalDpi xmlns:a14="http://schemas.microsoft.com/office/drawing/2010/main" val="0"/>
                        </a:ext>
                      </a:extLst>
                    </a:blip>
                    <a:srcRect b="8513"/>
                    <a:stretch>
                      <a:fillRect/>
                    </a:stretch>
                  </pic:blipFill>
                  <pic:spPr>
                    <a:xfrm>
                      <a:off x="0" y="0"/>
                      <a:ext cx="5934075" cy="7677150"/>
                    </a:xfrm>
                    <a:prstGeom prst="rect">
                      <a:avLst/>
                    </a:prstGeom>
                    <a:noFill/>
                    <a:ln>
                      <a:noFill/>
                    </a:ln>
                  </pic:spPr>
                </pic:pic>
              </a:graphicData>
            </a:graphic>
          </wp:inline>
        </w:drawing>
      </w:r>
    </w:p>
    <w:p w14:paraId="667E2068">
      <w:pPr>
        <w:pStyle w:val="83"/>
        <w:numPr>
          <w:ilvl w:val="0"/>
          <w:numId w:val="0"/>
        </w:numPr>
        <w:spacing w:before="120" w:after="120"/>
      </w:pPr>
      <w:r>
        <w:rPr>
          <w:rFonts w:hint="eastAsia"/>
        </w:rPr>
        <w:t>图D.1课程满意度问卷调查表</w:t>
      </w:r>
      <w:r>
        <w:rPr>
          <w:rFonts w:hint="eastAsia" w:ascii="宋体" w:hAnsi="宋体" w:eastAsia="宋体"/>
        </w:rPr>
        <w:t>（第2页/共2页）</w:t>
      </w:r>
    </w:p>
    <w:bookmarkEnd w:id="68"/>
    <w:p w14:paraId="0FAE2102">
      <w:pPr>
        <w:pStyle w:val="56"/>
        <w:ind w:firstLine="0" w:firstLineChars="0"/>
        <w:contextualSpacing/>
        <w:jc w:val="center"/>
      </w:pPr>
      <w:bookmarkStart w:id="77" w:name="BookMark8"/>
      <w:r>
        <w:drawing>
          <wp:inline distT="0" distB="0" distL="0" distR="0">
            <wp:extent cx="1485900" cy="317500"/>
            <wp:effectExtent l="0" t="0" r="0" b="6350"/>
            <wp:docPr id="89396520" name="图片 3"/>
            <wp:cNvGraphicFramePr/>
            <a:graphic xmlns:a="http://schemas.openxmlformats.org/drawingml/2006/main">
              <a:graphicData uri="http://schemas.openxmlformats.org/drawingml/2006/picture">
                <pic:pic xmlns:pic="http://schemas.openxmlformats.org/drawingml/2006/picture">
                  <pic:nvPicPr>
                    <pic:cNvPr id="89396520" name="图片 3"/>
                    <pic:cNvPicPr/>
                  </pic:nvPicPr>
                  <pic:blipFill>
                    <a:blip r:embed="rId35">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77"/>
    </w:p>
    <w:sectPr>
      <w:headerReference r:id="rId23" w:type="default"/>
      <w:footerReference r:id="rId25" w:type="default"/>
      <w:headerReference r:id="rId24" w:type="even"/>
      <w:footerReference r:id="rId26" w:type="even"/>
      <w:pgSz w:w="11906" w:h="16838"/>
      <w:pgMar w:top="1928" w:right="1134" w:bottom="1134" w:left="1134" w:header="1418" w:footer="1134" w:gutter="284"/>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DokChampa">
    <w:altName w:val="Segoe Print"/>
    <w:panose1 w:val="020B0604020202020204"/>
    <w:charset w:val="00"/>
    <w:family w:val="swiss"/>
    <w:pitch w:val="default"/>
    <w:sig w:usb0="00000000" w:usb1="00000000" w:usb2="00000000" w:usb3="00000000" w:csb0="00010001" w:csb1="00000000"/>
  </w:font>
  <w:font w:name="Segoe Print">
    <w:panose1 w:val="02000600000000000000"/>
    <w:charset w:val="00"/>
    <w:family w:val="auto"/>
    <w:pitch w:val="default"/>
    <w:sig w:usb0="0000028F" w:usb1="00000000" w:usb2="00000000" w:usb3="00000000" w:csb0="2000009F" w:csb1="47010000"/>
  </w:font>
  <w:font w:name="Cordia New">
    <w:altName w:val="Yu Gothic UI Light"/>
    <w:panose1 w:val="020B0304020202020204"/>
    <w:charset w:val="00"/>
    <w:family w:val="swiss"/>
    <w:pitch w:val="default"/>
    <w:sig w:usb0="00000000" w:usb1="00000000" w:usb2="00000000" w:usb3="00000000" w:csb0="00010001" w:csb1="00000000"/>
  </w:font>
  <w:font w:name="Yu Gothic UI Light">
    <w:panose1 w:val="020B0300000000000000"/>
    <w:charset w:val="80"/>
    <w:family w:val="auto"/>
    <w:pitch w:val="default"/>
    <w:sig w:usb0="E00002FF" w:usb1="2AC7FDFF" w:usb2="00000016" w:usb3="00000000" w:csb0="2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8BEF2F">
    <w:pPr>
      <w:pStyle w:val="17"/>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73F9F2">
    <w:pPr>
      <w:pStyle w:val="52"/>
    </w:pPr>
    <w:r>
      <w:fldChar w:fldCharType="begin"/>
    </w:r>
    <w:r>
      <w:instrText xml:space="preserve">PAGE   \* MERGEFORMAT</w:instrText>
    </w:r>
    <w:r>
      <w:fldChar w:fldCharType="separate"/>
    </w:r>
    <w:r>
      <w:rPr>
        <w:lang w:val="zh-CN"/>
      </w:rPr>
      <w:t>1</w:t>
    </w:r>
    <w: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1DE5AC">
    <w:pPr>
      <w:pStyle w:val="51"/>
    </w:pPr>
    <w:r>
      <w:fldChar w:fldCharType="begin"/>
    </w:r>
    <w:r>
      <w:instrText xml:space="preserve"> PAGE   \* MERGEFORMAT \* MERGEFORMAT </w:instrText>
    </w:r>
    <w:r>
      <w:fldChar w:fldCharType="separate"/>
    </w:r>
    <w:r>
      <w:t>18</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1CA10E">
    <w:pPr>
      <w:pStyle w:val="17"/>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F35068">
    <w:pPr>
      <w:pStyle w:val="17"/>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27467C">
    <w:pPr>
      <w:pStyle w:val="52"/>
    </w:pPr>
    <w:r>
      <w:fldChar w:fldCharType="begin"/>
    </w:r>
    <w:r>
      <w:instrText xml:space="preserve">PAGE   \* MERGEFORMAT</w:instrText>
    </w:r>
    <w:r>
      <w:fldChar w:fldCharType="separate"/>
    </w:r>
    <w:r>
      <w:rPr>
        <w:lang w:val="zh-CN"/>
      </w:rPr>
      <w:t>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99FCED">
    <w:pPr>
      <w:pStyle w:val="51"/>
    </w:pPr>
    <w:r>
      <w:fldChar w:fldCharType="begin"/>
    </w:r>
    <w:r>
      <w:instrText xml:space="preserve"> PAGE   \* MERGEFORMAT \* MERGEFORMAT </w:instrText>
    </w:r>
    <w:r>
      <w:fldChar w:fldCharType="separate"/>
    </w:r>
    <w:r>
      <w:t>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44030B">
    <w:pPr>
      <w:pStyle w:val="52"/>
    </w:pPr>
    <w:r>
      <w:fldChar w:fldCharType="begin"/>
    </w:r>
    <w:r>
      <w:instrText xml:space="preserve">PAGE   \* MERGEFORMAT</w:instrText>
    </w:r>
    <w:r>
      <w:fldChar w:fldCharType="separate"/>
    </w:r>
    <w:r>
      <w:rPr>
        <w:lang w:val="zh-CN"/>
      </w:rPr>
      <w:t>1</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E108FC">
    <w:pPr>
      <w:pStyle w:val="51"/>
    </w:pPr>
    <w:r>
      <w:fldChar w:fldCharType="begin"/>
    </w:r>
    <w:r>
      <w:instrText xml:space="preserve"> PAGE   \* MERGEFORMAT \* MERGEFORMAT </w:instrText>
    </w:r>
    <w:r>
      <w:fldChar w:fldCharType="separate"/>
    </w:r>
    <w:r>
      <w:t>6</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9DA05A">
    <w:pPr>
      <w:pStyle w:val="52"/>
    </w:pPr>
    <w:r>
      <w:fldChar w:fldCharType="begin"/>
    </w:r>
    <w:r>
      <w:instrText xml:space="preserve">PAGE   \* MERGEFORMAT</w:instrText>
    </w:r>
    <w:r>
      <w:fldChar w:fldCharType="separate"/>
    </w:r>
    <w:r>
      <w:rPr>
        <w:lang w:val="zh-CN"/>
      </w:rPr>
      <w:t>1</w:t>
    </w:r>
    <w: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382D57">
    <w:pPr>
      <w:pStyle w:val="51"/>
    </w:pPr>
    <w:r>
      <w:fldChar w:fldCharType="begin"/>
    </w:r>
    <w:r>
      <w:instrText xml:space="preserve"> PAGE   \* MERGEFORMAT \* MERGEFORMAT </w:instrText>
    </w:r>
    <w:r>
      <w:fldChar w:fldCharType="separate"/>
    </w:r>
    <w:r>
      <w:t>16</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1F7A29">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14294A">
    <w:pPr>
      <w:pStyle w:val="61"/>
      <w:rPr>
        <w:rFonts w:hint="eastAsia"/>
      </w:rPr>
    </w:pPr>
    <w:r>
      <w:fldChar w:fldCharType="begin"/>
    </w:r>
    <w:r>
      <w:instrText xml:space="preserve"> STYLEREF  标准文件_文件编号  \* MERGEFORMAT </w:instrText>
    </w:r>
    <w:r>
      <w:fldChar w:fldCharType="separate"/>
    </w:r>
    <w:r>
      <w:t>T/GCB XXXX—2026</w:t>
    </w:r>
    <w:r>
      <w:fldChar w:fldCharType="end"/>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F7D2DC">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T/GCB XXXX—2026</w:t>
    </w:r>
    <w:r>
      <w:rPr>
        <w:rFonts w:hint="eastAsia"/>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3ED4A8">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3866E1">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37271F">
    <w:pPr>
      <w:pStyle w:val="61"/>
      <w:rPr>
        <w:rFonts w:hint="eastAsia"/>
      </w:rPr>
    </w:pPr>
    <w:r>
      <w:fldChar w:fldCharType="begin"/>
    </w:r>
    <w:r>
      <w:instrText xml:space="preserve"> STYLEREF  标准文件_文件编号  \* MERGEFORMAT </w:instrText>
    </w:r>
    <w:r>
      <w:fldChar w:fldCharType="separate"/>
    </w:r>
    <w:r>
      <w:t>T/GCB XXXX—2026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B12398">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T/GCB XXXX—2026</w:t>
    </w:r>
    <w:r>
      <w:rPr>
        <w:rFonts w:hint="eastAsia"/>
      </w:rP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6067F4">
    <w:pPr>
      <w:pStyle w:val="61"/>
      <w:rPr>
        <w:rFonts w:hint="eastAsia"/>
      </w:rPr>
    </w:pPr>
    <w:r>
      <w:fldChar w:fldCharType="begin"/>
    </w:r>
    <w:r>
      <w:instrText xml:space="preserve"> STYLEREF  标准文件_文件编号  \* MERGEFORMAT </w:instrText>
    </w:r>
    <w:r>
      <w:fldChar w:fldCharType="separate"/>
    </w:r>
    <w:r>
      <w:t>T/GCB XXXX—2026</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6E08CA">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T/GCB XXXX—2026</w:t>
    </w:r>
    <w:r>
      <w:rPr>
        <w:rFonts w:hint="eastAsia"/>
      </w:rP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45CB2E">
    <w:pPr>
      <w:pStyle w:val="61"/>
      <w:rPr>
        <w:rFonts w:hint="eastAsia"/>
      </w:rPr>
    </w:pPr>
    <w:r>
      <w:fldChar w:fldCharType="begin"/>
    </w:r>
    <w:r>
      <w:instrText xml:space="preserve"> STYLEREF  标准文件_文件编号  \* MERGEFORMAT </w:instrText>
    </w:r>
    <w:r>
      <w:fldChar w:fldCharType="separate"/>
    </w:r>
    <w:r>
      <w:t>T/GCB XXXX—2026</w:t>
    </w:r>
    <w: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708065">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T/GCB XXXX—2026</w:t>
    </w:r>
    <w:r>
      <w:rPr>
        <w:rFonts w:hint="eastAsia"/>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994"/>
        </w:tabs>
        <w:ind w:left="994"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1985"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dit="forms" w:enforcement="1" w:cryptProviderType="rsaFull" w:cryptAlgorithmClass="hash" w:cryptAlgorithmType="typeAny" w:cryptAlgorithmSid="4" w:cryptSpinCount="0" w:hash="kki+wj7gySfM2MFPIva2gMYjCcM=" w:salt="mJQVFiNn4k4JSO9j3CBR1g=="/>
  <w:defaultTabStop w:val="420"/>
  <w:evenAndOddHeaders w:val="1"/>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6201"/>
    <w:rsid w:val="0000040A"/>
    <w:rsid w:val="00000A94"/>
    <w:rsid w:val="00001972"/>
    <w:rsid w:val="00001D9A"/>
    <w:rsid w:val="000059C5"/>
    <w:rsid w:val="00007B3A"/>
    <w:rsid w:val="000107E0"/>
    <w:rsid w:val="00011FDE"/>
    <w:rsid w:val="00012FFD"/>
    <w:rsid w:val="00014162"/>
    <w:rsid w:val="00014340"/>
    <w:rsid w:val="00016A9C"/>
    <w:rsid w:val="00022184"/>
    <w:rsid w:val="00022762"/>
    <w:rsid w:val="000238E0"/>
    <w:rsid w:val="000249DB"/>
    <w:rsid w:val="0002595E"/>
    <w:rsid w:val="000303C3"/>
    <w:rsid w:val="00031079"/>
    <w:rsid w:val="000331D3"/>
    <w:rsid w:val="000346A5"/>
    <w:rsid w:val="000359C3"/>
    <w:rsid w:val="00035A7D"/>
    <w:rsid w:val="000365ED"/>
    <w:rsid w:val="0004249A"/>
    <w:rsid w:val="00043282"/>
    <w:rsid w:val="00044286"/>
    <w:rsid w:val="00047F28"/>
    <w:rsid w:val="000503AA"/>
    <w:rsid w:val="000506A1"/>
    <w:rsid w:val="000515DD"/>
    <w:rsid w:val="0005265A"/>
    <w:rsid w:val="00052B2A"/>
    <w:rsid w:val="000539DD"/>
    <w:rsid w:val="00053BD3"/>
    <w:rsid w:val="000556ED"/>
    <w:rsid w:val="0005574D"/>
    <w:rsid w:val="00055FE2"/>
    <w:rsid w:val="0005616F"/>
    <w:rsid w:val="00060363"/>
    <w:rsid w:val="00060C2E"/>
    <w:rsid w:val="00060C3B"/>
    <w:rsid w:val="00061033"/>
    <w:rsid w:val="000619E9"/>
    <w:rsid w:val="000622D4"/>
    <w:rsid w:val="0006357D"/>
    <w:rsid w:val="00067F1E"/>
    <w:rsid w:val="00071CC0"/>
    <w:rsid w:val="00071CFC"/>
    <w:rsid w:val="00073C8C"/>
    <w:rsid w:val="00076201"/>
    <w:rsid w:val="0007641D"/>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2C02"/>
    <w:rsid w:val="000E4C9E"/>
    <w:rsid w:val="000E6415"/>
    <w:rsid w:val="000E6FD7"/>
    <w:rsid w:val="000E7144"/>
    <w:rsid w:val="000F06E1"/>
    <w:rsid w:val="000F0E3C"/>
    <w:rsid w:val="000F19D5"/>
    <w:rsid w:val="000F4050"/>
    <w:rsid w:val="000F4AEA"/>
    <w:rsid w:val="000F5B25"/>
    <w:rsid w:val="000F67E9"/>
    <w:rsid w:val="00104926"/>
    <w:rsid w:val="0010622A"/>
    <w:rsid w:val="00110D9C"/>
    <w:rsid w:val="00113B1E"/>
    <w:rsid w:val="001161FF"/>
    <w:rsid w:val="0011711C"/>
    <w:rsid w:val="00124E4F"/>
    <w:rsid w:val="001260B7"/>
    <w:rsid w:val="001265CB"/>
    <w:rsid w:val="0013005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4608"/>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BC4"/>
    <w:rsid w:val="00173FB1"/>
    <w:rsid w:val="0017435E"/>
    <w:rsid w:val="00176C88"/>
    <w:rsid w:val="00176DFD"/>
    <w:rsid w:val="001852C9"/>
    <w:rsid w:val="00187A0B"/>
    <w:rsid w:val="00190087"/>
    <w:rsid w:val="001913C4"/>
    <w:rsid w:val="00191EC3"/>
    <w:rsid w:val="0019348F"/>
    <w:rsid w:val="00193A07"/>
    <w:rsid w:val="00194C95"/>
    <w:rsid w:val="00195C34"/>
    <w:rsid w:val="00196EF5"/>
    <w:rsid w:val="001A1A53"/>
    <w:rsid w:val="001A210F"/>
    <w:rsid w:val="001A234A"/>
    <w:rsid w:val="001A4CF3"/>
    <w:rsid w:val="001A6696"/>
    <w:rsid w:val="001B01F9"/>
    <w:rsid w:val="001B06E8"/>
    <w:rsid w:val="001B71D0"/>
    <w:rsid w:val="001B71EE"/>
    <w:rsid w:val="001C04A8"/>
    <w:rsid w:val="001C26D5"/>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01D"/>
    <w:rsid w:val="001E4882"/>
    <w:rsid w:val="001E73AB"/>
    <w:rsid w:val="001F092D"/>
    <w:rsid w:val="001F143A"/>
    <w:rsid w:val="001F1605"/>
    <w:rsid w:val="001F1B45"/>
    <w:rsid w:val="001F2508"/>
    <w:rsid w:val="001F4804"/>
    <w:rsid w:val="001F4816"/>
    <w:rsid w:val="001F69B4"/>
    <w:rsid w:val="001F77C7"/>
    <w:rsid w:val="00200183"/>
    <w:rsid w:val="00200333"/>
    <w:rsid w:val="0020107D"/>
    <w:rsid w:val="00202AA4"/>
    <w:rsid w:val="002031F7"/>
    <w:rsid w:val="002040E6"/>
    <w:rsid w:val="0020527B"/>
    <w:rsid w:val="00205F2C"/>
    <w:rsid w:val="00206D72"/>
    <w:rsid w:val="00210B15"/>
    <w:rsid w:val="00211B64"/>
    <w:rsid w:val="002142EA"/>
    <w:rsid w:val="00215ADD"/>
    <w:rsid w:val="002204BB"/>
    <w:rsid w:val="00221B79"/>
    <w:rsid w:val="00221C6B"/>
    <w:rsid w:val="00221FE3"/>
    <w:rsid w:val="002253A1"/>
    <w:rsid w:val="00225CF8"/>
    <w:rsid w:val="002262D6"/>
    <w:rsid w:val="0022762F"/>
    <w:rsid w:val="0022794E"/>
    <w:rsid w:val="00230961"/>
    <w:rsid w:val="00233D64"/>
    <w:rsid w:val="0023482A"/>
    <w:rsid w:val="002359CB"/>
    <w:rsid w:val="002401E8"/>
    <w:rsid w:val="0024230A"/>
    <w:rsid w:val="00243192"/>
    <w:rsid w:val="00243540"/>
    <w:rsid w:val="0024497B"/>
    <w:rsid w:val="0024515B"/>
    <w:rsid w:val="00246021"/>
    <w:rsid w:val="0024666E"/>
    <w:rsid w:val="00247F52"/>
    <w:rsid w:val="00250B25"/>
    <w:rsid w:val="00250BBE"/>
    <w:rsid w:val="002515C2"/>
    <w:rsid w:val="0025194F"/>
    <w:rsid w:val="0026148A"/>
    <w:rsid w:val="00262696"/>
    <w:rsid w:val="0026337D"/>
    <w:rsid w:val="00263D25"/>
    <w:rsid w:val="002643C3"/>
    <w:rsid w:val="00264A0C"/>
    <w:rsid w:val="00266811"/>
    <w:rsid w:val="00266EEB"/>
    <w:rsid w:val="00267EF4"/>
    <w:rsid w:val="00270CB8"/>
    <w:rsid w:val="002716F8"/>
    <w:rsid w:val="00272B08"/>
    <w:rsid w:val="00272DC4"/>
    <w:rsid w:val="00276BA3"/>
    <w:rsid w:val="00281BB8"/>
    <w:rsid w:val="00281E9E"/>
    <w:rsid w:val="00282405"/>
    <w:rsid w:val="00285170"/>
    <w:rsid w:val="00285361"/>
    <w:rsid w:val="00287769"/>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4EE"/>
    <w:rsid w:val="002B5779"/>
    <w:rsid w:val="002B7332"/>
    <w:rsid w:val="002B7F51"/>
    <w:rsid w:val="002C09E7"/>
    <w:rsid w:val="002C1E06"/>
    <w:rsid w:val="002C3F07"/>
    <w:rsid w:val="002C5278"/>
    <w:rsid w:val="002C7EBB"/>
    <w:rsid w:val="002D06C1"/>
    <w:rsid w:val="002D2DFF"/>
    <w:rsid w:val="002D42B5"/>
    <w:rsid w:val="002D4F1A"/>
    <w:rsid w:val="002D6EC6"/>
    <w:rsid w:val="002D79AC"/>
    <w:rsid w:val="002E039D"/>
    <w:rsid w:val="002E4D5A"/>
    <w:rsid w:val="002E6326"/>
    <w:rsid w:val="002F1DD9"/>
    <w:rsid w:val="002F2910"/>
    <w:rsid w:val="002F30E0"/>
    <w:rsid w:val="002F35E4"/>
    <w:rsid w:val="002F3730"/>
    <w:rsid w:val="002F38E1"/>
    <w:rsid w:val="002F7AF6"/>
    <w:rsid w:val="003004F5"/>
    <w:rsid w:val="00300E63"/>
    <w:rsid w:val="00302F5F"/>
    <w:rsid w:val="0030441D"/>
    <w:rsid w:val="00306063"/>
    <w:rsid w:val="003136A7"/>
    <w:rsid w:val="00313B85"/>
    <w:rsid w:val="00314CA1"/>
    <w:rsid w:val="003150C6"/>
    <w:rsid w:val="00316E76"/>
    <w:rsid w:val="00317988"/>
    <w:rsid w:val="003221B4"/>
    <w:rsid w:val="0032258D"/>
    <w:rsid w:val="00322E62"/>
    <w:rsid w:val="00324D13"/>
    <w:rsid w:val="00324EDD"/>
    <w:rsid w:val="003331E4"/>
    <w:rsid w:val="00333A4E"/>
    <w:rsid w:val="00336C64"/>
    <w:rsid w:val="00337162"/>
    <w:rsid w:val="0034194F"/>
    <w:rsid w:val="00344605"/>
    <w:rsid w:val="003474AA"/>
    <w:rsid w:val="00350D1D"/>
    <w:rsid w:val="00351A94"/>
    <w:rsid w:val="00352C83"/>
    <w:rsid w:val="00352F1A"/>
    <w:rsid w:val="00354DEA"/>
    <w:rsid w:val="003562F8"/>
    <w:rsid w:val="00360256"/>
    <w:rsid w:val="0036107C"/>
    <w:rsid w:val="003615D2"/>
    <w:rsid w:val="0036429C"/>
    <w:rsid w:val="00364A53"/>
    <w:rsid w:val="003654CB"/>
    <w:rsid w:val="00365AA9"/>
    <w:rsid w:val="00365F86"/>
    <w:rsid w:val="00365F87"/>
    <w:rsid w:val="00366E89"/>
    <w:rsid w:val="003674A0"/>
    <w:rsid w:val="003700E5"/>
    <w:rsid w:val="003705F4"/>
    <w:rsid w:val="00370D58"/>
    <w:rsid w:val="003711BE"/>
    <w:rsid w:val="00371316"/>
    <w:rsid w:val="00376713"/>
    <w:rsid w:val="00381815"/>
    <w:rsid w:val="003819AF"/>
    <w:rsid w:val="003820E9"/>
    <w:rsid w:val="00382DE7"/>
    <w:rsid w:val="00384FFC"/>
    <w:rsid w:val="003872FC"/>
    <w:rsid w:val="003875EC"/>
    <w:rsid w:val="00387ADC"/>
    <w:rsid w:val="00387F53"/>
    <w:rsid w:val="00390020"/>
    <w:rsid w:val="003903D6"/>
    <w:rsid w:val="00390EE6"/>
    <w:rsid w:val="0039118F"/>
    <w:rsid w:val="003913F9"/>
    <w:rsid w:val="00392AD7"/>
    <w:rsid w:val="003938D9"/>
    <w:rsid w:val="00394376"/>
    <w:rsid w:val="003943FF"/>
    <w:rsid w:val="00396CBA"/>
    <w:rsid w:val="003974EB"/>
    <w:rsid w:val="00397CC5"/>
    <w:rsid w:val="003A0D1F"/>
    <w:rsid w:val="003A11D1"/>
    <w:rsid w:val="003A1582"/>
    <w:rsid w:val="003A316B"/>
    <w:rsid w:val="003A3D9C"/>
    <w:rsid w:val="003A4077"/>
    <w:rsid w:val="003A4AA7"/>
    <w:rsid w:val="003A60E8"/>
    <w:rsid w:val="003A7CC7"/>
    <w:rsid w:val="003B09AD"/>
    <w:rsid w:val="003B1F18"/>
    <w:rsid w:val="003B5BF0"/>
    <w:rsid w:val="003B60BF"/>
    <w:rsid w:val="003B6BE3"/>
    <w:rsid w:val="003C010C"/>
    <w:rsid w:val="003C0A6C"/>
    <w:rsid w:val="003C14F8"/>
    <w:rsid w:val="003C5A43"/>
    <w:rsid w:val="003C694E"/>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6D96"/>
    <w:rsid w:val="00407D39"/>
    <w:rsid w:val="0041477A"/>
    <w:rsid w:val="004167A3"/>
    <w:rsid w:val="0042747B"/>
    <w:rsid w:val="004322A8"/>
    <w:rsid w:val="00432DAA"/>
    <w:rsid w:val="00434305"/>
    <w:rsid w:val="00435DF7"/>
    <w:rsid w:val="004374B1"/>
    <w:rsid w:val="004407D0"/>
    <w:rsid w:val="0044083F"/>
    <w:rsid w:val="00441AE7"/>
    <w:rsid w:val="00445574"/>
    <w:rsid w:val="004467FB"/>
    <w:rsid w:val="004475FA"/>
    <w:rsid w:val="00451E3E"/>
    <w:rsid w:val="00452D6B"/>
    <w:rsid w:val="00454484"/>
    <w:rsid w:val="0045517B"/>
    <w:rsid w:val="00463B77"/>
    <w:rsid w:val="00463C7B"/>
    <w:rsid w:val="004644A6"/>
    <w:rsid w:val="004659BD"/>
    <w:rsid w:val="00465B87"/>
    <w:rsid w:val="00470775"/>
    <w:rsid w:val="004746B1"/>
    <w:rsid w:val="0047583F"/>
    <w:rsid w:val="00475DE8"/>
    <w:rsid w:val="00480000"/>
    <w:rsid w:val="00481C44"/>
    <w:rsid w:val="00484936"/>
    <w:rsid w:val="00485C89"/>
    <w:rsid w:val="00486BE3"/>
    <w:rsid w:val="00487278"/>
    <w:rsid w:val="004905E4"/>
    <w:rsid w:val="00490A89"/>
    <w:rsid w:val="00490AB4"/>
    <w:rsid w:val="00492F02"/>
    <w:rsid w:val="004939AE"/>
    <w:rsid w:val="0049476A"/>
    <w:rsid w:val="00494B00"/>
    <w:rsid w:val="004A12DF"/>
    <w:rsid w:val="004A1BA8"/>
    <w:rsid w:val="004A3349"/>
    <w:rsid w:val="004A4B57"/>
    <w:rsid w:val="004A5172"/>
    <w:rsid w:val="004A63FA"/>
    <w:rsid w:val="004A6A3D"/>
    <w:rsid w:val="004B0272"/>
    <w:rsid w:val="004B0BE9"/>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718"/>
    <w:rsid w:val="004E1C0A"/>
    <w:rsid w:val="004E30C5"/>
    <w:rsid w:val="004E4AA5"/>
    <w:rsid w:val="004E4AEE"/>
    <w:rsid w:val="004E59E3"/>
    <w:rsid w:val="004E67C0"/>
    <w:rsid w:val="004F05D3"/>
    <w:rsid w:val="004F391A"/>
    <w:rsid w:val="004F3CFB"/>
    <w:rsid w:val="004F474C"/>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0B85"/>
    <w:rsid w:val="005220EC"/>
    <w:rsid w:val="00523F95"/>
    <w:rsid w:val="00524D65"/>
    <w:rsid w:val="0052581D"/>
    <w:rsid w:val="00525B16"/>
    <w:rsid w:val="00525FD6"/>
    <w:rsid w:val="00531789"/>
    <w:rsid w:val="00533D04"/>
    <w:rsid w:val="00534804"/>
    <w:rsid w:val="00534BDF"/>
    <w:rsid w:val="005354EA"/>
    <w:rsid w:val="005355FB"/>
    <w:rsid w:val="0053585F"/>
    <w:rsid w:val="00535EC4"/>
    <w:rsid w:val="00535ED9"/>
    <w:rsid w:val="0053692B"/>
    <w:rsid w:val="00541853"/>
    <w:rsid w:val="00543BDA"/>
    <w:rsid w:val="00544060"/>
    <w:rsid w:val="005441CC"/>
    <w:rsid w:val="005479DA"/>
    <w:rsid w:val="00547BCC"/>
    <w:rsid w:val="0055013B"/>
    <w:rsid w:val="00551F6F"/>
    <w:rsid w:val="0055411A"/>
    <w:rsid w:val="00555044"/>
    <w:rsid w:val="00561475"/>
    <w:rsid w:val="00562308"/>
    <w:rsid w:val="0056487B"/>
    <w:rsid w:val="00564FB9"/>
    <w:rsid w:val="005651B1"/>
    <w:rsid w:val="005658AC"/>
    <w:rsid w:val="00565E84"/>
    <w:rsid w:val="00567E36"/>
    <w:rsid w:val="00567FBE"/>
    <w:rsid w:val="0057024F"/>
    <w:rsid w:val="005711E9"/>
    <w:rsid w:val="00573D9E"/>
    <w:rsid w:val="005801E3"/>
    <w:rsid w:val="00581802"/>
    <w:rsid w:val="00581DA9"/>
    <w:rsid w:val="005836A8"/>
    <w:rsid w:val="0058409C"/>
    <w:rsid w:val="00584262"/>
    <w:rsid w:val="00585D2A"/>
    <w:rsid w:val="00586630"/>
    <w:rsid w:val="00586D9E"/>
    <w:rsid w:val="00586F9C"/>
    <w:rsid w:val="00587ADD"/>
    <w:rsid w:val="005935C1"/>
    <w:rsid w:val="00593A49"/>
    <w:rsid w:val="00596160"/>
    <w:rsid w:val="005966E2"/>
    <w:rsid w:val="00597007"/>
    <w:rsid w:val="005A0966"/>
    <w:rsid w:val="005A11B7"/>
    <w:rsid w:val="005A260B"/>
    <w:rsid w:val="005A28C7"/>
    <w:rsid w:val="005A4A1B"/>
    <w:rsid w:val="005A7830"/>
    <w:rsid w:val="005A7FCE"/>
    <w:rsid w:val="005B0F3F"/>
    <w:rsid w:val="005B191C"/>
    <w:rsid w:val="005B4903"/>
    <w:rsid w:val="005B51CE"/>
    <w:rsid w:val="005B5885"/>
    <w:rsid w:val="005B5CD7"/>
    <w:rsid w:val="005B64CC"/>
    <w:rsid w:val="005B6CF6"/>
    <w:rsid w:val="005B7422"/>
    <w:rsid w:val="005C29B8"/>
    <w:rsid w:val="005C5F21"/>
    <w:rsid w:val="005C7156"/>
    <w:rsid w:val="005D0C75"/>
    <w:rsid w:val="005D1102"/>
    <w:rsid w:val="005D4171"/>
    <w:rsid w:val="005D69F2"/>
    <w:rsid w:val="005D6A95"/>
    <w:rsid w:val="005D6B2C"/>
    <w:rsid w:val="005D6D9C"/>
    <w:rsid w:val="005E06AE"/>
    <w:rsid w:val="005E2335"/>
    <w:rsid w:val="005E34CA"/>
    <w:rsid w:val="005E3C18"/>
    <w:rsid w:val="005E4250"/>
    <w:rsid w:val="005E6812"/>
    <w:rsid w:val="005E6D98"/>
    <w:rsid w:val="005E7881"/>
    <w:rsid w:val="005E78E0"/>
    <w:rsid w:val="005F0D9C"/>
    <w:rsid w:val="005F284E"/>
    <w:rsid w:val="005F2999"/>
    <w:rsid w:val="005F606A"/>
    <w:rsid w:val="00600F53"/>
    <w:rsid w:val="006015CE"/>
    <w:rsid w:val="00604345"/>
    <w:rsid w:val="00604784"/>
    <w:rsid w:val="00606419"/>
    <w:rsid w:val="00607D29"/>
    <w:rsid w:val="00610B2D"/>
    <w:rsid w:val="00612952"/>
    <w:rsid w:val="00614CC1"/>
    <w:rsid w:val="00615A9D"/>
    <w:rsid w:val="00617387"/>
    <w:rsid w:val="006205D6"/>
    <w:rsid w:val="006252D8"/>
    <w:rsid w:val="006259BC"/>
    <w:rsid w:val="0062636B"/>
    <w:rsid w:val="00626F79"/>
    <w:rsid w:val="00632182"/>
    <w:rsid w:val="00632AE0"/>
    <w:rsid w:val="00633C17"/>
    <w:rsid w:val="00634D9E"/>
    <w:rsid w:val="00636E3E"/>
    <w:rsid w:val="006379F7"/>
    <w:rsid w:val="00637E4D"/>
    <w:rsid w:val="00640620"/>
    <w:rsid w:val="00641A1F"/>
    <w:rsid w:val="006441EF"/>
    <w:rsid w:val="00645904"/>
    <w:rsid w:val="00646DC4"/>
    <w:rsid w:val="006500C6"/>
    <w:rsid w:val="00651ACB"/>
    <w:rsid w:val="00651C47"/>
    <w:rsid w:val="00652AB2"/>
    <w:rsid w:val="00653FED"/>
    <w:rsid w:val="00654AD8"/>
    <w:rsid w:val="00654EC0"/>
    <w:rsid w:val="00654F82"/>
    <w:rsid w:val="0065525B"/>
    <w:rsid w:val="00655D4F"/>
    <w:rsid w:val="00656D29"/>
    <w:rsid w:val="006640E5"/>
    <w:rsid w:val="006646F1"/>
    <w:rsid w:val="00664929"/>
    <w:rsid w:val="00664F62"/>
    <w:rsid w:val="006655E1"/>
    <w:rsid w:val="00672060"/>
    <w:rsid w:val="00672BFD"/>
    <w:rsid w:val="0067350B"/>
    <w:rsid w:val="006742A5"/>
    <w:rsid w:val="006770F4"/>
    <w:rsid w:val="00677A84"/>
    <w:rsid w:val="0068026D"/>
    <w:rsid w:val="00680A27"/>
    <w:rsid w:val="00681381"/>
    <w:rsid w:val="006816A4"/>
    <w:rsid w:val="006819B8"/>
    <w:rsid w:val="006840A6"/>
    <w:rsid w:val="006850CD"/>
    <w:rsid w:val="00685AAB"/>
    <w:rsid w:val="006A07AA"/>
    <w:rsid w:val="006A25E5"/>
    <w:rsid w:val="006A2B46"/>
    <w:rsid w:val="006A336D"/>
    <w:rsid w:val="006A37B9"/>
    <w:rsid w:val="006A67C6"/>
    <w:rsid w:val="006A67DB"/>
    <w:rsid w:val="006B2672"/>
    <w:rsid w:val="006B37E0"/>
    <w:rsid w:val="006B54BF"/>
    <w:rsid w:val="006B5F44"/>
    <w:rsid w:val="006B5F90"/>
    <w:rsid w:val="006B62E4"/>
    <w:rsid w:val="006C099D"/>
    <w:rsid w:val="006C1BBA"/>
    <w:rsid w:val="006C2079"/>
    <w:rsid w:val="006C5A62"/>
    <w:rsid w:val="006C5D68"/>
    <w:rsid w:val="006C6976"/>
    <w:rsid w:val="006C6DD0"/>
    <w:rsid w:val="006D04EA"/>
    <w:rsid w:val="006D16C4"/>
    <w:rsid w:val="006D393F"/>
    <w:rsid w:val="006D3E96"/>
    <w:rsid w:val="006D4515"/>
    <w:rsid w:val="006D4BB1"/>
    <w:rsid w:val="006D600B"/>
    <w:rsid w:val="006D6593"/>
    <w:rsid w:val="006D7B91"/>
    <w:rsid w:val="006E59A4"/>
    <w:rsid w:val="006F03A8"/>
    <w:rsid w:val="006F1821"/>
    <w:rsid w:val="006F2ACA"/>
    <w:rsid w:val="006F2ADC"/>
    <w:rsid w:val="006F2BFE"/>
    <w:rsid w:val="006F31E9"/>
    <w:rsid w:val="006F61B4"/>
    <w:rsid w:val="006F6284"/>
    <w:rsid w:val="006F69D5"/>
    <w:rsid w:val="007002C5"/>
    <w:rsid w:val="00704387"/>
    <w:rsid w:val="00706EC9"/>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1DD1"/>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3190"/>
    <w:rsid w:val="00765C43"/>
    <w:rsid w:val="00765EFB"/>
    <w:rsid w:val="007671CA"/>
    <w:rsid w:val="00767C61"/>
    <w:rsid w:val="0077008A"/>
    <w:rsid w:val="00773C1F"/>
    <w:rsid w:val="00774DA4"/>
    <w:rsid w:val="00775AAD"/>
    <w:rsid w:val="00776599"/>
    <w:rsid w:val="00777140"/>
    <w:rsid w:val="0078114B"/>
    <w:rsid w:val="00781DD2"/>
    <w:rsid w:val="00783ECF"/>
    <w:rsid w:val="0078413A"/>
    <w:rsid w:val="00785F14"/>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3394"/>
    <w:rsid w:val="007C4593"/>
    <w:rsid w:val="007C5309"/>
    <w:rsid w:val="007C6069"/>
    <w:rsid w:val="007D06C4"/>
    <w:rsid w:val="007D1352"/>
    <w:rsid w:val="007D1863"/>
    <w:rsid w:val="007D2508"/>
    <w:rsid w:val="007D346A"/>
    <w:rsid w:val="007D6518"/>
    <w:rsid w:val="007D76BD"/>
    <w:rsid w:val="007E0BF1"/>
    <w:rsid w:val="007E20A0"/>
    <w:rsid w:val="007E439A"/>
    <w:rsid w:val="007E4D5B"/>
    <w:rsid w:val="007F0ED8"/>
    <w:rsid w:val="007F0F63"/>
    <w:rsid w:val="007F75CE"/>
    <w:rsid w:val="00800341"/>
    <w:rsid w:val="00800582"/>
    <w:rsid w:val="008013A4"/>
    <w:rsid w:val="008027CE"/>
    <w:rsid w:val="00802F42"/>
    <w:rsid w:val="00804383"/>
    <w:rsid w:val="00804BB7"/>
    <w:rsid w:val="00804D41"/>
    <w:rsid w:val="00810257"/>
    <w:rsid w:val="008104F5"/>
    <w:rsid w:val="00811072"/>
    <w:rsid w:val="00811369"/>
    <w:rsid w:val="00815419"/>
    <w:rsid w:val="00815572"/>
    <w:rsid w:val="008163C8"/>
    <w:rsid w:val="008164A1"/>
    <w:rsid w:val="00817325"/>
    <w:rsid w:val="008209E6"/>
    <w:rsid w:val="00821367"/>
    <w:rsid w:val="00821D19"/>
    <w:rsid w:val="00823303"/>
    <w:rsid w:val="008233B2"/>
    <w:rsid w:val="00823A9F"/>
    <w:rsid w:val="00823C85"/>
    <w:rsid w:val="00825138"/>
    <w:rsid w:val="008264E9"/>
    <w:rsid w:val="008269DD"/>
    <w:rsid w:val="00826C80"/>
    <w:rsid w:val="00830621"/>
    <w:rsid w:val="0083109D"/>
    <w:rsid w:val="0083348C"/>
    <w:rsid w:val="008373D3"/>
    <w:rsid w:val="00840617"/>
    <w:rsid w:val="00840EEC"/>
    <w:rsid w:val="00840F84"/>
    <w:rsid w:val="00842360"/>
    <w:rsid w:val="00842A47"/>
    <w:rsid w:val="00843937"/>
    <w:rsid w:val="00843C13"/>
    <w:rsid w:val="00843DEF"/>
    <w:rsid w:val="00843DFC"/>
    <w:rsid w:val="008454F8"/>
    <w:rsid w:val="00850FB0"/>
    <w:rsid w:val="0085173A"/>
    <w:rsid w:val="008603CE"/>
    <w:rsid w:val="008620FC"/>
    <w:rsid w:val="008627A5"/>
    <w:rsid w:val="00863E05"/>
    <w:rsid w:val="00865ACA"/>
    <w:rsid w:val="00865D28"/>
    <w:rsid w:val="00865F85"/>
    <w:rsid w:val="00867435"/>
    <w:rsid w:val="00867C10"/>
    <w:rsid w:val="00870439"/>
    <w:rsid w:val="00870DA1"/>
    <w:rsid w:val="00880034"/>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10E0"/>
    <w:rsid w:val="008D2D1D"/>
    <w:rsid w:val="008D322C"/>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04A0"/>
    <w:rsid w:val="009014D2"/>
    <w:rsid w:val="00901ED8"/>
    <w:rsid w:val="00902722"/>
    <w:rsid w:val="009027BC"/>
    <w:rsid w:val="00905932"/>
    <w:rsid w:val="009062E6"/>
    <w:rsid w:val="00906603"/>
    <w:rsid w:val="00911BE5"/>
    <w:rsid w:val="00912DFC"/>
    <w:rsid w:val="00913CA9"/>
    <w:rsid w:val="009145AE"/>
    <w:rsid w:val="009146CE"/>
    <w:rsid w:val="00914CA7"/>
    <w:rsid w:val="00915C3E"/>
    <w:rsid w:val="009161A8"/>
    <w:rsid w:val="009245AE"/>
    <w:rsid w:val="009245F5"/>
    <w:rsid w:val="009249EC"/>
    <w:rsid w:val="009273B3"/>
    <w:rsid w:val="009305B5"/>
    <w:rsid w:val="00933125"/>
    <w:rsid w:val="009370D1"/>
    <w:rsid w:val="009378DD"/>
    <w:rsid w:val="009429D5"/>
    <w:rsid w:val="00942BF1"/>
    <w:rsid w:val="00945180"/>
    <w:rsid w:val="00945428"/>
    <w:rsid w:val="0094607B"/>
    <w:rsid w:val="00953604"/>
    <w:rsid w:val="0095496B"/>
    <w:rsid w:val="00960F1E"/>
    <w:rsid w:val="009610DC"/>
    <w:rsid w:val="00961490"/>
    <w:rsid w:val="00961EF4"/>
    <w:rsid w:val="0096248B"/>
    <w:rsid w:val="0096381A"/>
    <w:rsid w:val="00964ED1"/>
    <w:rsid w:val="00965E04"/>
    <w:rsid w:val="009674AD"/>
    <w:rsid w:val="00970CDC"/>
    <w:rsid w:val="00975013"/>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3136"/>
    <w:rsid w:val="009A42C1"/>
    <w:rsid w:val="009A5429"/>
    <w:rsid w:val="009A72AD"/>
    <w:rsid w:val="009B09E0"/>
    <w:rsid w:val="009B0BC5"/>
    <w:rsid w:val="009B1247"/>
    <w:rsid w:val="009B6029"/>
    <w:rsid w:val="009B6971"/>
    <w:rsid w:val="009C27F1"/>
    <w:rsid w:val="009C2CB2"/>
    <w:rsid w:val="009C3071"/>
    <w:rsid w:val="009C3152"/>
    <w:rsid w:val="009C3257"/>
    <w:rsid w:val="009C4CFA"/>
    <w:rsid w:val="009C5070"/>
    <w:rsid w:val="009D112C"/>
    <w:rsid w:val="009D1385"/>
    <w:rsid w:val="009D223E"/>
    <w:rsid w:val="009D47FA"/>
    <w:rsid w:val="009D4C5B"/>
    <w:rsid w:val="009D4E9E"/>
    <w:rsid w:val="009D50D2"/>
    <w:rsid w:val="009D5B8E"/>
    <w:rsid w:val="009D6BCA"/>
    <w:rsid w:val="009E0F62"/>
    <w:rsid w:val="009E4A58"/>
    <w:rsid w:val="009E4AB9"/>
    <w:rsid w:val="009E5A2D"/>
    <w:rsid w:val="009E5AB2"/>
    <w:rsid w:val="009E6219"/>
    <w:rsid w:val="009E74D2"/>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0B1"/>
    <w:rsid w:val="00A2271D"/>
    <w:rsid w:val="00A237D5"/>
    <w:rsid w:val="00A272AA"/>
    <w:rsid w:val="00A30EFC"/>
    <w:rsid w:val="00A31984"/>
    <w:rsid w:val="00A3226A"/>
    <w:rsid w:val="00A32D73"/>
    <w:rsid w:val="00A33241"/>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1754"/>
    <w:rsid w:val="00A54C77"/>
    <w:rsid w:val="00A55BD6"/>
    <w:rsid w:val="00A55D50"/>
    <w:rsid w:val="00A57142"/>
    <w:rsid w:val="00A648CD"/>
    <w:rsid w:val="00A6537A"/>
    <w:rsid w:val="00A67866"/>
    <w:rsid w:val="00A70B07"/>
    <w:rsid w:val="00A723F8"/>
    <w:rsid w:val="00A77CCB"/>
    <w:rsid w:val="00A83D8D"/>
    <w:rsid w:val="00A8446B"/>
    <w:rsid w:val="00A8473F"/>
    <w:rsid w:val="00A859A9"/>
    <w:rsid w:val="00A862D6"/>
    <w:rsid w:val="00A8715E"/>
    <w:rsid w:val="00A9295B"/>
    <w:rsid w:val="00A93B09"/>
    <w:rsid w:val="00A952D7"/>
    <w:rsid w:val="00A963F7"/>
    <w:rsid w:val="00A96AD8"/>
    <w:rsid w:val="00AA052C"/>
    <w:rsid w:val="00AA0DB4"/>
    <w:rsid w:val="00AA1E45"/>
    <w:rsid w:val="00AA4286"/>
    <w:rsid w:val="00AA456B"/>
    <w:rsid w:val="00AA57F5"/>
    <w:rsid w:val="00AA6473"/>
    <w:rsid w:val="00AA672E"/>
    <w:rsid w:val="00AA6EC9"/>
    <w:rsid w:val="00AB6309"/>
    <w:rsid w:val="00AB64E9"/>
    <w:rsid w:val="00AB6C5F"/>
    <w:rsid w:val="00AB6FB9"/>
    <w:rsid w:val="00AB7129"/>
    <w:rsid w:val="00AC27A6"/>
    <w:rsid w:val="00AC30F7"/>
    <w:rsid w:val="00AC3A5A"/>
    <w:rsid w:val="00AC4D95"/>
    <w:rsid w:val="00AC5A27"/>
    <w:rsid w:val="00AC5DF4"/>
    <w:rsid w:val="00AC6AE7"/>
    <w:rsid w:val="00AD0AEF"/>
    <w:rsid w:val="00AD11B7"/>
    <w:rsid w:val="00AD1A94"/>
    <w:rsid w:val="00AD1C05"/>
    <w:rsid w:val="00AD4126"/>
    <w:rsid w:val="00AD421C"/>
    <w:rsid w:val="00AD44FA"/>
    <w:rsid w:val="00AE070A"/>
    <w:rsid w:val="00AE101C"/>
    <w:rsid w:val="00AE2A69"/>
    <w:rsid w:val="00AE37E5"/>
    <w:rsid w:val="00AE5EB4"/>
    <w:rsid w:val="00AF0C18"/>
    <w:rsid w:val="00AF1B8A"/>
    <w:rsid w:val="00AF47C5"/>
    <w:rsid w:val="00AF5398"/>
    <w:rsid w:val="00AF5414"/>
    <w:rsid w:val="00AF6F9E"/>
    <w:rsid w:val="00B04069"/>
    <w:rsid w:val="00B049AF"/>
    <w:rsid w:val="00B07242"/>
    <w:rsid w:val="00B10534"/>
    <w:rsid w:val="00B113DB"/>
    <w:rsid w:val="00B11D8A"/>
    <w:rsid w:val="00B12981"/>
    <w:rsid w:val="00B147DD"/>
    <w:rsid w:val="00B156FD"/>
    <w:rsid w:val="00B21F61"/>
    <w:rsid w:val="00B261F1"/>
    <w:rsid w:val="00B265BC"/>
    <w:rsid w:val="00B307B7"/>
    <w:rsid w:val="00B31FB1"/>
    <w:rsid w:val="00B33952"/>
    <w:rsid w:val="00B33C5E"/>
    <w:rsid w:val="00B342F4"/>
    <w:rsid w:val="00B34369"/>
    <w:rsid w:val="00B34DC2"/>
    <w:rsid w:val="00B378E5"/>
    <w:rsid w:val="00B42D55"/>
    <w:rsid w:val="00B4338B"/>
    <w:rsid w:val="00B4346D"/>
    <w:rsid w:val="00B440F4"/>
    <w:rsid w:val="00B447A5"/>
    <w:rsid w:val="00B449B4"/>
    <w:rsid w:val="00B4654C"/>
    <w:rsid w:val="00B47293"/>
    <w:rsid w:val="00B476B4"/>
    <w:rsid w:val="00B50E50"/>
    <w:rsid w:val="00B52120"/>
    <w:rsid w:val="00B54ABC"/>
    <w:rsid w:val="00B56B50"/>
    <w:rsid w:val="00B56FBE"/>
    <w:rsid w:val="00B6083D"/>
    <w:rsid w:val="00B60ACF"/>
    <w:rsid w:val="00B62B58"/>
    <w:rsid w:val="00B65149"/>
    <w:rsid w:val="00B65932"/>
    <w:rsid w:val="00B66567"/>
    <w:rsid w:val="00B66F52"/>
    <w:rsid w:val="00B66FE5"/>
    <w:rsid w:val="00B70314"/>
    <w:rsid w:val="00B72880"/>
    <w:rsid w:val="00B74633"/>
    <w:rsid w:val="00B758BF"/>
    <w:rsid w:val="00B75F0E"/>
    <w:rsid w:val="00B77EC8"/>
    <w:rsid w:val="00B827A6"/>
    <w:rsid w:val="00B831CE"/>
    <w:rsid w:val="00B86677"/>
    <w:rsid w:val="00B87131"/>
    <w:rsid w:val="00B87262"/>
    <w:rsid w:val="00B911D4"/>
    <w:rsid w:val="00B939B1"/>
    <w:rsid w:val="00B95C41"/>
    <w:rsid w:val="00B96D40"/>
    <w:rsid w:val="00B97386"/>
    <w:rsid w:val="00BA1C9C"/>
    <w:rsid w:val="00BA263B"/>
    <w:rsid w:val="00BA42B2"/>
    <w:rsid w:val="00BA58D4"/>
    <w:rsid w:val="00BA5B9E"/>
    <w:rsid w:val="00BA5FC4"/>
    <w:rsid w:val="00BA7C9A"/>
    <w:rsid w:val="00BB4927"/>
    <w:rsid w:val="00BB5F8F"/>
    <w:rsid w:val="00BB657A"/>
    <w:rsid w:val="00BB73AD"/>
    <w:rsid w:val="00BC039C"/>
    <w:rsid w:val="00BC1A4E"/>
    <w:rsid w:val="00BC21FF"/>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056B4"/>
    <w:rsid w:val="00C103E5"/>
    <w:rsid w:val="00C12DB2"/>
    <w:rsid w:val="00C13319"/>
    <w:rsid w:val="00C13EE9"/>
    <w:rsid w:val="00C21540"/>
    <w:rsid w:val="00C21906"/>
    <w:rsid w:val="00C21BFA"/>
    <w:rsid w:val="00C24C8D"/>
    <w:rsid w:val="00C25FE2"/>
    <w:rsid w:val="00C26B53"/>
    <w:rsid w:val="00C279B2"/>
    <w:rsid w:val="00C33E50"/>
    <w:rsid w:val="00C34C20"/>
    <w:rsid w:val="00C35A3E"/>
    <w:rsid w:val="00C36524"/>
    <w:rsid w:val="00C41323"/>
    <w:rsid w:val="00C42130"/>
    <w:rsid w:val="00C423A4"/>
    <w:rsid w:val="00C423E3"/>
    <w:rsid w:val="00C443AD"/>
    <w:rsid w:val="00C44905"/>
    <w:rsid w:val="00C44BF5"/>
    <w:rsid w:val="00C521D6"/>
    <w:rsid w:val="00C55232"/>
    <w:rsid w:val="00C553A4"/>
    <w:rsid w:val="00C553BD"/>
    <w:rsid w:val="00C55A06"/>
    <w:rsid w:val="00C55D03"/>
    <w:rsid w:val="00C601BC"/>
    <w:rsid w:val="00C619F3"/>
    <w:rsid w:val="00C62FA5"/>
    <w:rsid w:val="00C6329F"/>
    <w:rsid w:val="00C63340"/>
    <w:rsid w:val="00C643F9"/>
    <w:rsid w:val="00C64E95"/>
    <w:rsid w:val="00C71372"/>
    <w:rsid w:val="00C72410"/>
    <w:rsid w:val="00C7287F"/>
    <w:rsid w:val="00C72D6E"/>
    <w:rsid w:val="00C75112"/>
    <w:rsid w:val="00C807ED"/>
    <w:rsid w:val="00C80CB8"/>
    <w:rsid w:val="00C819F8"/>
    <w:rsid w:val="00C8248C"/>
    <w:rsid w:val="00C84E33"/>
    <w:rsid w:val="00C85FFB"/>
    <w:rsid w:val="00C86D6F"/>
    <w:rsid w:val="00C905FC"/>
    <w:rsid w:val="00C90A94"/>
    <w:rsid w:val="00C91130"/>
    <w:rsid w:val="00C92D03"/>
    <w:rsid w:val="00C9319C"/>
    <w:rsid w:val="00C9435D"/>
    <w:rsid w:val="00C94DF2"/>
    <w:rsid w:val="00C96741"/>
    <w:rsid w:val="00CA2D1B"/>
    <w:rsid w:val="00CA375D"/>
    <w:rsid w:val="00CA662A"/>
    <w:rsid w:val="00CA7AFD"/>
    <w:rsid w:val="00CA7C3C"/>
    <w:rsid w:val="00CB0189"/>
    <w:rsid w:val="00CB0276"/>
    <w:rsid w:val="00CB0BA2"/>
    <w:rsid w:val="00CB1A42"/>
    <w:rsid w:val="00CB1B0C"/>
    <w:rsid w:val="00CB2C0B"/>
    <w:rsid w:val="00CB517D"/>
    <w:rsid w:val="00CB6BC3"/>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D6EFF"/>
    <w:rsid w:val="00CE0C4F"/>
    <w:rsid w:val="00CE15E5"/>
    <w:rsid w:val="00CE30EA"/>
    <w:rsid w:val="00CF048A"/>
    <w:rsid w:val="00CF155A"/>
    <w:rsid w:val="00CF2947"/>
    <w:rsid w:val="00CF300D"/>
    <w:rsid w:val="00CF686F"/>
    <w:rsid w:val="00CF6E60"/>
    <w:rsid w:val="00CF7BCA"/>
    <w:rsid w:val="00D008FD"/>
    <w:rsid w:val="00D00EF2"/>
    <w:rsid w:val="00D0321C"/>
    <w:rsid w:val="00D035EC"/>
    <w:rsid w:val="00D03834"/>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35949"/>
    <w:rsid w:val="00D4162B"/>
    <w:rsid w:val="00D44481"/>
    <w:rsid w:val="00D4514F"/>
    <w:rsid w:val="00D451E2"/>
    <w:rsid w:val="00D45E89"/>
    <w:rsid w:val="00D45E8D"/>
    <w:rsid w:val="00D466AE"/>
    <w:rsid w:val="00D472D2"/>
    <w:rsid w:val="00D4734F"/>
    <w:rsid w:val="00D51BF3"/>
    <w:rsid w:val="00D548CD"/>
    <w:rsid w:val="00D5540E"/>
    <w:rsid w:val="00D5637E"/>
    <w:rsid w:val="00D6237F"/>
    <w:rsid w:val="00D66846"/>
    <w:rsid w:val="00D675FB"/>
    <w:rsid w:val="00D71F25"/>
    <w:rsid w:val="00D72A9C"/>
    <w:rsid w:val="00D75ED9"/>
    <w:rsid w:val="00D77031"/>
    <w:rsid w:val="00D81939"/>
    <w:rsid w:val="00D81A6D"/>
    <w:rsid w:val="00D84941"/>
    <w:rsid w:val="00D84FA1"/>
    <w:rsid w:val="00D851F0"/>
    <w:rsid w:val="00D86DB7"/>
    <w:rsid w:val="00D87BF5"/>
    <w:rsid w:val="00D90721"/>
    <w:rsid w:val="00D926D0"/>
    <w:rsid w:val="00D93030"/>
    <w:rsid w:val="00D950E1"/>
    <w:rsid w:val="00D952A6"/>
    <w:rsid w:val="00D96093"/>
    <w:rsid w:val="00D97F99"/>
    <w:rsid w:val="00DA1E08"/>
    <w:rsid w:val="00DA24F8"/>
    <w:rsid w:val="00DA28E8"/>
    <w:rsid w:val="00DA336B"/>
    <w:rsid w:val="00DA38D3"/>
    <w:rsid w:val="00DA3932"/>
    <w:rsid w:val="00DA3AFC"/>
    <w:rsid w:val="00DA559A"/>
    <w:rsid w:val="00DA64F8"/>
    <w:rsid w:val="00DA6C15"/>
    <w:rsid w:val="00DB0258"/>
    <w:rsid w:val="00DB38EE"/>
    <w:rsid w:val="00DB498B"/>
    <w:rsid w:val="00DB66CA"/>
    <w:rsid w:val="00DB6BCA"/>
    <w:rsid w:val="00DB6F54"/>
    <w:rsid w:val="00DB73F7"/>
    <w:rsid w:val="00DC0321"/>
    <w:rsid w:val="00DC1005"/>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2AFB"/>
    <w:rsid w:val="00DE6E81"/>
    <w:rsid w:val="00DE703F"/>
    <w:rsid w:val="00DE7595"/>
    <w:rsid w:val="00DF1961"/>
    <w:rsid w:val="00DF2C3A"/>
    <w:rsid w:val="00DF2F73"/>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30EC"/>
    <w:rsid w:val="00E34A98"/>
    <w:rsid w:val="00E35D1E"/>
    <w:rsid w:val="00E364F9"/>
    <w:rsid w:val="00E365FA"/>
    <w:rsid w:val="00E36789"/>
    <w:rsid w:val="00E419C5"/>
    <w:rsid w:val="00E44A83"/>
    <w:rsid w:val="00E44CA2"/>
    <w:rsid w:val="00E47EDA"/>
    <w:rsid w:val="00E501B4"/>
    <w:rsid w:val="00E502C1"/>
    <w:rsid w:val="00E502DD"/>
    <w:rsid w:val="00E506F4"/>
    <w:rsid w:val="00E50D3A"/>
    <w:rsid w:val="00E51387"/>
    <w:rsid w:val="00E51E68"/>
    <w:rsid w:val="00E52EFD"/>
    <w:rsid w:val="00E5408A"/>
    <w:rsid w:val="00E56800"/>
    <w:rsid w:val="00E60C63"/>
    <w:rsid w:val="00E6282A"/>
    <w:rsid w:val="00E62FF9"/>
    <w:rsid w:val="00E635D6"/>
    <w:rsid w:val="00E639BC"/>
    <w:rsid w:val="00E63E69"/>
    <w:rsid w:val="00E664CC"/>
    <w:rsid w:val="00E70388"/>
    <w:rsid w:val="00E70F92"/>
    <w:rsid w:val="00E72261"/>
    <w:rsid w:val="00E74313"/>
    <w:rsid w:val="00E74C54"/>
    <w:rsid w:val="00E77A03"/>
    <w:rsid w:val="00E8004F"/>
    <w:rsid w:val="00E80B71"/>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B47"/>
    <w:rsid w:val="00EB1E69"/>
    <w:rsid w:val="00EB2086"/>
    <w:rsid w:val="00EB31ED"/>
    <w:rsid w:val="00EB5EDF"/>
    <w:rsid w:val="00EB60FE"/>
    <w:rsid w:val="00EB74DB"/>
    <w:rsid w:val="00EC08A3"/>
    <w:rsid w:val="00EC23DB"/>
    <w:rsid w:val="00EC467A"/>
    <w:rsid w:val="00EC5359"/>
    <w:rsid w:val="00EC562A"/>
    <w:rsid w:val="00EC655B"/>
    <w:rsid w:val="00ED067A"/>
    <w:rsid w:val="00ED2809"/>
    <w:rsid w:val="00ED2B50"/>
    <w:rsid w:val="00ED5DA8"/>
    <w:rsid w:val="00EE0350"/>
    <w:rsid w:val="00EE0719"/>
    <w:rsid w:val="00EE0E80"/>
    <w:rsid w:val="00EE5F30"/>
    <w:rsid w:val="00EE613F"/>
    <w:rsid w:val="00EE7295"/>
    <w:rsid w:val="00EE7869"/>
    <w:rsid w:val="00EF054A"/>
    <w:rsid w:val="00EF3235"/>
    <w:rsid w:val="00EF3EB8"/>
    <w:rsid w:val="00EF4224"/>
    <w:rsid w:val="00EF7E72"/>
    <w:rsid w:val="00F0219D"/>
    <w:rsid w:val="00F06D37"/>
    <w:rsid w:val="00F07B9D"/>
    <w:rsid w:val="00F11586"/>
    <w:rsid w:val="00F1183B"/>
    <w:rsid w:val="00F11C9F"/>
    <w:rsid w:val="00F12263"/>
    <w:rsid w:val="00F13D70"/>
    <w:rsid w:val="00F1409D"/>
    <w:rsid w:val="00F14214"/>
    <w:rsid w:val="00F157A9"/>
    <w:rsid w:val="00F16F00"/>
    <w:rsid w:val="00F25BB6"/>
    <w:rsid w:val="00F26B7E"/>
    <w:rsid w:val="00F27A3B"/>
    <w:rsid w:val="00F32780"/>
    <w:rsid w:val="00F33817"/>
    <w:rsid w:val="00F420D5"/>
    <w:rsid w:val="00F44D04"/>
    <w:rsid w:val="00F451EA"/>
    <w:rsid w:val="00F45447"/>
    <w:rsid w:val="00F456C6"/>
    <w:rsid w:val="00F4577B"/>
    <w:rsid w:val="00F461EF"/>
    <w:rsid w:val="00F46496"/>
    <w:rsid w:val="00F474D0"/>
    <w:rsid w:val="00F50179"/>
    <w:rsid w:val="00F515EE"/>
    <w:rsid w:val="00F56511"/>
    <w:rsid w:val="00F6132E"/>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DE"/>
    <w:rsid w:val="00F963ED"/>
    <w:rsid w:val="00F966CF"/>
    <w:rsid w:val="00F96CAE"/>
    <w:rsid w:val="00F97C99"/>
    <w:rsid w:val="00FA275C"/>
    <w:rsid w:val="00FA535E"/>
    <w:rsid w:val="00FA662D"/>
    <w:rsid w:val="00FA73B1"/>
    <w:rsid w:val="00FB0CB9"/>
    <w:rsid w:val="00FB231D"/>
    <w:rsid w:val="00FB45F1"/>
    <w:rsid w:val="00FB4A72"/>
    <w:rsid w:val="00FB54E8"/>
    <w:rsid w:val="00FB7054"/>
    <w:rsid w:val="00FC17B7"/>
    <w:rsid w:val="00FC2CB7"/>
    <w:rsid w:val="00FC4090"/>
    <w:rsid w:val="00FC44C2"/>
    <w:rsid w:val="00FC44CA"/>
    <w:rsid w:val="00FC55B4"/>
    <w:rsid w:val="00FD00E6"/>
    <w:rsid w:val="00FD09A1"/>
    <w:rsid w:val="00FD29BB"/>
    <w:rsid w:val="00FD2A7C"/>
    <w:rsid w:val="00FD2C78"/>
    <w:rsid w:val="00FD59EB"/>
    <w:rsid w:val="00FD7299"/>
    <w:rsid w:val="00FE0DBA"/>
    <w:rsid w:val="00FE1FBE"/>
    <w:rsid w:val="00FE3901"/>
    <w:rsid w:val="00FE39D3"/>
    <w:rsid w:val="00FE4BCE"/>
    <w:rsid w:val="00FE54AE"/>
    <w:rsid w:val="00FE576A"/>
    <w:rsid w:val="00FE7E79"/>
    <w:rsid w:val="00FF3E7D"/>
    <w:rsid w:val="00FF53EC"/>
    <w:rsid w:val="00FF5B99"/>
    <w:rsid w:val="00FF730C"/>
    <w:rsid w:val="00FF73F4"/>
    <w:rsid w:val="00FF793C"/>
    <w:rsid w:val="00FF7CE4"/>
    <w:rsid w:val="00FF7E39"/>
    <w:rsid w:val="01DC4B66"/>
    <w:rsid w:val="1C4160F8"/>
    <w:rsid w:val="3690063B"/>
    <w:rsid w:val="38A117C4"/>
    <w:rsid w:val="3BC3771B"/>
    <w:rsid w:val="50994D94"/>
    <w:rsid w:val="70F05252"/>
    <w:rsid w:val="753333F5"/>
    <w:rsid w:val="7F23381C"/>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kern w:val="2"/>
      <w:sz w:val="21"/>
      <w:szCs w:val="21"/>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ind w:left="0" w:firstLine="0"/>
    </w:pPr>
  </w:style>
  <w:style w:type="paragraph" w:customStyle="1" w:styleId="91">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pPr>
  </w:style>
  <w:style w:type="paragraph" w:customStyle="1" w:styleId="94">
    <w:name w:val="标准文件_三级条标题"/>
    <w:basedOn w:val="65"/>
    <w:next w:val="56"/>
    <w:qFormat/>
    <w:uiPriority w:val="0"/>
    <w:pPr>
      <w:widowControl/>
      <w:numPr>
        <w:ilvl w:val="4"/>
      </w:numPr>
      <w:ind w:left="0"/>
      <w:outlineLvl w:val="3"/>
    </w:pPr>
  </w:style>
  <w:style w:type="character" w:customStyle="1" w:styleId="95">
    <w:name w:val="不明显参考1"/>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qFormat/>
    <w:uiPriority w:val="0"/>
    <w:rPr>
      <w:rFonts w:ascii="宋体"/>
      <w:kern w:val="2"/>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tabs>
        <w:tab w:val="left" w:pos="851"/>
        <w:tab w:val="left" w:pos="5814"/>
        <w:tab w:val="clear" w:pos="994"/>
      </w:tabs>
      <w:ind w:left="851"/>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qFormat/>
    <w:uiPriority w:val="0"/>
    <w:pPr>
      <w:adjustRightInd/>
      <w:spacing w:line="240" w:lineRule="auto"/>
      <w:jc w:val="left"/>
    </w:pPr>
    <w:rPr>
      <w:bCs/>
      <w:iCs/>
    </w:rPr>
  </w:style>
  <w:style w:type="paragraph" w:customStyle="1" w:styleId="143">
    <w:name w:val="目录 31"/>
    <w:basedOn w:val="1"/>
    <w:next w:val="1"/>
    <w:autoRedefine/>
    <w:semiHidden/>
    <w:qFormat/>
    <w:uiPriority w:val="0"/>
    <w:pPr>
      <w:spacing w:line="240" w:lineRule="auto"/>
    </w:pPr>
    <w:rPr>
      <w:rFonts w:ascii="宋体" w:hAnsi="宋体"/>
      <w:iCs/>
    </w:rPr>
  </w:style>
  <w:style w:type="paragraph" w:customStyle="1" w:styleId="144">
    <w:name w:val="目录 41"/>
    <w:basedOn w:val="1"/>
    <w:next w:val="1"/>
    <w:autoRedefine/>
    <w:semiHidden/>
    <w:qFormat/>
    <w:uiPriority w:val="0"/>
    <w:pPr>
      <w:adjustRightInd/>
      <w:spacing w:line="240" w:lineRule="auto"/>
      <w:jc w:val="left"/>
    </w:pPr>
  </w:style>
  <w:style w:type="paragraph" w:customStyle="1" w:styleId="145">
    <w:name w:val="目录 51"/>
    <w:basedOn w:val="1"/>
    <w:next w:val="1"/>
    <w:autoRedefine/>
    <w:semiHidden/>
    <w:qFormat/>
    <w:uiPriority w:val="0"/>
    <w:pPr>
      <w:spacing w:line="240" w:lineRule="auto"/>
    </w:pPr>
    <w:rPr>
      <w:rFonts w:ascii="宋体" w:hAnsi="宋体"/>
    </w:rPr>
  </w:style>
  <w:style w:type="paragraph" w:customStyle="1" w:styleId="146">
    <w:name w:val="目录 61"/>
    <w:basedOn w:val="1"/>
    <w:next w:val="1"/>
    <w:autoRedefine/>
    <w:semiHidden/>
    <w:qFormat/>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qFormat/>
    <w:uiPriority w:val="0"/>
    <w:pPr>
      <w:ind w:left="1470"/>
    </w:pPr>
  </w:style>
  <w:style w:type="paragraph" w:customStyle="1" w:styleId="149">
    <w:name w:val="目录 91"/>
    <w:basedOn w:val="148"/>
    <w:autoRedefine/>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rPr>
      <w:rFonts w:ascii="Times New Roman"/>
    </w:rPr>
  </w:style>
  <w:style w:type="paragraph" w:customStyle="1" w:styleId="189">
    <w:name w:val="标准文件_一级项2"/>
    <w:basedOn w:val="56"/>
    <w:qFormat/>
    <w:uiPriority w:val="0"/>
    <w:pPr>
      <w:numPr>
        <w:ilvl w:val="0"/>
        <w:numId w:val="31"/>
      </w:numPr>
      <w:spacing w:line="300" w:lineRule="exact"/>
      <w:ind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 w:type="paragraph" w:styleId="230">
    <w:name w:val="List Paragraph"/>
    <w:basedOn w:val="1"/>
    <w:qFormat/>
    <w:uiPriority w:val="34"/>
    <w:pPr>
      <w:ind w:firstLine="420" w:firstLineChars="200"/>
    </w:pPr>
  </w:style>
  <w:style w:type="paragraph" w:customStyle="1" w:styleId="231">
    <w:name w:val="修订1"/>
    <w:hidden/>
    <w:unhideWhenUsed/>
    <w:qFormat/>
    <w:uiPriority w:val="99"/>
    <w:rPr>
      <w:rFonts w:ascii="Calibri" w:hAnsi="Calibri" w:eastAsia="宋体" w:cs="Times New Roman"/>
      <w:kern w:val="2"/>
      <w:sz w:val="21"/>
      <w:szCs w:val="21"/>
      <w:lang w:val="en-US" w:eastAsia="zh-CN" w:bidi="ar-SA"/>
    </w:rPr>
  </w:style>
  <w:style w:type="paragraph" w:customStyle="1" w:styleId="232">
    <w:name w:val="修订2"/>
    <w:hidden/>
    <w:unhideWhenUsed/>
    <w:qFormat/>
    <w:uiPriority w:val="99"/>
    <w:rPr>
      <w:rFonts w:ascii="Calibri" w:hAnsi="Calibri" w:eastAsia="宋体" w:cs="Times New Roman"/>
      <w:kern w:val="2"/>
      <w:sz w:val="21"/>
      <w:szCs w:val="21"/>
      <w:lang w:val="en-US" w:eastAsia="zh-CN" w:bidi="ar-SA"/>
    </w:rPr>
  </w:style>
  <w:style w:type="paragraph" w:customStyle="1" w:styleId="233">
    <w:name w:val="Revision"/>
    <w:hidden/>
    <w:unhideWhenUsed/>
    <w:qFormat/>
    <w:uiPriority w:val="99"/>
    <w:rPr>
      <w:rFonts w:ascii="Calibri" w:hAnsi="Calibri" w:eastAsia="宋体" w:cs="Times New Roman"/>
      <w:kern w:val="2"/>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1" Type="http://schemas.openxmlformats.org/officeDocument/2006/relationships/glossaryDocument" Target="glossary/document.xml"/><Relationship Id="rId40" Type="http://schemas.openxmlformats.org/officeDocument/2006/relationships/fontTable" Target="fontTable.xml"/><Relationship Id="rId4" Type="http://schemas.openxmlformats.org/officeDocument/2006/relationships/endnotes" Target="endnotes.xml"/><Relationship Id="rId39" Type="http://schemas.openxmlformats.org/officeDocument/2006/relationships/customXml" Target="../customXml/item3.xml"/><Relationship Id="rId38" Type="http://schemas.openxmlformats.org/officeDocument/2006/relationships/customXml" Target="../customXml/item2.xml"/><Relationship Id="rId37" Type="http://schemas.openxmlformats.org/officeDocument/2006/relationships/numbering" Target="numbering.xml"/><Relationship Id="rId36" Type="http://schemas.openxmlformats.org/officeDocument/2006/relationships/customXml" Target="../customXml/item1.xml"/><Relationship Id="rId35" Type="http://schemas.openxmlformats.org/officeDocument/2006/relationships/image" Target="media/image8.jpeg"/><Relationship Id="rId34" Type="http://schemas.openxmlformats.org/officeDocument/2006/relationships/image" Target="media/image7.png"/><Relationship Id="rId33" Type="http://schemas.openxmlformats.org/officeDocument/2006/relationships/image" Target="media/image6.png"/><Relationship Id="rId32" Type="http://schemas.openxmlformats.org/officeDocument/2006/relationships/image" Target="media/image5.png"/><Relationship Id="rId31" Type="http://schemas.openxmlformats.org/officeDocument/2006/relationships/image" Target="media/image4.png"/><Relationship Id="rId30" Type="http://schemas.openxmlformats.org/officeDocument/2006/relationships/image" Target="media/image3.png"/><Relationship Id="rId3" Type="http://schemas.openxmlformats.org/officeDocument/2006/relationships/footnotes" Target="footnotes.xml"/><Relationship Id="rId29" Type="http://schemas.openxmlformats.org/officeDocument/2006/relationships/image" Target="media/image2.png"/><Relationship Id="rId28" Type="http://schemas.openxmlformats.org/officeDocument/2006/relationships/image" Target="media/image1.png"/><Relationship Id="rId27" Type="http://schemas.openxmlformats.org/officeDocument/2006/relationships/theme" Target="theme/theme1.xml"/><Relationship Id="rId26" Type="http://schemas.openxmlformats.org/officeDocument/2006/relationships/footer" Target="footer11.xml"/><Relationship Id="rId25" Type="http://schemas.openxmlformats.org/officeDocument/2006/relationships/footer" Target="footer10.xml"/><Relationship Id="rId24" Type="http://schemas.openxmlformats.org/officeDocument/2006/relationships/header" Target="header11.xml"/><Relationship Id="rId23" Type="http://schemas.openxmlformats.org/officeDocument/2006/relationships/header" Target="header10.xml"/><Relationship Id="rId22" Type="http://schemas.openxmlformats.org/officeDocument/2006/relationships/footer" Target="footer9.xml"/><Relationship Id="rId21" Type="http://schemas.openxmlformats.org/officeDocument/2006/relationships/footer" Target="footer8.xml"/><Relationship Id="rId20" Type="http://schemas.openxmlformats.org/officeDocument/2006/relationships/header" Target="header9.xml"/><Relationship Id="rId2" Type="http://schemas.openxmlformats.org/officeDocument/2006/relationships/settings" Target="settings.xml"/><Relationship Id="rId19" Type="http://schemas.openxmlformats.org/officeDocument/2006/relationships/header" Target="header8.xml"/><Relationship Id="rId18" Type="http://schemas.openxmlformats.org/officeDocument/2006/relationships/footer" Target="footer7.xml"/><Relationship Id="rId17" Type="http://schemas.openxmlformats.org/officeDocument/2006/relationships/footer" Target="footer6.xml"/><Relationship Id="rId16" Type="http://schemas.openxmlformats.org/officeDocument/2006/relationships/header" Target="header7.xml"/><Relationship Id="rId15" Type="http://schemas.openxmlformats.org/officeDocument/2006/relationships/header" Target="header6.xml"/><Relationship Id="rId14" Type="http://schemas.openxmlformats.org/officeDocument/2006/relationships/footer" Target="footer5.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E05D8C06D0864FE3BE209C8DD763E72C"/>
        <w:style w:val=""/>
        <w:category>
          <w:name w:val="常规"/>
          <w:gallery w:val="placeholder"/>
        </w:category>
        <w:types>
          <w:type w:val="bbPlcHdr"/>
        </w:types>
        <w:behaviors>
          <w:behavior w:val="content"/>
        </w:behaviors>
        <w:description w:val=""/>
        <w:guid w:val="{9125EE7A-63EA-4A07-9D0B-CB72E302345F}"/>
      </w:docPartPr>
      <w:docPartBody>
        <w:p w14:paraId="01C7295C">
          <w:pPr>
            <w:pStyle w:val="5"/>
            <w:rPr>
              <w:rFonts w:hint="eastAsia"/>
            </w:rPr>
          </w:pPr>
          <w:r>
            <w:rPr>
              <w:rStyle w:val="4"/>
              <w:rFonts w:hint="eastAsia"/>
            </w:rPr>
            <w:t>单击或点击此处输入文字。</w:t>
          </w:r>
        </w:p>
      </w:docPartBody>
    </w:docPart>
    <w:docPart>
      <w:docPartPr>
        <w:name w:val="897EABA8663C47519C7ACBBD78CC4B97"/>
        <w:style w:val=""/>
        <w:category>
          <w:name w:val="常规"/>
          <w:gallery w:val="placeholder"/>
        </w:category>
        <w:types>
          <w:type w:val="bbPlcHdr"/>
        </w:types>
        <w:behaviors>
          <w:behavior w:val="content"/>
        </w:behaviors>
        <w:description w:val=""/>
        <w:guid w:val="{59D7939A-B5C1-43B9-B177-CAB755998F9F}"/>
      </w:docPartPr>
      <w:docPartBody>
        <w:p w14:paraId="11889D39">
          <w:pPr>
            <w:pStyle w:val="6"/>
            <w:rPr>
              <w:rFonts w:hint="eastAsia"/>
            </w:rPr>
          </w:pPr>
          <w:r>
            <w:rPr>
              <w:rStyle w:val="4"/>
              <w:rFonts w:hint="eastAsia"/>
            </w:rPr>
            <w:t>选择一项。</w:t>
          </w:r>
        </w:p>
      </w:docPartBody>
    </w:docPart>
    <w:docPart>
      <w:docPartPr>
        <w:name w:val="E63F858118524BB3B7F5C168AC5A556D"/>
        <w:style w:val=""/>
        <w:category>
          <w:name w:val="常规"/>
          <w:gallery w:val="placeholder"/>
        </w:category>
        <w:types>
          <w:type w:val="bbPlcHdr"/>
        </w:types>
        <w:behaviors>
          <w:behavior w:val="content"/>
        </w:behaviors>
        <w:description w:val=""/>
        <w:guid w:val="{3094CCBB-C626-4EF2-A9BE-1FFA5DD7FDFA}"/>
      </w:docPartPr>
      <w:docPartBody>
        <w:p w14:paraId="0CF94E80">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ordia New">
    <w:altName w:val="Yu Gothic UI Light"/>
    <w:panose1 w:val="020B0304020202020204"/>
    <w:charset w:val="00"/>
    <w:family w:val="swiss"/>
    <w:pitch w:val="default"/>
    <w:sig w:usb0="00000000" w:usb1="00000000" w:usb2="00000000" w:usb3="00000000" w:csb0="00010001" w:csb1="00000000"/>
  </w:font>
  <w:font w:name="Yu Gothic UI Light">
    <w:panose1 w:val="020B0300000000000000"/>
    <w:charset w:val="80"/>
    <w:family w:val="auto"/>
    <w:pitch w:val="default"/>
    <w:sig w:usb0="E00002FF" w:usb1="2AC7FDFF" w:usb2="00000016" w:usb3="00000000" w:csb0="2002009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6991"/>
    <w:rsid w:val="000F53AA"/>
    <w:rsid w:val="000F5B25"/>
    <w:rsid w:val="0013005B"/>
    <w:rsid w:val="00243192"/>
    <w:rsid w:val="0028096D"/>
    <w:rsid w:val="003004F5"/>
    <w:rsid w:val="00301413"/>
    <w:rsid w:val="00351A94"/>
    <w:rsid w:val="004B0BE9"/>
    <w:rsid w:val="0050132D"/>
    <w:rsid w:val="005454ED"/>
    <w:rsid w:val="00586D9E"/>
    <w:rsid w:val="00591802"/>
    <w:rsid w:val="005A3082"/>
    <w:rsid w:val="005D1102"/>
    <w:rsid w:val="005E6D98"/>
    <w:rsid w:val="00604345"/>
    <w:rsid w:val="006B10EF"/>
    <w:rsid w:val="006E7915"/>
    <w:rsid w:val="00706EC9"/>
    <w:rsid w:val="00786157"/>
    <w:rsid w:val="00800582"/>
    <w:rsid w:val="00843937"/>
    <w:rsid w:val="00861B11"/>
    <w:rsid w:val="0091015D"/>
    <w:rsid w:val="00964ED1"/>
    <w:rsid w:val="009B6991"/>
    <w:rsid w:val="00A51573"/>
    <w:rsid w:val="00A83D39"/>
    <w:rsid w:val="00AB6FB9"/>
    <w:rsid w:val="00AF2CD8"/>
    <w:rsid w:val="00B80A75"/>
    <w:rsid w:val="00B82F50"/>
    <w:rsid w:val="00BA3D1D"/>
    <w:rsid w:val="00C070C4"/>
    <w:rsid w:val="00C619F3"/>
    <w:rsid w:val="00C807ED"/>
    <w:rsid w:val="00C85FFB"/>
    <w:rsid w:val="00C90A94"/>
    <w:rsid w:val="00D06FC0"/>
    <w:rsid w:val="00D13FEB"/>
    <w:rsid w:val="00D672CD"/>
    <w:rsid w:val="00D87BCF"/>
    <w:rsid w:val="00E07EFB"/>
    <w:rsid w:val="00E30C30"/>
    <w:rsid w:val="00E6282A"/>
    <w:rsid w:val="00E726FC"/>
    <w:rsid w:val="00E8004F"/>
    <w:rsid w:val="00E864F4"/>
    <w:rsid w:val="00EC467A"/>
    <w:rsid w:val="00EE7FB6"/>
    <w:rsid w:val="00EF2A65"/>
    <w:rsid w:val="00F15047"/>
    <w:rsid w:val="00F21B44"/>
    <w:rsid w:val="00F963DE"/>
    <w:rsid w:val="00FC44CA"/>
    <w:rsid w:val="00FF53EC"/>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30"/>
      <w:lang w:val="en-US" w:eastAsia="zh-CN" w:bidi="th-TH"/>
      <w14:ligatures w14:val="standardContextual"/>
    </w:rPr>
  </w:style>
  <w:style w:type="character" w:default="1" w:styleId="2">
    <w:name w:val="Default Paragraph Font"/>
    <w:semiHidden/>
    <w:unhideWhenUsed/>
    <w:qFormat/>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E05D8C06D0864FE3BE209C8DD763E72C"/>
    <w:qFormat/>
    <w:uiPriority w:val="0"/>
    <w:pPr>
      <w:widowControl w:val="0"/>
      <w:spacing w:after="160" w:line="278" w:lineRule="auto"/>
    </w:pPr>
    <w:rPr>
      <w:rFonts w:asciiTheme="minorHAnsi" w:hAnsiTheme="minorHAnsi" w:eastAsiaTheme="minorEastAsia" w:cstheme="minorBidi"/>
      <w:kern w:val="2"/>
      <w:sz w:val="22"/>
      <w:szCs w:val="30"/>
      <w:lang w:val="en-US" w:eastAsia="zh-CN" w:bidi="th-TH"/>
      <w14:ligatures w14:val="standardContextual"/>
    </w:rPr>
  </w:style>
  <w:style w:type="paragraph" w:customStyle="1" w:styleId="6">
    <w:name w:val="897EABA8663C47519C7ACBBD78CC4B97"/>
    <w:qFormat/>
    <w:uiPriority w:val="0"/>
    <w:pPr>
      <w:widowControl w:val="0"/>
      <w:spacing w:after="160" w:line="278" w:lineRule="auto"/>
    </w:pPr>
    <w:rPr>
      <w:rFonts w:asciiTheme="minorHAnsi" w:hAnsiTheme="minorHAnsi" w:eastAsiaTheme="minorEastAsia" w:cstheme="minorBidi"/>
      <w:kern w:val="2"/>
      <w:sz w:val="22"/>
      <w:szCs w:val="30"/>
      <w:lang w:val="en-US" w:eastAsia="zh-CN" w:bidi="th-TH"/>
      <w14:ligatures w14:val="standardContextual"/>
    </w:rPr>
  </w:style>
  <w:style w:type="paragraph" w:customStyle="1" w:styleId="7">
    <w:name w:val="E63F858118524BB3B7F5C168AC5A556D"/>
    <w:qFormat/>
    <w:uiPriority w:val="0"/>
    <w:pPr>
      <w:widowControl w:val="0"/>
      <w:spacing w:after="160" w:line="278" w:lineRule="auto"/>
    </w:pPr>
    <w:rPr>
      <w:rFonts w:asciiTheme="minorHAnsi" w:hAnsiTheme="minorHAnsi" w:eastAsiaTheme="minorEastAsia" w:cstheme="minorBidi"/>
      <w:kern w:val="2"/>
      <w:sz w:val="22"/>
      <w:szCs w:val="30"/>
      <w:lang w:val="en-US" w:eastAsia="zh-CN" w:bidi="th-TH"/>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653a0ca9-4476-4838-956c-d090ba796c41</errorID>
      <errorWord>贯提出</errorWord>
      <group>L1_Grammar</group>
      <groupName>语法问题</groupName>
      <ability>L2_Redundancy</ability>
      <abilityName>成分冗余</abilityName>
      <candidateList>
        <item>贯</item>
      </candidateList>
      <explain>句子中可能存在主语、谓语、定语等成分的赘余或重复。</explain>
      <paraID>7B8E0A5B</paraID>
      <start>24</start>
      <end>25</end>
      <status>modified</status>
      <modifiedWord>贯</modifiedWord>
      <trackRevisions>false</trackRevisions>
    </reviewItem>
  </reviewItems>
  <config/>
</contractReview>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fd1158d-918f-4feb-a2c8-ee70e4a42fde}">
  <ds:schemaRefs/>
</ds:datastoreItem>
</file>

<file path=customXml/itemProps3.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团体标准.dotx</Template>
  <Company>PCMI</Company>
  <Pages>18</Pages>
  <Words>6358</Words>
  <Characters>6587</Characters>
  <Lines>59</Lines>
  <Paragraphs>16</Paragraphs>
  <TotalTime>1252</TotalTime>
  <ScaleCrop>false</ScaleCrop>
  <LinksUpToDate>false</LinksUpToDate>
  <CharactersWithSpaces>6630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2026-06-11T02:52:00Z</dcterms:created>
  <dc:creator>MO</dc:creator>
  <cp:lastModifiedBy>夏慕翰</cp:lastModifiedBy>
  <cp:lastPrinted>2021-02-02T08:22:00Z</cp:lastPrinted>
  <dcterms:modified xsi:type="dcterms:W3CDTF">2026-06-18T06:53:56Z</dcterms:modified>
  <dc:title>团体标准</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TemplateDocerSaveRecord">
    <vt:lpwstr>eyJoZGlkIjoiY2UxNzIyOTc4N2I2ZWNkNjQ1NTM5YzEzNDcxZDNkMDYiLCJ1c2VySWQiOiI0MjY2NDkwNDYifQ==</vt:lpwstr>
  </property>
  <property fmtid="{D5CDD505-2E9C-101B-9397-08002B2CF9AE}" pid="16" name="KSOProductBuildVer">
    <vt:lpwstr>2052-12.1.0.26895</vt:lpwstr>
  </property>
  <property fmtid="{D5CDD505-2E9C-101B-9397-08002B2CF9AE}" pid="17" name="ICV">
    <vt:lpwstr>1F721D3E7A53407CB467EBF6765847CF_13</vt:lpwstr>
  </property>
</Properties>
</file>