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A0154">
      <w:pPr>
        <w:pStyle w:val="2"/>
        <w:spacing w:before="0" w:after="0" w:line="600" w:lineRule="exact"/>
        <w:ind w:firstLine="880"/>
        <w:rPr>
          <w:rFonts w:hint="default" w:ascii="Times New Roman" w:hAnsi="Times New Roman" w:eastAsia="方正小标宋简体" w:cs="Times New Roman"/>
          <w:b w:val="0"/>
          <w:bCs/>
          <w:szCs w:val="44"/>
        </w:rPr>
      </w:pPr>
      <w:r>
        <w:rPr>
          <w:rFonts w:hint="default" w:ascii="Times New Roman" w:hAnsi="Times New Roman" w:eastAsia="方正小标宋简体" w:cs="Times New Roman"/>
          <w:b w:val="0"/>
          <w:bCs/>
          <w:szCs w:val="44"/>
        </w:rPr>
        <w:t>团体标准《生态环境科普活动组织规范》编制说明</w:t>
      </w:r>
    </w:p>
    <w:p w14:paraId="41D1EB67">
      <w:pPr>
        <w:spacing w:line="600" w:lineRule="exact"/>
        <w:ind w:firstLine="0" w:firstLineChars="0"/>
        <w:jc w:val="center"/>
        <w:rPr>
          <w:rFonts w:hint="default" w:ascii="Times New Roman" w:hAnsi="Times New Roman" w:eastAsia="楷体" w:cs="Times New Roman"/>
          <w:bCs/>
          <w:sz w:val="32"/>
          <w:szCs w:val="32"/>
        </w:rPr>
      </w:pPr>
      <w:r>
        <w:rPr>
          <w:rFonts w:hint="default" w:ascii="Times New Roman" w:hAnsi="Times New Roman" w:eastAsia="楷体" w:cs="Times New Roman"/>
          <w:bCs/>
          <w:sz w:val="32"/>
          <w:szCs w:val="32"/>
        </w:rPr>
        <w:t>（征求意见稿）</w:t>
      </w:r>
    </w:p>
    <w:p w14:paraId="2D4099DF">
      <w:pPr>
        <w:spacing w:line="600" w:lineRule="exact"/>
        <w:ind w:firstLine="0" w:firstLineChars="0"/>
        <w:jc w:val="center"/>
        <w:rPr>
          <w:rFonts w:hint="default" w:ascii="Times New Roman" w:hAnsi="Times New Roman" w:eastAsia="楷体" w:cs="Times New Roman"/>
          <w:bCs/>
          <w:sz w:val="32"/>
          <w:szCs w:val="32"/>
        </w:rPr>
      </w:pPr>
    </w:p>
    <w:p w14:paraId="225BD67B">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一、工作简介</w:t>
      </w:r>
    </w:p>
    <w:p w14:paraId="383FF7B0">
      <w:pPr>
        <w:pStyle w:val="4"/>
        <w:spacing w:before="0" w:after="0" w:line="600" w:lineRule="exact"/>
        <w:ind w:firstLine="640"/>
        <w:rPr>
          <w:rFonts w:hint="default" w:ascii="Times New Roman" w:hAnsi="Times New Roman" w:eastAsia="楷体" w:cs="Times New Roman"/>
          <w:sz w:val="32"/>
          <w:szCs w:val="32"/>
        </w:rPr>
      </w:pPr>
      <w:r>
        <w:rPr>
          <w:rFonts w:hint="default" w:ascii="Times New Roman" w:hAnsi="Times New Roman" w:eastAsia="楷体" w:cs="Times New Roman"/>
          <w:sz w:val="32"/>
          <w:szCs w:val="32"/>
        </w:rPr>
        <w:t>（一）任务来源</w:t>
      </w:r>
    </w:p>
    <w:p w14:paraId="090DEDF6">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根据《广西物品编码与标准化促进会关于下达2026年第十七批团体标准（共2项）制修订项目计划的通知》（桂标促</w:t>
      </w:r>
      <w:r>
        <w:rPr>
          <w:rFonts w:hint="eastAsia" w:ascii="Times New Roman" w:hAnsi="Times New Roman" w:cs="Times New Roman"/>
          <w:sz w:val="32"/>
          <w:szCs w:val="32"/>
          <w:lang w:eastAsia="zh-CN"/>
        </w:rPr>
        <w:t>〔2026〕</w:t>
      </w:r>
      <w:r>
        <w:rPr>
          <w:rFonts w:hint="default" w:ascii="Times New Roman" w:hAnsi="Times New Roman" w:cs="Times New Roman"/>
          <w:sz w:val="32"/>
          <w:szCs w:val="32"/>
        </w:rPr>
        <w:t>53号</w:t>
      </w:r>
      <w:r>
        <w:rPr>
          <w:rFonts w:hint="eastAsia" w:ascii="Times New Roman" w:hAnsi="Times New Roman" w:cs="Times New Roman"/>
          <w:sz w:val="32"/>
          <w:szCs w:val="32"/>
          <w:lang w:eastAsia="zh-CN"/>
        </w:rPr>
        <w:t>），</w:t>
      </w:r>
      <w:r>
        <w:rPr>
          <w:rFonts w:hint="default" w:ascii="Times New Roman" w:hAnsi="Times New Roman" w:cs="Times New Roman"/>
          <w:sz w:val="32"/>
          <w:szCs w:val="32"/>
        </w:rPr>
        <w:t>《生态环境科普活动组织规范》团体标准由广西物品编码与标准化促进会批准立项，由广西壮族自治区辐射环境监督管理站提出。</w:t>
      </w:r>
    </w:p>
    <w:p w14:paraId="766EB3BB">
      <w:pPr>
        <w:pStyle w:val="4"/>
        <w:spacing w:before="0" w:after="0" w:line="600" w:lineRule="exact"/>
        <w:ind w:firstLine="640"/>
        <w:rPr>
          <w:rFonts w:hint="default" w:ascii="Times New Roman" w:hAnsi="Times New Roman" w:eastAsia="楷体" w:cs="Times New Roman"/>
          <w:sz w:val="32"/>
          <w:szCs w:val="32"/>
        </w:rPr>
      </w:pPr>
      <w:r>
        <w:rPr>
          <w:rFonts w:hint="default" w:ascii="Times New Roman" w:hAnsi="Times New Roman" w:eastAsia="楷体" w:cs="Times New Roman"/>
          <w:sz w:val="32"/>
          <w:szCs w:val="32"/>
        </w:rPr>
        <w:t>（二）起草单位、主要起草人</w:t>
      </w:r>
    </w:p>
    <w:p w14:paraId="0FF20413">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本标准由广西壮族自治区辐射环境监督管理站、广西壮族自治区标准技术研究院、北部湾大学、广西防城港核电有限公司和广西科学院共同起草。主要起草人见表1。</w:t>
      </w:r>
    </w:p>
    <w:p w14:paraId="5292F92F">
      <w:pPr>
        <w:spacing w:line="600" w:lineRule="exact"/>
        <w:ind w:firstLine="640"/>
        <w:jc w:val="center"/>
        <w:rPr>
          <w:rFonts w:hint="default" w:ascii="Times New Roman" w:hAnsi="Times New Roman" w:cs="Times New Roman"/>
          <w:sz w:val="32"/>
          <w:szCs w:val="32"/>
        </w:rPr>
      </w:pPr>
      <w:r>
        <w:rPr>
          <w:rFonts w:hint="default" w:ascii="Times New Roman" w:hAnsi="Times New Roman" w:cs="Times New Roman"/>
          <w:sz w:val="32"/>
          <w:szCs w:val="32"/>
        </w:rPr>
        <w:t>表1  主要起草人</w:t>
      </w:r>
    </w:p>
    <w:tbl>
      <w:tblPr>
        <w:tblStyle w:val="8"/>
        <w:tblpPr w:leftFromText="180" w:rightFromText="180" w:vertAnchor="text" w:tblpXSpec="center" w:tblpY="1"/>
        <w:tblOverlap w:val="never"/>
        <w:tblW w:w="851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4"/>
        <w:gridCol w:w="1944"/>
        <w:gridCol w:w="2144"/>
        <w:gridCol w:w="3344"/>
      </w:tblGrid>
      <w:tr w14:paraId="6E95D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37" w:hRule="atLeast"/>
          <w:tblHeader/>
        </w:trPr>
        <w:tc>
          <w:tcPr>
            <w:tcW w:w="1084" w:type="dxa"/>
            <w:tcBorders>
              <w:bottom w:val="single" w:color="auto" w:sz="4" w:space="0"/>
            </w:tcBorders>
            <w:vAlign w:val="center"/>
          </w:tcPr>
          <w:p w14:paraId="6B6E6753">
            <w:pPr>
              <w:keepNext/>
              <w:snapToGrid w:val="0"/>
              <w:spacing w:line="240" w:lineRule="auto"/>
              <w:ind w:left="0" w:leftChars="0" w:right="0" w:rightChars="0" w:firstLine="0" w:firstLineChars="0"/>
              <w:jc w:val="center"/>
              <w:rPr>
                <w:rFonts w:hint="default" w:ascii="Times New Roman" w:hAnsi="Times New Roman" w:cs="Times New Roman"/>
                <w:b/>
                <w:bCs/>
                <w:sz w:val="24"/>
                <w:szCs w:val="32"/>
              </w:rPr>
            </w:pPr>
            <w:r>
              <w:rPr>
                <w:rFonts w:hint="default" w:ascii="Times New Roman" w:hAnsi="Times New Roman" w:cs="Times New Roman"/>
                <w:b/>
                <w:bCs/>
                <w:sz w:val="24"/>
                <w:szCs w:val="32"/>
              </w:rPr>
              <w:t>姓名</w:t>
            </w:r>
          </w:p>
        </w:tc>
        <w:tc>
          <w:tcPr>
            <w:tcW w:w="0" w:type="auto"/>
            <w:tcBorders>
              <w:bottom w:val="single" w:color="auto" w:sz="4" w:space="0"/>
            </w:tcBorders>
            <w:vAlign w:val="center"/>
          </w:tcPr>
          <w:p w14:paraId="057EC089">
            <w:pPr>
              <w:keepNext/>
              <w:snapToGrid w:val="0"/>
              <w:spacing w:line="240" w:lineRule="auto"/>
              <w:ind w:left="0" w:leftChars="0" w:right="0" w:rightChars="0" w:firstLine="0" w:firstLineChars="0"/>
              <w:jc w:val="center"/>
              <w:rPr>
                <w:rFonts w:hint="default" w:ascii="Times New Roman" w:hAnsi="Times New Roman" w:cs="Times New Roman"/>
                <w:b/>
                <w:bCs/>
                <w:sz w:val="24"/>
                <w:szCs w:val="32"/>
              </w:rPr>
            </w:pPr>
            <w:r>
              <w:rPr>
                <w:rFonts w:hint="default" w:ascii="Times New Roman" w:hAnsi="Times New Roman" w:cs="Times New Roman"/>
                <w:b/>
                <w:bCs/>
                <w:sz w:val="24"/>
                <w:szCs w:val="32"/>
              </w:rPr>
              <w:t>单位</w:t>
            </w:r>
          </w:p>
        </w:tc>
        <w:tc>
          <w:tcPr>
            <w:tcW w:w="0" w:type="auto"/>
            <w:tcBorders>
              <w:bottom w:val="single" w:color="auto" w:sz="4" w:space="0"/>
            </w:tcBorders>
            <w:vAlign w:val="center"/>
          </w:tcPr>
          <w:p w14:paraId="6AACF21A">
            <w:pPr>
              <w:keepNext/>
              <w:snapToGrid w:val="0"/>
              <w:spacing w:line="240" w:lineRule="auto"/>
              <w:ind w:left="0" w:leftChars="0" w:right="0" w:rightChars="0" w:firstLine="0" w:firstLineChars="0"/>
              <w:jc w:val="center"/>
              <w:rPr>
                <w:rFonts w:hint="default" w:ascii="Times New Roman" w:hAnsi="Times New Roman" w:cs="Times New Roman"/>
                <w:b/>
                <w:bCs/>
                <w:sz w:val="24"/>
                <w:szCs w:val="32"/>
              </w:rPr>
            </w:pPr>
            <w:r>
              <w:rPr>
                <w:rFonts w:hint="default" w:ascii="Times New Roman" w:hAnsi="Times New Roman" w:cs="Times New Roman"/>
                <w:b/>
                <w:bCs/>
                <w:sz w:val="24"/>
                <w:szCs w:val="32"/>
              </w:rPr>
              <w:t>职称/职务</w:t>
            </w:r>
          </w:p>
        </w:tc>
        <w:tc>
          <w:tcPr>
            <w:tcW w:w="3344" w:type="dxa"/>
            <w:tcBorders>
              <w:bottom w:val="single" w:color="auto" w:sz="4" w:space="0"/>
            </w:tcBorders>
            <w:vAlign w:val="center"/>
          </w:tcPr>
          <w:p w14:paraId="07D0C157">
            <w:pPr>
              <w:keepNext/>
              <w:snapToGrid w:val="0"/>
              <w:spacing w:line="240" w:lineRule="auto"/>
              <w:ind w:left="0" w:leftChars="0" w:right="0" w:rightChars="0" w:firstLine="0" w:firstLineChars="0"/>
              <w:jc w:val="center"/>
              <w:rPr>
                <w:rFonts w:hint="default" w:ascii="Times New Roman" w:hAnsi="Times New Roman" w:cs="Times New Roman"/>
                <w:b/>
                <w:bCs/>
                <w:sz w:val="24"/>
                <w:szCs w:val="32"/>
              </w:rPr>
            </w:pPr>
            <w:r>
              <w:rPr>
                <w:rFonts w:hint="default" w:ascii="Times New Roman" w:hAnsi="Times New Roman" w:cs="Times New Roman"/>
                <w:b/>
                <w:bCs/>
                <w:sz w:val="24"/>
                <w:szCs w:val="32"/>
              </w:rPr>
              <w:t>主要负责工作</w:t>
            </w:r>
          </w:p>
        </w:tc>
      </w:tr>
      <w:tr w14:paraId="63B7FA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084" w:type="dxa"/>
            <w:tcBorders>
              <w:bottom w:val="single" w:color="auto" w:sz="4" w:space="0"/>
            </w:tcBorders>
            <w:vAlign w:val="center"/>
          </w:tcPr>
          <w:p w14:paraId="06662319">
            <w:pPr>
              <w:keepNext/>
              <w:snapToGrid w:val="0"/>
              <w:spacing w:line="240" w:lineRule="auto"/>
              <w:ind w:left="0" w:leftChars="0" w:right="0" w:rightChars="0" w:firstLine="0" w:firstLineChars="0"/>
              <w:jc w:val="center"/>
              <w:rPr>
                <w:rFonts w:hint="default" w:ascii="Times New Roman" w:hAnsi="Times New Roman" w:cs="Times New Roman"/>
                <w:sz w:val="24"/>
                <w:szCs w:val="32"/>
              </w:rPr>
            </w:pPr>
            <w:bookmarkStart w:id="0" w:name="_Hlk224291313"/>
            <w:r>
              <w:rPr>
                <w:rFonts w:hint="default" w:ascii="Times New Roman" w:hAnsi="Times New Roman" w:cs="Times New Roman"/>
                <w:sz w:val="24"/>
                <w:szCs w:val="32"/>
              </w:rPr>
              <w:t>黄美琴</w:t>
            </w:r>
          </w:p>
        </w:tc>
        <w:tc>
          <w:tcPr>
            <w:tcW w:w="0" w:type="auto"/>
            <w:tcBorders>
              <w:bottom w:val="single" w:color="auto" w:sz="4" w:space="0"/>
            </w:tcBorders>
            <w:vAlign w:val="center"/>
          </w:tcPr>
          <w:p w14:paraId="175D2344">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tcBorders>
              <w:bottom w:val="single" w:color="auto" w:sz="4" w:space="0"/>
            </w:tcBorders>
            <w:vAlign w:val="center"/>
          </w:tcPr>
          <w:p w14:paraId="6B1EAF7B">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高级工程师</w:t>
            </w:r>
          </w:p>
          <w:p w14:paraId="133F0257">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质管室主任</w:t>
            </w:r>
          </w:p>
        </w:tc>
        <w:tc>
          <w:tcPr>
            <w:tcW w:w="3344" w:type="dxa"/>
            <w:tcBorders>
              <w:bottom w:val="single" w:color="auto" w:sz="4" w:space="0"/>
            </w:tcBorders>
            <w:vAlign w:val="center"/>
          </w:tcPr>
          <w:p w14:paraId="7349726F">
            <w:pPr>
              <w:keepNext/>
              <w:snapToGrid w:val="0"/>
              <w:spacing w:line="240" w:lineRule="auto"/>
              <w:ind w:left="0" w:leftChars="0" w:right="0" w:rightChars="0" w:firstLine="0" w:firstLineChars="0"/>
              <w:jc w:val="left"/>
              <w:rPr>
                <w:rFonts w:hint="default" w:ascii="Times New Roman" w:hAnsi="Times New Roman" w:cs="Times New Roman"/>
                <w:bCs/>
                <w:sz w:val="24"/>
                <w:szCs w:val="32"/>
              </w:rPr>
            </w:pPr>
            <w:r>
              <w:rPr>
                <w:rFonts w:hint="default" w:ascii="Times New Roman" w:hAnsi="Times New Roman" w:cs="Times New Roman"/>
                <w:bCs/>
                <w:sz w:val="24"/>
              </w:rPr>
              <w:t>项目负责人。负责标准的总体策划、技术路线制定、组织协调及最终统稿。</w:t>
            </w:r>
          </w:p>
        </w:tc>
      </w:tr>
      <w:tr w14:paraId="69A32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084" w:type="dxa"/>
            <w:tcBorders>
              <w:bottom w:val="single" w:color="auto" w:sz="4" w:space="0"/>
            </w:tcBorders>
            <w:vAlign w:val="center"/>
          </w:tcPr>
          <w:p w14:paraId="240AE825">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龙婷婷</w:t>
            </w:r>
          </w:p>
        </w:tc>
        <w:tc>
          <w:tcPr>
            <w:tcW w:w="0" w:type="auto"/>
            <w:tcBorders>
              <w:bottom w:val="single" w:color="auto" w:sz="4" w:space="0"/>
            </w:tcBorders>
            <w:vAlign w:val="center"/>
          </w:tcPr>
          <w:p w14:paraId="51788A70">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tcBorders>
              <w:bottom w:val="single" w:color="auto" w:sz="4" w:space="0"/>
            </w:tcBorders>
            <w:vAlign w:val="center"/>
          </w:tcPr>
          <w:p w14:paraId="1863D0F8">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高级工程师</w:t>
            </w:r>
          </w:p>
        </w:tc>
        <w:tc>
          <w:tcPr>
            <w:tcW w:w="3344" w:type="dxa"/>
            <w:tcBorders>
              <w:bottom w:val="single" w:color="auto" w:sz="4" w:space="0"/>
            </w:tcBorders>
            <w:vAlign w:val="center"/>
          </w:tcPr>
          <w:p w14:paraId="48546B3F">
            <w:pPr>
              <w:keepNext/>
              <w:snapToGrid w:val="0"/>
              <w:spacing w:line="240" w:lineRule="auto"/>
              <w:ind w:left="0" w:leftChars="0" w:right="0" w:rightChars="0" w:firstLine="0" w:firstLineChars="0"/>
              <w:jc w:val="left"/>
              <w:rPr>
                <w:rFonts w:hint="default" w:ascii="Times New Roman" w:hAnsi="Times New Roman" w:cs="Times New Roman"/>
                <w:bCs/>
                <w:sz w:val="24"/>
                <w:szCs w:val="32"/>
              </w:rPr>
            </w:pPr>
            <w:r>
              <w:rPr>
                <w:rFonts w:hint="default" w:ascii="Times New Roman" w:hAnsi="Times New Roman" w:cs="Times New Roman"/>
                <w:bCs/>
                <w:sz w:val="24"/>
              </w:rPr>
              <w:t>主要技术骨干。协助制定技术方案，负责关键章节的编写及数据审核。</w:t>
            </w:r>
          </w:p>
        </w:tc>
      </w:tr>
      <w:tr w14:paraId="6AC75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084" w:type="dxa"/>
            <w:tcBorders>
              <w:bottom w:val="single" w:color="auto" w:sz="4" w:space="0"/>
            </w:tcBorders>
            <w:vAlign w:val="center"/>
          </w:tcPr>
          <w:p w14:paraId="346A8BE6">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岑旭</w:t>
            </w:r>
          </w:p>
        </w:tc>
        <w:tc>
          <w:tcPr>
            <w:tcW w:w="0" w:type="auto"/>
            <w:tcBorders>
              <w:bottom w:val="single" w:color="auto" w:sz="4" w:space="0"/>
            </w:tcBorders>
            <w:vAlign w:val="center"/>
          </w:tcPr>
          <w:p w14:paraId="7685B92A">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tcBorders>
              <w:bottom w:val="single" w:color="auto" w:sz="4" w:space="0"/>
            </w:tcBorders>
            <w:vAlign w:val="center"/>
          </w:tcPr>
          <w:p w14:paraId="031D6C75">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高级工程师</w:t>
            </w:r>
          </w:p>
          <w:p w14:paraId="1AD68312">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总工办副主任</w:t>
            </w:r>
          </w:p>
        </w:tc>
        <w:tc>
          <w:tcPr>
            <w:tcW w:w="3344" w:type="dxa"/>
            <w:tcBorders>
              <w:bottom w:val="single" w:color="auto" w:sz="4" w:space="0"/>
            </w:tcBorders>
            <w:vAlign w:val="center"/>
          </w:tcPr>
          <w:p w14:paraId="326F16B8">
            <w:pPr>
              <w:keepNext/>
              <w:snapToGrid w:val="0"/>
              <w:spacing w:line="240" w:lineRule="auto"/>
              <w:ind w:left="0" w:leftChars="0" w:right="0" w:rightChars="0" w:firstLine="0" w:firstLineChars="0"/>
              <w:jc w:val="left"/>
              <w:rPr>
                <w:rFonts w:hint="default" w:ascii="Times New Roman" w:hAnsi="Times New Roman" w:cs="Times New Roman"/>
                <w:bCs/>
                <w:sz w:val="24"/>
                <w:szCs w:val="32"/>
              </w:rPr>
            </w:pPr>
            <w:r>
              <w:rPr>
                <w:rFonts w:hint="default" w:ascii="Times New Roman" w:hAnsi="Times New Roman" w:cs="Times New Roman"/>
                <w:bCs/>
                <w:sz w:val="24"/>
              </w:rPr>
              <w:t>主要技术骨干。负责技术难点攻关，参与主要章节的撰写与验证。</w:t>
            </w:r>
          </w:p>
        </w:tc>
      </w:tr>
      <w:bookmarkEnd w:id="0"/>
      <w:tr w14:paraId="0735D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084" w:type="dxa"/>
            <w:tcBorders>
              <w:bottom w:val="single" w:color="auto" w:sz="4" w:space="0"/>
            </w:tcBorders>
            <w:vAlign w:val="center"/>
          </w:tcPr>
          <w:p w14:paraId="7D8B81CE">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莫冬丽</w:t>
            </w:r>
          </w:p>
        </w:tc>
        <w:tc>
          <w:tcPr>
            <w:tcW w:w="0" w:type="auto"/>
            <w:tcBorders>
              <w:bottom w:val="single" w:color="auto" w:sz="4" w:space="0"/>
            </w:tcBorders>
            <w:vAlign w:val="center"/>
          </w:tcPr>
          <w:p w14:paraId="6BFFBEBC">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w:t>
            </w:r>
          </w:p>
          <w:p w14:paraId="4D4518B9">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标准技术研究院</w:t>
            </w:r>
          </w:p>
        </w:tc>
        <w:tc>
          <w:tcPr>
            <w:tcW w:w="0" w:type="auto"/>
            <w:tcBorders>
              <w:bottom w:val="single" w:color="auto" w:sz="4" w:space="0"/>
            </w:tcBorders>
            <w:vAlign w:val="center"/>
          </w:tcPr>
          <w:p w14:paraId="6ED256BB">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tcBorders>
              <w:bottom w:val="single" w:color="auto" w:sz="4" w:space="0"/>
            </w:tcBorders>
            <w:vAlign w:val="center"/>
          </w:tcPr>
          <w:p w14:paraId="165648DC">
            <w:pPr>
              <w:keepNext/>
              <w:snapToGrid w:val="0"/>
              <w:spacing w:line="240" w:lineRule="auto"/>
              <w:ind w:left="0" w:leftChars="0" w:right="0" w:rightChars="0" w:firstLine="0" w:firstLineChars="0"/>
              <w:jc w:val="left"/>
              <w:rPr>
                <w:rFonts w:hint="default" w:ascii="Times New Roman" w:hAnsi="Times New Roman" w:cs="Times New Roman"/>
                <w:sz w:val="24"/>
                <w:highlight w:val="yellow"/>
              </w:rPr>
            </w:pPr>
            <w:r>
              <w:rPr>
                <w:rFonts w:hint="default" w:ascii="Times New Roman" w:hAnsi="Times New Roman" w:cs="Times New Roman"/>
                <w:sz w:val="24"/>
              </w:rPr>
              <w:t>主要技术骨干。负责标准文本格式规范</w:t>
            </w:r>
            <w:r>
              <w:rPr>
                <w:rFonts w:hint="default" w:ascii="Times New Roman" w:hAnsi="Times New Roman" w:cs="Times New Roman"/>
                <w:sz w:val="24"/>
                <w:szCs w:val="32"/>
              </w:rPr>
              <w:t>审核</w:t>
            </w:r>
            <w:r>
              <w:rPr>
                <w:rFonts w:hint="default" w:ascii="Times New Roman" w:hAnsi="Times New Roman" w:cs="Times New Roman"/>
                <w:sz w:val="24"/>
              </w:rPr>
              <w:t>及技术性内容校对。</w:t>
            </w:r>
          </w:p>
        </w:tc>
      </w:tr>
      <w:tr w14:paraId="16B2E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084" w:type="dxa"/>
            <w:tcBorders>
              <w:bottom w:val="single" w:color="auto" w:sz="4" w:space="0"/>
            </w:tcBorders>
            <w:vAlign w:val="center"/>
          </w:tcPr>
          <w:p w14:paraId="3854B235">
            <w:pPr>
              <w:keepNext/>
              <w:snapToGrid w:val="0"/>
              <w:spacing w:line="240" w:lineRule="auto"/>
              <w:ind w:left="0" w:leftChars="0" w:right="0" w:rightChars="0" w:firstLine="0" w:firstLineChars="0"/>
              <w:jc w:val="center"/>
              <w:rPr>
                <w:rFonts w:hint="default" w:ascii="Times New Roman" w:hAnsi="Times New Roman" w:cs="Times New Roman"/>
                <w:sz w:val="24"/>
                <w:szCs w:val="32"/>
              </w:rPr>
            </w:pPr>
            <w:bookmarkStart w:id="1" w:name="_Hlk224291369"/>
            <w:r>
              <w:rPr>
                <w:rFonts w:hint="default" w:ascii="Times New Roman" w:hAnsi="Times New Roman" w:cs="Times New Roman"/>
                <w:sz w:val="24"/>
                <w:szCs w:val="32"/>
              </w:rPr>
              <w:t>翁石磊</w:t>
            </w:r>
          </w:p>
        </w:tc>
        <w:tc>
          <w:tcPr>
            <w:tcW w:w="0" w:type="auto"/>
            <w:tcBorders>
              <w:bottom w:val="single" w:color="auto" w:sz="4" w:space="0"/>
            </w:tcBorders>
            <w:vAlign w:val="center"/>
          </w:tcPr>
          <w:p w14:paraId="244578D7">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广西防城港核电有限公司</w:t>
            </w:r>
          </w:p>
        </w:tc>
        <w:tc>
          <w:tcPr>
            <w:tcW w:w="0" w:type="auto"/>
            <w:tcBorders>
              <w:bottom w:val="single" w:color="auto" w:sz="4" w:space="0"/>
            </w:tcBorders>
            <w:vAlign w:val="center"/>
          </w:tcPr>
          <w:p w14:paraId="1839A4ED">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企业文化主管</w:t>
            </w:r>
          </w:p>
        </w:tc>
        <w:tc>
          <w:tcPr>
            <w:tcW w:w="3344" w:type="dxa"/>
            <w:tcBorders>
              <w:bottom w:val="single" w:color="auto" w:sz="4" w:space="0"/>
            </w:tcBorders>
            <w:vAlign w:val="center"/>
          </w:tcPr>
          <w:p w14:paraId="7678E33F">
            <w:pPr>
              <w:keepNext/>
              <w:snapToGrid w:val="0"/>
              <w:spacing w:line="240" w:lineRule="auto"/>
              <w:ind w:left="0" w:leftChars="0" w:right="0" w:rightChars="0" w:firstLine="0" w:firstLineChars="0"/>
              <w:jc w:val="left"/>
              <w:rPr>
                <w:rFonts w:hint="default" w:ascii="Times New Roman" w:hAnsi="Times New Roman" w:cs="Times New Roman"/>
                <w:sz w:val="24"/>
                <w:szCs w:val="32"/>
              </w:rPr>
            </w:pPr>
            <w:r>
              <w:rPr>
                <w:rFonts w:hint="default" w:ascii="Times New Roman" w:hAnsi="Times New Roman" w:cs="Times New Roman"/>
                <w:sz w:val="24"/>
              </w:rPr>
              <w:t>主要技术骨干。负责企业方的联络协调，提供企业相关的背景支持。</w:t>
            </w:r>
          </w:p>
        </w:tc>
      </w:tr>
      <w:tr w14:paraId="45443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084" w:type="dxa"/>
            <w:tcBorders>
              <w:bottom w:val="single" w:color="auto" w:sz="4" w:space="0"/>
            </w:tcBorders>
            <w:vAlign w:val="center"/>
          </w:tcPr>
          <w:p w14:paraId="698F9FE4">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邹家明</w:t>
            </w:r>
          </w:p>
        </w:tc>
        <w:tc>
          <w:tcPr>
            <w:tcW w:w="0" w:type="auto"/>
            <w:tcBorders>
              <w:bottom w:val="single" w:color="auto" w:sz="4" w:space="0"/>
            </w:tcBorders>
            <w:vAlign w:val="center"/>
          </w:tcPr>
          <w:p w14:paraId="45F5CD49">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广西防城港核电有限公司</w:t>
            </w:r>
          </w:p>
        </w:tc>
        <w:tc>
          <w:tcPr>
            <w:tcW w:w="0" w:type="auto"/>
            <w:tcBorders>
              <w:bottom w:val="single" w:color="auto" w:sz="4" w:space="0"/>
            </w:tcBorders>
            <w:vAlign w:val="center"/>
          </w:tcPr>
          <w:p w14:paraId="01D15319">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培训工程师</w:t>
            </w:r>
          </w:p>
        </w:tc>
        <w:tc>
          <w:tcPr>
            <w:tcW w:w="3344" w:type="dxa"/>
            <w:tcBorders>
              <w:bottom w:val="single" w:color="auto" w:sz="4" w:space="0"/>
            </w:tcBorders>
            <w:vAlign w:val="center"/>
          </w:tcPr>
          <w:p w14:paraId="566D96EF">
            <w:pPr>
              <w:keepNext/>
              <w:snapToGrid w:val="0"/>
              <w:spacing w:line="240" w:lineRule="auto"/>
              <w:ind w:left="0" w:leftChars="0" w:right="0" w:rightChars="0" w:firstLine="0" w:firstLineChars="0"/>
              <w:jc w:val="left"/>
              <w:rPr>
                <w:rFonts w:hint="default" w:ascii="Times New Roman" w:hAnsi="Times New Roman" w:cs="Times New Roman"/>
                <w:sz w:val="24"/>
                <w:szCs w:val="32"/>
              </w:rPr>
            </w:pPr>
            <w:r>
              <w:rPr>
                <w:rFonts w:hint="default" w:ascii="Times New Roman" w:hAnsi="Times New Roman" w:cs="Times New Roman"/>
                <w:sz w:val="24"/>
              </w:rPr>
              <w:t>主要技术骨干。负责企业方的联络协调，提供企业相关的背景支持。</w:t>
            </w:r>
          </w:p>
        </w:tc>
      </w:tr>
      <w:tr w14:paraId="6F94F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1" w:hRule="atLeast"/>
        </w:trPr>
        <w:tc>
          <w:tcPr>
            <w:tcW w:w="1084" w:type="dxa"/>
            <w:tcBorders>
              <w:bottom w:val="single" w:color="auto" w:sz="4" w:space="0"/>
            </w:tcBorders>
            <w:vAlign w:val="center"/>
          </w:tcPr>
          <w:p w14:paraId="65514DFB">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亢振军</w:t>
            </w:r>
          </w:p>
        </w:tc>
        <w:tc>
          <w:tcPr>
            <w:tcW w:w="0" w:type="auto"/>
            <w:tcBorders>
              <w:bottom w:val="single" w:color="auto" w:sz="4" w:space="0"/>
            </w:tcBorders>
            <w:vAlign w:val="center"/>
          </w:tcPr>
          <w:p w14:paraId="7B297497">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北部湾大学</w:t>
            </w:r>
          </w:p>
        </w:tc>
        <w:tc>
          <w:tcPr>
            <w:tcW w:w="0" w:type="auto"/>
            <w:tcBorders>
              <w:bottom w:val="single" w:color="auto" w:sz="4" w:space="0"/>
            </w:tcBorders>
            <w:vAlign w:val="center"/>
          </w:tcPr>
          <w:p w14:paraId="006ABFF8">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教授</w:t>
            </w:r>
          </w:p>
          <w:p w14:paraId="1A532AFE">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海洋学院副院长平陆运河野外观测站站长</w:t>
            </w:r>
          </w:p>
        </w:tc>
        <w:tc>
          <w:tcPr>
            <w:tcW w:w="3344" w:type="dxa"/>
            <w:tcBorders>
              <w:bottom w:val="single" w:color="auto" w:sz="4" w:space="0"/>
            </w:tcBorders>
            <w:vAlign w:val="center"/>
          </w:tcPr>
          <w:p w14:paraId="03A517F6">
            <w:pPr>
              <w:keepNext/>
              <w:snapToGrid w:val="0"/>
              <w:spacing w:line="240" w:lineRule="auto"/>
              <w:ind w:left="0" w:leftChars="0" w:right="0" w:rightChars="0" w:firstLine="0" w:firstLineChars="0"/>
              <w:jc w:val="left"/>
              <w:rPr>
                <w:rFonts w:hint="default" w:ascii="Times New Roman" w:hAnsi="Times New Roman" w:cs="Times New Roman"/>
                <w:sz w:val="24"/>
                <w:szCs w:val="32"/>
                <w:highlight w:val="yellow"/>
              </w:rPr>
            </w:pPr>
            <w:r>
              <w:rPr>
                <w:rFonts w:hint="default" w:ascii="Times New Roman" w:hAnsi="Times New Roman" w:cs="Times New Roman"/>
                <w:sz w:val="24"/>
              </w:rPr>
              <w:t>主要技术骨干。负责具体章节的编写、文献调研及理论分析。</w:t>
            </w:r>
          </w:p>
        </w:tc>
      </w:tr>
      <w:bookmarkEnd w:id="1"/>
      <w:tr w14:paraId="4362A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trPr>
        <w:tc>
          <w:tcPr>
            <w:tcW w:w="1084" w:type="dxa"/>
            <w:tcBorders>
              <w:bottom w:val="single" w:color="auto" w:sz="4" w:space="0"/>
            </w:tcBorders>
            <w:vAlign w:val="center"/>
          </w:tcPr>
          <w:p w14:paraId="40749034">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廖日权</w:t>
            </w:r>
          </w:p>
        </w:tc>
        <w:tc>
          <w:tcPr>
            <w:tcW w:w="0" w:type="auto"/>
            <w:tcBorders>
              <w:bottom w:val="single" w:color="auto" w:sz="4" w:space="0"/>
            </w:tcBorders>
            <w:vAlign w:val="center"/>
          </w:tcPr>
          <w:p w14:paraId="52CCF7E0">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北部湾大学</w:t>
            </w:r>
          </w:p>
        </w:tc>
        <w:tc>
          <w:tcPr>
            <w:tcW w:w="0" w:type="auto"/>
            <w:tcBorders>
              <w:bottom w:val="single" w:color="auto" w:sz="4" w:space="0"/>
            </w:tcBorders>
            <w:vAlign w:val="center"/>
          </w:tcPr>
          <w:p w14:paraId="1C4E362D">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副教授</w:t>
            </w:r>
          </w:p>
          <w:p w14:paraId="7F81221A">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海洋科学系主任</w:t>
            </w:r>
          </w:p>
        </w:tc>
        <w:tc>
          <w:tcPr>
            <w:tcW w:w="3344" w:type="dxa"/>
            <w:tcBorders>
              <w:bottom w:val="single" w:color="auto" w:sz="4" w:space="0"/>
            </w:tcBorders>
            <w:vAlign w:val="center"/>
          </w:tcPr>
          <w:p w14:paraId="180643C5">
            <w:pPr>
              <w:keepNext/>
              <w:snapToGrid w:val="0"/>
              <w:spacing w:line="240" w:lineRule="auto"/>
              <w:ind w:left="0" w:leftChars="0" w:right="0" w:rightChars="0" w:firstLine="0" w:firstLineChars="0"/>
              <w:jc w:val="left"/>
              <w:rPr>
                <w:rFonts w:hint="default" w:ascii="Times New Roman" w:hAnsi="Times New Roman" w:cs="Times New Roman"/>
                <w:sz w:val="24"/>
              </w:rPr>
            </w:pPr>
            <w:r>
              <w:rPr>
                <w:rFonts w:hint="default" w:ascii="Times New Roman" w:hAnsi="Times New Roman" w:cs="Times New Roman"/>
                <w:sz w:val="24"/>
              </w:rPr>
              <w:t>主要技术骨干。负责具体章节的编写、文献调研及理论分析。</w:t>
            </w:r>
          </w:p>
        </w:tc>
      </w:tr>
      <w:tr w14:paraId="73A5E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2" w:hRule="atLeast"/>
        </w:trPr>
        <w:tc>
          <w:tcPr>
            <w:tcW w:w="1084" w:type="dxa"/>
            <w:vAlign w:val="center"/>
          </w:tcPr>
          <w:p w14:paraId="3BBA93F0">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王晓飞</w:t>
            </w:r>
          </w:p>
        </w:tc>
        <w:tc>
          <w:tcPr>
            <w:tcW w:w="0" w:type="auto"/>
            <w:vAlign w:val="center"/>
          </w:tcPr>
          <w:p w14:paraId="7FCA38C6">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广西科学院</w:t>
            </w:r>
          </w:p>
        </w:tc>
        <w:tc>
          <w:tcPr>
            <w:tcW w:w="0" w:type="auto"/>
            <w:vAlign w:val="center"/>
          </w:tcPr>
          <w:p w14:paraId="0BF0F4ED">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正高级工程师</w:t>
            </w:r>
          </w:p>
        </w:tc>
        <w:tc>
          <w:tcPr>
            <w:tcW w:w="3344" w:type="dxa"/>
            <w:vAlign w:val="center"/>
          </w:tcPr>
          <w:p w14:paraId="35F0D847">
            <w:pPr>
              <w:keepNext/>
              <w:snapToGrid w:val="0"/>
              <w:spacing w:line="240" w:lineRule="auto"/>
              <w:ind w:left="0" w:leftChars="0" w:right="0" w:rightChars="0" w:firstLine="0" w:firstLineChars="0"/>
              <w:jc w:val="left"/>
              <w:rPr>
                <w:rFonts w:hint="default" w:ascii="Times New Roman" w:hAnsi="Times New Roman" w:cs="Times New Roman"/>
                <w:sz w:val="24"/>
                <w:szCs w:val="32"/>
              </w:rPr>
            </w:pPr>
            <w:r>
              <w:rPr>
                <w:rFonts w:hint="default" w:ascii="Times New Roman" w:hAnsi="Times New Roman" w:cs="Times New Roman"/>
                <w:sz w:val="24"/>
              </w:rPr>
              <w:t>主要技术骨干。负责生态保护工程相关的技术内容编写与验证。</w:t>
            </w:r>
          </w:p>
        </w:tc>
      </w:tr>
      <w:tr w14:paraId="35DA3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3" w:hRule="atLeast"/>
        </w:trPr>
        <w:tc>
          <w:tcPr>
            <w:tcW w:w="1084" w:type="dxa"/>
            <w:vAlign w:val="center"/>
          </w:tcPr>
          <w:p w14:paraId="3F9F471A">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向辉云</w:t>
            </w:r>
          </w:p>
        </w:tc>
        <w:tc>
          <w:tcPr>
            <w:tcW w:w="0" w:type="auto"/>
            <w:vAlign w:val="center"/>
          </w:tcPr>
          <w:p w14:paraId="5C77949F">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vAlign w:val="center"/>
          </w:tcPr>
          <w:p w14:paraId="728D9257">
            <w:pPr>
              <w:keepNext/>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高级工程师</w:t>
            </w:r>
          </w:p>
        </w:tc>
        <w:tc>
          <w:tcPr>
            <w:tcW w:w="3344" w:type="dxa"/>
            <w:vAlign w:val="center"/>
          </w:tcPr>
          <w:p w14:paraId="3C341A1A">
            <w:pPr>
              <w:keepNext/>
              <w:snapToGrid w:val="0"/>
              <w:spacing w:line="240" w:lineRule="auto"/>
              <w:ind w:left="0" w:leftChars="0" w:right="0" w:rightChars="0" w:firstLine="0" w:firstLineChars="0"/>
              <w:jc w:val="left"/>
              <w:rPr>
                <w:rFonts w:hint="default" w:ascii="Times New Roman" w:hAnsi="Times New Roman" w:cs="Times New Roman"/>
                <w:sz w:val="24"/>
                <w:szCs w:val="32"/>
              </w:rPr>
            </w:pPr>
            <w:r>
              <w:rPr>
                <w:rFonts w:hint="default" w:ascii="Times New Roman" w:hAnsi="Times New Roman" w:cs="Times New Roman"/>
                <w:sz w:val="24"/>
              </w:rPr>
              <w:t>主要技术骨干。参与部分章节的编写及数据整理。</w:t>
            </w:r>
          </w:p>
        </w:tc>
      </w:tr>
      <w:tr w14:paraId="46C17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0EE68C17">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李秀媚</w:t>
            </w:r>
          </w:p>
        </w:tc>
        <w:tc>
          <w:tcPr>
            <w:tcW w:w="0" w:type="auto"/>
            <w:vAlign w:val="center"/>
          </w:tcPr>
          <w:p w14:paraId="3D991191">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vAlign w:val="center"/>
          </w:tcPr>
          <w:p w14:paraId="3443BEE5">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25FF1B27">
            <w:pPr>
              <w:snapToGrid w:val="0"/>
              <w:spacing w:line="240" w:lineRule="auto"/>
              <w:ind w:left="0" w:leftChars="0" w:right="0" w:rightChars="0" w:firstLine="0" w:firstLineChars="0"/>
              <w:rPr>
                <w:rFonts w:hint="default" w:ascii="Times New Roman" w:hAnsi="Times New Roman" w:cs="Times New Roman"/>
                <w:sz w:val="24"/>
                <w:szCs w:val="32"/>
              </w:rPr>
            </w:pPr>
            <w:r>
              <w:rPr>
                <w:rFonts w:hint="default" w:ascii="Times New Roman" w:hAnsi="Times New Roman" w:cs="Times New Roman"/>
                <w:sz w:val="24"/>
              </w:rPr>
              <w:t>主要技术骨干。参与部分章节的编写及数据整理。</w:t>
            </w:r>
          </w:p>
        </w:tc>
      </w:tr>
      <w:tr w14:paraId="2F150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070C2C16">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何佶蔓</w:t>
            </w:r>
          </w:p>
        </w:tc>
        <w:tc>
          <w:tcPr>
            <w:tcW w:w="0" w:type="auto"/>
            <w:vAlign w:val="center"/>
          </w:tcPr>
          <w:p w14:paraId="7903F58C">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vAlign w:val="center"/>
          </w:tcPr>
          <w:p w14:paraId="27EFE67C">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3969E8CE">
            <w:pPr>
              <w:snapToGrid w:val="0"/>
              <w:spacing w:line="240" w:lineRule="auto"/>
              <w:ind w:left="0" w:leftChars="0" w:right="0" w:rightChars="0" w:firstLine="0" w:firstLineChars="0"/>
              <w:rPr>
                <w:rFonts w:hint="default" w:ascii="Times New Roman" w:hAnsi="Times New Roman" w:cs="Times New Roman"/>
                <w:sz w:val="24"/>
                <w:szCs w:val="32"/>
              </w:rPr>
            </w:pPr>
            <w:r>
              <w:rPr>
                <w:rFonts w:hint="default" w:ascii="Times New Roman" w:hAnsi="Times New Roman" w:cs="Times New Roman"/>
                <w:sz w:val="24"/>
              </w:rPr>
              <w:t>主要技术骨干。参与部分章节的编写及数据整理。</w:t>
            </w:r>
          </w:p>
        </w:tc>
      </w:tr>
      <w:tr w14:paraId="50DB0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5465D768">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徐聘</w:t>
            </w:r>
          </w:p>
        </w:tc>
        <w:tc>
          <w:tcPr>
            <w:tcW w:w="0" w:type="auto"/>
            <w:vAlign w:val="center"/>
          </w:tcPr>
          <w:p w14:paraId="62058DB1">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vAlign w:val="center"/>
          </w:tcPr>
          <w:p w14:paraId="0A19A223">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146DBC3C">
            <w:pPr>
              <w:snapToGrid w:val="0"/>
              <w:spacing w:line="240" w:lineRule="auto"/>
              <w:ind w:left="0" w:leftChars="0" w:right="0" w:rightChars="0" w:firstLine="0" w:firstLineChars="0"/>
              <w:rPr>
                <w:rFonts w:hint="default" w:ascii="Times New Roman" w:hAnsi="Times New Roman" w:cs="Times New Roman"/>
                <w:sz w:val="24"/>
                <w:szCs w:val="32"/>
              </w:rPr>
            </w:pPr>
            <w:r>
              <w:rPr>
                <w:rFonts w:hint="default" w:ascii="Times New Roman" w:hAnsi="Times New Roman" w:cs="Times New Roman"/>
                <w:sz w:val="24"/>
              </w:rPr>
              <w:t>主要技术骨干。参与部分章节的编写及数据整理。</w:t>
            </w:r>
          </w:p>
        </w:tc>
      </w:tr>
      <w:tr w14:paraId="07EB5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7CC2F1A2">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巫迪</w:t>
            </w:r>
          </w:p>
        </w:tc>
        <w:tc>
          <w:tcPr>
            <w:tcW w:w="0" w:type="auto"/>
            <w:vAlign w:val="center"/>
          </w:tcPr>
          <w:p w14:paraId="5DBCC55E">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vAlign w:val="center"/>
          </w:tcPr>
          <w:p w14:paraId="2DEC882F">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66312F2A">
            <w:pPr>
              <w:snapToGrid w:val="0"/>
              <w:spacing w:line="240" w:lineRule="auto"/>
              <w:ind w:left="0" w:leftChars="0" w:right="0" w:rightChars="0" w:firstLine="0" w:firstLineChars="0"/>
              <w:rPr>
                <w:rFonts w:hint="default" w:ascii="Times New Roman" w:hAnsi="Times New Roman" w:cs="Times New Roman"/>
                <w:sz w:val="24"/>
                <w:szCs w:val="32"/>
              </w:rPr>
            </w:pPr>
            <w:r>
              <w:rPr>
                <w:rFonts w:hint="default" w:ascii="Times New Roman" w:hAnsi="Times New Roman" w:cs="Times New Roman"/>
                <w:sz w:val="24"/>
              </w:rPr>
              <w:t>主要技术骨干。参与部分章节的编写及数据整理。</w:t>
            </w:r>
          </w:p>
        </w:tc>
      </w:tr>
      <w:tr w14:paraId="4385AD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69B67C01">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陈秀娟</w:t>
            </w:r>
          </w:p>
        </w:tc>
        <w:tc>
          <w:tcPr>
            <w:tcW w:w="0" w:type="auto"/>
            <w:vAlign w:val="center"/>
          </w:tcPr>
          <w:p w14:paraId="18C02BAD">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vAlign w:val="center"/>
          </w:tcPr>
          <w:p w14:paraId="1F58423F">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17F23FC9">
            <w:pPr>
              <w:snapToGrid w:val="0"/>
              <w:spacing w:line="240" w:lineRule="auto"/>
              <w:ind w:left="0" w:leftChars="0" w:right="0" w:rightChars="0" w:firstLine="0" w:firstLineChars="0"/>
              <w:rPr>
                <w:rFonts w:hint="default" w:ascii="Times New Roman" w:hAnsi="Times New Roman" w:cs="Times New Roman"/>
                <w:sz w:val="24"/>
                <w:szCs w:val="32"/>
              </w:rPr>
            </w:pPr>
            <w:r>
              <w:rPr>
                <w:rFonts w:hint="default" w:ascii="Times New Roman" w:hAnsi="Times New Roman" w:cs="Times New Roman"/>
                <w:sz w:val="24"/>
              </w:rPr>
              <w:t>主要技术骨干。参与部分章节的编写及数据整理。</w:t>
            </w:r>
          </w:p>
        </w:tc>
      </w:tr>
      <w:tr w14:paraId="682827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7A688820">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江菲菲</w:t>
            </w:r>
          </w:p>
        </w:tc>
        <w:tc>
          <w:tcPr>
            <w:tcW w:w="0" w:type="auto"/>
            <w:vAlign w:val="center"/>
          </w:tcPr>
          <w:p w14:paraId="173B35DA">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广西壮族自治区辐射环境监督管理站</w:t>
            </w:r>
          </w:p>
        </w:tc>
        <w:tc>
          <w:tcPr>
            <w:tcW w:w="0" w:type="auto"/>
            <w:vAlign w:val="center"/>
          </w:tcPr>
          <w:p w14:paraId="558DBA58">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3932AD1E">
            <w:pPr>
              <w:snapToGrid w:val="0"/>
              <w:spacing w:line="240" w:lineRule="auto"/>
              <w:ind w:left="0" w:leftChars="0" w:right="0" w:rightChars="0" w:firstLine="0" w:firstLineChars="0"/>
              <w:rPr>
                <w:rFonts w:hint="default" w:ascii="Times New Roman" w:hAnsi="Times New Roman" w:cs="Times New Roman"/>
                <w:sz w:val="24"/>
                <w:szCs w:val="32"/>
              </w:rPr>
            </w:pPr>
            <w:r>
              <w:rPr>
                <w:rFonts w:hint="default" w:ascii="Times New Roman" w:hAnsi="Times New Roman" w:cs="Times New Roman"/>
                <w:sz w:val="24"/>
              </w:rPr>
              <w:t>主要技术骨干。参与部分章节的编写及数据整理。</w:t>
            </w:r>
          </w:p>
        </w:tc>
      </w:tr>
      <w:tr w14:paraId="72D3B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67934224">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李文妍</w:t>
            </w:r>
          </w:p>
        </w:tc>
        <w:tc>
          <w:tcPr>
            <w:tcW w:w="0" w:type="auto"/>
            <w:vAlign w:val="center"/>
          </w:tcPr>
          <w:p w14:paraId="175D5D7C">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广西壮族自治区标准技术研究院</w:t>
            </w:r>
          </w:p>
        </w:tc>
        <w:tc>
          <w:tcPr>
            <w:tcW w:w="0" w:type="auto"/>
            <w:vAlign w:val="center"/>
          </w:tcPr>
          <w:p w14:paraId="73D821EE">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高级工程师</w:t>
            </w:r>
          </w:p>
          <w:p w14:paraId="459A9707">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国际标准化研究所副所长</w:t>
            </w:r>
          </w:p>
        </w:tc>
        <w:tc>
          <w:tcPr>
            <w:tcW w:w="3344" w:type="dxa"/>
            <w:vAlign w:val="center"/>
          </w:tcPr>
          <w:p w14:paraId="56A0D337">
            <w:pPr>
              <w:snapToGrid w:val="0"/>
              <w:spacing w:line="240" w:lineRule="auto"/>
              <w:ind w:left="0" w:leftChars="0" w:right="0" w:rightChars="0" w:firstLine="0" w:firstLineChars="0"/>
              <w:rPr>
                <w:rFonts w:hint="default" w:ascii="Times New Roman" w:hAnsi="Times New Roman" w:cs="Times New Roman"/>
                <w:sz w:val="24"/>
              </w:rPr>
            </w:pPr>
            <w:r>
              <w:rPr>
                <w:rFonts w:hint="default" w:ascii="Times New Roman" w:hAnsi="Times New Roman" w:cs="Times New Roman"/>
                <w:sz w:val="24"/>
              </w:rPr>
              <w:t>主要技术骨干。跟进标准报批流程中的格式适配工作。</w:t>
            </w:r>
          </w:p>
        </w:tc>
      </w:tr>
      <w:tr w14:paraId="3F267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40662ECC">
            <w:pPr>
              <w:snapToGrid w:val="0"/>
              <w:spacing w:line="240" w:lineRule="auto"/>
              <w:ind w:left="0" w:leftChars="0" w:right="0" w:rightChars="0" w:firstLine="0" w:firstLineChars="0"/>
              <w:jc w:val="center"/>
              <w:rPr>
                <w:rFonts w:hint="default" w:ascii="Times New Roman" w:hAnsi="Times New Roman" w:cs="Times New Roman"/>
                <w:sz w:val="24"/>
                <w:szCs w:val="32"/>
              </w:rPr>
            </w:pPr>
            <w:bookmarkStart w:id="2" w:name="_Hlk224291452"/>
            <w:r>
              <w:rPr>
                <w:rFonts w:hint="default" w:ascii="Times New Roman" w:hAnsi="Times New Roman" w:cs="Times New Roman"/>
                <w:sz w:val="24"/>
                <w:szCs w:val="32"/>
              </w:rPr>
              <w:t>林明媚</w:t>
            </w:r>
          </w:p>
        </w:tc>
        <w:tc>
          <w:tcPr>
            <w:tcW w:w="0" w:type="auto"/>
            <w:vAlign w:val="center"/>
          </w:tcPr>
          <w:p w14:paraId="2B1E22D9">
            <w:pPr>
              <w:snapToGrid w:val="0"/>
              <w:spacing w:line="240" w:lineRule="auto"/>
              <w:ind w:left="0" w:leftChars="0" w:right="0" w:rightChars="0" w:firstLine="0" w:firstLineChars="0"/>
              <w:jc w:val="center"/>
              <w:rPr>
                <w:rFonts w:hint="default" w:ascii="Times New Roman" w:hAnsi="Times New Roman" w:cs="Times New Roman"/>
                <w:sz w:val="24"/>
                <w:szCs w:val="32"/>
                <w:highlight w:val="yellow"/>
              </w:rPr>
            </w:pPr>
            <w:r>
              <w:rPr>
                <w:rFonts w:hint="default" w:ascii="Times New Roman" w:hAnsi="Times New Roman" w:cs="Times New Roman"/>
                <w:sz w:val="24"/>
                <w:szCs w:val="32"/>
              </w:rPr>
              <w:t>广西壮族自治区辐射环境监督管理站</w:t>
            </w:r>
          </w:p>
        </w:tc>
        <w:tc>
          <w:tcPr>
            <w:tcW w:w="0" w:type="auto"/>
            <w:vAlign w:val="center"/>
          </w:tcPr>
          <w:p w14:paraId="3E2BB766">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高级工程师</w:t>
            </w:r>
          </w:p>
        </w:tc>
        <w:tc>
          <w:tcPr>
            <w:tcW w:w="3344" w:type="dxa"/>
            <w:vAlign w:val="center"/>
          </w:tcPr>
          <w:p w14:paraId="2E27925B">
            <w:pPr>
              <w:snapToGrid w:val="0"/>
              <w:spacing w:line="240" w:lineRule="auto"/>
              <w:ind w:left="0" w:leftChars="0" w:right="0" w:rightChars="0" w:firstLine="0" w:firstLineChars="0"/>
              <w:rPr>
                <w:rFonts w:hint="default" w:ascii="Times New Roman" w:hAnsi="Times New Roman" w:cs="Times New Roman"/>
                <w:sz w:val="24"/>
              </w:rPr>
            </w:pPr>
            <w:r>
              <w:rPr>
                <w:rFonts w:hint="default" w:ascii="Times New Roman" w:hAnsi="Times New Roman" w:cs="Times New Roman"/>
                <w:sz w:val="24"/>
              </w:rPr>
              <w:t>主要技术骨干。参与部分章节的编写及数据整理。</w:t>
            </w:r>
          </w:p>
        </w:tc>
      </w:tr>
      <w:tr w14:paraId="5778EB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4300E383">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庞海敏</w:t>
            </w:r>
          </w:p>
        </w:tc>
        <w:tc>
          <w:tcPr>
            <w:tcW w:w="0" w:type="auto"/>
            <w:vAlign w:val="center"/>
          </w:tcPr>
          <w:p w14:paraId="1424F9DA">
            <w:pPr>
              <w:snapToGrid w:val="0"/>
              <w:spacing w:line="240" w:lineRule="auto"/>
              <w:ind w:left="0" w:leftChars="0" w:right="0" w:rightChars="0" w:firstLine="0" w:firstLineChars="0"/>
              <w:jc w:val="center"/>
              <w:rPr>
                <w:rFonts w:hint="default" w:ascii="Times New Roman" w:hAnsi="Times New Roman" w:cs="Times New Roman"/>
                <w:sz w:val="24"/>
                <w:szCs w:val="32"/>
                <w:highlight w:val="yellow"/>
              </w:rPr>
            </w:pPr>
            <w:r>
              <w:rPr>
                <w:rFonts w:hint="default" w:ascii="Times New Roman" w:hAnsi="Times New Roman" w:cs="Times New Roman"/>
                <w:sz w:val="24"/>
                <w:szCs w:val="32"/>
              </w:rPr>
              <w:t>广西壮族自治区辐射环境监督管理站</w:t>
            </w:r>
          </w:p>
        </w:tc>
        <w:tc>
          <w:tcPr>
            <w:tcW w:w="0" w:type="auto"/>
            <w:vAlign w:val="center"/>
          </w:tcPr>
          <w:p w14:paraId="6991CAD4">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191F0E6B">
            <w:pPr>
              <w:snapToGrid w:val="0"/>
              <w:spacing w:line="240" w:lineRule="auto"/>
              <w:ind w:left="0" w:leftChars="0" w:right="0" w:rightChars="0" w:firstLine="0" w:firstLineChars="0"/>
              <w:rPr>
                <w:rFonts w:hint="default" w:ascii="Times New Roman" w:hAnsi="Times New Roman" w:cs="Times New Roman"/>
                <w:sz w:val="24"/>
              </w:rPr>
            </w:pPr>
            <w:r>
              <w:rPr>
                <w:rFonts w:hint="default" w:ascii="Times New Roman" w:hAnsi="Times New Roman" w:cs="Times New Roman"/>
                <w:sz w:val="24"/>
              </w:rPr>
              <w:t>主要技术骨干。参与部分章节的编写及数据整理。</w:t>
            </w:r>
          </w:p>
        </w:tc>
      </w:tr>
      <w:tr w14:paraId="4BFEE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54FBC608">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黄彬丽</w:t>
            </w:r>
          </w:p>
        </w:tc>
        <w:tc>
          <w:tcPr>
            <w:tcW w:w="0" w:type="auto"/>
            <w:vAlign w:val="center"/>
          </w:tcPr>
          <w:p w14:paraId="59E90C94">
            <w:pPr>
              <w:snapToGrid w:val="0"/>
              <w:spacing w:line="240" w:lineRule="auto"/>
              <w:ind w:left="0" w:leftChars="0" w:right="0" w:rightChars="0" w:firstLine="0" w:firstLineChars="0"/>
              <w:jc w:val="center"/>
              <w:rPr>
                <w:rFonts w:hint="default" w:ascii="Times New Roman" w:hAnsi="Times New Roman" w:cs="Times New Roman"/>
                <w:sz w:val="24"/>
                <w:szCs w:val="32"/>
                <w:highlight w:val="yellow"/>
              </w:rPr>
            </w:pPr>
            <w:r>
              <w:rPr>
                <w:rFonts w:hint="default" w:ascii="Times New Roman" w:hAnsi="Times New Roman" w:cs="Times New Roman"/>
                <w:sz w:val="24"/>
                <w:szCs w:val="32"/>
              </w:rPr>
              <w:t>广西壮族自治区辐射环境监督管理站</w:t>
            </w:r>
          </w:p>
        </w:tc>
        <w:tc>
          <w:tcPr>
            <w:tcW w:w="0" w:type="auto"/>
            <w:vAlign w:val="center"/>
          </w:tcPr>
          <w:p w14:paraId="5C946447">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43D7E1D1">
            <w:pPr>
              <w:snapToGrid w:val="0"/>
              <w:spacing w:line="240" w:lineRule="auto"/>
              <w:ind w:left="0" w:leftChars="0" w:right="0" w:rightChars="0" w:firstLine="0" w:firstLineChars="0"/>
              <w:rPr>
                <w:rFonts w:hint="default" w:ascii="Times New Roman" w:hAnsi="Times New Roman" w:cs="Times New Roman"/>
                <w:sz w:val="24"/>
              </w:rPr>
            </w:pPr>
            <w:r>
              <w:rPr>
                <w:rFonts w:hint="default" w:ascii="Times New Roman" w:hAnsi="Times New Roman" w:cs="Times New Roman"/>
                <w:sz w:val="24"/>
              </w:rPr>
              <w:t>主要技术骨干。参与部分章节的编写及数据整理。</w:t>
            </w:r>
          </w:p>
        </w:tc>
      </w:tr>
      <w:tr w14:paraId="00E92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084" w:type="dxa"/>
            <w:vAlign w:val="center"/>
          </w:tcPr>
          <w:p w14:paraId="0D541775">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刘锦玲</w:t>
            </w:r>
          </w:p>
        </w:tc>
        <w:tc>
          <w:tcPr>
            <w:tcW w:w="1944" w:type="dxa"/>
            <w:vAlign w:val="center"/>
          </w:tcPr>
          <w:p w14:paraId="6E148F8F">
            <w:pPr>
              <w:snapToGrid w:val="0"/>
              <w:spacing w:line="240" w:lineRule="auto"/>
              <w:ind w:left="0" w:leftChars="0" w:right="0" w:rightChars="0" w:firstLine="0" w:firstLineChars="0"/>
              <w:jc w:val="center"/>
              <w:rPr>
                <w:rFonts w:hint="default" w:ascii="Times New Roman" w:hAnsi="Times New Roman" w:cs="Times New Roman"/>
                <w:sz w:val="24"/>
                <w:szCs w:val="32"/>
                <w:highlight w:val="yellow"/>
              </w:rPr>
            </w:pPr>
            <w:r>
              <w:rPr>
                <w:rFonts w:hint="default" w:ascii="Times New Roman" w:hAnsi="Times New Roman" w:cs="Times New Roman"/>
                <w:sz w:val="24"/>
                <w:szCs w:val="32"/>
              </w:rPr>
              <w:t>广西壮族自治区辐射环境监督管理站</w:t>
            </w:r>
          </w:p>
        </w:tc>
        <w:tc>
          <w:tcPr>
            <w:tcW w:w="2144" w:type="dxa"/>
            <w:vAlign w:val="center"/>
          </w:tcPr>
          <w:p w14:paraId="25D459A9">
            <w:pPr>
              <w:snapToGrid w:val="0"/>
              <w:spacing w:line="240" w:lineRule="auto"/>
              <w:ind w:left="0" w:leftChars="0" w:right="0" w:rightChars="0" w:firstLine="0" w:firstLineChars="0"/>
              <w:jc w:val="center"/>
              <w:rPr>
                <w:rFonts w:hint="default" w:ascii="Times New Roman" w:hAnsi="Times New Roman" w:cs="Times New Roman"/>
                <w:sz w:val="24"/>
                <w:szCs w:val="32"/>
              </w:rPr>
            </w:pPr>
            <w:r>
              <w:rPr>
                <w:rFonts w:hint="default" w:ascii="Times New Roman" w:hAnsi="Times New Roman" w:cs="Times New Roman"/>
                <w:sz w:val="24"/>
                <w:szCs w:val="32"/>
              </w:rPr>
              <w:t>工程师</w:t>
            </w:r>
          </w:p>
        </w:tc>
        <w:tc>
          <w:tcPr>
            <w:tcW w:w="3344" w:type="dxa"/>
            <w:vAlign w:val="center"/>
          </w:tcPr>
          <w:p w14:paraId="5E8073D9">
            <w:pPr>
              <w:snapToGrid w:val="0"/>
              <w:spacing w:line="240" w:lineRule="auto"/>
              <w:ind w:left="0" w:leftChars="0" w:right="0" w:rightChars="0" w:firstLine="0" w:firstLineChars="0"/>
              <w:rPr>
                <w:rFonts w:hint="default" w:ascii="Times New Roman" w:hAnsi="Times New Roman" w:cs="Times New Roman"/>
                <w:b/>
                <w:sz w:val="24"/>
              </w:rPr>
            </w:pPr>
            <w:r>
              <w:rPr>
                <w:rFonts w:hint="default" w:ascii="Times New Roman" w:hAnsi="Times New Roman" w:cs="Times New Roman"/>
                <w:bCs/>
                <w:sz w:val="24"/>
              </w:rPr>
              <w:t>主要技术骨干。参与部分章节的编写及数据整</w:t>
            </w:r>
            <w:r>
              <w:rPr>
                <w:rFonts w:hint="default" w:ascii="Times New Roman" w:hAnsi="Times New Roman" w:cs="Times New Roman"/>
                <w:sz w:val="24"/>
              </w:rPr>
              <w:t>理。</w:t>
            </w:r>
          </w:p>
        </w:tc>
      </w:tr>
      <w:bookmarkEnd w:id="2"/>
    </w:tbl>
    <w:p w14:paraId="0AD5AEFB">
      <w:pPr>
        <w:pStyle w:val="3"/>
        <w:numPr>
          <w:ilvl w:val="0"/>
          <w:numId w:val="1"/>
        </w:numPr>
        <w:spacing w:before="0" w:after="0" w:line="600" w:lineRule="exact"/>
        <w:ind w:firstLine="640"/>
        <w:rPr>
          <w:rFonts w:hint="default" w:ascii="Times New Roman" w:hAnsi="Times New Roman" w:eastAsia="楷体" w:cs="Times New Roman"/>
          <w:b w:val="0"/>
          <w:szCs w:val="32"/>
        </w:rPr>
      </w:pPr>
      <w:r>
        <w:rPr>
          <w:rFonts w:hint="default" w:ascii="Times New Roman" w:hAnsi="Times New Roman" w:eastAsia="楷体" w:cs="Times New Roman"/>
          <w:b w:val="0"/>
          <w:szCs w:val="32"/>
        </w:rPr>
        <w:t>行业现状与问题</w:t>
      </w:r>
    </w:p>
    <w:p w14:paraId="42A67FD8">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当前，我国生态环境科普事业呈现快速发展态势，但在规范化、系统化方面仍面临挑战：</w:t>
      </w:r>
    </w:p>
    <w:p w14:paraId="08834A57">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一是规范体系缺位。国内尚未建立针对生态环境专业机构开展社会化科普活动的统一技术规范。各主体（如监测站、科研院所、环保企业）多依据经验组织实施，缺乏</w:t>
      </w:r>
      <w:r>
        <w:rPr>
          <w:rFonts w:hint="default" w:ascii="Times New Roman" w:hAnsi="Times New Roman" w:cs="Times New Roman"/>
          <w:sz w:val="32"/>
          <w:szCs w:val="32"/>
          <w:lang w:eastAsia="zh-CN"/>
        </w:rPr>
        <w:t>系统</w:t>
      </w:r>
      <w:r>
        <w:rPr>
          <w:rFonts w:hint="default" w:ascii="Times New Roman" w:hAnsi="Times New Roman" w:cs="Times New Roman"/>
          <w:sz w:val="32"/>
          <w:szCs w:val="32"/>
        </w:rPr>
        <w:t>设计与质量控制，导致活动质量参差不齐，优秀实践难以复制推广。</w:t>
      </w:r>
    </w:p>
    <w:p w14:paraId="2FC7A4B4">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二是供需结构失衡。现有科普普遍存在“供给导向”倾向，内容过度专业化，形式单一，未能充分考量不同受众（如学生、社区居民、领导干部）的认知水平和接受能力，导致“专家讲得清，公众听不懂”，传播实效弱化。</w:t>
      </w:r>
    </w:p>
    <w:p w14:paraId="1906509B">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三是安全边界模糊。生态环境科普常涉及核与辐射、敏感监测数据、生态保护红线等高风险领域。部分机构因规避风险采取封闭策略，加剧公众疑虑；部分则因开放尺度失当引发误解。缺乏科学的风险评估框架与舆情应对机制，导致单位在“过度封闭”与“过度开放”间陷入两难。</w:t>
      </w:r>
    </w:p>
    <w:p w14:paraId="224EFB2A">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四是资源整合不足。政、产、学、研、用之间未形成有效合力，各单位在内容开发、教具研制上存在重复投入，跨部门协同机制缺失，资源分散削弱了系统传播价值。</w:t>
      </w:r>
    </w:p>
    <w:p w14:paraId="4B063E38">
      <w:pPr>
        <w:spacing w:line="600" w:lineRule="exact"/>
        <w:ind w:firstLine="640"/>
        <w:rPr>
          <w:rFonts w:hint="default" w:ascii="Times New Roman" w:hAnsi="Times New Roman" w:cs="Times New Roman"/>
        </w:rPr>
      </w:pPr>
      <w:r>
        <w:rPr>
          <w:rFonts w:hint="default" w:ascii="Times New Roman" w:hAnsi="Times New Roman" w:cs="Times New Roman"/>
          <w:sz w:val="32"/>
          <w:szCs w:val="32"/>
        </w:rPr>
        <w:t>五是评估机制虚化。成效评价多依赖“参与人数”等表层指标，忽视对知识获取、态度转变、行为意向的测量，难以真实反映传播效果。</w:t>
      </w:r>
    </w:p>
    <w:p w14:paraId="498DBA84">
      <w:pPr>
        <w:pStyle w:val="3"/>
        <w:numPr>
          <w:ilvl w:val="0"/>
          <w:numId w:val="1"/>
        </w:numPr>
        <w:spacing w:before="0" w:after="0" w:line="600" w:lineRule="exact"/>
        <w:ind w:firstLine="640"/>
        <w:rPr>
          <w:rFonts w:hint="default" w:ascii="Times New Roman" w:hAnsi="Times New Roman" w:eastAsia="楷体" w:cs="Times New Roman"/>
          <w:b w:val="0"/>
          <w:szCs w:val="32"/>
        </w:rPr>
      </w:pPr>
      <w:r>
        <w:rPr>
          <w:rFonts w:hint="default" w:ascii="Times New Roman" w:hAnsi="Times New Roman" w:eastAsia="楷体" w:cs="Times New Roman"/>
          <w:b w:val="0"/>
          <w:szCs w:val="32"/>
        </w:rPr>
        <w:t>目的意义</w:t>
      </w:r>
    </w:p>
    <w:p w14:paraId="5D39416D">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制定本规范是推动生态环境科普由“规模扩张”向“质量提升”转型的关键举措。通过构建涵盖策划、实施、评估、风险控制的全流程规范体系，能够填补国内空白，统一行业认知，提升科普工作的专业化、规范化水平，助力构建共建共治共享的生态环境治理新格局。</w:t>
      </w:r>
    </w:p>
    <w:p w14:paraId="788FECE1">
      <w:pPr>
        <w:widowControl/>
        <w:spacing w:line="600" w:lineRule="exact"/>
        <w:ind w:firstLine="640" w:firstLineChars="0"/>
        <w:rPr>
          <w:rFonts w:hint="default" w:ascii="Times New Roman" w:hAnsi="Times New Roman" w:cs="Times New Roman"/>
          <w:sz w:val="32"/>
          <w:szCs w:val="22"/>
        </w:rPr>
      </w:pPr>
      <w:r>
        <w:rPr>
          <w:rFonts w:hint="default" w:ascii="Times New Roman" w:hAnsi="Times New Roman" w:cs="Times New Roman"/>
          <w:sz w:val="32"/>
          <w:szCs w:val="22"/>
        </w:rPr>
        <w:t>1.统一行业标准，提升治理效能</w:t>
      </w:r>
    </w:p>
    <w:p w14:paraId="447F5E5C">
      <w:pPr>
        <w:widowControl/>
        <w:spacing w:line="600" w:lineRule="exact"/>
        <w:ind w:firstLine="640" w:firstLineChars="0"/>
        <w:rPr>
          <w:rFonts w:hint="default" w:ascii="Times New Roman" w:hAnsi="Times New Roman" w:cs="Times New Roman"/>
          <w:sz w:val="32"/>
          <w:szCs w:val="22"/>
        </w:rPr>
      </w:pPr>
      <w:r>
        <w:rPr>
          <w:rFonts w:hint="default" w:ascii="Times New Roman" w:hAnsi="Times New Roman" w:cs="Times New Roman"/>
          <w:sz w:val="32"/>
          <w:szCs w:val="22"/>
        </w:rPr>
        <w:t>本规范将确立生态环境系统科普活动的统一准则，适用于各级生态环境管理部门、监测机构、科研院所及环保企业。通过标准化的流程和要求，将成熟经验转化为制度成果，解决当前科普工作“碎片化、低水平重复”的问题，显著提升行业整体科普效能和政府公信力。</w:t>
      </w:r>
    </w:p>
    <w:p w14:paraId="6553DB8B">
      <w:pPr>
        <w:widowControl/>
        <w:spacing w:line="600" w:lineRule="exact"/>
        <w:ind w:firstLine="640" w:firstLineChars="0"/>
        <w:rPr>
          <w:rFonts w:hint="default" w:ascii="Times New Roman" w:hAnsi="Times New Roman" w:cs="Times New Roman"/>
          <w:sz w:val="32"/>
          <w:szCs w:val="22"/>
        </w:rPr>
      </w:pPr>
      <w:r>
        <w:rPr>
          <w:rFonts w:hint="default" w:ascii="Times New Roman" w:hAnsi="Times New Roman" w:cs="Times New Roman"/>
          <w:sz w:val="32"/>
          <w:szCs w:val="22"/>
        </w:rPr>
        <w:t>2.弘扬科学家精神，服务绿色发展</w:t>
      </w:r>
    </w:p>
    <w:p w14:paraId="5D1A4174">
      <w:pPr>
        <w:widowControl/>
        <w:spacing w:line="600" w:lineRule="exact"/>
        <w:ind w:firstLine="640"/>
        <w:rPr>
          <w:rFonts w:hint="default" w:ascii="Times New Roman" w:hAnsi="Times New Roman" w:cs="Times New Roman"/>
          <w:sz w:val="32"/>
          <w:szCs w:val="22"/>
        </w:rPr>
      </w:pPr>
      <w:r>
        <w:rPr>
          <w:rFonts w:hint="default" w:ascii="Times New Roman" w:hAnsi="Times New Roman" w:cs="Times New Roman"/>
          <w:sz w:val="32"/>
          <w:szCs w:val="22"/>
        </w:rPr>
        <w:t>规范将科学家精神全面融入科普活动全流程。通过规范“专家进校园”“科研人员面对面”等活动形式，鼓励一线科研人员走出实验室，讲述</w:t>
      </w:r>
      <w:r>
        <w:rPr>
          <w:rFonts w:hint="default" w:ascii="Times New Roman" w:hAnsi="Times New Roman" w:cs="Times New Roman"/>
          <w:sz w:val="32"/>
          <w:szCs w:val="22"/>
          <w:lang w:val="en-US" w:eastAsia="zh-CN"/>
        </w:rPr>
        <w:t>生态环境</w:t>
      </w:r>
      <w:r>
        <w:rPr>
          <w:rFonts w:hint="default" w:ascii="Times New Roman" w:hAnsi="Times New Roman" w:cs="Times New Roman"/>
          <w:sz w:val="32"/>
          <w:szCs w:val="22"/>
        </w:rPr>
        <w:t>技术背后的科学原理与奋斗故事。这不仅传播知识，更传递信念，为实施创新驱动发展战略和绿色转型提供精神动力。</w:t>
      </w:r>
    </w:p>
    <w:p w14:paraId="534DF6CD">
      <w:pPr>
        <w:widowControl/>
        <w:spacing w:line="600" w:lineRule="exact"/>
        <w:ind w:firstLine="640" w:firstLineChars="0"/>
        <w:rPr>
          <w:rFonts w:hint="default" w:ascii="Times New Roman" w:hAnsi="Times New Roman" w:cs="Times New Roman"/>
          <w:sz w:val="32"/>
          <w:szCs w:val="22"/>
        </w:rPr>
      </w:pPr>
      <w:r>
        <w:rPr>
          <w:rFonts w:hint="default" w:ascii="Times New Roman" w:hAnsi="Times New Roman" w:cs="Times New Roman"/>
          <w:sz w:val="32"/>
          <w:szCs w:val="22"/>
        </w:rPr>
        <w:t>3.化解“邻避效应”，构建和谐社会</w:t>
      </w:r>
    </w:p>
    <w:p w14:paraId="7101F362">
      <w:pPr>
        <w:widowControl/>
        <w:spacing w:line="600" w:lineRule="exact"/>
        <w:ind w:firstLine="640"/>
        <w:rPr>
          <w:rFonts w:hint="default" w:ascii="Times New Roman" w:hAnsi="Times New Roman" w:cs="Times New Roman"/>
          <w:sz w:val="32"/>
          <w:szCs w:val="22"/>
        </w:rPr>
      </w:pPr>
      <w:r>
        <w:rPr>
          <w:rFonts w:hint="default" w:ascii="Times New Roman" w:hAnsi="Times New Roman" w:cs="Times New Roman"/>
          <w:sz w:val="32"/>
          <w:szCs w:val="22"/>
        </w:rPr>
        <w:t>针对核电站、变电站、垃圾焚烧厂、污水处理厂等易引发“邻避效应”的基础设施，本规范创新性提出“透明化、互动化、分众化”的组织原则。通过建立规范化的信息公开机制、公众参观流程与舆情应对预案，推动企业主动开放、科学释疑。通过组织周边居民实地参观，增进理解、消除误解，有效缓解公众焦虑，提升重大项目社会接受度。</w:t>
      </w:r>
    </w:p>
    <w:p w14:paraId="72E2D96E">
      <w:pPr>
        <w:widowControl/>
        <w:spacing w:line="600" w:lineRule="exact"/>
        <w:ind w:firstLine="640" w:firstLineChars="0"/>
        <w:rPr>
          <w:rFonts w:hint="default" w:ascii="Times New Roman" w:hAnsi="Times New Roman" w:cs="Times New Roman"/>
          <w:sz w:val="32"/>
          <w:szCs w:val="22"/>
        </w:rPr>
      </w:pPr>
      <w:r>
        <w:rPr>
          <w:rFonts w:hint="default" w:ascii="Times New Roman" w:hAnsi="Times New Roman" w:cs="Times New Roman"/>
          <w:sz w:val="32"/>
          <w:szCs w:val="22"/>
        </w:rPr>
        <w:t>4.推动高质量发展，打造行业标杆</w:t>
      </w:r>
    </w:p>
    <w:p w14:paraId="03BC4148">
      <w:pPr>
        <w:widowControl/>
        <w:spacing w:line="600" w:lineRule="exact"/>
        <w:ind w:firstLine="640"/>
        <w:rPr>
          <w:rFonts w:hint="default" w:ascii="Times New Roman" w:hAnsi="Times New Roman" w:cs="Times New Roman"/>
          <w:sz w:val="32"/>
          <w:szCs w:val="22"/>
        </w:rPr>
      </w:pPr>
      <w:r>
        <w:rPr>
          <w:rFonts w:hint="default" w:ascii="Times New Roman" w:hAnsi="Times New Roman" w:cs="Times New Roman"/>
          <w:sz w:val="32"/>
          <w:szCs w:val="22"/>
        </w:rPr>
        <w:t>本规范的实施将推动生态环境科普工作迈向品牌化发展新阶段。通过建立统一的内容框架与评价体系，形成一批叫得响、立得住的科普品牌，为全国生态环境系统提供可复制、可推广的行业标杆，助力提升全民科学素质。</w:t>
      </w:r>
    </w:p>
    <w:p w14:paraId="6821256B">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二、标准编制过程</w:t>
      </w:r>
    </w:p>
    <w:p w14:paraId="5AA577E6">
      <w:pPr>
        <w:pStyle w:val="4"/>
        <w:spacing w:before="0" w:after="0" w:line="600" w:lineRule="exact"/>
        <w:ind w:firstLine="640"/>
        <w:rPr>
          <w:rFonts w:hint="default" w:ascii="Times New Roman" w:hAnsi="Times New Roman" w:eastAsia="楷体" w:cs="Times New Roman"/>
          <w:sz w:val="32"/>
          <w:szCs w:val="32"/>
        </w:rPr>
      </w:pPr>
      <w:r>
        <w:rPr>
          <w:rFonts w:hint="default" w:ascii="Times New Roman" w:hAnsi="Times New Roman" w:eastAsia="楷体" w:cs="Times New Roman"/>
          <w:sz w:val="32"/>
          <w:szCs w:val="32"/>
        </w:rPr>
        <w:t>（一）成立编制工作组</w:t>
      </w:r>
    </w:p>
    <w:p w14:paraId="18F5A054">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2026年3月，由广西壮族自治区辐射环境监督管理站、广西壮族自治区标准技术研究院、北部湾大学、广西防城港核电有限公司共同组成标准编制工作组。</w:t>
      </w:r>
    </w:p>
    <w:p w14:paraId="22146DF7">
      <w:pPr>
        <w:pStyle w:val="4"/>
        <w:spacing w:before="0" w:after="0" w:line="600" w:lineRule="exact"/>
        <w:ind w:firstLine="640"/>
        <w:rPr>
          <w:rFonts w:hint="default" w:ascii="Times New Roman" w:hAnsi="Times New Roman" w:eastAsia="楷体" w:cs="Times New Roman"/>
          <w:sz w:val="32"/>
          <w:szCs w:val="32"/>
        </w:rPr>
      </w:pPr>
      <w:r>
        <w:rPr>
          <w:rFonts w:hint="default" w:ascii="Times New Roman" w:hAnsi="Times New Roman" w:eastAsia="楷体" w:cs="Times New Roman"/>
          <w:sz w:val="32"/>
          <w:szCs w:val="32"/>
        </w:rPr>
        <w:t>（二）展开调研，收集资料</w:t>
      </w:r>
    </w:p>
    <w:p w14:paraId="04CB6018">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2026年4月，编制小组</w:t>
      </w:r>
      <w:r>
        <w:rPr>
          <w:rFonts w:hint="eastAsia" w:ascii="Times New Roman" w:hAnsi="Times New Roman" w:cs="Times New Roman"/>
          <w:sz w:val="32"/>
          <w:szCs w:val="32"/>
          <w:lang w:eastAsia="zh-CN"/>
        </w:rPr>
        <w:t>开展</w:t>
      </w:r>
      <w:r>
        <w:rPr>
          <w:rFonts w:hint="default" w:ascii="Times New Roman" w:hAnsi="Times New Roman" w:cs="Times New Roman"/>
          <w:sz w:val="32"/>
          <w:szCs w:val="32"/>
        </w:rPr>
        <w:t>生态环境科普标准化调研与资料收集，编制</w:t>
      </w:r>
      <w:r>
        <w:rPr>
          <w:rFonts w:hint="eastAsia" w:ascii="Times New Roman" w:hAnsi="Times New Roman" w:cs="Times New Roman"/>
          <w:sz w:val="32"/>
          <w:szCs w:val="32"/>
          <w:lang w:eastAsia="zh-CN"/>
        </w:rPr>
        <w:t>标准</w:t>
      </w:r>
      <w:r>
        <w:rPr>
          <w:rFonts w:hint="default" w:ascii="Times New Roman" w:hAnsi="Times New Roman" w:cs="Times New Roman"/>
          <w:sz w:val="32"/>
          <w:szCs w:val="32"/>
        </w:rPr>
        <w:t>可行性研究报告，并形成标准工作组讨论稿。</w:t>
      </w:r>
    </w:p>
    <w:p w14:paraId="09323783">
      <w:pPr>
        <w:pStyle w:val="4"/>
        <w:spacing w:before="0" w:after="0" w:line="600" w:lineRule="exact"/>
        <w:ind w:firstLine="640"/>
        <w:rPr>
          <w:rFonts w:hint="default" w:ascii="Times New Roman" w:hAnsi="Times New Roman" w:eastAsia="楷体" w:cs="Times New Roman"/>
          <w:sz w:val="32"/>
          <w:szCs w:val="32"/>
        </w:rPr>
      </w:pPr>
      <w:r>
        <w:rPr>
          <w:rFonts w:hint="default" w:ascii="Times New Roman" w:hAnsi="Times New Roman" w:eastAsia="楷体" w:cs="Times New Roman"/>
          <w:sz w:val="32"/>
          <w:szCs w:val="32"/>
        </w:rPr>
        <w:t>（三）讨论确定主体内容</w:t>
      </w:r>
    </w:p>
    <w:p w14:paraId="6688584E">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2026年5月，编制小组组织召开小组讨论会，对标准文本进行讨论修改，形成标准征求意见稿。</w:t>
      </w:r>
    </w:p>
    <w:p w14:paraId="17B09FA0">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（四）</w:t>
      </w:r>
      <w:r>
        <w:rPr>
          <w:rFonts w:hint="default" w:ascii="Times New Roman" w:hAnsi="Times New Roman" w:eastAsia="楷体" w:cs="Times New Roman"/>
          <w:sz w:val="32"/>
          <w:szCs w:val="32"/>
        </w:rPr>
        <w:t>召开专家研讨会</w:t>
      </w:r>
    </w:p>
    <w:p w14:paraId="6DE87731">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2026年5月26日，组织召开专家研讨会，邀请广西壮族自治区环境保护科学研究院、广西壮族自治区科学技术馆、广西壮族自治区生态环境监测中心、南宁市科技馆、广西标准化协会等5位专家对标准文本进行深入讨论，收到修改意见建议30条，采纳29条。会后编制小组按照专家意见对标准进行修改，形成征求意见稿。</w:t>
      </w:r>
    </w:p>
    <w:p w14:paraId="0A318A3D">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三、标准编制原则</w:t>
      </w:r>
    </w:p>
    <w:p w14:paraId="29910E51">
      <w:pPr>
        <w:pStyle w:val="4"/>
        <w:spacing w:before="0" w:after="0" w:line="600" w:lineRule="exact"/>
        <w:ind w:firstLine="64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（一）规范性原则</w:t>
      </w:r>
    </w:p>
    <w:p w14:paraId="3CDF1031">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本标准的起草格式、结构和编写规则严格按照 GB/T 1.1-2020《标准化工作导则 第1部分：标准化文件的结构和起草规则》的要求执行。标准编写流程严格遵守团体标准相关管理</w:t>
      </w:r>
      <w:r>
        <w:rPr>
          <w:rFonts w:hint="eastAsia" w:ascii="Times New Roman" w:hAnsi="Times New Roman" w:cs="Times New Roman"/>
          <w:sz w:val="32"/>
          <w:szCs w:val="32"/>
          <w:lang w:eastAsia="zh-CN"/>
        </w:rPr>
        <w:t>办法</w:t>
      </w:r>
      <w:r>
        <w:rPr>
          <w:rFonts w:hint="default" w:ascii="Times New Roman" w:hAnsi="Times New Roman" w:cs="Times New Roman"/>
          <w:sz w:val="32"/>
          <w:szCs w:val="32"/>
        </w:rPr>
        <w:t>。</w:t>
      </w:r>
    </w:p>
    <w:p w14:paraId="547D0EAD">
      <w:pPr>
        <w:pStyle w:val="4"/>
        <w:spacing w:before="0" w:after="0" w:line="600" w:lineRule="exact"/>
        <w:ind w:firstLine="64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（二）一致性原则</w:t>
      </w:r>
    </w:p>
    <w:p w14:paraId="5CA8EBBF">
      <w:pPr>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本标准中的术语和定义与 GB/T 32844《科普资源分类与代码》保持一致，确保专业术语的一致性。</w:t>
      </w:r>
    </w:p>
    <w:p w14:paraId="5768E39D">
      <w:pPr>
        <w:pStyle w:val="4"/>
        <w:spacing w:before="0" w:after="0" w:line="600" w:lineRule="exact"/>
        <w:ind w:firstLine="64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（三）可操作性原则</w:t>
      </w:r>
    </w:p>
    <w:p w14:paraId="6DF0E715">
      <w:pPr>
        <w:pStyle w:val="4"/>
        <w:spacing w:before="0" w:after="0" w:line="600" w:lineRule="exact"/>
        <w:ind w:firstLine="64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本标准通过构建涵盖策划、实施、评估、风险控制的全流程规范体系，能够填补国内空白，统一行业认知，提升科普工作的专业化、规范化水平，助力构建共建共治共享的生态环境治理新格局。</w:t>
      </w:r>
    </w:p>
    <w:p w14:paraId="4DDE03CB">
      <w:pPr>
        <w:pStyle w:val="4"/>
        <w:spacing w:before="0" w:after="0" w:line="600" w:lineRule="exact"/>
        <w:ind w:firstLine="64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（四）通用性</w:t>
      </w:r>
    </w:p>
    <w:p w14:paraId="594463A1">
      <w:pPr>
        <w:pStyle w:val="3"/>
        <w:spacing w:before="0" w:after="0" w:line="600" w:lineRule="exact"/>
        <w:ind w:firstLine="640"/>
        <w:rPr>
          <w:rFonts w:hint="default" w:ascii="Times New Roman" w:hAnsi="Times New Roman" w:eastAsia="仿宋" w:cs="Times New Roman"/>
          <w:b w:val="0"/>
          <w:szCs w:val="32"/>
        </w:rPr>
      </w:pPr>
      <w:r>
        <w:rPr>
          <w:rFonts w:hint="default" w:ascii="Times New Roman" w:hAnsi="Times New Roman" w:eastAsia="仿宋" w:cs="Times New Roman"/>
          <w:b w:val="0"/>
          <w:szCs w:val="32"/>
        </w:rPr>
        <w:t>本标准适用于生态环境系统内各级单位（包括辐射环境监督管理站、环境保护科学研究院、环境保护宣传教育中心、各市生态环境局、监测站等），以及相关企事业单位（如核电公司、环保企业、工业园区等）开展的面向公众的生态环境科普活动。适用场景涵盖学校、社区、乡村、企事业单位、科普基地及线上平台等，同时，本文件也可为其他领域开展科普活动提供参考和借鉴。</w:t>
      </w:r>
    </w:p>
    <w:p w14:paraId="2FAEEC02">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四、主要内容（如技术指标、参数、公式、性能要求、试验方法、检验规则）的论据</w:t>
      </w:r>
    </w:p>
    <w:p w14:paraId="64A0DE5E">
      <w:pPr>
        <w:snapToGrid w:val="0"/>
        <w:spacing w:line="600" w:lineRule="exact"/>
        <w:ind w:firstLine="640" w:firstLineChars="200"/>
        <w:rPr>
          <w:rFonts w:hint="default" w:ascii="Times New Roman" w:hAnsi="Times New Roman" w:cs="Times New Roman"/>
          <w:sz w:val="32"/>
          <w:szCs w:val="32"/>
        </w:rPr>
      </w:pPr>
      <w:r>
        <w:rPr>
          <w:rFonts w:hint="default" w:ascii="Times New Roman" w:hAnsi="Times New Roman" w:cs="Times New Roman"/>
          <w:sz w:val="32"/>
          <w:szCs w:val="32"/>
        </w:rPr>
        <w:t>本标准分为7个章节：</w:t>
      </w:r>
    </w:p>
    <w:p w14:paraId="0A7FAD98">
      <w:pPr>
        <w:numPr>
          <w:ilvl w:val="-1"/>
          <w:numId w:val="0"/>
        </w:numPr>
        <w:snapToGrid w:val="0"/>
        <w:spacing w:line="600" w:lineRule="exact"/>
        <w:ind w:firstLine="640" w:firstLineChars="200"/>
        <w:rPr>
          <w:rFonts w:hint="default" w:ascii="Times New Roman" w:hAnsi="Times New Roman" w:cs="Times New Roman"/>
          <w:sz w:val="32"/>
          <w:szCs w:val="32"/>
        </w:rPr>
      </w:pPr>
      <w:r>
        <w:rPr>
          <w:rFonts w:hint="eastAsia" w:ascii="Times New Roman" w:hAnsi="Times New Roman" w:cs="Times New Roman"/>
          <w:sz w:val="32"/>
          <w:szCs w:val="32"/>
          <w:lang w:val="en-US" w:eastAsia="zh-CN"/>
        </w:rPr>
        <w:t>1.</w:t>
      </w:r>
      <w:r>
        <w:rPr>
          <w:rFonts w:hint="default" w:ascii="Times New Roman" w:hAnsi="Times New Roman" w:cs="Times New Roman"/>
          <w:sz w:val="32"/>
          <w:szCs w:val="32"/>
        </w:rPr>
        <w:t>范围</w:t>
      </w:r>
    </w:p>
    <w:p w14:paraId="5F3353D8">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本章界定了本标准适用于生态环境系统内各级单位，以及相关企事业单位开展的面向公众的生态环境科普活动。</w:t>
      </w:r>
    </w:p>
    <w:p w14:paraId="4F246514">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2.规范性引用文件</w:t>
      </w:r>
    </w:p>
    <w:p w14:paraId="4246816A">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本标准规范性引用文件如下：</w:t>
      </w:r>
    </w:p>
    <w:p w14:paraId="25DF8E7C">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GB/T 10001  所有部分</w:t>
      </w:r>
    </w:p>
    <w:p w14:paraId="0C69EFC2">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GB 13495.3  消防安全标志  第3部分：设置要求</w:t>
      </w:r>
    </w:p>
    <w:p w14:paraId="571FAE9B">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GB/T 32844  科普资源分类与代码</w:t>
      </w:r>
    </w:p>
    <w:p w14:paraId="757A54EF">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DA/T 89  实物档案数字化规范</w:t>
      </w:r>
    </w:p>
    <w:p w14:paraId="711952DA">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3.术语和定义</w:t>
      </w:r>
    </w:p>
    <w:p w14:paraId="738C631D">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sz w:val="32"/>
          <w:szCs w:val="32"/>
        </w:rPr>
        <w:t>本章界定了“生态环境科普活动”、大型科普活动等关键术语</w:t>
      </w:r>
      <w:r>
        <w:rPr>
          <w:rFonts w:hint="default" w:ascii="Times New Roman" w:hAnsi="Times New Roman" w:cs="Times New Roman"/>
          <w:color w:val="auto"/>
          <w:sz w:val="32"/>
          <w:szCs w:val="32"/>
        </w:rPr>
        <w:t>，统一行业认知。</w:t>
      </w:r>
    </w:p>
    <w:p w14:paraId="6BC33B5B">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——“生态环境科普活动”：参考了GB/T 41555 《科普服务分类与代码》关于“科普”的定义，并结合生态环境工作重新定义。</w:t>
      </w:r>
    </w:p>
    <w:p w14:paraId="3BC8FA96">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——“大型科普活动”：根据</w:t>
      </w:r>
      <w:r>
        <w:rPr>
          <w:rFonts w:hint="eastAsia" w:ascii="Times New Roman" w:hAnsi="Times New Roman" w:cs="Times New Roman"/>
          <w:color w:val="auto"/>
          <w:sz w:val="32"/>
          <w:szCs w:val="32"/>
          <w:lang w:eastAsia="zh-CN"/>
        </w:rPr>
        <w:t>国务院</w:t>
      </w:r>
      <w:r>
        <w:rPr>
          <w:rFonts w:hint="default" w:ascii="Times New Roman" w:hAnsi="Times New Roman" w:cs="Times New Roman"/>
          <w:color w:val="auto"/>
          <w:sz w:val="32"/>
          <w:szCs w:val="32"/>
        </w:rPr>
        <w:t>《大型群众性活动安全管理条例》中“大型群众性活动”是指</w:t>
      </w:r>
      <w:bookmarkStart w:id="3" w:name="_Hlk232065379"/>
      <w:r>
        <w:rPr>
          <w:rFonts w:hint="default" w:ascii="Times New Roman" w:hAnsi="Times New Roman" w:cs="Times New Roman"/>
          <w:color w:val="auto"/>
          <w:sz w:val="32"/>
          <w:szCs w:val="32"/>
        </w:rPr>
        <w:t>法人或者其他组织</w:t>
      </w:r>
      <w:bookmarkEnd w:id="3"/>
      <w:r>
        <w:rPr>
          <w:rFonts w:hint="default" w:ascii="Times New Roman" w:hAnsi="Times New Roman" w:cs="Times New Roman"/>
          <w:color w:val="auto"/>
          <w:sz w:val="32"/>
          <w:szCs w:val="32"/>
        </w:rPr>
        <w:t>面向社会公众举办的每场次预计参加人数达到1000人以上的活动，《科普研究》期刊上发表的学术论文《我国大型科普活动发展现状及趋势研讨》认为“1000人及以上5000人以下的视为大型科普活动，5000人及以上的视为特大型科普活动”，为本标准对“大型科普活动”的定义提供了参考。</w:t>
      </w:r>
    </w:p>
    <w:p w14:paraId="28420EF5">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4.活动要求</w:t>
      </w:r>
    </w:p>
    <w:p w14:paraId="094484E7">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本章节参考GB/T 43395</w:t>
      </w:r>
      <w:r>
        <w:rPr>
          <w:rFonts w:hint="default" w:ascii="Times New Roman" w:hAnsi="Times New Roman" w:cs="Times New Roman"/>
          <w:color w:val="auto"/>
          <w:sz w:val="32"/>
          <w:szCs w:val="32"/>
          <w:highlight w:val="none"/>
        </w:rPr>
        <w:t>《线下科普活动基本要求》</w:t>
      </w:r>
      <w:r>
        <w:rPr>
          <w:rFonts w:hint="default" w:ascii="Times New Roman" w:hAnsi="Times New Roman" w:cs="Times New Roman"/>
          <w:color w:val="auto"/>
          <w:sz w:val="32"/>
          <w:szCs w:val="32"/>
        </w:rPr>
        <w:t>关于科普活动的活动策划，包括主题确定、活动形式、活动方案编制组成。</w:t>
      </w:r>
    </w:p>
    <w:p w14:paraId="24AB58BA">
      <w:pPr>
        <w:widowControl/>
        <w:numPr>
          <w:ilvl w:val="0"/>
          <w:numId w:val="2"/>
        </w:numPr>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开展科普活动前进行需求调研，其核心目的就是为了避免“自说自话”和 “资源浪费”，确保科普活动能够真正满足公众需要，实现有效传播。通过对受众画像分析，精准锚定不同受众的科普需求，从年龄层次、知识储备、兴趣偏好、场景特性等维度搭建画像体系。结合调研结果设定目标，确定主题，对主题的设置提出相关要求。</w:t>
      </w:r>
    </w:p>
    <w:p w14:paraId="5C77A3FF">
      <w:pPr>
        <w:widowControl/>
        <w:numPr>
          <w:ilvl w:val="0"/>
          <w:numId w:val="2"/>
        </w:numPr>
        <w:spacing w:line="600" w:lineRule="exact"/>
        <w:ind w:firstLine="640"/>
        <w:rPr>
          <w:rFonts w:hint="default" w:ascii="Times New Roman" w:hAnsi="Times New Roman" w:cs="Times New Roman"/>
          <w:color w:val="auto"/>
          <w:kern w:val="0"/>
          <w:sz w:val="32"/>
          <w:szCs w:val="22"/>
        </w:rPr>
      </w:pPr>
      <w:r>
        <w:rPr>
          <w:rFonts w:hint="default" w:ascii="Times New Roman" w:hAnsi="Times New Roman" w:cs="Times New Roman"/>
          <w:color w:val="auto"/>
          <w:sz w:val="32"/>
          <w:szCs w:val="32"/>
        </w:rPr>
        <w:t>4.2</w:t>
      </w:r>
      <w:r>
        <w:rPr>
          <w:rFonts w:hint="eastAsia" w:ascii="Times New Roman" w:hAnsi="Times New Roman" w:cs="Times New Roman"/>
          <w:color w:val="auto"/>
          <w:sz w:val="32"/>
          <w:szCs w:val="32"/>
          <w:lang w:val="en-US" w:eastAsia="zh-CN"/>
        </w:rPr>
        <w:t xml:space="preserve"> 活动形式</w:t>
      </w:r>
      <w:r>
        <w:rPr>
          <w:rFonts w:hint="default" w:ascii="Times New Roman" w:hAnsi="Times New Roman" w:cs="Times New Roman"/>
          <w:color w:val="auto"/>
          <w:sz w:val="32"/>
          <w:szCs w:val="32"/>
        </w:rPr>
        <w:t>参考《全民科学素质行动规划纲要（2021—2035年）》将受众分为：领导干部、公务员，青少年群体、产业工人、农民群体和老年群体5类人群，并根据不同受众特点和需求提出相应的活动形式，如领导干部、公务员宜以专题研修班、党校专题课程、实地考察调研、定制化报告</w:t>
      </w:r>
      <w:r>
        <w:rPr>
          <w:rFonts w:hint="eastAsia" w:ascii="Times New Roman" w:hAnsi="Times New Roman" w:cs="Times New Roman"/>
          <w:color w:val="auto"/>
          <w:sz w:val="32"/>
          <w:szCs w:val="32"/>
          <w:lang w:val="en-US" w:eastAsia="zh-CN"/>
        </w:rPr>
        <w:t>为主要形式</w:t>
      </w:r>
      <w:r>
        <w:rPr>
          <w:rFonts w:hint="default" w:ascii="Times New Roman" w:hAnsi="Times New Roman" w:cs="Times New Roman"/>
          <w:color w:val="auto"/>
          <w:sz w:val="32"/>
          <w:szCs w:val="32"/>
        </w:rPr>
        <w:t>，青少年群体宜选择科普讲座、操作互动、职业体验、科普剧表演等，产业工人则倾向技能与实践，如环保技能大赛。农民群体推荐科普大篷车下乡、生态监测车进村等，面向老年群体推荐健康大讲堂、互动问答游戏，企事业单位</w:t>
      </w:r>
      <w:r>
        <w:rPr>
          <w:rFonts w:hint="eastAsia" w:ascii="Times New Roman" w:hAnsi="Times New Roman" w:cs="Times New Roman"/>
          <w:color w:val="auto"/>
          <w:sz w:val="32"/>
          <w:szCs w:val="32"/>
          <w:lang w:eastAsia="zh-CN"/>
        </w:rPr>
        <w:t>可推荐</w:t>
      </w:r>
      <w:r>
        <w:rPr>
          <w:rFonts w:hint="default" w:ascii="Times New Roman" w:hAnsi="Times New Roman" w:cs="Times New Roman"/>
          <w:color w:val="auto"/>
          <w:sz w:val="32"/>
          <w:szCs w:val="32"/>
        </w:rPr>
        <w:t>包括但不限于公众开放日、专题讲座等</w:t>
      </w:r>
      <w:r>
        <w:rPr>
          <w:rFonts w:hint="eastAsia" w:ascii="Times New Roman" w:hAnsi="Times New Roman" w:cs="Times New Roman"/>
          <w:color w:val="auto"/>
          <w:sz w:val="32"/>
          <w:szCs w:val="32"/>
          <w:lang w:eastAsia="zh-CN"/>
        </w:rPr>
        <w:t>形式。</w:t>
      </w:r>
    </w:p>
    <w:p w14:paraId="74DB51F6">
      <w:pPr>
        <w:widowControl/>
        <w:numPr>
          <w:ilvl w:val="0"/>
          <w:numId w:val="2"/>
        </w:numPr>
        <w:spacing w:line="600" w:lineRule="exact"/>
        <w:ind w:firstLine="640"/>
        <w:rPr>
          <w:rFonts w:hint="default" w:ascii="Times New Roman" w:hAnsi="Times New Roman" w:cs="Times New Roman"/>
          <w:kern w:val="0"/>
          <w:sz w:val="32"/>
          <w:szCs w:val="22"/>
        </w:rPr>
      </w:pPr>
      <w:r>
        <w:rPr>
          <w:rFonts w:hint="default" w:ascii="Times New Roman" w:hAnsi="Times New Roman" w:cs="Times New Roman"/>
          <w:color w:val="auto"/>
          <w:sz w:val="32"/>
          <w:szCs w:val="32"/>
        </w:rPr>
        <w:t>为确保活动能够顺利、有效、安全地实施，应编制活动方案，明确活动主题、内容、形式、时间、地点、科普对象、工作人员、科普师资、经费预算、安全保障、宣传推广等内容。生态环境科普容易涉及敏感性、保密性等问题，因此，本文件提出对活动方案进行审核，</w:t>
      </w:r>
      <w:r>
        <w:rPr>
          <w:rFonts w:hint="default" w:ascii="Times New Roman" w:hAnsi="Times New Roman" w:cs="Times New Roman"/>
          <w:color w:val="auto"/>
          <w:kern w:val="0"/>
          <w:sz w:val="32"/>
          <w:szCs w:val="22"/>
        </w:rPr>
        <w:t>明确划定敏</w:t>
      </w:r>
      <w:r>
        <w:rPr>
          <w:rFonts w:hint="default" w:ascii="Times New Roman" w:hAnsi="Times New Roman" w:cs="Times New Roman"/>
          <w:kern w:val="0"/>
          <w:sz w:val="32"/>
          <w:szCs w:val="22"/>
        </w:rPr>
        <w:t>感区域的参观边界与讲解红线，制定规范化的舆情应对话术，确保科普活动在安全、合规、可控的前提下高效开展。</w:t>
      </w:r>
    </w:p>
    <w:p w14:paraId="1CE452E4">
      <w:pPr>
        <w:snapToGrid w:val="0"/>
        <w:spacing w:line="600" w:lineRule="exact"/>
        <w:ind w:firstLine="640"/>
        <w:rPr>
          <w:rFonts w:hint="default" w:ascii="Times New Roman" w:hAnsi="Times New Roman" w:cs="Times New Roman"/>
          <w:sz w:val="32"/>
          <w:szCs w:val="32"/>
        </w:rPr>
      </w:pPr>
      <w:r>
        <w:rPr>
          <w:rFonts w:hint="default" w:ascii="Times New Roman" w:hAnsi="Times New Roman" w:cs="Times New Roman"/>
          <w:sz w:val="32"/>
          <w:szCs w:val="32"/>
        </w:rPr>
        <w:t>5.活动实施</w:t>
      </w:r>
    </w:p>
    <w:p w14:paraId="7E4CA681">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sz w:val="32"/>
          <w:szCs w:val="32"/>
        </w:rPr>
        <w:t>本</w:t>
      </w:r>
      <w:r>
        <w:rPr>
          <w:rFonts w:hint="default" w:ascii="Times New Roman" w:hAnsi="Times New Roman" w:cs="Times New Roman"/>
          <w:color w:val="auto"/>
          <w:sz w:val="32"/>
          <w:szCs w:val="32"/>
        </w:rPr>
        <w:t>章参考GB/T 43395，分为</w:t>
      </w:r>
      <w:r>
        <w:rPr>
          <w:rFonts w:hint="default" w:ascii="Times New Roman" w:hAnsi="Times New Roman" w:cs="Times New Roman"/>
          <w:b/>
          <w:bCs/>
          <w:color w:val="auto"/>
          <w:sz w:val="32"/>
          <w:szCs w:val="32"/>
        </w:rPr>
        <w:t>资源准备、现场实施和活动结束</w:t>
      </w:r>
      <w:r>
        <w:rPr>
          <w:rFonts w:hint="default" w:ascii="Times New Roman" w:hAnsi="Times New Roman" w:cs="Times New Roman"/>
          <w:color w:val="auto"/>
          <w:sz w:val="32"/>
          <w:szCs w:val="32"/>
        </w:rPr>
        <w:t>。</w:t>
      </w:r>
    </w:p>
    <w:p w14:paraId="5D9C8D1C">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w:t>
      </w:r>
      <w:r>
        <w:rPr>
          <w:rFonts w:hint="default" w:ascii="Times New Roman" w:hAnsi="Times New Roman" w:cs="Times New Roman"/>
          <w:b/>
          <w:bCs/>
          <w:color w:val="auto"/>
          <w:sz w:val="32"/>
          <w:szCs w:val="32"/>
        </w:rPr>
        <w:t>资源准备</w:t>
      </w:r>
      <w:r>
        <w:rPr>
          <w:rFonts w:hint="default" w:ascii="Times New Roman" w:hAnsi="Times New Roman" w:cs="Times New Roman"/>
          <w:color w:val="auto"/>
          <w:sz w:val="32"/>
          <w:szCs w:val="32"/>
        </w:rPr>
        <w:t>包括活动前根据活动方案开展的科普活动所需人员、物料、场地设施以及前期风险防控。一支高效的科普工作队伍，其核心是形成以科普人员为核心、科学家为源头、志愿者为补充、管理人员为保障的多元化、协作式团队。生态环境领域科普对专业性、技术性要求高，因此提出“鼓励依托上级主管部门资源或联合高校</w:t>
      </w:r>
      <w:r>
        <w:rPr>
          <w:rFonts w:hint="eastAsia" w:ascii="Times New Roman" w:hAnsi="Times New Roman" w:cs="Times New Roman"/>
          <w:color w:val="auto"/>
          <w:sz w:val="32"/>
          <w:szCs w:val="32"/>
          <w:lang w:eastAsia="zh-CN"/>
        </w:rPr>
        <w:t>、企事业</w:t>
      </w:r>
      <w:r>
        <w:rPr>
          <w:rFonts w:hint="default" w:ascii="Times New Roman" w:hAnsi="Times New Roman" w:cs="Times New Roman"/>
          <w:color w:val="auto"/>
          <w:sz w:val="32"/>
          <w:szCs w:val="32"/>
        </w:rPr>
        <w:t>单位等机构，吸纳生态环境专家、专业技术人员组成多学科科普师资库”。科普物料是将抽象的、看不见摸不着的科学知识，转化为公众能够感知、理解、使用并传播的具体媒介，物料准备包括线上物料（视频、AR/VR等）和线下物料（宣传手册、海报</w:t>
      </w:r>
      <w:r>
        <w:rPr>
          <w:rFonts w:hint="eastAsia" w:ascii="Times New Roman" w:hAnsi="Times New Roman" w:cs="Times New Roman"/>
          <w:color w:val="auto"/>
          <w:sz w:val="32"/>
          <w:szCs w:val="32"/>
          <w:lang w:eastAsia="zh-CN"/>
        </w:rPr>
        <w:t>、</w:t>
      </w:r>
      <w:r>
        <w:rPr>
          <w:rFonts w:hint="default" w:ascii="Times New Roman" w:hAnsi="Times New Roman" w:cs="Times New Roman"/>
          <w:color w:val="auto"/>
          <w:sz w:val="32"/>
          <w:szCs w:val="32"/>
        </w:rPr>
        <w:t>文创产品等）。为保障后勤、控制成本、提升效率、确保安全，本文件提出建立完善的物料管理机制</w:t>
      </w:r>
      <w:r>
        <w:rPr>
          <w:rFonts w:hint="eastAsia" w:ascii="Times New Roman" w:hAnsi="Times New Roman" w:cs="Times New Roman"/>
          <w:color w:val="auto"/>
          <w:sz w:val="32"/>
          <w:szCs w:val="32"/>
          <w:lang w:eastAsia="zh-CN"/>
        </w:rPr>
        <w:t>，做好</w:t>
      </w:r>
      <w:r>
        <w:rPr>
          <w:rFonts w:hint="default" w:ascii="Times New Roman" w:hAnsi="Times New Roman" w:cs="Times New Roman"/>
          <w:color w:val="auto"/>
          <w:sz w:val="32"/>
          <w:szCs w:val="32"/>
        </w:rPr>
        <w:t>场地设施准备以及前期的宣传。</w:t>
      </w:r>
    </w:p>
    <w:p w14:paraId="59DE5AE4">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w:t>
      </w:r>
      <w:r>
        <w:rPr>
          <w:rFonts w:hint="default" w:ascii="Times New Roman" w:hAnsi="Times New Roman" w:cs="Times New Roman"/>
          <w:b/>
          <w:bCs/>
          <w:color w:val="auto"/>
          <w:sz w:val="32"/>
          <w:szCs w:val="32"/>
        </w:rPr>
        <w:t>现场实施，</w:t>
      </w:r>
      <w:r>
        <w:rPr>
          <w:rFonts w:hint="default" w:ascii="Times New Roman" w:hAnsi="Times New Roman" w:cs="Times New Roman"/>
          <w:color w:val="auto"/>
          <w:sz w:val="32"/>
          <w:szCs w:val="32"/>
        </w:rPr>
        <w:t>根据科普活动开展的要求，对活动</w:t>
      </w:r>
      <w:r>
        <w:rPr>
          <w:rFonts w:hint="eastAsia" w:ascii="Times New Roman" w:hAnsi="Times New Roman" w:cs="Times New Roman"/>
          <w:color w:val="auto"/>
          <w:sz w:val="32"/>
          <w:szCs w:val="32"/>
          <w:lang w:eastAsia="zh-CN"/>
        </w:rPr>
        <w:t>实施</w:t>
      </w:r>
      <w:r>
        <w:rPr>
          <w:rFonts w:hint="default" w:ascii="Times New Roman" w:hAnsi="Times New Roman" w:cs="Times New Roman"/>
          <w:color w:val="auto"/>
          <w:sz w:val="32"/>
          <w:szCs w:val="32"/>
        </w:rPr>
        <w:t>过程中人员职责、场地要求等</w:t>
      </w:r>
      <w:r>
        <w:rPr>
          <w:rFonts w:hint="eastAsia" w:ascii="Times New Roman" w:hAnsi="Times New Roman" w:cs="Times New Roman"/>
          <w:color w:val="auto"/>
          <w:sz w:val="32"/>
          <w:szCs w:val="32"/>
          <w:lang w:eastAsia="zh-CN"/>
        </w:rPr>
        <w:t>进行</w:t>
      </w:r>
      <w:r>
        <w:rPr>
          <w:rFonts w:hint="default" w:ascii="Times New Roman" w:hAnsi="Times New Roman" w:cs="Times New Roman"/>
          <w:color w:val="auto"/>
          <w:sz w:val="32"/>
          <w:szCs w:val="32"/>
        </w:rPr>
        <w:t>规范。</w:t>
      </w:r>
    </w:p>
    <w:p w14:paraId="4251B000">
      <w:p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w:t>
      </w:r>
      <w:r>
        <w:rPr>
          <w:rFonts w:hint="default" w:ascii="Times New Roman" w:hAnsi="Times New Roman" w:cs="Times New Roman"/>
          <w:b/>
          <w:bCs/>
          <w:color w:val="auto"/>
          <w:sz w:val="32"/>
          <w:szCs w:val="32"/>
        </w:rPr>
        <w:t>活动结束后</w:t>
      </w:r>
      <w:r>
        <w:rPr>
          <w:rFonts w:hint="eastAsia" w:ascii="Times New Roman" w:hAnsi="Times New Roman" w:cs="Times New Roman"/>
          <w:b/>
          <w:bCs/>
          <w:color w:val="auto"/>
          <w:sz w:val="32"/>
          <w:szCs w:val="32"/>
          <w:lang w:eastAsia="zh-CN"/>
        </w:rPr>
        <w:t>，主要</w:t>
      </w:r>
      <w:r>
        <w:rPr>
          <w:rFonts w:hint="default" w:ascii="Times New Roman" w:hAnsi="Times New Roman" w:cs="Times New Roman"/>
          <w:color w:val="auto"/>
          <w:sz w:val="32"/>
          <w:szCs w:val="32"/>
        </w:rPr>
        <w:t>针对科普物资的回收、清点和保管，场地使用后的安全检查</w:t>
      </w:r>
      <w:r>
        <w:rPr>
          <w:rFonts w:hint="default" w:ascii="Times New Roman" w:hAnsi="Times New Roman" w:cs="Times New Roman"/>
          <w:color w:val="auto"/>
          <w:sz w:val="32"/>
          <w:szCs w:val="32"/>
          <w:lang w:eastAsia="zh-CN"/>
        </w:rPr>
        <w:t>、</w:t>
      </w:r>
      <w:r>
        <w:rPr>
          <w:rFonts w:hint="default" w:ascii="Times New Roman" w:hAnsi="Times New Roman" w:cs="Times New Roman"/>
          <w:color w:val="auto"/>
          <w:sz w:val="32"/>
          <w:szCs w:val="32"/>
        </w:rPr>
        <w:t>活动后期宣传，以及活动的问题反馈与总结。</w:t>
      </w:r>
    </w:p>
    <w:p w14:paraId="52D9BB4D">
      <w:pPr>
        <w:numPr>
          <w:ilvl w:val="255"/>
          <w:numId w:val="0"/>
        </w:numPr>
        <w:snapToGrid w:val="0"/>
        <w:spacing w:line="600" w:lineRule="exact"/>
        <w:ind w:firstLine="64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6.评价与持续改进</w:t>
      </w:r>
    </w:p>
    <w:p w14:paraId="05F367DF">
      <w:pPr>
        <w:widowControl/>
        <w:spacing w:line="600" w:lineRule="exact"/>
        <w:ind w:firstLine="640"/>
        <w:rPr>
          <w:rFonts w:hint="default" w:ascii="Times New Roman" w:hAnsi="Times New Roman" w:cs="Times New Roman"/>
          <w:color w:val="auto"/>
          <w:sz w:val="32"/>
          <w:szCs w:val="22"/>
        </w:rPr>
      </w:pPr>
      <w:r>
        <w:rPr>
          <w:rFonts w:hint="default" w:ascii="Times New Roman" w:hAnsi="Times New Roman" w:cs="Times New Roman"/>
          <w:color w:val="auto"/>
          <w:sz w:val="32"/>
          <w:szCs w:val="32"/>
        </w:rPr>
        <w:t>评价决定活动的有效性，改进决定活动的生命力。科普工作的“最后一公里”，不在活动现场的热闹中，而在基于反馈的持续迭代里。当前科普工作</w:t>
      </w:r>
      <w:r>
        <w:rPr>
          <w:rFonts w:hint="eastAsia" w:ascii="Times New Roman" w:hAnsi="Times New Roman" w:cs="Times New Roman"/>
          <w:color w:val="auto"/>
          <w:sz w:val="32"/>
          <w:szCs w:val="32"/>
          <w:lang w:eastAsia="zh-CN"/>
        </w:rPr>
        <w:t>评价</w:t>
      </w:r>
      <w:r>
        <w:rPr>
          <w:rFonts w:hint="default" w:ascii="Times New Roman" w:hAnsi="Times New Roman" w:cs="Times New Roman"/>
          <w:color w:val="auto"/>
          <w:sz w:val="32"/>
          <w:szCs w:val="32"/>
        </w:rPr>
        <w:t>的问题在于，</w:t>
      </w:r>
      <w:r>
        <w:rPr>
          <w:rFonts w:hint="default" w:ascii="Times New Roman" w:hAnsi="Times New Roman" w:cs="Times New Roman"/>
          <w:color w:val="auto"/>
          <w:sz w:val="32"/>
          <w:szCs w:val="22"/>
        </w:rPr>
        <w:t>多依赖“参与人数”等表层指标，忽视对知识获取、态度转变、行为意向的测量，难以真实反映传播效果。因此本文件提出评价要求，强调对知识掌握、态度与行为意向</w:t>
      </w:r>
      <w:r>
        <w:rPr>
          <w:rFonts w:hint="eastAsia" w:ascii="Times New Roman" w:hAnsi="Times New Roman" w:cs="Times New Roman"/>
          <w:color w:val="auto"/>
          <w:sz w:val="32"/>
          <w:szCs w:val="22"/>
          <w:lang w:eastAsia="zh-CN"/>
        </w:rPr>
        <w:t>的评估。</w:t>
      </w:r>
    </w:p>
    <w:p w14:paraId="65E482E4">
      <w:pPr>
        <w:numPr>
          <w:ilvl w:val="255"/>
          <w:numId w:val="0"/>
        </w:numPr>
        <w:snapToGrid w:val="0"/>
        <w:spacing w:line="600" w:lineRule="exact"/>
        <w:ind w:firstLine="640" w:firstLineChars="20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7.档案管理</w:t>
      </w:r>
    </w:p>
    <w:p w14:paraId="0A7E5D77">
      <w:pPr>
        <w:snapToGrid w:val="0"/>
        <w:spacing w:line="600" w:lineRule="exact"/>
        <w:ind w:left="560" w:leftChars="200" w:firstLine="0" w:firstLineChars="0"/>
        <w:rPr>
          <w:rFonts w:hint="default" w:ascii="Times New Roman" w:hAnsi="Times New Roman" w:cs="Times New Roman"/>
          <w:color w:val="auto"/>
          <w:sz w:val="32"/>
          <w:szCs w:val="32"/>
        </w:rPr>
      </w:pPr>
      <w:r>
        <w:rPr>
          <w:rFonts w:hint="default" w:ascii="Times New Roman" w:hAnsi="Times New Roman" w:cs="Times New Roman"/>
          <w:color w:val="auto"/>
          <w:sz w:val="32"/>
          <w:szCs w:val="32"/>
        </w:rPr>
        <w:t>本章参考了DA/T 89关于档案的管理要求。</w:t>
      </w:r>
    </w:p>
    <w:p w14:paraId="2CD462A4">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五、与有关的现行法律法规和强制性标准的关系</w:t>
      </w:r>
    </w:p>
    <w:p w14:paraId="6AD90132">
      <w:pPr>
        <w:spacing w:line="600" w:lineRule="exact"/>
        <w:ind w:firstLine="640"/>
        <w:rPr>
          <w:rFonts w:hint="default" w:ascii="Times New Roman" w:hAnsi="Times New Roman" w:eastAsia="仿宋" w:cs="Times New Roman"/>
          <w:sz w:val="32"/>
          <w:szCs w:val="32"/>
        </w:rPr>
      </w:pPr>
      <w:r>
        <w:rPr>
          <w:rFonts w:hint="default" w:ascii="Times New Roman" w:hAnsi="Times New Roman" w:cs="Times New Roman"/>
          <w:sz w:val="32"/>
          <w:szCs w:val="32"/>
        </w:rPr>
        <w:t>在标准的制定过程中严格贯彻国家有关方针、政策、法律法规，严格执行国家标准和行业</w:t>
      </w:r>
      <w:r>
        <w:rPr>
          <w:rFonts w:hint="default" w:ascii="Times New Roman" w:hAnsi="Times New Roman" w:eastAsia="仿宋" w:cs="Times New Roman"/>
          <w:sz w:val="32"/>
          <w:szCs w:val="32"/>
        </w:rPr>
        <w:t>标准。与相关的各种基础标准相衔接，遵循了政策性和协调统一性的原则。标准的名称、内容及指标与现行的国家标准、行业标准之间不存在包含、重复、交叉问题。</w:t>
      </w:r>
    </w:p>
    <w:p w14:paraId="220FD047">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六、与原标准或其他标准的主要差异和水平对比</w:t>
      </w:r>
    </w:p>
    <w:p w14:paraId="53B60A09">
      <w:pPr>
        <w:widowControl/>
        <w:spacing w:line="600" w:lineRule="exact"/>
        <w:ind w:firstLine="640" w:firstLineChars="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无。</w:t>
      </w:r>
    </w:p>
    <w:p w14:paraId="09ABD7BC">
      <w:pPr>
        <w:widowControl/>
        <w:ind w:firstLineChars="0"/>
        <w:rPr>
          <w:rFonts w:hint="default" w:ascii="Times New Roman" w:hAnsi="Times New Roman" w:cs="Times New Roman"/>
          <w:sz w:val="32"/>
          <w:szCs w:val="32"/>
        </w:rPr>
      </w:pPr>
      <w:bookmarkStart w:id="4" w:name="_Hlk203641237"/>
      <w:r>
        <w:rPr>
          <w:rFonts w:hint="default" w:ascii="Times New Roman" w:hAnsi="Times New Roman" w:eastAsia="黑体" w:cs="Times New Roman"/>
          <w:b w:val="0"/>
          <w:bCs/>
          <w:sz w:val="32"/>
          <w:szCs w:val="32"/>
        </w:rPr>
        <w:t>七、解决的主要问题</w:t>
      </w:r>
      <w:bookmarkEnd w:id="4"/>
    </w:p>
    <w:p w14:paraId="20800052">
      <w:pPr>
        <w:widowControl/>
        <w:spacing w:line="600" w:lineRule="exact"/>
        <w:ind w:firstLine="640" w:firstLineChars="0"/>
        <w:rPr>
          <w:rFonts w:hint="default" w:ascii="Times New Roman" w:hAnsi="Times New Roman" w:eastAsia="仿宋" w:cs="Times New Roman"/>
          <w:sz w:val="32"/>
          <w:szCs w:val="32"/>
        </w:rPr>
      </w:pPr>
      <w:bookmarkStart w:id="5" w:name="_Hlk203641246"/>
      <w:r>
        <w:rPr>
          <w:rFonts w:hint="default" w:ascii="Times New Roman" w:hAnsi="Times New Roman" w:eastAsia="仿宋" w:cs="Times New Roman"/>
          <w:sz w:val="32"/>
          <w:szCs w:val="32"/>
        </w:rPr>
        <w:t>本标准将建立国内首个专门面向生态环境系统各类单位的科普活动组织规范，确立生态环境系统科普活动的统一准则，为全国同类机构提供权威指导；通过标准化的流程和要求，将成熟经验转化为制度成果，解决当前科普工作“碎片化、低水平重复”的问题，显著提升行业整体科普效能和政府公信力。</w:t>
      </w:r>
    </w:p>
    <w:p w14:paraId="69990607">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八、主要试验（或验证）情况分析</w:t>
      </w:r>
    </w:p>
    <w:bookmarkEnd w:id="5"/>
    <w:p w14:paraId="2E893C3F">
      <w:pPr>
        <w:widowControl/>
        <w:spacing w:line="600" w:lineRule="exact"/>
        <w:ind w:firstLine="640" w:firstLineChars="0"/>
        <w:rPr>
          <w:rFonts w:hint="default" w:ascii="Times New Roman" w:hAnsi="Times New Roman" w:eastAsia="仿宋" w:cs="Times New Roman"/>
          <w:sz w:val="32"/>
          <w:szCs w:val="32"/>
        </w:rPr>
      </w:pPr>
      <w:bookmarkStart w:id="6" w:name="_Hlk203641261"/>
      <w:r>
        <w:rPr>
          <w:rFonts w:hint="default" w:ascii="Times New Roman" w:hAnsi="Times New Roman" w:eastAsia="仿宋" w:cs="Times New Roman"/>
          <w:sz w:val="32"/>
          <w:szCs w:val="32"/>
        </w:rPr>
        <w:t>无。</w:t>
      </w:r>
    </w:p>
    <w:p w14:paraId="61D90078">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九、标准中涉及的专利情况</w:t>
      </w:r>
    </w:p>
    <w:bookmarkEnd w:id="6"/>
    <w:p w14:paraId="5CF3F5A7">
      <w:pPr>
        <w:widowControl/>
        <w:ind w:firstLine="640" w:firstLineChars="0"/>
        <w:rPr>
          <w:rFonts w:hint="default" w:ascii="Times New Roman" w:hAnsi="Times New Roman" w:eastAsia="仿宋" w:cs="Times New Roman"/>
          <w:b w:val="0"/>
          <w:sz w:val="32"/>
          <w:szCs w:val="32"/>
        </w:rPr>
      </w:pPr>
      <w:bookmarkStart w:id="7" w:name="_Hlk203641283"/>
      <w:r>
        <w:rPr>
          <w:rFonts w:hint="default" w:ascii="Times New Roman" w:hAnsi="Times New Roman" w:eastAsia="仿宋" w:cs="Times New Roman"/>
          <w:b w:val="0"/>
          <w:sz w:val="32"/>
          <w:szCs w:val="32"/>
        </w:rPr>
        <w:t>无。</w:t>
      </w:r>
    </w:p>
    <w:p w14:paraId="78F0F102">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十、</w:t>
      </w:r>
      <w:bookmarkEnd w:id="7"/>
      <w:bookmarkStart w:id="8" w:name="_Hlk203641310"/>
      <w:r>
        <w:rPr>
          <w:rFonts w:hint="default" w:ascii="Times New Roman" w:hAnsi="Times New Roman" w:eastAsia="黑体" w:cs="Times New Roman"/>
          <w:b w:val="0"/>
          <w:bCs/>
          <w:szCs w:val="32"/>
        </w:rPr>
        <w:t>采用国际标准和国外先进标准情况</w:t>
      </w:r>
    </w:p>
    <w:bookmarkEnd w:id="8"/>
    <w:p w14:paraId="0DCEF824">
      <w:pPr>
        <w:pStyle w:val="3"/>
        <w:spacing w:before="0" w:after="0" w:line="600" w:lineRule="exact"/>
        <w:rPr>
          <w:rFonts w:hint="default" w:ascii="Times New Roman" w:hAnsi="Times New Roman" w:eastAsia="仿宋" w:cs="Times New Roman"/>
          <w:b w:val="0"/>
          <w:sz w:val="32"/>
          <w:szCs w:val="32"/>
        </w:rPr>
      </w:pPr>
      <w:r>
        <w:rPr>
          <w:rFonts w:hint="default" w:ascii="Times New Roman" w:hAnsi="Times New Roman" w:eastAsia="仿宋" w:cs="Times New Roman"/>
          <w:b w:val="0"/>
          <w:sz w:val="32"/>
          <w:szCs w:val="32"/>
        </w:rPr>
        <w:t>无。</w:t>
      </w:r>
    </w:p>
    <w:p w14:paraId="58123247">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十</w:t>
      </w:r>
      <w:r>
        <w:rPr>
          <w:rFonts w:hint="default" w:ascii="Times New Roman" w:hAnsi="Times New Roman" w:eastAsia="黑体" w:cs="Times New Roman"/>
          <w:b w:val="0"/>
          <w:bCs/>
          <w:szCs w:val="32"/>
          <w:lang w:val="en-US" w:eastAsia="zh-CN"/>
        </w:rPr>
        <w:t>一</w:t>
      </w:r>
      <w:r>
        <w:rPr>
          <w:rFonts w:hint="default" w:ascii="Times New Roman" w:hAnsi="Times New Roman" w:eastAsia="黑体" w:cs="Times New Roman"/>
          <w:b w:val="0"/>
          <w:bCs/>
          <w:szCs w:val="32"/>
        </w:rPr>
        <w:t>、与相关国家标准、行业标准及其他标准，特别是强制性标准的协调性</w:t>
      </w:r>
    </w:p>
    <w:p w14:paraId="4D1FA648">
      <w:pPr>
        <w:widowControl/>
        <w:spacing w:line="600" w:lineRule="exact"/>
        <w:ind w:firstLine="640" w:firstLineChars="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本文件制定的内容符合国家相关法律法规和政策的规定。</w:t>
      </w:r>
    </w:p>
    <w:p w14:paraId="523B05DA">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十</w:t>
      </w:r>
      <w:r>
        <w:rPr>
          <w:rFonts w:hint="eastAsia" w:ascii="Times New Roman" w:hAnsi="Times New Roman" w:eastAsia="黑体" w:cs="Times New Roman"/>
          <w:b w:val="0"/>
          <w:bCs/>
          <w:szCs w:val="32"/>
          <w:lang w:val="en-US" w:eastAsia="zh-CN"/>
        </w:rPr>
        <w:t>二</w:t>
      </w:r>
      <w:r>
        <w:rPr>
          <w:rFonts w:hint="default" w:ascii="Times New Roman" w:hAnsi="Times New Roman" w:eastAsia="黑体" w:cs="Times New Roman"/>
          <w:b w:val="0"/>
          <w:bCs/>
          <w:szCs w:val="32"/>
        </w:rPr>
        <w:t>、符合市场需求和创新需求的情况说明</w:t>
      </w:r>
    </w:p>
    <w:p w14:paraId="3D5C530A">
      <w:pPr>
        <w:keepLines/>
        <w:spacing w:line="600" w:lineRule="exact"/>
        <w:ind w:firstLine="640"/>
        <w:outlineLvl w:val="1"/>
        <w:rPr>
          <w:rFonts w:hint="default" w:ascii="Times New Roman" w:hAnsi="Times New Roman" w:eastAsia="楷体" w:cs="Times New Roman"/>
          <w:bCs/>
          <w:sz w:val="32"/>
          <w:szCs w:val="32"/>
        </w:rPr>
      </w:pPr>
      <w:bookmarkStart w:id="9" w:name="2e9c25f9-2ff3-478e-9a5c-385f8a2c9c58"/>
      <w:r>
        <w:rPr>
          <w:rFonts w:hint="default" w:ascii="Times New Roman" w:hAnsi="Times New Roman" w:eastAsia="楷体" w:cs="Times New Roman"/>
          <w:bCs/>
          <w:sz w:val="32"/>
          <w:szCs w:val="32"/>
        </w:rPr>
        <w:t>（一）社会效益</w:t>
      </w:r>
      <w:bookmarkEnd w:id="9"/>
    </w:p>
    <w:p w14:paraId="19EA6E1E">
      <w:pPr>
        <w:widowControl/>
        <w:spacing w:line="600" w:lineRule="exact"/>
        <w:ind w:firstLine="640" w:firstLineChars="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一是填补国内空白。建立国内首个专门面向生态环境系统各类单位的科普活动组织规范，为全国同类机构提供权威指导；二是提升公众素养。预计规范实施后，可显著提升目标受众对核与辐射、生态保护、环境监测等领域的科学认知度，降低非理性情绪，增强社会韧性；三是强化政府公信力。通过统一规范、透明开放的科普行为，增强公众对政府监管能力和企业社会责任的信任；四是促进协同创新。打破部门壁垒，促进政产学研用深度融合，形成大科普工作格局。</w:t>
      </w:r>
    </w:p>
    <w:p w14:paraId="518F3350">
      <w:pPr>
        <w:keepLines/>
        <w:spacing w:line="600" w:lineRule="exact"/>
        <w:ind w:firstLine="640"/>
        <w:outlineLvl w:val="1"/>
        <w:rPr>
          <w:rFonts w:hint="default" w:ascii="Times New Roman" w:hAnsi="Times New Roman" w:eastAsia="楷体" w:cs="Times New Roman"/>
          <w:bCs/>
          <w:sz w:val="32"/>
          <w:szCs w:val="32"/>
        </w:rPr>
      </w:pPr>
      <w:bookmarkStart w:id="10" w:name="8767d826-552e-483c-80ff-6963f4d65561"/>
      <w:r>
        <w:rPr>
          <w:rFonts w:hint="default" w:ascii="Times New Roman" w:hAnsi="Times New Roman" w:eastAsia="楷体" w:cs="Times New Roman"/>
          <w:bCs/>
          <w:sz w:val="32"/>
          <w:szCs w:val="32"/>
        </w:rPr>
        <w:t>（二）经济效益</w:t>
      </w:r>
      <w:bookmarkEnd w:id="10"/>
    </w:p>
    <w:p w14:paraId="7DB069A9">
      <w:pPr>
        <w:widowControl/>
        <w:spacing w:line="600" w:lineRule="exact"/>
        <w:ind w:firstLine="640" w:firstLineChars="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一是降本增效显著。规范化流程可避免各单位重复研发课程、设计动线、制作物料，通过共享资源包降低单次活动筹备成本；二是带动关联产业。通过规范研学旅行线路设计、科普文创产品开发等内容，有效带动本地文旅、教育、设计等相关产业发展，催生“科普+”新业态，形成新的经济增长点；三是优化营商环境。通过化解邻避冲突、增强公众理解，为重大工程项目落地创造良好社会氛围，降低社会沟通成本。</w:t>
      </w:r>
    </w:p>
    <w:p w14:paraId="73D28448">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十</w:t>
      </w:r>
      <w:r>
        <w:rPr>
          <w:rFonts w:hint="eastAsia" w:ascii="Times New Roman" w:hAnsi="Times New Roman" w:eastAsia="黑体" w:cs="Times New Roman"/>
          <w:b w:val="0"/>
          <w:bCs/>
          <w:szCs w:val="32"/>
          <w:lang w:val="en-US" w:eastAsia="zh-CN"/>
        </w:rPr>
        <w:t>三</w:t>
      </w:r>
      <w:r>
        <w:rPr>
          <w:rFonts w:hint="default" w:ascii="Times New Roman" w:hAnsi="Times New Roman" w:eastAsia="黑体" w:cs="Times New Roman"/>
          <w:b w:val="0"/>
          <w:bCs/>
          <w:szCs w:val="32"/>
        </w:rPr>
        <w:t>、重大分歧意见的处理经过和依据</w:t>
      </w:r>
    </w:p>
    <w:p w14:paraId="6E29C327">
      <w:pPr>
        <w:widowControl/>
        <w:spacing w:line="600" w:lineRule="exact"/>
        <w:ind w:firstLine="640" w:firstLineChars="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无。</w:t>
      </w:r>
    </w:p>
    <w:p w14:paraId="533098E4">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十</w:t>
      </w:r>
      <w:r>
        <w:rPr>
          <w:rFonts w:hint="eastAsia" w:ascii="Times New Roman" w:hAnsi="Times New Roman" w:eastAsia="黑体" w:cs="Times New Roman"/>
          <w:b w:val="0"/>
          <w:bCs/>
          <w:szCs w:val="32"/>
          <w:lang w:val="en-US" w:eastAsia="zh-CN"/>
        </w:rPr>
        <w:t>四</w:t>
      </w:r>
      <w:r>
        <w:rPr>
          <w:rFonts w:hint="default" w:ascii="Times New Roman" w:hAnsi="Times New Roman" w:eastAsia="黑体" w:cs="Times New Roman"/>
          <w:b w:val="0"/>
          <w:bCs/>
          <w:szCs w:val="32"/>
        </w:rPr>
        <w:t>、贯彻标准的要求和措施建议（包括组织措施、技术措施、过渡办法等）</w:t>
      </w:r>
    </w:p>
    <w:p w14:paraId="0A66480F">
      <w:pPr>
        <w:widowControl/>
        <w:spacing w:line="600" w:lineRule="exact"/>
        <w:ind w:firstLine="640" w:firstLineChars="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规范发布后，将组织全系统宣贯培训。通过举办“规范化科普讲师培训班”，培养一批懂规范、会执行的科普骨干力量。</w:t>
      </w:r>
    </w:p>
    <w:p w14:paraId="10E72A23">
      <w:pPr>
        <w:pStyle w:val="3"/>
        <w:spacing w:before="0" w:after="0" w:line="600" w:lineRule="exact"/>
        <w:ind w:firstLine="640"/>
        <w:rPr>
          <w:rFonts w:hint="default" w:ascii="Times New Roman" w:hAnsi="Times New Roman" w:eastAsia="黑体" w:cs="Times New Roman"/>
          <w:b w:val="0"/>
          <w:bCs/>
          <w:szCs w:val="32"/>
        </w:rPr>
      </w:pPr>
      <w:r>
        <w:rPr>
          <w:rFonts w:hint="default" w:ascii="Times New Roman" w:hAnsi="Times New Roman" w:eastAsia="黑体" w:cs="Times New Roman"/>
          <w:b w:val="0"/>
          <w:bCs/>
          <w:szCs w:val="32"/>
        </w:rPr>
        <w:t>十</w:t>
      </w:r>
      <w:r>
        <w:rPr>
          <w:rFonts w:hint="eastAsia" w:ascii="Times New Roman" w:hAnsi="Times New Roman" w:eastAsia="黑体" w:cs="Times New Roman"/>
          <w:b w:val="0"/>
          <w:bCs/>
          <w:szCs w:val="32"/>
          <w:lang w:val="en-US" w:eastAsia="zh-CN"/>
        </w:rPr>
        <w:t>五</w:t>
      </w:r>
      <w:r>
        <w:rPr>
          <w:rFonts w:hint="default" w:ascii="Times New Roman" w:hAnsi="Times New Roman" w:eastAsia="黑体" w:cs="Times New Roman"/>
          <w:b w:val="0"/>
          <w:bCs/>
          <w:szCs w:val="32"/>
        </w:rPr>
        <w:t>、</w:t>
      </w:r>
      <w:r>
        <w:rPr>
          <w:rFonts w:hint="eastAsia" w:ascii="Times New Roman" w:hAnsi="Times New Roman" w:eastAsia="黑体" w:cs="Times New Roman"/>
          <w:b w:val="0"/>
          <w:bCs/>
          <w:szCs w:val="32"/>
          <w:lang w:eastAsia="zh-CN"/>
        </w:rPr>
        <w:t>其他</w:t>
      </w:r>
      <w:r>
        <w:rPr>
          <w:rFonts w:hint="default" w:ascii="Times New Roman" w:hAnsi="Times New Roman" w:eastAsia="黑体" w:cs="Times New Roman"/>
          <w:b w:val="0"/>
          <w:bCs/>
          <w:szCs w:val="32"/>
        </w:rPr>
        <w:t>应予说明的事项</w:t>
      </w:r>
      <w:r>
        <w:rPr>
          <w:rFonts w:hint="eastAsia" w:ascii="Times New Roman" w:hAnsi="Times New Roman" w:eastAsia="黑体" w:cs="Times New Roman"/>
          <w:b w:val="0"/>
          <w:bCs/>
          <w:szCs w:val="32"/>
          <w:lang w:eastAsia="zh-CN"/>
        </w:rPr>
        <w:t>：</w:t>
      </w:r>
    </w:p>
    <w:p w14:paraId="0F484D85">
      <w:pPr>
        <w:widowControl/>
        <w:spacing w:line="600" w:lineRule="exact"/>
        <w:ind w:firstLine="640" w:firstLineChars="0"/>
        <w:rPr>
          <w:rFonts w:hint="default" w:ascii="Times New Roman" w:hAnsi="Times New Roman" w:eastAsia="仿宋" w:cs="Times New Roman"/>
          <w:sz w:val="32"/>
          <w:szCs w:val="32"/>
        </w:rPr>
      </w:pPr>
      <w:r>
        <w:rPr>
          <w:rFonts w:hint="default" w:ascii="Times New Roman" w:hAnsi="Times New Roman" w:eastAsia="仿宋" w:cs="Times New Roman"/>
          <w:sz w:val="32"/>
          <w:szCs w:val="32"/>
        </w:rPr>
        <w:t>无。</w:t>
      </w:r>
    </w:p>
    <w:p w14:paraId="63D2A1C2">
      <w:pPr>
        <w:spacing w:line="600" w:lineRule="exact"/>
        <w:ind w:firstLine="640"/>
        <w:jc w:val="right"/>
        <w:rPr>
          <w:rFonts w:hint="default" w:ascii="Times New Roman" w:hAnsi="Times New Roman" w:cs="Times New Roman"/>
          <w:sz w:val="32"/>
          <w:szCs w:val="32"/>
        </w:rPr>
      </w:pPr>
    </w:p>
    <w:p w14:paraId="548C94EA">
      <w:pPr>
        <w:spacing w:line="600" w:lineRule="exact"/>
        <w:ind w:firstLine="640"/>
        <w:jc w:val="right"/>
        <w:rPr>
          <w:rFonts w:hint="default" w:ascii="Times New Roman" w:hAnsi="Times New Roman" w:cs="Times New Roman"/>
          <w:sz w:val="32"/>
          <w:szCs w:val="32"/>
        </w:rPr>
      </w:pPr>
    </w:p>
    <w:p w14:paraId="22948365">
      <w:pPr>
        <w:spacing w:line="600" w:lineRule="exact"/>
        <w:ind w:firstLine="640"/>
        <w:jc w:val="right"/>
        <w:rPr>
          <w:rFonts w:hint="default" w:ascii="Times New Roman" w:hAnsi="Times New Roman" w:cs="Times New Roman"/>
          <w:sz w:val="32"/>
          <w:szCs w:val="32"/>
        </w:rPr>
      </w:pPr>
      <w:r>
        <w:rPr>
          <w:rFonts w:hint="default" w:ascii="Times New Roman" w:hAnsi="Times New Roman" w:cs="Times New Roman"/>
          <w:sz w:val="32"/>
          <w:szCs w:val="32"/>
        </w:rPr>
        <w:t>《生态环境科普活动组织规范》标准编制组</w:t>
      </w:r>
    </w:p>
    <w:p w14:paraId="36816D18">
      <w:pPr>
        <w:spacing w:line="600" w:lineRule="exact"/>
        <w:ind w:firstLine="640"/>
        <w:jc w:val="center"/>
        <w:rPr>
          <w:rFonts w:hint="default" w:ascii="Times New Roman" w:hAnsi="Times New Roman" w:cs="Times New Roman"/>
          <w:sz w:val="32"/>
          <w:szCs w:val="32"/>
        </w:rPr>
      </w:pPr>
      <w:r>
        <w:rPr>
          <w:rFonts w:hint="default" w:ascii="Times New Roman" w:hAnsi="Times New Roman" w:cs="Times New Roman"/>
          <w:sz w:val="32"/>
          <w:szCs w:val="32"/>
        </w:rPr>
        <w:t xml:space="preserve">       20</w:t>
      </w:r>
      <w:bookmarkStart w:id="11" w:name="_GoBack"/>
      <w:bookmarkEnd w:id="11"/>
      <w:r>
        <w:rPr>
          <w:rFonts w:hint="default" w:ascii="Times New Roman" w:hAnsi="Times New Roman" w:cs="Times New Roman"/>
          <w:sz w:val="32"/>
          <w:szCs w:val="32"/>
        </w:rPr>
        <w:t>26年</w:t>
      </w:r>
      <w:r>
        <w:rPr>
          <w:rFonts w:hint="eastAsia" w:ascii="Times New Roman" w:hAnsi="Times New Roman" w:cs="Times New Roman"/>
          <w:sz w:val="32"/>
          <w:szCs w:val="32"/>
          <w:lang w:val="en-US" w:eastAsia="zh-CN"/>
        </w:rPr>
        <w:t>6</w:t>
      </w:r>
      <w:r>
        <w:rPr>
          <w:rFonts w:hint="default" w:ascii="Times New Roman" w:hAnsi="Times New Roman" w:cs="Times New Roman"/>
          <w:sz w:val="32"/>
          <w:szCs w:val="32"/>
        </w:rPr>
        <w:t>月</w:t>
      </w:r>
      <w:r>
        <w:rPr>
          <w:rFonts w:hint="eastAsia" w:ascii="Times New Roman" w:hAnsi="Times New Roman" w:cs="Times New Roman"/>
          <w:sz w:val="32"/>
          <w:szCs w:val="32"/>
          <w:lang w:val="en-US" w:eastAsia="zh-CN"/>
        </w:rPr>
        <w:t>17日</w:t>
      </w:r>
    </w:p>
    <w:sectPr>
      <w:headerReference r:id="rId7" w:type="first"/>
      <w:footerReference r:id="rId10" w:type="first"/>
      <w:headerReference r:id="rId5" w:type="default"/>
      <w:footerReference r:id="rId8" w:type="default"/>
      <w:headerReference r:id="rId6" w:type="even"/>
      <w:footerReference r:id="rId9" w:type="even"/>
      <w:pgSz w:w="11906" w:h="16838"/>
      <w:pgMar w:top="1417" w:right="1803" w:bottom="1417" w:left="1803"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560"/>
      </w:pPr>
      <w:r>
        <w:separator/>
      </w:r>
    </w:p>
  </w:endnote>
  <w:endnote w:type="continuationSeparator" w:id="1">
    <w:p>
      <w:pPr>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F3A121E-A94C-48C9-91F7-9E73690E035F}"/>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2" w:fontKey="{F4D3F8F1-FAB0-413C-AA99-E48EE87CEAC7}"/>
  </w:font>
  <w:font w:name="Cordia New">
    <w:panose1 w:val="020B0304020202020204"/>
    <w:charset w:val="DE"/>
    <w:family w:val="swiss"/>
    <w:pitch w:val="default"/>
    <w:sig w:usb0="81000003" w:usb1="00000000" w:usb2="00000000" w:usb3="00000000" w:csb0="00010001" w:csb1="00000000"/>
  </w:font>
  <w:font w:name="Helvetica">
    <w:altName w:val="Arial"/>
    <w:panose1 w:val="020B0604020202020204"/>
    <w:charset w:val="00"/>
    <w:family w:val="swiss"/>
    <w:pitch w:val="default"/>
    <w:sig w:usb0="00000000" w:usb1="00000000" w:usb2="00000009" w:usb3="00000000" w:csb0="000001FF" w:csb1="00000000"/>
  </w:font>
  <w:font w:name="方正小标宋简体">
    <w:panose1 w:val="03000509000000000000"/>
    <w:charset w:val="86"/>
    <w:family w:val="script"/>
    <w:pitch w:val="default"/>
    <w:sig w:usb0="00000001" w:usb1="080E0000" w:usb2="00000000" w:usb3="00000000" w:csb0="00040000" w:csb1="00000000"/>
    <w:embedRegular r:id="rId3" w:fontKey="{271AD62A-E7D4-4DDF-A979-69B42109F7D0}"/>
  </w:font>
  <w:font w:name="楷体">
    <w:panose1 w:val="02010609060101010101"/>
    <w:charset w:val="86"/>
    <w:family w:val="modern"/>
    <w:pitch w:val="default"/>
    <w:sig w:usb0="800002BF" w:usb1="38CF7CFA" w:usb2="00000016" w:usb3="00000000" w:csb0="00040001" w:csb1="00000000"/>
    <w:embedRegular r:id="rId4" w:fontKey="{AEE92D7A-542E-4622-B9DB-9E3363CE45C4}"/>
  </w:font>
  <w:font w:name="Cordia New">
    <w:panose1 w:val="020B0304020202020204"/>
    <w:charset w:val="00"/>
    <w:family w:val="auto"/>
    <w:pitch w:val="default"/>
    <w:sig w:usb0="81000003" w:usb1="00000000" w:usb2="00000000" w:usb3="00000000" w:csb0="00010001" w:csb1="00000000"/>
  </w:font>
  <w:font w:name="KSOF7FC4CF2A">
    <w:panose1 w:val="020B0604020202020204"/>
    <w:charset w:val="00"/>
    <w:family w:val="auto"/>
    <w:pitch w:val="default"/>
    <w:sig w:usb0="00000001"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FF79C4">
    <w:pPr>
      <w:pStyle w:val="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FCAB7">
    <w:pPr>
      <w:pStyle w:val="5"/>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F9023D">
    <w:pPr>
      <w:pStyle w:val="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560"/>
      </w:pPr>
      <w:r>
        <w:separator/>
      </w:r>
    </w:p>
  </w:footnote>
  <w:footnote w:type="continuationSeparator" w:id="1">
    <w:p>
      <w:pPr>
        <w:ind w:firstLine="56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1B9BEE">
    <w:pPr>
      <w:pStyle w:val="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1AE6A7">
    <w:pPr>
      <w:pStyle w:val="6"/>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A4CC3">
    <w:pPr>
      <w:pStyle w:val="6"/>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34F209"/>
    <w:multiLevelType w:val="singleLevel"/>
    <w:tmpl w:val="8534F209"/>
    <w:lvl w:ilvl="0" w:tentative="0">
      <w:start w:val="3"/>
      <w:numFmt w:val="chineseCounting"/>
      <w:suff w:val="nothing"/>
      <w:lvlText w:val="（%1）"/>
      <w:lvlJc w:val="left"/>
      <w:rPr>
        <w:rFonts w:hint="eastAsia"/>
      </w:rPr>
    </w:lvl>
  </w:abstractNum>
  <w:abstractNum w:abstractNumId="1">
    <w:nsid w:val="64EC503E"/>
    <w:multiLevelType w:val="singleLevel"/>
    <w:tmpl w:val="64EC503E"/>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3MGVkMjVjNDgyNjk1Mjk4MTU2MzIyOTdiMGYxMjcifQ=="/>
  </w:docVars>
  <w:rsids>
    <w:rsidRoot w:val="7208172C"/>
    <w:rsid w:val="00010A6E"/>
    <w:rsid w:val="00020906"/>
    <w:rsid w:val="00037CAA"/>
    <w:rsid w:val="0004236D"/>
    <w:rsid w:val="000C4026"/>
    <w:rsid w:val="00102B24"/>
    <w:rsid w:val="00141A44"/>
    <w:rsid w:val="00286B38"/>
    <w:rsid w:val="002C31E1"/>
    <w:rsid w:val="003B70DC"/>
    <w:rsid w:val="004A1387"/>
    <w:rsid w:val="004F2FFA"/>
    <w:rsid w:val="004F6FD2"/>
    <w:rsid w:val="005023DF"/>
    <w:rsid w:val="005540E8"/>
    <w:rsid w:val="00571FA3"/>
    <w:rsid w:val="005E4F1C"/>
    <w:rsid w:val="0064079C"/>
    <w:rsid w:val="0074238C"/>
    <w:rsid w:val="00762528"/>
    <w:rsid w:val="007C52B4"/>
    <w:rsid w:val="007D4F16"/>
    <w:rsid w:val="00805748"/>
    <w:rsid w:val="00840FFC"/>
    <w:rsid w:val="0088523A"/>
    <w:rsid w:val="00896067"/>
    <w:rsid w:val="00950000"/>
    <w:rsid w:val="009E10F0"/>
    <w:rsid w:val="009E720A"/>
    <w:rsid w:val="00A403F2"/>
    <w:rsid w:val="00AB6FB9"/>
    <w:rsid w:val="00B57FF7"/>
    <w:rsid w:val="00B71922"/>
    <w:rsid w:val="00BA6011"/>
    <w:rsid w:val="00BC102D"/>
    <w:rsid w:val="00BF0079"/>
    <w:rsid w:val="00C83E8A"/>
    <w:rsid w:val="00C9428F"/>
    <w:rsid w:val="00C97C48"/>
    <w:rsid w:val="00DD0410"/>
    <w:rsid w:val="00DF7B27"/>
    <w:rsid w:val="00E54277"/>
    <w:rsid w:val="00E6282A"/>
    <w:rsid w:val="00F45196"/>
    <w:rsid w:val="00FA10FF"/>
    <w:rsid w:val="01543DEF"/>
    <w:rsid w:val="01FC237E"/>
    <w:rsid w:val="053E4A71"/>
    <w:rsid w:val="0565302D"/>
    <w:rsid w:val="05BA60C5"/>
    <w:rsid w:val="060C01C3"/>
    <w:rsid w:val="0A226FD3"/>
    <w:rsid w:val="0A591A4D"/>
    <w:rsid w:val="0BD35176"/>
    <w:rsid w:val="0C2E5785"/>
    <w:rsid w:val="0E014D41"/>
    <w:rsid w:val="0F0B5FE8"/>
    <w:rsid w:val="0F2A681F"/>
    <w:rsid w:val="109341E4"/>
    <w:rsid w:val="12931D29"/>
    <w:rsid w:val="12FB3BC9"/>
    <w:rsid w:val="13C04469"/>
    <w:rsid w:val="13D52657"/>
    <w:rsid w:val="185D347E"/>
    <w:rsid w:val="1A120BD5"/>
    <w:rsid w:val="1A2F0E75"/>
    <w:rsid w:val="1AE41920"/>
    <w:rsid w:val="1B2817F1"/>
    <w:rsid w:val="1BD06957"/>
    <w:rsid w:val="212E6FDD"/>
    <w:rsid w:val="23EF5147"/>
    <w:rsid w:val="24BC7607"/>
    <w:rsid w:val="25897210"/>
    <w:rsid w:val="27F470CE"/>
    <w:rsid w:val="283226BC"/>
    <w:rsid w:val="2AA10C88"/>
    <w:rsid w:val="2D751518"/>
    <w:rsid w:val="2EFE6E2D"/>
    <w:rsid w:val="314671C3"/>
    <w:rsid w:val="31AE5656"/>
    <w:rsid w:val="32F21457"/>
    <w:rsid w:val="330F4449"/>
    <w:rsid w:val="34F9444C"/>
    <w:rsid w:val="351D0293"/>
    <w:rsid w:val="352D17EF"/>
    <w:rsid w:val="366F1936"/>
    <w:rsid w:val="371745B9"/>
    <w:rsid w:val="37175143"/>
    <w:rsid w:val="3917337C"/>
    <w:rsid w:val="39726D9D"/>
    <w:rsid w:val="3A250733"/>
    <w:rsid w:val="3A6263F9"/>
    <w:rsid w:val="3AE04719"/>
    <w:rsid w:val="3C0F1B44"/>
    <w:rsid w:val="3D5A2356"/>
    <w:rsid w:val="3D8A6223"/>
    <w:rsid w:val="3DC65F14"/>
    <w:rsid w:val="3DE860F9"/>
    <w:rsid w:val="40E83295"/>
    <w:rsid w:val="41231DEC"/>
    <w:rsid w:val="41AF1AC2"/>
    <w:rsid w:val="431A6C38"/>
    <w:rsid w:val="44666259"/>
    <w:rsid w:val="457173E6"/>
    <w:rsid w:val="459A19C4"/>
    <w:rsid w:val="47E15370"/>
    <w:rsid w:val="4831611E"/>
    <w:rsid w:val="487D0B6A"/>
    <w:rsid w:val="4A0F24DB"/>
    <w:rsid w:val="4B430E40"/>
    <w:rsid w:val="4C5916EF"/>
    <w:rsid w:val="501C0C99"/>
    <w:rsid w:val="507554C5"/>
    <w:rsid w:val="511C3DC8"/>
    <w:rsid w:val="52D90ED7"/>
    <w:rsid w:val="5464380B"/>
    <w:rsid w:val="552008B5"/>
    <w:rsid w:val="567A51E0"/>
    <w:rsid w:val="57020AD9"/>
    <w:rsid w:val="59A86341"/>
    <w:rsid w:val="5A763835"/>
    <w:rsid w:val="5BE7533D"/>
    <w:rsid w:val="5C556587"/>
    <w:rsid w:val="5C605459"/>
    <w:rsid w:val="5D6F165C"/>
    <w:rsid w:val="5DA66ED8"/>
    <w:rsid w:val="5EB6633B"/>
    <w:rsid w:val="5F626BA8"/>
    <w:rsid w:val="60162A4B"/>
    <w:rsid w:val="607F4776"/>
    <w:rsid w:val="60B76D7B"/>
    <w:rsid w:val="642653DB"/>
    <w:rsid w:val="65076D30"/>
    <w:rsid w:val="65BE218E"/>
    <w:rsid w:val="65C0279B"/>
    <w:rsid w:val="663E752C"/>
    <w:rsid w:val="671766E1"/>
    <w:rsid w:val="67A55390"/>
    <w:rsid w:val="6908303C"/>
    <w:rsid w:val="699501C1"/>
    <w:rsid w:val="6AE20910"/>
    <w:rsid w:val="6B15282D"/>
    <w:rsid w:val="6D546B4F"/>
    <w:rsid w:val="6F100AE9"/>
    <w:rsid w:val="6FA33C1A"/>
    <w:rsid w:val="70293093"/>
    <w:rsid w:val="70FC0C0D"/>
    <w:rsid w:val="71EE3A59"/>
    <w:rsid w:val="7208172C"/>
    <w:rsid w:val="7304427B"/>
    <w:rsid w:val="73CB62C6"/>
    <w:rsid w:val="797B017E"/>
    <w:rsid w:val="79C85DA8"/>
    <w:rsid w:val="7A791B57"/>
    <w:rsid w:val="7CBB3032"/>
    <w:rsid w:val="7D0B6FDB"/>
    <w:rsid w:val="7D0D75E9"/>
    <w:rsid w:val="7DB61100"/>
    <w:rsid w:val="7E900012"/>
    <w:rsid w:val="7F7973D7"/>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560" w:firstLineChars="200"/>
      <w:jc w:val="both"/>
    </w:pPr>
    <w:rPr>
      <w:rFonts w:eastAsia="仿宋" w:asciiTheme="minorHAnsi" w:hAnsiTheme="minorHAnsi" w:cstheme="minorBidi"/>
      <w:kern w:val="2"/>
      <w:sz w:val="28"/>
      <w:szCs w:val="24"/>
      <w:lang w:val="en-US" w:eastAsia="zh-CN" w:bidi="ar-SA"/>
    </w:rPr>
  </w:style>
  <w:style w:type="paragraph" w:styleId="2">
    <w:name w:val="heading 1"/>
    <w:basedOn w:val="1"/>
    <w:next w:val="1"/>
    <w:qFormat/>
    <w:uiPriority w:val="0"/>
    <w:pPr>
      <w:keepNext/>
      <w:keepLines/>
      <w:spacing w:before="340" w:after="330" w:line="576" w:lineRule="auto"/>
      <w:jc w:val="center"/>
      <w:outlineLvl w:val="0"/>
    </w:pPr>
    <w:rPr>
      <w:rFonts w:eastAsia="宋体"/>
      <w:b/>
      <w:kern w:val="44"/>
      <w:sz w:val="44"/>
    </w:rPr>
  </w:style>
  <w:style w:type="paragraph" w:styleId="3">
    <w:name w:val="heading 2"/>
    <w:basedOn w:val="1"/>
    <w:next w:val="1"/>
    <w:unhideWhenUsed/>
    <w:qFormat/>
    <w:uiPriority w:val="0"/>
    <w:pPr>
      <w:keepLines/>
      <w:spacing w:before="260" w:after="260" w:line="413" w:lineRule="auto"/>
      <w:outlineLvl w:val="1"/>
    </w:pPr>
    <w:rPr>
      <w:rFonts w:ascii="Arial" w:hAnsi="Arial" w:eastAsia="宋体"/>
      <w:b/>
      <w:sz w:val="32"/>
    </w:rPr>
  </w:style>
  <w:style w:type="paragraph" w:styleId="4">
    <w:name w:val="heading 3"/>
    <w:basedOn w:val="1"/>
    <w:next w:val="1"/>
    <w:unhideWhenUsed/>
    <w:qFormat/>
    <w:uiPriority w:val="0"/>
    <w:pPr>
      <w:keepNext/>
      <w:keepLines/>
      <w:spacing w:before="100" w:after="100" w:line="360" w:lineRule="auto"/>
      <w:outlineLvl w:val="2"/>
    </w:pPr>
    <w:rPr>
      <w:rFonts w:eastAsia="黑体"/>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5">
    <w:name w:val="footer"/>
    <w:basedOn w:val="1"/>
    <w:link w:val="14"/>
    <w:qFormat/>
    <w:uiPriority w:val="0"/>
    <w:pPr>
      <w:tabs>
        <w:tab w:val="center" w:pos="4153"/>
        <w:tab w:val="right" w:pos="8306"/>
      </w:tabs>
      <w:snapToGrid w:val="0"/>
      <w:jc w:val="left"/>
    </w:pPr>
    <w:rPr>
      <w:sz w:val="18"/>
      <w:szCs w:val="18"/>
    </w:rPr>
  </w:style>
  <w:style w:type="paragraph" w:styleId="6">
    <w:name w:val="header"/>
    <w:basedOn w:val="1"/>
    <w:link w:val="13"/>
    <w:qFormat/>
    <w:uiPriority w:val="0"/>
    <w:pPr>
      <w:tabs>
        <w:tab w:val="center" w:pos="4153"/>
        <w:tab w:val="right" w:pos="8306"/>
      </w:tabs>
      <w:snapToGrid w:val="0"/>
      <w:jc w:val="center"/>
    </w:pPr>
    <w:rPr>
      <w:sz w:val="18"/>
      <w:szCs w:val="18"/>
    </w:rPr>
  </w:style>
  <w:style w:type="paragraph" w:styleId="7">
    <w:name w:val="Normal (Web)"/>
    <w:basedOn w:val="1"/>
    <w:qFormat/>
    <w:uiPriority w:val="0"/>
    <w:pPr>
      <w:spacing w:beforeAutospacing="1" w:afterAutospacing="1"/>
      <w:jc w:val="left"/>
    </w:pPr>
    <w:rPr>
      <w:rFonts w:cs="Times New Roman"/>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954F72"/>
      <w:u w:val="single"/>
    </w:rPr>
  </w:style>
  <w:style w:type="character" w:styleId="12">
    <w:name w:val="Hyperlink"/>
    <w:basedOn w:val="10"/>
    <w:qFormat/>
    <w:uiPriority w:val="0"/>
    <w:rPr>
      <w:rFonts w:hint="eastAsia" w:ascii="宋体" w:hAnsi="Times New Roman" w:eastAsia="宋体" w:cs="宋体"/>
      <w:color w:val="auto"/>
      <w:spacing w:val="0"/>
      <w:w w:val="100"/>
      <w:position w:val="0"/>
      <w:sz w:val="21"/>
      <w:u w:val="none"/>
      <w:vertAlign w:val="baseline"/>
    </w:rPr>
  </w:style>
  <w:style w:type="character" w:customStyle="1" w:styleId="13">
    <w:name w:val="页眉 字符"/>
    <w:basedOn w:val="10"/>
    <w:link w:val="6"/>
    <w:qFormat/>
    <w:uiPriority w:val="0"/>
    <w:rPr>
      <w:rFonts w:eastAsia="仿宋"/>
      <w:kern w:val="2"/>
      <w:sz w:val="18"/>
      <w:szCs w:val="18"/>
    </w:rPr>
  </w:style>
  <w:style w:type="character" w:customStyle="1" w:styleId="14">
    <w:name w:val="页脚 字符"/>
    <w:basedOn w:val="10"/>
    <w:link w:val="5"/>
    <w:qFormat/>
    <w:uiPriority w:val="0"/>
    <w:rPr>
      <w:rFonts w:eastAsia="仿宋"/>
      <w:kern w:val="2"/>
      <w:sz w:val="18"/>
      <w:szCs w:val="18"/>
    </w:rPr>
  </w:style>
  <w:style w:type="paragraph" w:customStyle="1" w:styleId="15">
    <w:name w:val="标准文件_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16">
    <w:name w:val="正文二级标题"/>
    <w:qFormat/>
    <w:uiPriority w:val="1"/>
    <w:pPr>
      <w:spacing w:line="560" w:lineRule="exact"/>
      <w:ind w:firstLine="640"/>
    </w:pPr>
    <w:rPr>
      <w:rFonts w:ascii="宋体" w:hAnsi="Times New Roman" w:eastAsia="宋体" w:cs="Times New Roman"/>
      <w:b/>
      <w:sz w:val="32"/>
      <w:szCs w:val="22"/>
      <w:lang w:val="en-US" w:eastAsia="zh-CN" w:bidi="th-TH"/>
    </w:rPr>
  </w:style>
  <w:style w:type="paragraph" w:customStyle="1" w:styleId="17">
    <w:name w:val="正文 文本"/>
    <w:qFormat/>
    <w:uiPriority w:val="1"/>
    <w:pPr>
      <w:spacing w:line="560" w:lineRule="exact"/>
      <w:ind w:firstLine="560"/>
    </w:pPr>
    <w:rPr>
      <w:rFonts w:ascii="Helvetica" w:hAnsi="Times New Roman" w:eastAsia="宋体" w:cs="Times New Roman"/>
      <w:sz w:val="28"/>
      <w:szCs w:val="22"/>
      <w:lang w:val="en-US" w:eastAsia="zh-CN" w:bidi="ar-SA"/>
    </w:rPr>
  </w:style>
  <w:style w:type="character" w:customStyle="1" w:styleId="18">
    <w:name w:val="标准文件_段 Char"/>
    <w:basedOn w:val="10"/>
    <w:qFormat/>
    <w:uiPriority w:val="0"/>
    <w:rPr>
      <w:rFonts w:hint="eastAsia" w:ascii="宋体" w:hAnsi="宋体" w:eastAsia="宋体" w:cs="宋体"/>
      <w:sz w:val="21"/>
      <w:lang w:bidi="ar"/>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81c74fbf-9a4d-4eef-b633-f8a22c68d8d7</errorID>
      <errorWord>4.2</errorWord>
      <group>L1_Grammar</group>
      <groupName>语法问题</groupName>
      <ability>L2_Grammar</ability>
      <abilityName>语法错误</abilityName>
      <candidateList/>
      <explain/>
      <paraID>5C77A3FF</paraID>
      <start>0</start>
      <end>3</end>
      <status>ignored</status>
      <modifiedWord/>
      <trackRevisions>false</trackRevisions>
    </reviewItem>
  </reviewItems>
  <config/>
</contractReview>
</file>

<file path=customXml/itemProps1.xml><?xml version="1.0" encoding="utf-8"?>
<ds:datastoreItem xmlns:ds="http://schemas.openxmlformats.org/officeDocument/2006/customXml" ds:itemID="{998f42a2-7827-45f1-9581-52c2fed624a4}">
  <ds:schemaRefs/>
</ds:datastoreItem>
</file>

<file path=docProps/app.xml><?xml version="1.0" encoding="utf-8"?>
<Properties xmlns="http://schemas.openxmlformats.org/officeDocument/2006/extended-properties" xmlns:vt="http://schemas.openxmlformats.org/officeDocument/2006/docPropsVTypes">
  <Template>Normal.dotm</Template>
  <Company>admin</Company>
  <Pages>13</Pages>
  <Words>5858</Words>
  <Characters>5997</Characters>
  <Lines>44</Lines>
  <Paragraphs>12</Paragraphs>
  <TotalTime>975</TotalTime>
  <ScaleCrop>false</ScaleCrop>
  <LinksUpToDate>false</LinksUpToDate>
  <CharactersWithSpaces>6033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2022-11-07T05:30:00Z</dcterms:created>
  <dc:creator>Summer</dc:creator>
  <cp:lastModifiedBy>Mo</cp:lastModifiedBy>
  <cp:lastPrinted>2026-06-16T01:02:00Z</cp:lastPrinted>
  <dcterms:modified xsi:type="dcterms:W3CDTF">2026-06-18T01:32:35Z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2728572F245E42E39DDC823258E95D49_13</vt:lpwstr>
  </property>
  <property fmtid="{D5CDD505-2E9C-101B-9397-08002B2CF9AE}" pid="4" name="KSOTemplateDocerSaveRecord">
    <vt:lpwstr>eyJoZGlkIjoiNDI3MDY2NjIxMDRiNDM5MWJiZGY0NTFkNGQ0ZmIxNGQiLCJ1c2VySWQiOiIxMzk0NjQ0ODQwIn0=</vt:lpwstr>
  </property>
</Properties>
</file>