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6EA84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44B369">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AA38813">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fldChar w:fldCharType="begin">
                <w:ffData>
                  <w:name w:val="ICS"/>
                  <w:enabled/>
                  <w:calcOnExit w:val="0"/>
                  <w:textInput>
                    <w:default w:val="13.020.01"/>
                  </w:textInput>
                </w:ffData>
              </w:fldChar>
            </w:r>
            <w:bookmarkStart w:id="0" w:name="ICS"/>
            <w:r>
              <w:rPr>
                <w:rFonts w:hint="eastAsia" w:ascii="黑体" w:hAnsi="黑体" w:eastAsia="黑体"/>
                <w:sz w:val="21"/>
                <w:szCs w:val="21"/>
              </w:rPr>
              <w:instrText xml:space="preserve"> </w:instrText>
            </w:r>
            <w:r>
              <w:rPr>
                <w:rFonts w:ascii="黑体" w:hAnsi="黑体" w:eastAsia="黑体"/>
                <w:sz w:val="21"/>
                <w:szCs w:val="21"/>
              </w:rPr>
              <w:instrText xml:space="preserve">FORMTEXT</w:instrText>
            </w:r>
            <w:r>
              <w:rPr>
                <w:rFonts w:hint="eastAsia" w:ascii="黑体" w:hAnsi="黑体" w:eastAsia="黑体"/>
                <w:sz w:val="21"/>
                <w:szCs w:val="21"/>
              </w:rPr>
              <w:instrText xml:space="preserve"> </w:instrText>
            </w:r>
            <w:r>
              <w:rPr>
                <w:rFonts w:hint="eastAsia" w:ascii="黑体" w:hAnsi="黑体" w:eastAsia="黑体"/>
                <w:sz w:val="21"/>
                <w:szCs w:val="21"/>
              </w:rPr>
              <w:fldChar w:fldCharType="separate"/>
            </w:r>
            <w:r>
              <w:rPr>
                <w:rFonts w:hint="eastAsia" w:ascii="黑体" w:hAnsi="黑体" w:eastAsia="黑体"/>
                <w:sz w:val="21"/>
                <w:szCs w:val="21"/>
              </w:rPr>
              <w:t>13.020.01</w:t>
            </w:r>
            <w:r>
              <w:rPr>
                <w:rFonts w:hint="eastAsia" w:ascii="黑体" w:hAnsi="黑体" w:eastAsia="黑体"/>
                <w:sz w:val="21"/>
                <w:szCs w:val="21"/>
              </w:rPr>
              <w:fldChar w:fldCharType="end"/>
            </w:r>
            <w:bookmarkEnd w:id="0"/>
          </w:p>
        </w:tc>
      </w:tr>
      <w:tr w14:paraId="5A95D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877735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68F6E3F">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298FA3E6">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default w:val="GBC"/>
                          <w:maxLength w:val="7"/>
                        </w:textInput>
                      </w:ffData>
                    </w:fldChar>
                  </w:r>
                  <w:bookmarkStart w:id="1" w:name="c1"/>
                  <w:r>
                    <w:instrText xml:space="preserve"> FORMTEXT </w:instrText>
                  </w:r>
                  <w:r>
                    <w:fldChar w:fldCharType="separate"/>
                  </w:r>
                  <w:r>
                    <w:t>GBC</w:t>
                  </w:r>
                  <w:r>
                    <w:fldChar w:fldCharType="end"/>
                  </w:r>
                  <w:bookmarkEnd w:id="1"/>
                </w:p>
              </w:tc>
            </w:tr>
          </w:tbl>
          <w:p w14:paraId="4785297F">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fldChar w:fldCharType="begin">
                <w:ffData>
                  <w:name w:val="CSDN"/>
                  <w:enabled/>
                  <w:calcOnExit w:val="0"/>
                  <w:textInput>
                    <w:default w:val="Z 00"/>
                  </w:textInput>
                </w:ffData>
              </w:fldChar>
            </w:r>
            <w:bookmarkStart w:id="2" w:name="CSDN"/>
            <w:r>
              <w:rPr>
                <w:rFonts w:hint="eastAsia" w:ascii="黑体" w:hAnsi="黑体" w:eastAsia="黑体"/>
                <w:sz w:val="21"/>
                <w:szCs w:val="21"/>
              </w:rPr>
              <w:instrText xml:space="preserve"> FORMTEXT </w:instrText>
            </w:r>
            <w:r>
              <w:rPr>
                <w:rFonts w:hint="eastAsia" w:ascii="黑体" w:hAnsi="黑体" w:eastAsia="黑体"/>
                <w:sz w:val="21"/>
                <w:szCs w:val="21"/>
              </w:rPr>
              <w:fldChar w:fldCharType="separate"/>
            </w:r>
            <w:r>
              <w:rPr>
                <w:rFonts w:hint="eastAsia" w:ascii="黑体" w:hAnsi="黑体" w:eastAsia="黑体"/>
                <w:sz w:val="21"/>
                <w:szCs w:val="21"/>
              </w:rPr>
              <w:t>Z 00</w:t>
            </w:r>
            <w:r>
              <w:rPr>
                <w:rFonts w:hint="eastAsia" w:ascii="黑体" w:hAnsi="黑体" w:eastAsia="黑体"/>
                <w:sz w:val="21"/>
                <w:szCs w:val="21"/>
              </w:rPr>
              <w:fldChar w:fldCharType="end"/>
            </w:r>
            <w:bookmarkEnd w:id="2"/>
          </w:p>
        </w:tc>
      </w:tr>
    </w:tbl>
    <w:p w14:paraId="41BF76CF">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default w:val="广西物品编码与标准化促进会"/>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广西物品编码与标准化促进会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693DB060">
      <w:pPr>
        <w:pStyle w:val="195"/>
      </w:pPr>
      <w:r>
        <w:t>T/</w:t>
      </w:r>
      <w:r>
        <w:fldChar w:fldCharType="begin">
          <w:ffData>
            <w:name w:val="文字1"/>
            <w:enabled/>
            <w:calcOnExit w:val="0"/>
            <w:textInput>
              <w:default w:val="GBC"/>
            </w:textInput>
          </w:ffData>
        </w:fldChar>
      </w:r>
      <w:bookmarkStart w:id="5" w:name="文字1"/>
      <w:r>
        <w:instrText xml:space="preserve"> FORMTEXT </w:instrText>
      </w:r>
      <w:r>
        <w:fldChar w:fldCharType="separate"/>
      </w:r>
      <w:r>
        <w:t>GBC</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2026"/>
            </w:textInput>
          </w:ffData>
        </w:fldChar>
      </w:r>
      <w:bookmarkStart w:id="7" w:name="NSTD_CODE_B"/>
      <w:r>
        <w:instrText xml:space="preserve"> FORMTEXT </w:instrText>
      </w:r>
      <w:r>
        <w:fldChar w:fldCharType="separate"/>
      </w:r>
      <w:r>
        <w:t>2026</w:t>
      </w:r>
      <w:r>
        <w:fldChar w:fldCharType="end"/>
      </w:r>
      <w:bookmarkEnd w:id="7"/>
    </w:p>
    <w:p w14:paraId="7EA43028">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7BD87433">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9EECA87">
      <w:pPr>
        <w:pStyle w:val="50"/>
        <w:framePr w:w="9639" w:h="6976" w:hRule="exact" w:hSpace="0" w:vSpace="0" w:wrap="around" w:hAnchor="page" w:y="6408"/>
        <w:jc w:val="center"/>
        <w:rPr>
          <w:rFonts w:hint="eastAsia" w:ascii="黑体" w:hAnsi="黑体" w:eastAsia="黑体"/>
          <w:b w:val="0"/>
          <w:bCs w:val="0"/>
          <w:w w:val="100"/>
        </w:rPr>
      </w:pPr>
    </w:p>
    <w:p w14:paraId="18DC7C94">
      <w:pPr>
        <w:pStyle w:val="197"/>
        <w:framePr w:h="6974" w:hRule="exact" w:wrap="around" w:x="1419" w:anchorLock="1"/>
        <w:rPr>
          <w:rFonts w:hint="eastAsia"/>
        </w:rPr>
      </w:pPr>
      <w:r>
        <w:rPr>
          <w:rFonts w:hint="eastAsia"/>
        </w:rPr>
        <w:fldChar w:fldCharType="begin">
          <w:ffData>
            <w:name w:val="CSTD_NAME"/>
            <w:enabled/>
            <w:calcOnExit w:val="0"/>
            <w:textInput>
              <w:default w:val="生态环境科普活动组织规范"/>
            </w:textInput>
          </w:ffData>
        </w:fldChar>
      </w:r>
      <w:bookmarkStart w:id="9" w:name="CSTD_NAME"/>
      <w:r>
        <w:rPr>
          <w:rFonts w:hint="eastAsia"/>
        </w:rPr>
        <w:instrText xml:space="preserve"> </w:instrText>
      </w:r>
      <w:r>
        <w:instrText xml:space="preserve">FORMTEXT</w:instrText>
      </w:r>
      <w:r>
        <w:rPr>
          <w:rFonts w:hint="eastAsia"/>
        </w:rPr>
        <w:instrText xml:space="preserve"> </w:instrText>
      </w:r>
      <w:r>
        <w:rPr>
          <w:rFonts w:hint="eastAsia"/>
        </w:rPr>
        <w:fldChar w:fldCharType="separate"/>
      </w:r>
      <w:r>
        <w:rPr>
          <w:rFonts w:hint="eastAsia"/>
        </w:rPr>
        <w:t>生态环境科普活动组织规范</w:t>
      </w:r>
      <w:r>
        <w:rPr>
          <w:rFonts w:hint="eastAsia"/>
        </w:rPr>
        <w:fldChar w:fldCharType="end"/>
      </w:r>
      <w:bookmarkEnd w:id="9"/>
    </w:p>
    <w:p w14:paraId="5DA403F1">
      <w:pPr>
        <w:framePr w:w="9639" w:h="6974" w:hRule="exact" w:wrap="around" w:vAnchor="page" w:hAnchor="page" w:x="1419" w:y="6408" w:anchorLock="1"/>
        <w:ind w:left="-1418"/>
      </w:pPr>
    </w:p>
    <w:p w14:paraId="78382E02">
      <w:pPr>
        <w:pStyle w:val="125"/>
        <w:framePr w:w="9639" w:h="6974" w:hRule="exact" w:wrap="around" w:vAnchor="page" w:hAnchor="page" w:x="1419" w:y="6408" w:anchorLock="1"/>
        <w:textAlignment w:val="bottom"/>
        <w:rPr>
          <w:rFonts w:hint="eastAsia" w:ascii="黑体" w:hAnsi="黑体" w:eastAsia="黑体"/>
          <w:szCs w:val="28"/>
        </w:rPr>
      </w:pPr>
      <w:r>
        <w:rPr>
          <w:rFonts w:hint="eastAsia" w:ascii="黑体" w:hAnsi="黑体" w:eastAsia="黑体"/>
          <w:szCs w:val="28"/>
        </w:rPr>
        <w:fldChar w:fldCharType="begin">
          <w:ffData>
            <w:name w:val="ESTD_NAME"/>
            <w:enabled/>
            <w:calcOnExit w:val="0"/>
            <w:textInput>
              <w:default w:val="Specification for organizing ecological environment science popular activities"/>
            </w:textInput>
          </w:ffData>
        </w:fldChar>
      </w:r>
      <w:bookmarkStart w:id="10" w:name="ESTD_NAME"/>
      <w:r>
        <w:rPr>
          <w:rFonts w:hint="eastAsia" w:ascii="黑体" w:hAnsi="黑体" w:eastAsia="黑体"/>
          <w:szCs w:val="28"/>
        </w:rPr>
        <w:instrText xml:space="preserve"> FORMTEXT </w:instrText>
      </w:r>
      <w:r>
        <w:rPr>
          <w:rFonts w:hint="eastAsia" w:ascii="黑体" w:hAnsi="黑体" w:eastAsia="黑体"/>
          <w:szCs w:val="28"/>
        </w:rPr>
        <w:fldChar w:fldCharType="separate"/>
      </w:r>
      <w:r>
        <w:rPr>
          <w:rFonts w:hint="eastAsia" w:ascii="黑体" w:hAnsi="黑体" w:eastAsia="黑体"/>
          <w:szCs w:val="28"/>
        </w:rPr>
        <w:t>Specification for organizing ecological environment science popularization activities</w:t>
      </w:r>
      <w:r>
        <w:rPr>
          <w:rFonts w:hint="eastAsia" w:ascii="黑体" w:hAnsi="黑体" w:eastAsia="黑体"/>
          <w:szCs w:val="28"/>
        </w:rPr>
        <w:fldChar w:fldCharType="end"/>
      </w:r>
      <w:bookmarkEnd w:id="10"/>
    </w:p>
    <w:p w14:paraId="1E49ED6D">
      <w:pPr>
        <w:framePr w:w="9639" w:h="6974" w:hRule="exact" w:wrap="around" w:vAnchor="page" w:hAnchor="page" w:x="1419" w:y="6408" w:anchorLock="1"/>
        <w:spacing w:line="760" w:lineRule="exact"/>
        <w:ind w:left="-1418"/>
      </w:pPr>
    </w:p>
    <w:p w14:paraId="15263B41">
      <w:pPr>
        <w:pStyle w:val="125"/>
        <w:framePr w:w="9639" w:h="6974" w:hRule="exact" w:wrap="around" w:vAnchor="page" w:hAnchor="page" w:x="1419" w:y="6408" w:anchorLock="1"/>
        <w:textAlignment w:val="bottom"/>
        <w:rPr>
          <w:rFonts w:eastAsia="黑体"/>
          <w:szCs w:val="28"/>
        </w:rPr>
      </w:pPr>
    </w:p>
    <w:p w14:paraId="76BBD91E">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1F85500F">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585D022D">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03295111">
      <w:pPr>
        <w:pStyle w:val="193"/>
        <w:framePr w:wrap="around" w:y="14176"/>
      </w:pPr>
      <w:r>
        <w:rPr>
          <w:rFonts w:ascii="黑体"/>
        </w:rPr>
        <w:fldChar w:fldCharType="begin">
          <w:ffData>
            <w:name w:val="PLSH_DATE_Y"/>
            <w:enabled/>
            <w:calcOnExit w:val="0"/>
            <w:textInput>
              <w:default w:val="2026"/>
              <w:maxLength w:val="4"/>
            </w:textInput>
          </w:ffData>
        </w:fldChar>
      </w:r>
      <w:bookmarkStart w:id="14" w:name="PLSH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6317AF0C">
      <w:pPr>
        <w:pStyle w:val="194"/>
        <w:framePr w:wrap="around" w:y="14176"/>
      </w:pPr>
      <w:r>
        <w:rPr>
          <w:rFonts w:ascii="黑体"/>
        </w:rPr>
        <w:fldChar w:fldCharType="begin">
          <w:ffData>
            <w:name w:val="CROT_DATE_Y"/>
            <w:enabled/>
            <w:calcOnExit w:val="0"/>
            <w:textInput>
              <w:default w:val="2026"/>
              <w:maxLength w:val="4"/>
            </w:textInput>
          </w:ffData>
        </w:fldChar>
      </w:r>
      <w:bookmarkStart w:id="17" w:name="CROT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1EA35035">
      <w:pPr>
        <w:pStyle w:val="151"/>
        <w:framePr w:h="584" w:hRule="exact" w:hSpace="181" w:vSpace="181" w:wrap="around" w:y="14800"/>
        <w:rPr>
          <w:rFonts w:hint="eastAsia" w:hAnsi="黑体"/>
        </w:rPr>
      </w:pPr>
      <w:r>
        <w:rPr>
          <w:rFonts w:hint="eastAsia" w:hAnsi="黑体"/>
          <w:w w:val="100"/>
          <w:sz w:val="28"/>
        </w:rPr>
        <w:fldChar w:fldCharType="begin">
          <w:ffData>
            <w:name w:val="fm"/>
            <w:enabled/>
            <w:calcOnExit w:val="0"/>
            <w:textInput>
              <w:default w:val="广西物品编码与标准化促进会"/>
            </w:textInput>
          </w:ffData>
        </w:fldChar>
      </w:r>
      <w:bookmarkStart w:id="20" w:name="fm"/>
      <w:r>
        <w:rPr>
          <w:rFonts w:hint="eastAsia" w:hAnsi="黑体"/>
          <w:w w:val="100"/>
          <w:sz w:val="28"/>
        </w:rPr>
        <w:instrText xml:space="preserve"> </w:instrText>
      </w:r>
      <w:r>
        <w:rPr>
          <w:rFonts w:hAnsi="黑体"/>
          <w:w w:val="100"/>
          <w:sz w:val="28"/>
        </w:rPr>
        <w:instrText xml:space="preserve">FORMTEXT</w:instrText>
      </w:r>
      <w:r>
        <w:rPr>
          <w:rFonts w:hint="eastAsia" w:hAnsi="黑体"/>
          <w:w w:val="100"/>
          <w:sz w:val="28"/>
        </w:rPr>
        <w:instrText xml:space="preserve"> </w:instrText>
      </w:r>
      <w:r>
        <w:rPr>
          <w:rFonts w:hint="eastAsia" w:hAnsi="黑体"/>
          <w:w w:val="100"/>
          <w:sz w:val="28"/>
        </w:rPr>
        <w:fldChar w:fldCharType="separate"/>
      </w:r>
      <w:r>
        <w:rPr>
          <w:rFonts w:hint="eastAsia" w:hAnsi="黑体"/>
          <w:w w:val="100"/>
          <w:sz w:val="28"/>
        </w:rPr>
        <w:t>广西物品编码与标准化促进会</w:t>
      </w:r>
      <w:r>
        <w:rPr>
          <w:rFonts w:hint="eastAsia"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7A48BA7F">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32791A6">
      <w:pPr>
        <w:pStyle w:val="89"/>
        <w:spacing w:after="360"/>
      </w:pPr>
      <w:bookmarkStart w:id="21" w:name="BookMark2"/>
      <w:r>
        <w:rPr>
          <w:rFonts w:hint="eastAsia"/>
          <w:spacing w:val="320"/>
        </w:rPr>
        <w:t>前</w:t>
      </w:r>
      <w:r>
        <w:rPr>
          <w:rFonts w:hint="eastAsia"/>
        </w:rPr>
        <w:t>言</w:t>
      </w:r>
    </w:p>
    <w:p w14:paraId="300B5C5B">
      <w:pPr>
        <w:pStyle w:val="56"/>
        <w:ind w:firstLine="420"/>
      </w:pPr>
      <w:r>
        <w:rPr>
          <w:rFonts w:hint="eastAsia"/>
        </w:rPr>
        <w:t>本文件按照GB/T 1.1—2020《标准化工作导则  第1部分：标准化文件的结构和起草规则》的规定起草。</w:t>
      </w:r>
    </w:p>
    <w:p w14:paraId="3EE2DABD">
      <w:pPr>
        <w:pStyle w:val="56"/>
        <w:ind w:firstLine="420"/>
      </w:pPr>
      <w:r>
        <w:rPr>
          <w:rFonts w:hint="eastAsia"/>
        </w:rPr>
        <w:t>请注意本文件的某些内容可能涉及专利。本文件的发布机构不承担识别专利的责任。</w:t>
      </w:r>
    </w:p>
    <w:p w14:paraId="1FEE49AC">
      <w:pPr>
        <w:pStyle w:val="56"/>
        <w:ind w:firstLine="420"/>
      </w:pPr>
      <w:r>
        <w:rPr>
          <w:rFonts w:hint="eastAsia"/>
        </w:rPr>
        <w:t>本文件由广西壮族自治区辐射环境监督管理站提出并宣贯。</w:t>
      </w:r>
    </w:p>
    <w:p w14:paraId="138D0A21">
      <w:pPr>
        <w:pStyle w:val="56"/>
        <w:ind w:firstLine="420"/>
      </w:pPr>
      <w:r>
        <w:rPr>
          <w:rFonts w:hint="eastAsia"/>
        </w:rPr>
        <w:t>本文件由广西物品编码与标准化促进会归口。</w:t>
      </w:r>
    </w:p>
    <w:p w14:paraId="24CA41C5">
      <w:pPr>
        <w:pStyle w:val="56"/>
        <w:ind w:firstLine="420"/>
      </w:pPr>
      <w:r>
        <w:rPr>
          <w:rFonts w:hint="eastAsia"/>
        </w:rPr>
        <w:t>本文件起草单位：广西壮族自治区辐射环境监督管理站、广西壮族自治区标准技术研究院、北部湾大学、广西防城港核电有限公司、广西科学院。</w:t>
      </w:r>
    </w:p>
    <w:p w14:paraId="7E49FBBA">
      <w:pPr>
        <w:pStyle w:val="56"/>
        <w:ind w:firstLine="42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rPr>
          <w:rFonts w:hint="eastAsia"/>
        </w:rPr>
        <w:t>本文件主要起草人：黄美琴、龙婷婷、岑旭、莫冬丽、翁石磊、邹家明、亢振军、廖日权、王晓飞、向辉云、李秀媚、何佶蔓、徐聘、巫迪、陈秀娟、江菲菲、李文妍、林明媚、庞海敏、黄彬丽、刘锦玲。</w:t>
      </w:r>
    </w:p>
    <w:bookmarkEnd w:id="21"/>
    <w:p w14:paraId="774B149D">
      <w:pPr>
        <w:spacing w:line="20" w:lineRule="exact"/>
        <w:jc w:val="center"/>
        <w:rPr>
          <w:rFonts w:hint="eastAsia" w:ascii="黑体" w:hAnsi="黑体" w:eastAsia="黑体"/>
          <w:sz w:val="32"/>
          <w:szCs w:val="32"/>
        </w:rPr>
      </w:pPr>
      <w:bookmarkStart w:id="22" w:name="BookMark4"/>
    </w:p>
    <w:p w14:paraId="1662C998">
      <w:pPr>
        <w:spacing w:line="20" w:lineRule="exact"/>
        <w:jc w:val="center"/>
        <w:rPr>
          <w:rFonts w:hint="eastAsia" w:ascii="黑体" w:hAnsi="黑体" w:eastAsia="黑体"/>
          <w:sz w:val="32"/>
          <w:szCs w:val="32"/>
        </w:rPr>
      </w:pPr>
    </w:p>
    <w:sdt>
      <w:sdtPr>
        <w:tag w:val="NEW_STAND_NAME"/>
        <w:id w:val="595910757"/>
        <w:lock w:val="sdtLocked"/>
        <w:placeholder>
          <w:docPart w:val="B35F976D7B2845C888A7BEDB67FADE20"/>
        </w:placeholder>
      </w:sdtPr>
      <w:sdtContent>
        <w:p w14:paraId="66DC77C0">
          <w:pPr>
            <w:pStyle w:val="177"/>
            <w:bidi w:val="0"/>
            <w:spacing w:before="313" w:beforeLines="100" w:after="687" w:afterLines="220"/>
            <w:rPr>
              <w:rFonts w:hint="eastAsia"/>
            </w:rPr>
          </w:pPr>
          <w:bookmarkStart w:id="23" w:name="NEW_STAND_NAME"/>
          <w:r>
            <w:rPr>
              <w:rFonts w:hint="eastAsia"/>
              <w:lang w:eastAsia="zh-CN"/>
            </w:rPr>
            <w:t>生态环境科普活动组织规范</w:t>
          </w:r>
        </w:p>
      </w:sdtContent>
    </w:sdt>
    <w:bookmarkEnd w:id="23"/>
    <w:p w14:paraId="32EAEF0C">
      <w:pPr>
        <w:pStyle w:val="104"/>
        <w:spacing w:before="240" w:after="240"/>
      </w:pPr>
      <w:bookmarkStart w:id="24" w:name="_Toc24884218"/>
      <w:bookmarkStart w:id="25" w:name="_Toc26718930"/>
      <w:bookmarkStart w:id="26" w:name="_Toc26648465"/>
      <w:bookmarkStart w:id="27" w:name="_Toc17233325"/>
      <w:bookmarkStart w:id="28" w:name="_Toc26986530"/>
      <w:bookmarkStart w:id="29" w:name="_Toc26986771"/>
      <w:bookmarkStart w:id="30" w:name="_Toc24884211"/>
      <w:bookmarkStart w:id="31" w:name="_Toc17233333"/>
      <w:bookmarkStart w:id="32" w:name="_Toc97192964"/>
      <w:r>
        <w:rPr>
          <w:rFonts w:hint="eastAsia"/>
        </w:rPr>
        <w:t>范围</w:t>
      </w:r>
      <w:bookmarkEnd w:id="24"/>
      <w:bookmarkEnd w:id="25"/>
      <w:bookmarkEnd w:id="26"/>
      <w:bookmarkEnd w:id="27"/>
      <w:bookmarkEnd w:id="28"/>
      <w:bookmarkEnd w:id="29"/>
      <w:bookmarkEnd w:id="30"/>
      <w:bookmarkEnd w:id="31"/>
      <w:bookmarkEnd w:id="32"/>
    </w:p>
    <w:p w14:paraId="79E16138">
      <w:pPr>
        <w:pStyle w:val="56"/>
        <w:ind w:firstLine="420"/>
      </w:pPr>
      <w:bookmarkStart w:id="33" w:name="_Toc17233334"/>
      <w:bookmarkStart w:id="34" w:name="_Toc24884219"/>
      <w:bookmarkStart w:id="35" w:name="_Toc24884212"/>
      <w:bookmarkStart w:id="36" w:name="_Toc17233326"/>
      <w:bookmarkStart w:id="37" w:name="_Toc26648466"/>
      <w:r>
        <w:rPr>
          <w:rFonts w:hint="eastAsia"/>
        </w:rPr>
        <w:t>本文件界定了生态环境科普活动的术语和定义，确立了活动要求、活动实施、评价与持续改进、档案管理的要求。</w:t>
      </w:r>
    </w:p>
    <w:p w14:paraId="565B9495">
      <w:pPr>
        <w:pStyle w:val="56"/>
        <w:ind w:firstLine="420"/>
      </w:pPr>
      <w:r>
        <w:rPr>
          <w:rFonts w:hint="eastAsia"/>
        </w:rPr>
        <w:t>本文件适用于生态环境系统内各级单位，以及相关企事业单位开展的面向公众的生态环境科普活动。</w:t>
      </w:r>
    </w:p>
    <w:p w14:paraId="1260000F">
      <w:pPr>
        <w:pStyle w:val="104"/>
        <w:spacing w:before="240" w:after="240"/>
      </w:pPr>
      <w:bookmarkStart w:id="38" w:name="_Toc97192965"/>
      <w:bookmarkStart w:id="39" w:name="_Toc26986531"/>
      <w:bookmarkStart w:id="40" w:name="_Toc26718931"/>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39536C9F6E3E4A51A9008E98917B67C3"/>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7EEF075">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48B6409">
      <w:pPr>
        <w:pStyle w:val="56"/>
        <w:ind w:firstLine="420"/>
      </w:pPr>
      <w:r>
        <w:t>GB/T 10001</w:t>
      </w:r>
      <w:r>
        <w:rPr>
          <w:rFonts w:hint="eastAsia"/>
        </w:rPr>
        <w:t>（所有部分）  公共信息图形符号</w:t>
      </w:r>
    </w:p>
    <w:p w14:paraId="22899B91">
      <w:pPr>
        <w:pStyle w:val="56"/>
        <w:ind w:firstLine="420"/>
      </w:pPr>
      <w:r>
        <w:t>GB 13495.3</w:t>
      </w:r>
      <w:r>
        <w:rPr>
          <w:rFonts w:hint="eastAsia"/>
        </w:rPr>
        <w:t xml:space="preserve">  </w:t>
      </w:r>
      <w:r>
        <w:fldChar w:fldCharType="begin"/>
      </w:r>
      <w:r>
        <w:instrText xml:space="preserve"> HYPERLINK "https://std.samr.gov.cn/gb/search/gbDetailed?id=4984F354F9EFCAD1E06397BE0A0AA46C" \t "_blank" </w:instrText>
      </w:r>
      <w:r>
        <w:fldChar w:fldCharType="separate"/>
      </w:r>
      <w:r>
        <w:rPr>
          <w:rStyle w:val="32"/>
        </w:rPr>
        <w:t xml:space="preserve">消防安全标志 </w:t>
      </w:r>
      <w:r>
        <w:rPr>
          <w:rStyle w:val="32"/>
          <w:rFonts w:hint="eastAsia"/>
        </w:rPr>
        <w:t xml:space="preserve"> </w:t>
      </w:r>
      <w:r>
        <w:rPr>
          <w:rStyle w:val="32"/>
        </w:rPr>
        <w:t>第3部分：设置要求</w:t>
      </w:r>
      <w:r>
        <w:rPr>
          <w:rStyle w:val="32"/>
        </w:rPr>
        <w:fldChar w:fldCharType="end"/>
      </w:r>
    </w:p>
    <w:p w14:paraId="1421CB8A">
      <w:pPr>
        <w:pStyle w:val="56"/>
        <w:ind w:firstLine="420"/>
      </w:pPr>
      <w:r>
        <w:rPr>
          <w:rFonts w:hint="eastAsia"/>
        </w:rPr>
        <w:t>GB/T 32844  科普资源分类与代码</w:t>
      </w:r>
    </w:p>
    <w:p w14:paraId="6F8A3A02">
      <w:pPr>
        <w:pStyle w:val="56"/>
        <w:ind w:firstLine="420"/>
        <w:rPr>
          <w:rStyle w:val="32"/>
        </w:rPr>
      </w:pPr>
      <w:r>
        <w:t>DA/T</w:t>
      </w:r>
      <w:r>
        <w:rPr>
          <w:rFonts w:hint="eastAsia"/>
        </w:rPr>
        <w:t xml:space="preserve"> </w:t>
      </w:r>
      <w:r>
        <w:t>89</w:t>
      </w:r>
      <w:r>
        <w:rPr>
          <w:rFonts w:hint="eastAsia"/>
        </w:rPr>
        <w:t xml:space="preserve">  </w:t>
      </w:r>
      <w:r>
        <w:fldChar w:fldCharType="begin"/>
      </w:r>
      <w:r>
        <w:instrText xml:space="preserve"> HYPERLINK "https://std.samr.gov.cn/hb/search/stdHBDetailed?id=E2F6CAC7B7F3D6F3E05397BE0A0A057D" \t "_blank" </w:instrText>
      </w:r>
      <w:r>
        <w:fldChar w:fldCharType="separate"/>
      </w:r>
      <w:r>
        <w:rPr>
          <w:rStyle w:val="32"/>
        </w:rPr>
        <w:t>实物档案数字化规范</w:t>
      </w:r>
      <w:r>
        <w:rPr>
          <w:rStyle w:val="32"/>
        </w:rPr>
        <w:fldChar w:fldCharType="end"/>
      </w:r>
    </w:p>
    <w:p w14:paraId="24E04681">
      <w:pPr>
        <w:pStyle w:val="56"/>
        <w:ind w:firstLine="420"/>
      </w:pPr>
      <w:r>
        <w:rPr>
          <w:rStyle w:val="32"/>
          <w:rFonts w:hint="eastAsia"/>
        </w:rPr>
        <w:t>DB45T 2961  科普活动服务基本规范</w:t>
      </w:r>
    </w:p>
    <w:p w14:paraId="4AFD8C5E">
      <w:pPr>
        <w:pStyle w:val="104"/>
        <w:spacing w:before="240" w:after="240"/>
      </w:pPr>
      <w:bookmarkStart w:id="42" w:name="_Toc97192966"/>
      <w:r>
        <w:rPr>
          <w:rFonts w:hint="eastAsia"/>
          <w:szCs w:val="21"/>
        </w:rPr>
        <w:t>术语和定义</w:t>
      </w:r>
      <w:bookmarkEnd w:id="42"/>
    </w:p>
    <w:sdt>
      <w:sdtPr>
        <w:rPr>
          <w:rFonts w:hint="eastAsia"/>
        </w:rPr>
        <w:id w:val="-1909835108"/>
        <w:placeholder>
          <w:docPart w:val="0F6153F59E0A4FF7B3CF9F2C14FDA83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7BFED341">
          <w:pPr>
            <w:pStyle w:val="56"/>
            <w:ind w:firstLine="420"/>
          </w:pPr>
          <w:bookmarkStart w:id="43" w:name="_Toc26986532"/>
          <w:bookmarkEnd w:id="43"/>
          <w:r>
            <w:rPr>
              <w:rFonts w:hint="eastAsia"/>
            </w:rPr>
            <w:t>GB/T 32844界定的以及下列术语和定义适用于本文件。</w:t>
          </w:r>
        </w:p>
      </w:sdtContent>
    </w:sdt>
    <w:p w14:paraId="79FB4E09">
      <w:pPr>
        <w:pStyle w:val="223"/>
        <w:bidi w:val="0"/>
        <w:spacing w:after="0" w:afterLines="0"/>
        <w:ind w:left="420" w:hanging="420" w:hangingChars="200"/>
        <w:rPr>
          <w:rFonts w:hint="eastAsia" w:ascii="黑体" w:hAnsi="黑体" w:eastAsia="黑体" w:cs="黑体"/>
          <w:color w:val="EE0000"/>
        </w:rPr>
      </w:pPr>
      <w:r>
        <w:rPr>
          <w:rFonts w:hint="eastAsia" w:ascii="黑体" w:hAnsi="黑体" w:eastAsia="黑体" w:cs="黑体"/>
        </w:rPr>
        <w:br w:type="textWrapping"/>
      </w:r>
      <w:bookmarkStart w:id="44" w:name="OLE_LINK1"/>
      <w:bookmarkStart w:id="62" w:name="_GoBack"/>
      <w:bookmarkEnd w:id="62"/>
      <w:r>
        <w:rPr>
          <w:rFonts w:hint="eastAsia" w:ascii="黑体" w:hAnsi="黑体" w:eastAsia="黑体" w:cs="黑体"/>
        </w:rPr>
        <w:t>生态环境科普活动</w:t>
      </w:r>
      <w:bookmarkEnd w:id="44"/>
      <w:r>
        <w:rPr>
          <w:rFonts w:hint="eastAsia" w:ascii="黑体" w:hAnsi="黑体" w:eastAsia="黑体" w:cs="黑体"/>
        </w:rPr>
        <w:t xml:space="preserve">  ecological environment science popularization activities</w:t>
      </w:r>
    </w:p>
    <w:p w14:paraId="38ED9EFD">
      <w:pPr>
        <w:pStyle w:val="56"/>
        <w:ind w:firstLine="420"/>
      </w:pPr>
      <w:r>
        <w:rPr>
          <w:rFonts w:hint="eastAsia"/>
        </w:rPr>
        <w:t>以提升公众生态环境科学素养为目标，通过展览、讲座、体验、互动、实践等形式，传播生态环境科学知识、倡导绿色生活方式、</w:t>
      </w:r>
      <w:r>
        <w:t>推进环保普法政策宣贯</w:t>
      </w:r>
      <w:r>
        <w:rPr>
          <w:rFonts w:hint="eastAsia"/>
        </w:rPr>
        <w:t>、弘扬科学家精神的公益性宣传教育活动。</w:t>
      </w:r>
    </w:p>
    <w:p w14:paraId="0EF92329">
      <w:pPr>
        <w:pStyle w:val="223"/>
        <w:ind w:left="420" w:hanging="420" w:hangingChars="200"/>
        <w:rPr>
          <w:rFonts w:hint="eastAsia" w:ascii="黑体" w:hAnsi="黑体" w:eastAsia="黑体"/>
        </w:rPr>
      </w:pPr>
      <w:r>
        <w:rPr>
          <w:rFonts w:ascii="黑体" w:hAnsi="黑体" w:eastAsia="黑体"/>
        </w:rPr>
        <w:br w:type="textWrapping"/>
      </w:r>
      <w:bookmarkStart w:id="45" w:name="OLE_LINK14"/>
      <w:r>
        <w:rPr>
          <w:rFonts w:hint="eastAsia" w:ascii="黑体" w:hAnsi="黑体" w:eastAsia="黑体"/>
        </w:rPr>
        <w:t>大型科普活动</w:t>
      </w:r>
      <w:bookmarkEnd w:id="45"/>
      <w:r>
        <w:rPr>
          <w:rFonts w:hint="eastAsia" w:ascii="黑体" w:hAnsi="黑体" w:eastAsia="黑体"/>
        </w:rPr>
        <w:t xml:space="preserve">  l</w:t>
      </w:r>
      <w:r>
        <w:rPr>
          <w:rFonts w:ascii="黑体" w:hAnsi="黑体" w:eastAsia="黑体"/>
        </w:rPr>
        <w:t xml:space="preserve">arge-scale science popularization </w:t>
      </w:r>
      <w:r>
        <w:rPr>
          <w:rFonts w:hint="eastAsia" w:ascii="黑体" w:hAnsi="黑体" w:eastAsia="黑体"/>
        </w:rPr>
        <w:t>activities</w:t>
      </w:r>
    </w:p>
    <w:p w14:paraId="06C687CE">
      <w:pPr>
        <w:pStyle w:val="56"/>
        <w:ind w:firstLine="420"/>
      </w:pPr>
      <w:r>
        <w:t>由</w:t>
      </w:r>
      <w:r>
        <w:rPr>
          <w:rFonts w:hint="eastAsia"/>
        </w:rPr>
        <w:t>法人或者其他组织</w:t>
      </w:r>
      <w:r>
        <w:t>有目的、有计划、有步骤实施的，现场参与人数</w:t>
      </w:r>
      <w:r>
        <w:rPr>
          <w:rFonts w:hint="eastAsia"/>
        </w:rPr>
        <w:t>1</w:t>
      </w:r>
      <w:r>
        <w:rPr>
          <w:rFonts w:hint="eastAsia"/>
          <w:vertAlign w:val="superscript"/>
        </w:rPr>
        <w:t xml:space="preserve"> </w:t>
      </w:r>
      <w:r>
        <w:rPr>
          <w:rFonts w:hint="eastAsia"/>
        </w:rPr>
        <w:t>000</w:t>
      </w:r>
      <w:r>
        <w:t>以上（含</w:t>
      </w:r>
      <w:r>
        <w:rPr>
          <w:rFonts w:hint="eastAsia"/>
        </w:rPr>
        <w:t>1</w:t>
      </w:r>
      <w:r>
        <w:rPr>
          <w:rFonts w:hint="eastAsia"/>
          <w:vertAlign w:val="superscript"/>
        </w:rPr>
        <w:t xml:space="preserve"> </w:t>
      </w:r>
      <w:r>
        <w:rPr>
          <w:rFonts w:hint="eastAsia"/>
        </w:rPr>
        <w:t>000</w:t>
      </w:r>
      <w:r>
        <w:t>）不满</w:t>
      </w:r>
      <w:r>
        <w:rPr>
          <w:rFonts w:hint="eastAsia"/>
        </w:rPr>
        <w:t>5</w:t>
      </w:r>
      <w:r>
        <w:rPr>
          <w:rFonts w:hint="eastAsia"/>
          <w:vertAlign w:val="subscript"/>
        </w:rPr>
        <w:t xml:space="preserve"> </w:t>
      </w:r>
      <w:r>
        <w:rPr>
          <w:rFonts w:hint="eastAsia"/>
        </w:rPr>
        <w:t>000</w:t>
      </w:r>
      <w:r>
        <w:rPr>
          <w:rFonts w:hint="eastAsia"/>
        </w:rPr>
        <w:br w:type="textWrapping"/>
      </w:r>
      <w:r>
        <w:rPr>
          <w:rFonts w:hint="eastAsia"/>
        </w:rPr>
        <w:t>人</w:t>
      </w:r>
      <w:r>
        <w:t>的科普活动。</w:t>
      </w:r>
    </w:p>
    <w:p w14:paraId="0954AE40">
      <w:pPr>
        <w:pStyle w:val="104"/>
        <w:spacing w:before="240" w:after="240"/>
      </w:pPr>
      <w:r>
        <w:rPr>
          <w:rFonts w:hint="eastAsia"/>
        </w:rPr>
        <w:t>活动要求</w:t>
      </w:r>
    </w:p>
    <w:p w14:paraId="10AD7A83">
      <w:pPr>
        <w:pStyle w:val="105"/>
        <w:spacing w:before="120" w:after="120"/>
      </w:pPr>
      <w:r>
        <w:rPr>
          <w:rFonts w:hint="eastAsia"/>
        </w:rPr>
        <w:t>主题确定</w:t>
      </w:r>
    </w:p>
    <w:p w14:paraId="6A419BF9">
      <w:pPr>
        <w:pStyle w:val="65"/>
        <w:spacing w:before="120" w:after="120"/>
      </w:pPr>
      <w:r>
        <w:rPr>
          <w:rFonts w:hint="eastAsia"/>
        </w:rPr>
        <w:t>需求调研与目标设定</w:t>
      </w:r>
    </w:p>
    <w:p w14:paraId="72099BFC">
      <w:pPr>
        <w:pStyle w:val="164"/>
      </w:pPr>
      <w:r>
        <w:rPr>
          <w:rFonts w:hint="eastAsia"/>
        </w:rPr>
        <w:t>活动前应面向受众系统开展问卷调查、访谈调查、观察调查、实地调查、网络调查等多种形式的需求调研，精准识别目标群体的年龄结构、知识背景与需求偏好。同时，密切跟踪社会舆论动态，研判公众普遍关注的生态环境热点议题。</w:t>
      </w:r>
    </w:p>
    <w:p w14:paraId="75B20E67">
      <w:pPr>
        <w:pStyle w:val="164"/>
      </w:pPr>
      <w:r>
        <w:rPr>
          <w:rFonts w:hint="eastAsia"/>
        </w:rPr>
        <w:t>基于调研结果，设定具体、可衡量的科普目标。目标应结合属地资源禀赋与特色议题，并涵盖知识传播、环保理念塑造、行为引导等维度。</w:t>
      </w:r>
    </w:p>
    <w:p w14:paraId="77CBE7E8">
      <w:pPr>
        <w:pStyle w:val="65"/>
        <w:spacing w:before="120" w:after="120"/>
      </w:pPr>
      <w:r>
        <w:rPr>
          <w:rFonts w:hint="eastAsia"/>
        </w:rPr>
        <w:t>主题设置</w:t>
      </w:r>
    </w:p>
    <w:p w14:paraId="648CB759">
      <w:pPr>
        <w:pStyle w:val="164"/>
      </w:pPr>
      <w:r>
        <w:rPr>
          <w:rFonts w:hint="eastAsia"/>
        </w:rPr>
        <w:t>应具有正确的价值导向，不应包含任何虚假或误导性信息。</w:t>
      </w:r>
    </w:p>
    <w:p w14:paraId="0562CC25">
      <w:pPr>
        <w:pStyle w:val="164"/>
      </w:pPr>
      <w:r>
        <w:rPr>
          <w:rFonts w:hint="eastAsia"/>
        </w:rPr>
        <w:t>应简洁明了，注重将复杂的专业知识转化为通俗易懂的语言和生动形象的表达形式，避免使用过于专业或晦涩的术语。</w:t>
      </w:r>
    </w:p>
    <w:p w14:paraId="3A3E4FC1">
      <w:pPr>
        <w:pStyle w:val="164"/>
      </w:pPr>
      <w:r>
        <w:rPr>
          <w:rFonts w:hint="eastAsia"/>
        </w:rPr>
        <w:t>应具有鲜明的时代特征和地域特色，能够反映当前生态环境领域的重点任务与社会热点。</w:t>
      </w:r>
    </w:p>
    <w:p w14:paraId="03866E51">
      <w:pPr>
        <w:pStyle w:val="164"/>
      </w:pPr>
      <w:r>
        <w:rPr>
          <w:rFonts w:hint="eastAsia"/>
        </w:rPr>
        <w:t>应根据不同群体的认知特点和兴趣点，设计差异化的内容框架。</w:t>
      </w:r>
    </w:p>
    <w:p w14:paraId="5742CCAD">
      <w:pPr>
        <w:pStyle w:val="164"/>
      </w:pPr>
      <w:r>
        <w:rPr>
          <w:rFonts w:hint="eastAsia"/>
        </w:rPr>
        <w:t>应具备科学性、趣味性、可传播性和延展性。</w:t>
      </w:r>
    </w:p>
    <w:p w14:paraId="38B2EBFB">
      <w:pPr>
        <w:pStyle w:val="105"/>
        <w:spacing w:before="120" w:after="120"/>
      </w:pPr>
      <w:r>
        <w:rPr>
          <w:rFonts w:hint="eastAsia"/>
        </w:rPr>
        <w:t>活动形式</w:t>
      </w:r>
    </w:p>
    <w:p w14:paraId="4313BB93">
      <w:pPr>
        <w:pStyle w:val="56"/>
        <w:ind w:firstLine="420"/>
      </w:pPr>
      <w:r>
        <w:rPr>
          <w:rFonts w:hint="eastAsia"/>
        </w:rPr>
        <w:t>应根据不同受众和需求选择合适的活动形式：</w:t>
      </w:r>
    </w:p>
    <w:p w14:paraId="670FC380">
      <w:pPr>
        <w:pStyle w:val="132"/>
      </w:pPr>
      <w:r>
        <w:rPr>
          <w:rFonts w:hint="eastAsia"/>
        </w:rPr>
        <w:t>面向</w:t>
      </w:r>
      <w:bookmarkStart w:id="46" w:name="OLE_LINK3"/>
      <w:r>
        <w:rPr>
          <w:rFonts w:hint="eastAsia"/>
        </w:rPr>
        <w:t>领导干部、公务员</w:t>
      </w:r>
      <w:bookmarkEnd w:id="46"/>
      <w:bookmarkStart w:id="47" w:name="OLE_LINK2"/>
      <w:r>
        <w:rPr>
          <w:rFonts w:hint="eastAsia"/>
        </w:rPr>
        <w:t>：推荐</w:t>
      </w:r>
      <w:bookmarkStart w:id="48" w:name="OLE_LINK4"/>
      <w:r>
        <w:rPr>
          <w:rFonts w:hint="eastAsia"/>
        </w:rPr>
        <w:t>包括但不限于</w:t>
      </w:r>
      <w:bookmarkEnd w:id="47"/>
      <w:bookmarkEnd w:id="48"/>
      <w:bookmarkStart w:id="49" w:name="OLE_LINK8"/>
      <w:r>
        <w:rPr>
          <w:rFonts w:hint="eastAsia"/>
        </w:rPr>
        <w:t>专题研修班、党校专题课程、实地考察调研、定制化报告</w:t>
      </w:r>
      <w:bookmarkEnd w:id="49"/>
      <w:r>
        <w:rPr>
          <w:rFonts w:hint="eastAsia"/>
        </w:rPr>
        <w:t>等；</w:t>
      </w:r>
    </w:p>
    <w:p w14:paraId="62CC022E">
      <w:pPr>
        <w:pStyle w:val="132"/>
      </w:pPr>
      <w:bookmarkStart w:id="50" w:name="OLE_LINK9"/>
      <w:r>
        <w:rPr>
          <w:rFonts w:hint="eastAsia"/>
        </w:rPr>
        <w:t>面向青少年群体</w:t>
      </w:r>
      <w:bookmarkEnd w:id="50"/>
      <w:r>
        <w:rPr>
          <w:rFonts w:hint="eastAsia"/>
        </w:rPr>
        <w:t>：推荐包括但不限于</w:t>
      </w:r>
      <w:bookmarkStart w:id="51" w:name="OLE_LINK10"/>
      <w:r>
        <w:rPr>
          <w:rFonts w:hint="eastAsia"/>
        </w:rPr>
        <w:t>科普讲座、操作互动、科普剧表演</w:t>
      </w:r>
      <w:bookmarkEnd w:id="51"/>
      <w:r>
        <w:rPr>
          <w:rFonts w:hint="eastAsia"/>
        </w:rPr>
        <w:t>等；</w:t>
      </w:r>
    </w:p>
    <w:p w14:paraId="477C8224">
      <w:pPr>
        <w:pStyle w:val="132"/>
      </w:pPr>
      <w:r>
        <w:rPr>
          <w:rFonts w:hint="eastAsia"/>
        </w:rPr>
        <w:t>面向产业工人：推荐包括但不限于</w:t>
      </w:r>
      <w:bookmarkStart w:id="52" w:name="OLE_LINK12"/>
      <w:r>
        <w:t>生态课堂</w:t>
      </w:r>
      <w:r>
        <w:rPr>
          <w:rFonts w:hint="eastAsia"/>
        </w:rPr>
        <w:t>、环保技能大赛、职业体验、科普沙龙</w:t>
      </w:r>
      <w:bookmarkEnd w:id="52"/>
      <w:r>
        <w:rPr>
          <w:rFonts w:hint="eastAsia"/>
        </w:rPr>
        <w:t>等；</w:t>
      </w:r>
    </w:p>
    <w:p w14:paraId="0E997A58">
      <w:pPr>
        <w:pStyle w:val="132"/>
      </w:pPr>
      <w:r>
        <w:rPr>
          <w:rFonts w:hint="eastAsia"/>
        </w:rPr>
        <w:t>面向农民群体：推荐</w:t>
      </w:r>
      <w:bookmarkStart w:id="53" w:name="OLE_LINK5"/>
      <w:r>
        <w:rPr>
          <w:rFonts w:hint="eastAsia"/>
        </w:rPr>
        <w:t>包括但不限于</w:t>
      </w:r>
      <w:bookmarkEnd w:id="53"/>
      <w:r>
        <w:rPr>
          <w:rFonts w:hint="eastAsia"/>
        </w:rPr>
        <w:t>科普大篷车下乡、</w:t>
      </w:r>
      <w:bookmarkStart w:id="54" w:name="OLE_LINK11"/>
      <w:r>
        <w:rPr>
          <w:rFonts w:hint="eastAsia"/>
        </w:rPr>
        <w:t>环保监测车进村</w:t>
      </w:r>
      <w:bookmarkEnd w:id="54"/>
      <w:r>
        <w:rPr>
          <w:rFonts w:hint="eastAsia"/>
        </w:rPr>
        <w:t>、</w:t>
      </w:r>
      <w:r>
        <w:t>田间课堂</w:t>
      </w:r>
      <w:r>
        <w:rPr>
          <w:rFonts w:hint="eastAsia"/>
        </w:rPr>
        <w:t>快闪、科普文艺演出等；</w:t>
      </w:r>
    </w:p>
    <w:p w14:paraId="30F73E96">
      <w:pPr>
        <w:pStyle w:val="132"/>
      </w:pPr>
      <w:r>
        <w:rPr>
          <w:rFonts w:hint="eastAsia"/>
        </w:rPr>
        <w:t>面向</w:t>
      </w:r>
      <w:bookmarkStart w:id="55" w:name="OLE_LINK13"/>
      <w:r>
        <w:rPr>
          <w:rFonts w:hint="eastAsia"/>
        </w:rPr>
        <w:t>老年群体：推荐包括但不限于健康大讲堂、科普市集、互动问答游戏</w:t>
      </w:r>
      <w:bookmarkEnd w:id="55"/>
      <w:r>
        <w:rPr>
          <w:rFonts w:hint="eastAsia"/>
        </w:rPr>
        <w:t>等。</w:t>
      </w:r>
    </w:p>
    <w:p w14:paraId="71FF240A">
      <w:pPr>
        <w:pStyle w:val="105"/>
        <w:spacing w:before="120" w:after="120"/>
      </w:pPr>
      <w:r>
        <w:rPr>
          <w:rFonts w:hint="eastAsia"/>
        </w:rPr>
        <w:t>活动方案编制</w:t>
      </w:r>
    </w:p>
    <w:p w14:paraId="64168F90">
      <w:pPr>
        <w:pStyle w:val="165"/>
      </w:pPr>
      <w:r>
        <w:t>组织主体应制定详细的活动实施方案，</w:t>
      </w:r>
      <w:bookmarkStart w:id="56" w:name="OLE_LINK15"/>
      <w:r>
        <w:t>明确活动主题、内容、形式、时间、地点、受众、工作人员、科普师资、经费预算、安全保障、宣传推广等内容</w:t>
      </w:r>
      <w:bookmarkEnd w:id="56"/>
      <w:r>
        <w:t>。</w:t>
      </w:r>
    </w:p>
    <w:p w14:paraId="508E71EF">
      <w:pPr>
        <w:pStyle w:val="165"/>
      </w:pPr>
      <w:r>
        <w:t>方案应具有可操作性，明确各环节的责任分工和时间节点，确保活动有序推进，方案制定过程中应充分吸纳相关方意见。</w:t>
      </w:r>
    </w:p>
    <w:p w14:paraId="03B5C9E0">
      <w:pPr>
        <w:pStyle w:val="165"/>
      </w:pPr>
      <w:r>
        <w:t>对于</w:t>
      </w:r>
      <w:r>
        <w:rPr>
          <w:rFonts w:hint="eastAsia"/>
        </w:rPr>
        <w:t>大型</w:t>
      </w:r>
      <w:r>
        <w:t>科普活动，</w:t>
      </w:r>
      <w:r>
        <w:rPr>
          <w:rFonts w:hint="eastAsia"/>
        </w:rPr>
        <w:t>宜</w:t>
      </w:r>
      <w:r>
        <w:t>进行可行性论证，排查活动实施过程中可能出现的问题，制定</w:t>
      </w:r>
      <w:r>
        <w:rPr>
          <w:rFonts w:hint="eastAsia"/>
        </w:rPr>
        <w:t>活动安全工作方案</w:t>
      </w:r>
      <w:r>
        <w:t>，确保活动顺利开展。</w:t>
      </w:r>
    </w:p>
    <w:p w14:paraId="700E4700">
      <w:pPr>
        <w:pStyle w:val="165"/>
      </w:pPr>
      <w:r>
        <w:rPr>
          <w:rFonts w:hint="eastAsia"/>
        </w:rPr>
        <w:t>建立合理完善的审核机制，对活动方案的可公开性、科学性进行审核。</w:t>
      </w:r>
    </w:p>
    <w:p w14:paraId="6EC6C6C7">
      <w:pPr>
        <w:pStyle w:val="104"/>
        <w:spacing w:before="240" w:after="240"/>
      </w:pPr>
      <w:r>
        <w:rPr>
          <w:rFonts w:hint="eastAsia"/>
        </w:rPr>
        <w:t>活动实施</w:t>
      </w:r>
    </w:p>
    <w:p w14:paraId="5AC4C331">
      <w:pPr>
        <w:pStyle w:val="105"/>
        <w:spacing w:before="120" w:after="120"/>
      </w:pPr>
      <w:r>
        <w:rPr>
          <w:rFonts w:hint="eastAsia"/>
        </w:rPr>
        <w:t>资源准备</w:t>
      </w:r>
    </w:p>
    <w:p w14:paraId="4981153A">
      <w:pPr>
        <w:pStyle w:val="65"/>
        <w:spacing w:before="120" w:after="120"/>
      </w:pPr>
      <w:r>
        <w:rPr>
          <w:rFonts w:hint="eastAsia"/>
        </w:rPr>
        <w:t>人员配置</w:t>
      </w:r>
    </w:p>
    <w:p w14:paraId="1F6962BD">
      <w:pPr>
        <w:pStyle w:val="164"/>
      </w:pPr>
      <w:r>
        <w:rPr>
          <w:rFonts w:hint="eastAsia"/>
        </w:rPr>
        <w:t>应根据活动方案需求配置包括相应的科普工作队伍。</w:t>
      </w:r>
      <w:bookmarkStart w:id="57" w:name="OLE_LINK16"/>
    </w:p>
    <w:p w14:paraId="5416E745">
      <w:pPr>
        <w:pStyle w:val="164"/>
      </w:pPr>
      <w:r>
        <w:rPr>
          <w:rFonts w:hint="eastAsia"/>
        </w:rPr>
        <w:t>鼓励依托上级主管部门资源或联合高校企事业单位等机构，吸纳生态环境专家、专业技术人员组成多学科科普师资库</w:t>
      </w:r>
      <w:bookmarkEnd w:id="57"/>
      <w:r>
        <w:rPr>
          <w:rFonts w:hint="eastAsia"/>
        </w:rPr>
        <w:t>。</w:t>
      </w:r>
    </w:p>
    <w:p w14:paraId="0DB328F2">
      <w:pPr>
        <w:pStyle w:val="164"/>
      </w:pPr>
      <w:r>
        <w:rPr>
          <w:rFonts w:hint="eastAsia"/>
        </w:rPr>
        <w:t>科普师资库成员须具备扎实的专业知识与良好的沟通能力，能够针对不同受众群体设计个性化的科普内容。</w:t>
      </w:r>
    </w:p>
    <w:p w14:paraId="2D368E74">
      <w:pPr>
        <w:pStyle w:val="164"/>
      </w:pPr>
      <w:r>
        <w:t>对工作人员和科普师资进行岗前培训，明确工作流程、责任分工和安全注意事项，提升服务质量。</w:t>
      </w:r>
    </w:p>
    <w:p w14:paraId="2103B702">
      <w:pPr>
        <w:pStyle w:val="164"/>
      </w:pPr>
      <w:r>
        <w:rPr>
          <w:rFonts w:hint="eastAsia"/>
        </w:rPr>
        <w:t>大型科普活动宜在</w:t>
      </w:r>
      <w:r>
        <w:t>活动前组织工作人员进行应急演练，提升应急处置能力，活动过程中若发生突发安全事件，应立即启动应急预案，及时处置并上报相关部门。</w:t>
      </w:r>
    </w:p>
    <w:p w14:paraId="26908A6A">
      <w:pPr>
        <w:pStyle w:val="164"/>
      </w:pPr>
      <w:r>
        <w:rPr>
          <w:rFonts w:hint="eastAsia"/>
        </w:rPr>
        <w:t>人员其他要求应符合DB45/T 2961的规定。</w:t>
      </w:r>
    </w:p>
    <w:p w14:paraId="121AD150">
      <w:pPr>
        <w:pStyle w:val="65"/>
        <w:spacing w:before="120" w:after="120"/>
      </w:pPr>
      <w:r>
        <w:rPr>
          <w:rFonts w:hint="eastAsia"/>
        </w:rPr>
        <w:t>物料开发</w:t>
      </w:r>
    </w:p>
    <w:p w14:paraId="29DCA482">
      <w:pPr>
        <w:pStyle w:val="164"/>
      </w:pPr>
      <w:r>
        <w:rPr>
          <w:rFonts w:hint="eastAsia"/>
        </w:rPr>
        <w:t>宜开发包括但不限于数字化传播物料、实体化科普物品和特色化文创物料等。</w:t>
      </w:r>
    </w:p>
    <w:p w14:paraId="109FDCC8">
      <w:pPr>
        <w:pStyle w:val="132"/>
      </w:pPr>
      <w:r>
        <w:rPr>
          <w:rFonts w:hint="eastAsia"/>
        </w:rPr>
        <w:t>数字化传播物料</w:t>
      </w:r>
      <w:bookmarkStart w:id="58" w:name="OLE_LINK6"/>
      <w:r>
        <w:rPr>
          <w:rFonts w:hint="eastAsia"/>
        </w:rPr>
        <w:t>：</w:t>
      </w:r>
    </w:p>
    <w:bookmarkEnd w:id="58"/>
    <w:p w14:paraId="5FE5980E">
      <w:pPr>
        <w:pStyle w:val="187"/>
      </w:pPr>
      <w:r>
        <w:rPr>
          <w:rFonts w:hint="eastAsia"/>
        </w:rPr>
        <w:t>新媒体素材：设计制作包含生态环境科普知识的短视频、动画等，便于线上传播与社交分享；</w:t>
      </w:r>
    </w:p>
    <w:p w14:paraId="06074228">
      <w:pPr>
        <w:pStyle w:val="187"/>
      </w:pPr>
      <w:r>
        <w:rPr>
          <w:rFonts w:hint="eastAsia"/>
        </w:rPr>
        <w:t>互动平台：开发科普APP或小程序，集成科普知识库、互动游戏、在线问答等功能，提升公众参与度和学习效果；</w:t>
      </w:r>
    </w:p>
    <w:p w14:paraId="5F81AFAD">
      <w:pPr>
        <w:pStyle w:val="187"/>
      </w:pPr>
      <w:r>
        <w:rPr>
          <w:rFonts w:hint="eastAsia"/>
        </w:rPr>
        <w:t>虚拟体验：开发AR/VR互动内容，通过虚拟场景还原工作原理或生态环境变化过程，提升科技效果。</w:t>
      </w:r>
    </w:p>
    <w:p w14:paraId="0D3D7411">
      <w:pPr>
        <w:pStyle w:val="132"/>
      </w:pPr>
      <w:r>
        <w:rPr>
          <w:rFonts w:hint="eastAsia"/>
        </w:rPr>
        <w:t>实体化科普物料：</w:t>
      </w:r>
    </w:p>
    <w:p w14:paraId="099A5917">
      <w:pPr>
        <w:pStyle w:val="187"/>
      </w:pPr>
      <w:r>
        <w:rPr>
          <w:rFonts w:hint="eastAsia"/>
        </w:rPr>
        <w:t>宣传品：针对不同受众群体，定制个性化的科普宣传册、海报等物料，如为学校设计趣味科普手册，为社区设计实用环保指南；</w:t>
      </w:r>
    </w:p>
    <w:p w14:paraId="01588194">
      <w:pPr>
        <w:pStyle w:val="187"/>
      </w:pPr>
      <w:r>
        <w:rPr>
          <w:rFonts w:hint="eastAsia"/>
        </w:rPr>
        <w:t>教具与实验包：制作科普教具与实验套装，增强活动的实践性与体验感。</w:t>
      </w:r>
    </w:p>
    <w:p w14:paraId="3B6FC369">
      <w:pPr>
        <w:pStyle w:val="132"/>
      </w:pPr>
      <w:r>
        <w:rPr>
          <w:rFonts w:hint="eastAsia"/>
        </w:rPr>
        <w:t>特色化文创物料：</w:t>
      </w:r>
    </w:p>
    <w:p w14:paraId="49A87946">
      <w:pPr>
        <w:pStyle w:val="187"/>
      </w:pPr>
      <w:r>
        <w:rPr>
          <w:rFonts w:hint="eastAsia"/>
        </w:rPr>
        <w:t>文化融合：将生态环境科普主题与地方特色文化相结合，推出特色文创产品，既传承文化又传播知识；</w:t>
      </w:r>
    </w:p>
    <w:p w14:paraId="5F414779">
      <w:pPr>
        <w:pStyle w:val="187"/>
      </w:pPr>
      <w:r>
        <w:rPr>
          <w:rFonts w:hint="eastAsia"/>
        </w:rPr>
        <w:t>非遗体验：鼓励与当地非遗传承人合作，开发相关科普体验活动，让公众在感受非遗魅力的过程中学习生态环境知识；</w:t>
      </w:r>
    </w:p>
    <w:p w14:paraId="665FCD03">
      <w:pPr>
        <w:pStyle w:val="187"/>
      </w:pPr>
      <w:r>
        <w:rPr>
          <w:rFonts w:hint="eastAsia"/>
        </w:rPr>
        <w:t>IP塑造：宜设计具有地方特色的科普IP形象。</w:t>
      </w:r>
    </w:p>
    <w:p w14:paraId="0448E70D">
      <w:pPr>
        <w:pStyle w:val="164"/>
      </w:pPr>
      <w:r>
        <w:rPr>
          <w:rFonts w:hint="eastAsia"/>
        </w:rPr>
        <w:t>宜</w:t>
      </w:r>
      <w:bookmarkStart w:id="59" w:name="OLE_LINK17"/>
      <w:r>
        <w:rPr>
          <w:rFonts w:hint="eastAsia"/>
        </w:rPr>
        <w:t>建立完善的物料管理机制</w:t>
      </w:r>
      <w:bookmarkEnd w:id="59"/>
      <w:r>
        <w:rPr>
          <w:rFonts w:hint="eastAsia"/>
        </w:rPr>
        <w:t>，包括但不限于以下内容：</w:t>
      </w:r>
    </w:p>
    <w:p w14:paraId="7BD493F8">
      <w:pPr>
        <w:pStyle w:val="132"/>
      </w:pPr>
      <w:r>
        <w:rPr>
          <w:rFonts w:hint="eastAsia"/>
        </w:rPr>
        <w:t>模板库建设：宜积累活动设计素材库，包括横幅、展板、桌签等通用物料，提高工作效率；</w:t>
      </w:r>
    </w:p>
    <w:p w14:paraId="253D7E6B">
      <w:pPr>
        <w:pStyle w:val="132"/>
      </w:pPr>
      <w:r>
        <w:rPr>
          <w:rFonts w:hint="eastAsia"/>
        </w:rPr>
        <w:t>更新迭代：建立物料更新机制，定期评估现有物料的有效性，结合最新科研成果和社会热点进行迭代优化。</w:t>
      </w:r>
    </w:p>
    <w:p w14:paraId="432782F2">
      <w:pPr>
        <w:pStyle w:val="164"/>
      </w:pPr>
      <w:r>
        <w:rPr>
          <w:rFonts w:hint="eastAsia"/>
        </w:rPr>
        <w:t>线上物料管理应符合网络文明规范及数据安全与隐私保护条款。</w:t>
      </w:r>
    </w:p>
    <w:p w14:paraId="5DD760F8">
      <w:pPr>
        <w:pStyle w:val="164"/>
      </w:pPr>
      <w:r>
        <w:rPr>
          <w:rFonts w:hint="eastAsia"/>
        </w:rPr>
        <w:t>线下物料应优先采用</w:t>
      </w:r>
      <w:r>
        <w:t>可再生、可回收、本地化的绿色材料</w:t>
      </w:r>
      <w:r>
        <w:rPr>
          <w:rFonts w:hint="eastAsia"/>
          <w:lang w:eastAsia="zh-CN"/>
        </w:rPr>
        <w:t>。</w:t>
      </w:r>
    </w:p>
    <w:p w14:paraId="2AAFE8E1">
      <w:pPr>
        <w:pStyle w:val="65"/>
        <w:spacing w:before="120" w:after="120"/>
      </w:pPr>
      <w:r>
        <w:rPr>
          <w:rFonts w:hint="eastAsia"/>
        </w:rPr>
        <w:t>场地与设施</w:t>
      </w:r>
    </w:p>
    <w:p w14:paraId="3985D0F6">
      <w:pPr>
        <w:pStyle w:val="164"/>
      </w:pPr>
      <w:r>
        <w:rPr>
          <w:rFonts w:hint="eastAsia"/>
        </w:rPr>
        <w:t>优先选择现有科普基地、科技馆、学校礼堂、社区活动中心等场所。</w:t>
      </w:r>
    </w:p>
    <w:p w14:paraId="5DAE434F">
      <w:pPr>
        <w:pStyle w:val="164"/>
      </w:pPr>
      <w:r>
        <w:rPr>
          <w:rFonts w:hint="eastAsia"/>
        </w:rPr>
        <w:t>宜为老人、幼儿、残障人士、孕妇等特殊人群提供人性化设施，配备必要的无障碍设施。</w:t>
      </w:r>
    </w:p>
    <w:p w14:paraId="0B16AC8D">
      <w:pPr>
        <w:pStyle w:val="164"/>
        <w:rPr>
          <w:rFonts w:ascii="黑体" w:eastAsia="黑体"/>
        </w:rPr>
      </w:pPr>
      <w:r>
        <w:rPr>
          <w:rFonts w:hint="eastAsia"/>
        </w:rPr>
        <w:t>室内</w:t>
      </w:r>
      <w:r>
        <w:t>活动场地消防</w:t>
      </w:r>
      <w:r>
        <w:rPr>
          <w:rFonts w:hint="eastAsia"/>
        </w:rPr>
        <w:t>安全标识设置应符合</w:t>
      </w:r>
      <w:r>
        <w:t>GB 13495.3</w:t>
      </w:r>
      <w:r>
        <w:rPr>
          <w:rFonts w:hint="eastAsia"/>
        </w:rPr>
        <w:t>的要求，公共</w:t>
      </w:r>
      <w:r>
        <w:t>标识</w:t>
      </w:r>
      <w:r>
        <w:rPr>
          <w:rFonts w:hint="eastAsia"/>
        </w:rPr>
        <w:t>应符合</w:t>
      </w:r>
      <w:r>
        <w:t>GB/T 10001</w:t>
      </w:r>
      <w:r>
        <w:rPr>
          <w:rFonts w:hint="eastAsia"/>
        </w:rPr>
        <w:t>的要求</w:t>
      </w:r>
      <w:r>
        <w:t>。</w:t>
      </w:r>
    </w:p>
    <w:p w14:paraId="517A142C">
      <w:pPr>
        <w:pStyle w:val="164"/>
        <w:rPr>
          <w:rFonts w:ascii="黑体" w:eastAsia="黑体"/>
        </w:rPr>
      </w:pPr>
      <w:r>
        <w:t>对于户外科普活动，应提前了解天气情况，</w:t>
      </w:r>
      <w:r>
        <w:rPr>
          <w:rFonts w:hint="eastAsia"/>
        </w:rPr>
        <w:t>针对恶劣天气，制定应对方案。</w:t>
      </w:r>
    </w:p>
    <w:p w14:paraId="5364BD17">
      <w:pPr>
        <w:pStyle w:val="65"/>
        <w:spacing w:before="120" w:after="120"/>
      </w:pPr>
      <w:r>
        <w:rPr>
          <w:rFonts w:hint="eastAsia"/>
        </w:rPr>
        <w:t>应急管理与风险防控</w:t>
      </w:r>
    </w:p>
    <w:p w14:paraId="5AB7103E">
      <w:pPr>
        <w:pStyle w:val="164"/>
      </w:pPr>
      <w:r>
        <w:rPr>
          <w:rFonts w:hint="eastAsia"/>
        </w:rPr>
        <w:t>活动筹备阶段应开展专项风险辨识与安全隐患排查，结合活动形式、场地条件、参与人员、季节气候、周边环境等要素，重点排查安全风险，形成风险排查台账。</w:t>
      </w:r>
    </w:p>
    <w:p w14:paraId="3BF70226">
      <w:pPr>
        <w:pStyle w:val="164"/>
      </w:pPr>
      <w:r>
        <w:rPr>
          <w:rFonts w:hint="eastAsia"/>
        </w:rPr>
        <w:t>不应在自然保护地核心区、生态敏感区、地质灾害隐患点、未开发危险区域组织开展户外生态科普、野外研学、自然踏勘等室外活动。</w:t>
      </w:r>
    </w:p>
    <w:p w14:paraId="0E1A4DAA">
      <w:pPr>
        <w:pStyle w:val="164"/>
      </w:pPr>
      <w:r>
        <w:rPr>
          <w:rFonts w:hint="eastAsia"/>
        </w:rPr>
        <w:t>实操类科普活动应严格管控实验耗材、器具及用电用水安全，避免使用剧毒、易燃、易爆、强腐蚀性等危险物品。活动前应完成设备安全检查。</w:t>
      </w:r>
    </w:p>
    <w:p w14:paraId="22222EC7">
      <w:pPr>
        <w:pStyle w:val="164"/>
      </w:pPr>
      <w:r>
        <w:t>野外活动</w:t>
      </w:r>
      <w:r>
        <w:rPr>
          <w:rFonts w:hint="eastAsia"/>
        </w:rPr>
        <w:t>应</w:t>
      </w:r>
      <w:r>
        <w:t>额外配备应急通讯、救援防护、防暑防寒、防生物侵扰物资。应急物资实行专人管理、定点存放、事前核验，确保随时可用。</w:t>
      </w:r>
    </w:p>
    <w:p w14:paraId="14694EBB">
      <w:pPr>
        <w:pStyle w:val="164"/>
      </w:pPr>
      <w:r>
        <w:t>按需制定专项突发事件应急预案，覆盖各类突发事件，明确应急组织机构、岗位职责、处置流程、疏散路线、联络方式、救援流程、善后处置等核心内容，确保预案具备针对性、可操作性</w:t>
      </w:r>
      <w:r>
        <w:rPr>
          <w:rFonts w:hint="eastAsia"/>
        </w:rPr>
        <w:t>。</w:t>
      </w:r>
    </w:p>
    <w:p w14:paraId="26FE0585">
      <w:pPr>
        <w:pStyle w:val="65"/>
        <w:spacing w:before="120" w:after="120"/>
      </w:pPr>
      <w:r>
        <w:rPr>
          <w:rFonts w:hint="eastAsia"/>
        </w:rPr>
        <w:t>宣传预告</w:t>
      </w:r>
    </w:p>
    <w:p w14:paraId="7A2691E2">
      <w:pPr>
        <w:pStyle w:val="164"/>
      </w:pPr>
      <w:r>
        <w:rPr>
          <w:rFonts w:hint="eastAsia"/>
        </w:rPr>
        <w:t>明确活动时间、地点及参与人群，突出活动的特色与亮点，公开多个参与渠道。</w:t>
      </w:r>
    </w:p>
    <w:p w14:paraId="34B791C0">
      <w:pPr>
        <w:pStyle w:val="164"/>
      </w:pPr>
      <w:r>
        <w:t>开展活动宣传推广，通过新媒体、社区公告、学校通知、企业内部宣传等渠道，向受众宣传活动信息，吸引公众参与，扩大活动影响力。</w:t>
      </w:r>
    </w:p>
    <w:p w14:paraId="015F35F7">
      <w:pPr>
        <w:pStyle w:val="105"/>
        <w:spacing w:before="120" w:after="120"/>
      </w:pPr>
      <w:r>
        <w:rPr>
          <w:rFonts w:hint="eastAsia"/>
        </w:rPr>
        <w:t>现场实施</w:t>
      </w:r>
    </w:p>
    <w:p w14:paraId="3CA5F596">
      <w:pPr>
        <w:pStyle w:val="165"/>
      </w:pPr>
      <w:r>
        <w:t>工作人员应提前到达活动现场，做好签到、引导、秩序维护等工作，热情接待受众，提供必要的服务。</w:t>
      </w:r>
    </w:p>
    <w:p w14:paraId="214E20C8">
      <w:pPr>
        <w:pStyle w:val="165"/>
        <w:rPr>
          <w:rFonts w:hint="eastAsia"/>
        </w:rPr>
      </w:pPr>
      <w:r>
        <w:rPr>
          <w:rFonts w:hint="eastAsia"/>
        </w:rPr>
        <w:t>现场宜设置醒目的指示牌，安排专人维持现场秩序，</w:t>
      </w:r>
      <w:r>
        <w:t>特别是未成年人、老年人等特殊群体，应加强对受众的安全引导，</w:t>
      </w:r>
      <w:r>
        <w:rPr>
          <w:rFonts w:hint="eastAsia"/>
        </w:rPr>
        <w:t>宜安排</w:t>
      </w:r>
      <w:r>
        <w:t>专人陪同，防止发生意外事故。</w:t>
      </w:r>
    </w:p>
    <w:p w14:paraId="4D4C51C0">
      <w:pPr>
        <w:pStyle w:val="165"/>
      </w:pPr>
      <w:r>
        <w:rPr>
          <w:rFonts w:hint="eastAsia"/>
        </w:rPr>
        <w:t>活动主办方应根据方案和流程有序开展活动，预防突发事件。</w:t>
      </w:r>
    </w:p>
    <w:p w14:paraId="03E91C54">
      <w:pPr>
        <w:pStyle w:val="165"/>
      </w:pPr>
      <w:r>
        <w:t>活动过程中，应做好照片、视频、文字等资料的收集工作，记录活动开展情况，为后续评估和归档提供依据。</w:t>
      </w:r>
    </w:p>
    <w:p w14:paraId="20F0735F">
      <w:pPr>
        <w:pStyle w:val="165"/>
      </w:pPr>
      <w:r>
        <w:rPr>
          <w:rFonts w:hint="eastAsia"/>
        </w:rPr>
        <w:t>针对大型活动，应</w:t>
      </w:r>
      <w:r>
        <w:t>配备必要的</w:t>
      </w:r>
      <w:r>
        <w:rPr>
          <w:rFonts w:hint="eastAsia"/>
        </w:rPr>
        <w:t>安全保卫人员、</w:t>
      </w:r>
      <w:r>
        <w:t>急救人员和急救药品，</w:t>
      </w:r>
      <w:r>
        <w:rPr>
          <w:rFonts w:hint="eastAsia"/>
        </w:rPr>
        <w:t>宜</w:t>
      </w:r>
      <w:r>
        <w:t>与附近医疗机构建立联动机制，确保突发疾病、意外伤害等情况能够及时处置。</w:t>
      </w:r>
    </w:p>
    <w:p w14:paraId="4386C779">
      <w:pPr>
        <w:pStyle w:val="165"/>
      </w:pPr>
      <w:r>
        <w:t>对活动所需的器材、科普材料、经费等物资进行妥善保管，建立物资管理制度，防止物资丢失、损坏或挪用，确保物资安全。</w:t>
      </w:r>
    </w:p>
    <w:p w14:paraId="249F3D22">
      <w:pPr>
        <w:pStyle w:val="165"/>
      </w:pPr>
      <w:r>
        <w:t>如有条件，可以现场活动为依托，开展相配套的线上活动</w:t>
      </w:r>
      <w:r>
        <w:rPr>
          <w:rFonts w:hint="eastAsia"/>
        </w:rPr>
        <w:t>，</w:t>
      </w:r>
      <w:r>
        <w:t>包括但不限于活动相关的现场直播、远程会议、视频录制上传、网络评选、线上调研、线上知识竞赛等，通过线下线上相结合的方式</w:t>
      </w:r>
      <w:r>
        <w:rPr>
          <w:rFonts w:hint="eastAsia"/>
        </w:rPr>
        <w:t>，</w:t>
      </w:r>
      <w:r>
        <w:t>扩大活动覆盖面。</w:t>
      </w:r>
    </w:p>
    <w:p w14:paraId="0BF90278">
      <w:pPr>
        <w:pStyle w:val="105"/>
        <w:spacing w:before="120" w:after="120"/>
      </w:pPr>
      <w:r>
        <w:rPr>
          <w:rFonts w:hint="eastAsia"/>
        </w:rPr>
        <w:t>活动结束</w:t>
      </w:r>
    </w:p>
    <w:p w14:paraId="6AE06326">
      <w:pPr>
        <w:pStyle w:val="165"/>
      </w:pPr>
      <w:r>
        <w:rPr>
          <w:rFonts w:hint="eastAsia"/>
        </w:rPr>
        <w:t>有序组织好人员的离场工作，对于特殊人群应给予特殊照顾。</w:t>
      </w:r>
    </w:p>
    <w:p w14:paraId="3D48936E">
      <w:pPr>
        <w:pStyle w:val="165"/>
      </w:pPr>
      <w:r>
        <w:rPr>
          <w:rFonts w:hint="eastAsia"/>
        </w:rPr>
        <w:t>对现场的遗留物资进行清点与回收，同时将垃圾进行妥善处理。</w:t>
      </w:r>
    </w:p>
    <w:p w14:paraId="244CA8B9">
      <w:pPr>
        <w:pStyle w:val="165"/>
      </w:pPr>
      <w:r>
        <w:rPr>
          <w:rFonts w:hint="eastAsia"/>
        </w:rPr>
        <w:t>离场时对水电等容易产生安全事故的设备设施进行检查。</w:t>
      </w:r>
    </w:p>
    <w:p w14:paraId="69B44822">
      <w:pPr>
        <w:pStyle w:val="165"/>
      </w:pPr>
      <w:r>
        <w:t>及时向受众收集公众对活动的意见和建议， 对活动实施过程中出现的问题进行总结，分析原因，制定改进措施，完善活动组织流程。</w:t>
      </w:r>
    </w:p>
    <w:p w14:paraId="44401D43">
      <w:pPr>
        <w:pStyle w:val="104"/>
        <w:spacing w:before="240" w:after="240"/>
      </w:pPr>
      <w:r>
        <w:rPr>
          <w:rFonts w:hint="eastAsia"/>
        </w:rPr>
        <w:t>评价与持续改进</w:t>
      </w:r>
    </w:p>
    <w:p w14:paraId="6AAF762B">
      <w:pPr>
        <w:pStyle w:val="105"/>
        <w:spacing w:before="120" w:after="120"/>
      </w:pPr>
      <w:r>
        <w:rPr>
          <w:rFonts w:hint="eastAsia"/>
        </w:rPr>
        <w:t>评价方法</w:t>
      </w:r>
    </w:p>
    <w:p w14:paraId="68553FDD">
      <w:pPr>
        <w:pStyle w:val="165"/>
      </w:pPr>
      <w:r>
        <w:rPr>
          <w:rFonts w:hint="eastAsia"/>
        </w:rPr>
        <w:t>应根据评价指标的不同性质，综合运用问卷调查、访谈与座谈、观察与记录等多种方法收集数据、获取反馈。</w:t>
      </w:r>
    </w:p>
    <w:p w14:paraId="297FDEDF">
      <w:pPr>
        <w:pStyle w:val="165"/>
      </w:pPr>
      <w:r>
        <w:rPr>
          <w:rFonts w:hint="eastAsia"/>
        </w:rPr>
        <w:t>问卷调查应符合下列要求：</w:t>
      </w:r>
    </w:p>
    <w:p w14:paraId="2995E5D5">
      <w:pPr>
        <w:pStyle w:val="132"/>
      </w:pPr>
      <w:r>
        <w:rPr>
          <w:rFonts w:hint="eastAsia"/>
        </w:rPr>
        <w:t>能够收集公众满意度、知识点掌握情况、态度与行为意向变化；</w:t>
      </w:r>
    </w:p>
    <w:p w14:paraId="769EE787">
      <w:pPr>
        <w:pStyle w:val="132"/>
      </w:pPr>
      <w:r>
        <w:rPr>
          <w:rFonts w:hint="eastAsia"/>
        </w:rPr>
        <w:t>问卷设计应简洁明了，问题指向明确。样本量应具有代表性，覆盖不同年龄、性别、职业的受众。</w:t>
      </w:r>
    </w:p>
    <w:p w14:paraId="49252D5D">
      <w:pPr>
        <w:pStyle w:val="165"/>
      </w:pPr>
      <w:bookmarkStart w:id="60" w:name="OLE_LINK7"/>
      <w:r>
        <w:rPr>
          <w:rFonts w:hint="eastAsia"/>
        </w:rPr>
        <w:t>访谈与座谈</w:t>
      </w:r>
      <w:bookmarkEnd w:id="60"/>
      <w:r>
        <w:rPr>
          <w:rFonts w:hint="eastAsia"/>
        </w:rPr>
        <w:t>应符合下列要求：</w:t>
      </w:r>
    </w:p>
    <w:p w14:paraId="324A246C">
      <w:pPr>
        <w:pStyle w:val="132"/>
      </w:pPr>
      <w:r>
        <w:rPr>
          <w:rFonts w:hint="eastAsia"/>
        </w:rPr>
        <w:t>能够深入了解公众的真实感受、建议及背后的原因；</w:t>
      </w:r>
    </w:p>
    <w:p w14:paraId="616422B1">
      <w:pPr>
        <w:pStyle w:val="132"/>
      </w:pPr>
      <w:r>
        <w:rPr>
          <w:rFonts w:hint="eastAsia"/>
        </w:rPr>
        <w:t>可选择典型受众进行一对一访谈，可邀请专家、媒体、合作方召开座谈会，收集专业视角的反馈意见。</w:t>
      </w:r>
    </w:p>
    <w:p w14:paraId="5993C9E0">
      <w:pPr>
        <w:pStyle w:val="165"/>
      </w:pPr>
      <w:r>
        <w:rPr>
          <w:rFonts w:hint="eastAsia"/>
        </w:rPr>
        <w:t>观察与记录应符合下列要求：</w:t>
      </w:r>
    </w:p>
    <w:p w14:paraId="15B46D98">
      <w:pPr>
        <w:pStyle w:val="132"/>
      </w:pPr>
      <w:r>
        <w:rPr>
          <w:rFonts w:hint="eastAsia"/>
        </w:rPr>
        <w:t>能够反映活动现场的参与热情、互动深度及行为表现；</w:t>
      </w:r>
    </w:p>
    <w:p w14:paraId="45DD242E">
      <w:pPr>
        <w:pStyle w:val="132"/>
        <w:rPr>
          <w:color w:val="auto"/>
        </w:rPr>
      </w:pPr>
      <w:r>
        <w:rPr>
          <w:rFonts w:hint="eastAsia"/>
        </w:rPr>
        <w:t>安排专人记录公众在互动环节的反应、停留时间、提问质量等</w:t>
      </w:r>
      <w:r>
        <w:rPr>
          <w:rFonts w:hint="eastAsia"/>
          <w:color w:val="auto"/>
        </w:rPr>
        <w:t>；</w:t>
      </w:r>
    </w:p>
    <w:p w14:paraId="4FC1C8E2">
      <w:pPr>
        <w:pStyle w:val="132"/>
      </w:pPr>
      <w:r>
        <w:rPr>
          <w:rFonts w:hint="eastAsia"/>
        </w:rPr>
        <w:t>拍摄现场影像资料，作为定性分析的辅助素材。</w:t>
      </w:r>
    </w:p>
    <w:p w14:paraId="58446D94">
      <w:pPr>
        <w:pStyle w:val="105"/>
        <w:spacing w:before="120" w:after="120"/>
      </w:pPr>
      <w:r>
        <w:rPr>
          <w:rFonts w:hint="eastAsia"/>
        </w:rPr>
        <w:t>持续改进</w:t>
      </w:r>
    </w:p>
    <w:p w14:paraId="4E371632">
      <w:pPr>
        <w:pStyle w:val="165"/>
      </w:pPr>
      <w:r>
        <w:rPr>
          <w:rFonts w:hint="eastAsia"/>
        </w:rPr>
        <w:t>应依据评价结果，形成改进措施并应用于后续科普活动策划与实施中，</w:t>
      </w:r>
      <w:r>
        <w:t>持续优化活动流程、完善科普内容、创新活动形式，不断提升科普活动的质量和实效，建立长效改进机制。</w:t>
      </w:r>
    </w:p>
    <w:p w14:paraId="325B6836">
      <w:pPr>
        <w:pStyle w:val="165"/>
        <w:rPr>
          <w:rFonts w:ascii="黑体" w:eastAsia="黑体"/>
        </w:rPr>
      </w:pPr>
      <w:r>
        <w:t>定期对科普活动组织工作进行总结，积累经验，形成可复制、可推广的组织模式，推动生态环境科普工作高质量发展。</w:t>
      </w:r>
    </w:p>
    <w:p w14:paraId="77B9B69B">
      <w:pPr>
        <w:pStyle w:val="104"/>
        <w:spacing w:before="240" w:after="240"/>
      </w:pPr>
      <w:r>
        <w:rPr>
          <w:rFonts w:hint="eastAsia"/>
        </w:rPr>
        <w:t>档案管理</w:t>
      </w:r>
    </w:p>
    <w:p w14:paraId="2A9F5417">
      <w:pPr>
        <w:pStyle w:val="162"/>
      </w:pPr>
      <w:r>
        <w:rPr>
          <w:rFonts w:hint="eastAsia"/>
        </w:rPr>
        <w:t>应建立活动档案管理制度，档案范围包括从活动从策划到总结的全过程，并确保档案资料的完整、规范与可追溯。</w:t>
      </w:r>
    </w:p>
    <w:p w14:paraId="3D69D2E4">
      <w:pPr>
        <w:pStyle w:val="162"/>
      </w:pPr>
      <w:r>
        <w:t>应采用纸质和电子两种形式保管，纸质档案应妥善存放，防止损坏、丢失；电子档案应备份留存，确保可追溯</w:t>
      </w:r>
      <w:r>
        <w:rPr>
          <w:rFonts w:hint="eastAsia"/>
        </w:rPr>
        <w:t>，符合</w:t>
      </w:r>
      <w:r>
        <w:t>DA/T</w:t>
      </w:r>
      <w:r>
        <w:rPr>
          <w:rFonts w:hint="eastAsia"/>
        </w:rPr>
        <w:t xml:space="preserve"> </w:t>
      </w:r>
      <w:r>
        <w:t>89的要求</w:t>
      </w:r>
      <w:r>
        <w:rPr>
          <w:rFonts w:hint="eastAsia"/>
        </w:rPr>
        <w:t>。</w:t>
      </w:r>
    </w:p>
    <w:bookmarkEnd w:id="22"/>
    <w:p w14:paraId="1BD6A3E1">
      <w:pPr>
        <w:pStyle w:val="56"/>
        <w:ind w:firstLine="0" w:firstLineChars="0"/>
        <w:jc w:val="center"/>
      </w:pPr>
      <w:bookmarkStart w:id="61" w:name="BookMark8"/>
      <w:r>
        <w:rPr>
          <w:rFonts w:hint="eastAsia"/>
        </w:rPr>
        <w:drawing>
          <wp:inline distT="0" distB="0" distL="0" distR="0">
            <wp:extent cx="1485900" cy="317500"/>
            <wp:effectExtent l="0" t="0" r="0" b="6350"/>
            <wp:docPr id="1261644108" name="图片 1"/>
            <wp:cNvGraphicFramePr/>
            <a:graphic xmlns:a="http://schemas.openxmlformats.org/drawingml/2006/main">
              <a:graphicData uri="http://schemas.openxmlformats.org/drawingml/2006/picture">
                <pic:pic xmlns:pic="http://schemas.openxmlformats.org/drawingml/2006/picture">
                  <pic:nvPicPr>
                    <pic:cNvPr id="1261644108" name="图片 1"/>
                    <pic:cNvPicPr/>
                  </pic:nvPicPr>
                  <pic:blipFill>
                    <a:blip r:embed="rId22">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1"/>
    </w:p>
    <w:sectPr>
      <w:headerReference r:id="rId15" w:type="default"/>
      <w:footerReference r:id="rId17" w:type="default"/>
      <w:headerReference r:id="rId16" w:type="even"/>
      <w:footerReference r:id="rId18"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B37AE">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53148">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5C4EC">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6F15C">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3FFD1">
    <w:pPr>
      <w:pStyle w:val="51"/>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D71C5">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A40250">
    <w:pPr>
      <w:pStyle w:val="51"/>
    </w:pPr>
    <w:r>
      <w:fldChar w:fldCharType="begin"/>
    </w:r>
    <w:r>
      <w:instrText xml:space="preserve"> PAGE   \* MERGEFORMAT \* MERGEFORMAT </w:instrText>
    </w:r>
    <w:r>
      <w:fldChar w:fldCharType="separate"/>
    </w:r>
    <w: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7776F">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109A7">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2253A">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7C883C">
    <w:pPr>
      <w:pStyle w:val="61"/>
      <w:rPr>
        <w:rFonts w:hint="eastAsia"/>
      </w:rPr>
    </w:pPr>
    <w:r>
      <w:fldChar w:fldCharType="begin"/>
    </w:r>
    <w:r>
      <w:instrText xml:space="preserve"> STYLEREF  标准文件_文件编号  \* MERGEFORMAT </w:instrText>
    </w:r>
    <w:r>
      <w:fldChar w:fldCharType="separate"/>
    </w:r>
    <w:r>
      <w:t>T/GBC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72702">
    <w:pPr>
      <w:pStyle w:val="62"/>
      <w:rPr>
        <w:rFonts w:hint="eastAsia"/>
      </w:rPr>
    </w:pPr>
    <w:r>
      <w:fldChar w:fldCharType="begin"/>
    </w:r>
    <w:r>
      <w:instrText xml:space="preserve"> STYLEREF  标准文件_文件编号 \* MERGEFORMAT </w:instrText>
    </w:r>
    <w:r>
      <w:fldChar w:fldCharType="separate"/>
    </w:r>
    <w:r>
      <w:t>T/GBC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60153">
    <w:pPr>
      <w:pStyle w:val="61"/>
      <w:rPr>
        <w:rFonts w:hint="eastAsia"/>
      </w:rPr>
    </w:pPr>
    <w:r>
      <w:fldChar w:fldCharType="begin"/>
    </w:r>
    <w:r>
      <w:instrText xml:space="preserve"> STYLEREF  标准文件_文件编号  \* MERGEFORMAT </w:instrText>
    </w:r>
    <w:r>
      <w:fldChar w:fldCharType="separate"/>
    </w:r>
    <w:r>
      <w:t>T/GBC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63D5C">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T/GBC XXXX—2026</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3347"/>
        </w:tabs>
        <w:ind w:left="3347" w:hanging="648"/>
      </w:pPr>
    </w:lvl>
    <w:lvl w:ilvl="1" w:tentative="0">
      <w:start w:val="1"/>
      <w:numFmt w:val="lowerLetter"/>
      <w:lvlText w:val="%2)"/>
      <w:lvlJc w:val="left"/>
      <w:pPr>
        <w:tabs>
          <w:tab w:val="left" w:pos="3539"/>
        </w:tabs>
        <w:ind w:left="3539" w:hanging="420"/>
      </w:pPr>
    </w:lvl>
    <w:lvl w:ilvl="2" w:tentative="0">
      <w:start w:val="1"/>
      <w:numFmt w:val="lowerRoman"/>
      <w:lvlText w:val="%3."/>
      <w:lvlJc w:val="right"/>
      <w:pPr>
        <w:tabs>
          <w:tab w:val="left" w:pos="3959"/>
        </w:tabs>
        <w:ind w:left="3959" w:hanging="420"/>
      </w:pPr>
    </w:lvl>
    <w:lvl w:ilvl="3" w:tentative="0">
      <w:start w:val="1"/>
      <w:numFmt w:val="decimal"/>
      <w:lvlText w:val="%4."/>
      <w:lvlJc w:val="left"/>
      <w:pPr>
        <w:tabs>
          <w:tab w:val="left" w:pos="4379"/>
        </w:tabs>
        <w:ind w:left="4379" w:hanging="420"/>
      </w:pPr>
    </w:lvl>
    <w:lvl w:ilvl="4" w:tentative="0">
      <w:start w:val="1"/>
      <w:numFmt w:val="lowerLetter"/>
      <w:lvlText w:val="%5)"/>
      <w:lvlJc w:val="left"/>
      <w:pPr>
        <w:tabs>
          <w:tab w:val="left" w:pos="4799"/>
        </w:tabs>
        <w:ind w:left="4799" w:hanging="420"/>
      </w:pPr>
    </w:lvl>
    <w:lvl w:ilvl="5" w:tentative="0">
      <w:start w:val="1"/>
      <w:numFmt w:val="lowerRoman"/>
      <w:lvlText w:val="%6."/>
      <w:lvlJc w:val="right"/>
      <w:pPr>
        <w:tabs>
          <w:tab w:val="left" w:pos="5219"/>
        </w:tabs>
        <w:ind w:left="5219" w:hanging="420"/>
      </w:pPr>
    </w:lvl>
    <w:lvl w:ilvl="6" w:tentative="0">
      <w:start w:val="1"/>
      <w:numFmt w:val="decimal"/>
      <w:lvlText w:val="%7."/>
      <w:lvlJc w:val="left"/>
      <w:pPr>
        <w:tabs>
          <w:tab w:val="left" w:pos="5639"/>
        </w:tabs>
        <w:ind w:left="5639" w:hanging="420"/>
      </w:pPr>
    </w:lvl>
    <w:lvl w:ilvl="7" w:tentative="0">
      <w:start w:val="1"/>
      <w:numFmt w:val="lowerLetter"/>
      <w:lvlText w:val="%8)"/>
      <w:lvlJc w:val="left"/>
      <w:pPr>
        <w:tabs>
          <w:tab w:val="left" w:pos="6059"/>
        </w:tabs>
        <w:ind w:left="6059" w:hanging="420"/>
      </w:pPr>
    </w:lvl>
    <w:lvl w:ilvl="8" w:tentative="0">
      <w:start w:val="1"/>
      <w:numFmt w:val="lowerRoman"/>
      <w:lvlText w:val="%9."/>
      <w:lvlJc w:val="right"/>
      <w:pPr>
        <w:tabs>
          <w:tab w:val="left" w:pos="6479"/>
        </w:tabs>
        <w:ind w:left="647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1986"/>
        </w:tabs>
        <w:ind w:left="1986" w:hanging="426"/>
      </w:pPr>
      <w:rPr>
        <w:rFonts w:hint="eastAsia" w:ascii="宋体" w:hAnsi="Times New Roman" w:eastAsia="宋体"/>
        <w:b w:val="0"/>
        <w:i w:val="0"/>
        <w:sz w:val="21"/>
        <w:lang w:val="en-US"/>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2269" w:firstLine="0"/>
      </w:pPr>
      <w:rPr>
        <w:rFonts w:hint="eastAsia" w:ascii="黑体" w:eastAsia="黑体"/>
        <w:b w:val="0"/>
        <w:i w:val="0"/>
        <w:sz w:val="21"/>
        <w:lang w:eastAsia="zh-CN"/>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1" w:cryptProviderType="rsaAES" w:cryptAlgorithmClass="hash" w:cryptAlgorithmType="typeAny" w:cryptAlgorithmSid="14" w:cryptSpinCount="100000" w:hash="cXOoG97lQL7zloBCioSJeIPGBWRhSUpwpn+cI7+o6UX6MgjYjiqvbYHp6ry0+X0nL0L0vQ+gEHJvTCSJ/nPqNA==" w:salt="MvZFIAgMH/K1Cys4b9/4UA=="/>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38A"/>
    <w:rsid w:val="0000040A"/>
    <w:rsid w:val="00000A94"/>
    <w:rsid w:val="00001972"/>
    <w:rsid w:val="00001D9A"/>
    <w:rsid w:val="00002355"/>
    <w:rsid w:val="00004E24"/>
    <w:rsid w:val="00007B3A"/>
    <w:rsid w:val="000107E0"/>
    <w:rsid w:val="00011FDE"/>
    <w:rsid w:val="00012FFD"/>
    <w:rsid w:val="00014162"/>
    <w:rsid w:val="00014340"/>
    <w:rsid w:val="00016A9C"/>
    <w:rsid w:val="00022184"/>
    <w:rsid w:val="00022762"/>
    <w:rsid w:val="000238E0"/>
    <w:rsid w:val="000249DB"/>
    <w:rsid w:val="0002595E"/>
    <w:rsid w:val="000303C3"/>
    <w:rsid w:val="0003190A"/>
    <w:rsid w:val="00032FB2"/>
    <w:rsid w:val="000331D3"/>
    <w:rsid w:val="000346A5"/>
    <w:rsid w:val="000359C3"/>
    <w:rsid w:val="00035A7D"/>
    <w:rsid w:val="00035C85"/>
    <w:rsid w:val="000365ED"/>
    <w:rsid w:val="0004249A"/>
    <w:rsid w:val="000427A2"/>
    <w:rsid w:val="00043282"/>
    <w:rsid w:val="00044286"/>
    <w:rsid w:val="00047F28"/>
    <w:rsid w:val="000503AA"/>
    <w:rsid w:val="000506A1"/>
    <w:rsid w:val="000515DD"/>
    <w:rsid w:val="0005265A"/>
    <w:rsid w:val="000539DD"/>
    <w:rsid w:val="00053BD3"/>
    <w:rsid w:val="00054E3A"/>
    <w:rsid w:val="000556ED"/>
    <w:rsid w:val="00055FE2"/>
    <w:rsid w:val="0005616F"/>
    <w:rsid w:val="00060C2E"/>
    <w:rsid w:val="00061033"/>
    <w:rsid w:val="000619E9"/>
    <w:rsid w:val="000622D4"/>
    <w:rsid w:val="0006357D"/>
    <w:rsid w:val="00063DF3"/>
    <w:rsid w:val="0006490E"/>
    <w:rsid w:val="00067EE3"/>
    <w:rsid w:val="00067F1E"/>
    <w:rsid w:val="00071CC0"/>
    <w:rsid w:val="00071CFC"/>
    <w:rsid w:val="000738B3"/>
    <w:rsid w:val="00073C8C"/>
    <w:rsid w:val="00077B64"/>
    <w:rsid w:val="00080A1C"/>
    <w:rsid w:val="00082317"/>
    <w:rsid w:val="00083D2C"/>
    <w:rsid w:val="00086AA1"/>
    <w:rsid w:val="00087A77"/>
    <w:rsid w:val="00090CA6"/>
    <w:rsid w:val="00092B8A"/>
    <w:rsid w:val="00092FB0"/>
    <w:rsid w:val="000934C5"/>
    <w:rsid w:val="000935CB"/>
    <w:rsid w:val="00093D25"/>
    <w:rsid w:val="00093DAB"/>
    <w:rsid w:val="00094D73"/>
    <w:rsid w:val="00096D63"/>
    <w:rsid w:val="000A0B60"/>
    <w:rsid w:val="000A0EB8"/>
    <w:rsid w:val="000A19FC"/>
    <w:rsid w:val="000A296B"/>
    <w:rsid w:val="000A5C61"/>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38A"/>
    <w:rsid w:val="000F67E9"/>
    <w:rsid w:val="00104926"/>
    <w:rsid w:val="001113B5"/>
    <w:rsid w:val="00111F5D"/>
    <w:rsid w:val="00113B1E"/>
    <w:rsid w:val="0011711C"/>
    <w:rsid w:val="00124E4F"/>
    <w:rsid w:val="001260B7"/>
    <w:rsid w:val="001265CB"/>
    <w:rsid w:val="00127756"/>
    <w:rsid w:val="0013005B"/>
    <w:rsid w:val="00131025"/>
    <w:rsid w:val="001321C6"/>
    <w:rsid w:val="001325C4"/>
    <w:rsid w:val="00133010"/>
    <w:rsid w:val="001338EE"/>
    <w:rsid w:val="00133AAE"/>
    <w:rsid w:val="00135323"/>
    <w:rsid w:val="001356C4"/>
    <w:rsid w:val="00137565"/>
    <w:rsid w:val="00141114"/>
    <w:rsid w:val="00142969"/>
    <w:rsid w:val="00144513"/>
    <w:rsid w:val="001446C2"/>
    <w:rsid w:val="00144F6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110E"/>
    <w:rsid w:val="0017116D"/>
    <w:rsid w:val="0017340B"/>
    <w:rsid w:val="00173728"/>
    <w:rsid w:val="00173FB1"/>
    <w:rsid w:val="0017532D"/>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69B7"/>
    <w:rsid w:val="001B71D0"/>
    <w:rsid w:val="001B71EE"/>
    <w:rsid w:val="001C04A8"/>
    <w:rsid w:val="001C2C03"/>
    <w:rsid w:val="001C42F7"/>
    <w:rsid w:val="001C49E5"/>
    <w:rsid w:val="001C680C"/>
    <w:rsid w:val="001C7FEA"/>
    <w:rsid w:val="001D0499"/>
    <w:rsid w:val="001D0BBE"/>
    <w:rsid w:val="001D0ED4"/>
    <w:rsid w:val="001D212F"/>
    <w:rsid w:val="001D252D"/>
    <w:rsid w:val="001D29D7"/>
    <w:rsid w:val="001D2D19"/>
    <w:rsid w:val="001D2DE7"/>
    <w:rsid w:val="001D411C"/>
    <w:rsid w:val="001E1B6A"/>
    <w:rsid w:val="001E2484"/>
    <w:rsid w:val="001E3CC4"/>
    <w:rsid w:val="001E4882"/>
    <w:rsid w:val="001E73AB"/>
    <w:rsid w:val="001F06C3"/>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854"/>
    <w:rsid w:val="00210B15"/>
    <w:rsid w:val="002142EA"/>
    <w:rsid w:val="00215ADD"/>
    <w:rsid w:val="00217B5B"/>
    <w:rsid w:val="002204BB"/>
    <w:rsid w:val="00221B79"/>
    <w:rsid w:val="00221C6B"/>
    <w:rsid w:val="002253A1"/>
    <w:rsid w:val="00225CF8"/>
    <w:rsid w:val="0022794E"/>
    <w:rsid w:val="00233D64"/>
    <w:rsid w:val="0023482A"/>
    <w:rsid w:val="002359CB"/>
    <w:rsid w:val="00243540"/>
    <w:rsid w:val="0024497B"/>
    <w:rsid w:val="00244A4A"/>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75221"/>
    <w:rsid w:val="00280A2E"/>
    <w:rsid w:val="00281BB8"/>
    <w:rsid w:val="00281E9E"/>
    <w:rsid w:val="00282405"/>
    <w:rsid w:val="00285170"/>
    <w:rsid w:val="00285361"/>
    <w:rsid w:val="00285DD0"/>
    <w:rsid w:val="00292D60"/>
    <w:rsid w:val="00293B30"/>
    <w:rsid w:val="00294D34"/>
    <w:rsid w:val="00294E3B"/>
    <w:rsid w:val="002960E1"/>
    <w:rsid w:val="00296193"/>
    <w:rsid w:val="00296C66"/>
    <w:rsid w:val="00296EBE"/>
    <w:rsid w:val="002974E3"/>
    <w:rsid w:val="002A084B"/>
    <w:rsid w:val="002A1260"/>
    <w:rsid w:val="002A1589"/>
    <w:rsid w:val="002A1608"/>
    <w:rsid w:val="002A25DC"/>
    <w:rsid w:val="002A3AAB"/>
    <w:rsid w:val="002A4CEA"/>
    <w:rsid w:val="002A5977"/>
    <w:rsid w:val="002A5A13"/>
    <w:rsid w:val="002A727F"/>
    <w:rsid w:val="002A757F"/>
    <w:rsid w:val="002A7F44"/>
    <w:rsid w:val="002B0C40"/>
    <w:rsid w:val="002B1966"/>
    <w:rsid w:val="002B4508"/>
    <w:rsid w:val="002B5779"/>
    <w:rsid w:val="002B7332"/>
    <w:rsid w:val="002B7F51"/>
    <w:rsid w:val="002C09E7"/>
    <w:rsid w:val="002C1108"/>
    <w:rsid w:val="002C1E06"/>
    <w:rsid w:val="002C3F07"/>
    <w:rsid w:val="002C4F6A"/>
    <w:rsid w:val="002C5278"/>
    <w:rsid w:val="002C7EBB"/>
    <w:rsid w:val="002D06C1"/>
    <w:rsid w:val="002D42B5"/>
    <w:rsid w:val="002D4F1A"/>
    <w:rsid w:val="002D6DB7"/>
    <w:rsid w:val="002D6EC6"/>
    <w:rsid w:val="002D79AC"/>
    <w:rsid w:val="002E039D"/>
    <w:rsid w:val="002E47A6"/>
    <w:rsid w:val="002E4D5A"/>
    <w:rsid w:val="002E6326"/>
    <w:rsid w:val="002E6B90"/>
    <w:rsid w:val="002F30E0"/>
    <w:rsid w:val="002F35E4"/>
    <w:rsid w:val="002F3730"/>
    <w:rsid w:val="002F38E1"/>
    <w:rsid w:val="002F7AF6"/>
    <w:rsid w:val="002F7EB2"/>
    <w:rsid w:val="00300E63"/>
    <w:rsid w:val="00302F5F"/>
    <w:rsid w:val="0030441D"/>
    <w:rsid w:val="0030491C"/>
    <w:rsid w:val="00306063"/>
    <w:rsid w:val="0030619B"/>
    <w:rsid w:val="00313B85"/>
    <w:rsid w:val="00317988"/>
    <w:rsid w:val="003221B4"/>
    <w:rsid w:val="0032258D"/>
    <w:rsid w:val="00322E62"/>
    <w:rsid w:val="00323456"/>
    <w:rsid w:val="00324D13"/>
    <w:rsid w:val="00324EDD"/>
    <w:rsid w:val="003331E4"/>
    <w:rsid w:val="0033534B"/>
    <w:rsid w:val="00336C64"/>
    <w:rsid w:val="00337162"/>
    <w:rsid w:val="00337D0B"/>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1F7"/>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5B3D"/>
    <w:rsid w:val="003B09AD"/>
    <w:rsid w:val="003B1F18"/>
    <w:rsid w:val="003B46DE"/>
    <w:rsid w:val="003B5BF0"/>
    <w:rsid w:val="003B60BF"/>
    <w:rsid w:val="003B6BE3"/>
    <w:rsid w:val="003C010C"/>
    <w:rsid w:val="003C0A6C"/>
    <w:rsid w:val="003C14F8"/>
    <w:rsid w:val="003C5A43"/>
    <w:rsid w:val="003D0519"/>
    <w:rsid w:val="003D0FF6"/>
    <w:rsid w:val="003D262C"/>
    <w:rsid w:val="003D6D61"/>
    <w:rsid w:val="003E019F"/>
    <w:rsid w:val="003E091D"/>
    <w:rsid w:val="003E19F0"/>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2B5C"/>
    <w:rsid w:val="0044546A"/>
    <w:rsid w:val="00445574"/>
    <w:rsid w:val="004467FB"/>
    <w:rsid w:val="0044697A"/>
    <w:rsid w:val="00452D6B"/>
    <w:rsid w:val="00454484"/>
    <w:rsid w:val="0045517B"/>
    <w:rsid w:val="00463B77"/>
    <w:rsid w:val="00463C7B"/>
    <w:rsid w:val="004644A6"/>
    <w:rsid w:val="004659BD"/>
    <w:rsid w:val="00470775"/>
    <w:rsid w:val="004740CB"/>
    <w:rsid w:val="004746B1"/>
    <w:rsid w:val="0047583F"/>
    <w:rsid w:val="00475DE8"/>
    <w:rsid w:val="00481C44"/>
    <w:rsid w:val="00483213"/>
    <w:rsid w:val="0048387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14DE"/>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54A"/>
    <w:rsid w:val="004F696E"/>
    <w:rsid w:val="004F6C71"/>
    <w:rsid w:val="00500407"/>
    <w:rsid w:val="00501139"/>
    <w:rsid w:val="00501DDB"/>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0BE6"/>
    <w:rsid w:val="00533D04"/>
    <w:rsid w:val="00534804"/>
    <w:rsid w:val="00534BDF"/>
    <w:rsid w:val="005354EA"/>
    <w:rsid w:val="0053585F"/>
    <w:rsid w:val="00535EC4"/>
    <w:rsid w:val="00535ED9"/>
    <w:rsid w:val="0053692B"/>
    <w:rsid w:val="005373D3"/>
    <w:rsid w:val="00541853"/>
    <w:rsid w:val="00543BDA"/>
    <w:rsid w:val="005441CC"/>
    <w:rsid w:val="0054448B"/>
    <w:rsid w:val="005479DA"/>
    <w:rsid w:val="00547BCC"/>
    <w:rsid w:val="0055013B"/>
    <w:rsid w:val="00551F6F"/>
    <w:rsid w:val="005536EC"/>
    <w:rsid w:val="00555044"/>
    <w:rsid w:val="00556BEB"/>
    <w:rsid w:val="005613B8"/>
    <w:rsid w:val="00561475"/>
    <w:rsid w:val="00562308"/>
    <w:rsid w:val="00562940"/>
    <w:rsid w:val="0056487B"/>
    <w:rsid w:val="00564FB9"/>
    <w:rsid w:val="00573D9E"/>
    <w:rsid w:val="005801E3"/>
    <w:rsid w:val="00581802"/>
    <w:rsid w:val="005836A8"/>
    <w:rsid w:val="0058409C"/>
    <w:rsid w:val="00584262"/>
    <w:rsid w:val="00584686"/>
    <w:rsid w:val="00586630"/>
    <w:rsid w:val="00587ADD"/>
    <w:rsid w:val="00590097"/>
    <w:rsid w:val="00593A49"/>
    <w:rsid w:val="00596160"/>
    <w:rsid w:val="0059618C"/>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2B5E"/>
    <w:rsid w:val="005C5F21"/>
    <w:rsid w:val="005C7156"/>
    <w:rsid w:val="005D0C75"/>
    <w:rsid w:val="005D4171"/>
    <w:rsid w:val="005D5F87"/>
    <w:rsid w:val="005D6A95"/>
    <w:rsid w:val="005D6B2C"/>
    <w:rsid w:val="005D6D9C"/>
    <w:rsid w:val="005E2335"/>
    <w:rsid w:val="005E34CA"/>
    <w:rsid w:val="005E3C18"/>
    <w:rsid w:val="005E4250"/>
    <w:rsid w:val="005E6812"/>
    <w:rsid w:val="005E7881"/>
    <w:rsid w:val="005E78E0"/>
    <w:rsid w:val="005F0D9C"/>
    <w:rsid w:val="005F284E"/>
    <w:rsid w:val="005F3E82"/>
    <w:rsid w:val="006015CE"/>
    <w:rsid w:val="006016A0"/>
    <w:rsid w:val="00604784"/>
    <w:rsid w:val="00606419"/>
    <w:rsid w:val="00607D29"/>
    <w:rsid w:val="00612952"/>
    <w:rsid w:val="00614CC1"/>
    <w:rsid w:val="00615A9D"/>
    <w:rsid w:val="00616644"/>
    <w:rsid w:val="00617387"/>
    <w:rsid w:val="006205D6"/>
    <w:rsid w:val="006252D8"/>
    <w:rsid w:val="006259BC"/>
    <w:rsid w:val="0062636B"/>
    <w:rsid w:val="00632182"/>
    <w:rsid w:val="00632AE0"/>
    <w:rsid w:val="00633C17"/>
    <w:rsid w:val="00634D9E"/>
    <w:rsid w:val="00636B28"/>
    <w:rsid w:val="00636E3E"/>
    <w:rsid w:val="006379F7"/>
    <w:rsid w:val="00637E4D"/>
    <w:rsid w:val="00640620"/>
    <w:rsid w:val="00641A1F"/>
    <w:rsid w:val="00641CB4"/>
    <w:rsid w:val="00645904"/>
    <w:rsid w:val="00651ACB"/>
    <w:rsid w:val="00651C47"/>
    <w:rsid w:val="00652AB2"/>
    <w:rsid w:val="00653FED"/>
    <w:rsid w:val="00654EC0"/>
    <w:rsid w:val="0065525B"/>
    <w:rsid w:val="00655D4F"/>
    <w:rsid w:val="00656D29"/>
    <w:rsid w:val="006640E5"/>
    <w:rsid w:val="006646F1"/>
    <w:rsid w:val="006648DB"/>
    <w:rsid w:val="00664929"/>
    <w:rsid w:val="00664F62"/>
    <w:rsid w:val="006655E1"/>
    <w:rsid w:val="00672060"/>
    <w:rsid w:val="006729C3"/>
    <w:rsid w:val="00672BFD"/>
    <w:rsid w:val="006770F4"/>
    <w:rsid w:val="006777D1"/>
    <w:rsid w:val="00677A84"/>
    <w:rsid w:val="0068026D"/>
    <w:rsid w:val="00680A27"/>
    <w:rsid w:val="006816A4"/>
    <w:rsid w:val="006819B8"/>
    <w:rsid w:val="006840A6"/>
    <w:rsid w:val="006850CD"/>
    <w:rsid w:val="00685AAB"/>
    <w:rsid w:val="006A07AA"/>
    <w:rsid w:val="006A1705"/>
    <w:rsid w:val="006A25E5"/>
    <w:rsid w:val="006A2B46"/>
    <w:rsid w:val="006A336D"/>
    <w:rsid w:val="006A37B9"/>
    <w:rsid w:val="006B2672"/>
    <w:rsid w:val="006B40E1"/>
    <w:rsid w:val="006B54BF"/>
    <w:rsid w:val="006B5F44"/>
    <w:rsid w:val="006B5F90"/>
    <w:rsid w:val="006B62E4"/>
    <w:rsid w:val="006B7D10"/>
    <w:rsid w:val="006C07B3"/>
    <w:rsid w:val="006C1BBA"/>
    <w:rsid w:val="006C2079"/>
    <w:rsid w:val="006C5A62"/>
    <w:rsid w:val="006C5D68"/>
    <w:rsid w:val="006C6976"/>
    <w:rsid w:val="006C6DD0"/>
    <w:rsid w:val="006D04EA"/>
    <w:rsid w:val="006D16C4"/>
    <w:rsid w:val="006D3E96"/>
    <w:rsid w:val="006D4515"/>
    <w:rsid w:val="006D4BB1"/>
    <w:rsid w:val="006D6593"/>
    <w:rsid w:val="006F03A8"/>
    <w:rsid w:val="006F2A44"/>
    <w:rsid w:val="006F2ACA"/>
    <w:rsid w:val="006F2ADC"/>
    <w:rsid w:val="006F2BFE"/>
    <w:rsid w:val="006F31E9"/>
    <w:rsid w:val="006F5E32"/>
    <w:rsid w:val="006F6284"/>
    <w:rsid w:val="007002C5"/>
    <w:rsid w:val="00701178"/>
    <w:rsid w:val="00704387"/>
    <w:rsid w:val="00707669"/>
    <w:rsid w:val="00711CBA"/>
    <w:rsid w:val="00711FB5"/>
    <w:rsid w:val="00712A01"/>
    <w:rsid w:val="0071468D"/>
    <w:rsid w:val="00714F58"/>
    <w:rsid w:val="007154E3"/>
    <w:rsid w:val="00721807"/>
    <w:rsid w:val="00722FBF"/>
    <w:rsid w:val="00722FC2"/>
    <w:rsid w:val="00724E1B"/>
    <w:rsid w:val="00725949"/>
    <w:rsid w:val="00727FA2"/>
    <w:rsid w:val="007305A1"/>
    <w:rsid w:val="007322D9"/>
    <w:rsid w:val="00732BC0"/>
    <w:rsid w:val="0073720F"/>
    <w:rsid w:val="00737796"/>
    <w:rsid w:val="0074115C"/>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BDE"/>
    <w:rsid w:val="00773C1F"/>
    <w:rsid w:val="00774DA4"/>
    <w:rsid w:val="00776599"/>
    <w:rsid w:val="00780EE1"/>
    <w:rsid w:val="0078114B"/>
    <w:rsid w:val="00781DD2"/>
    <w:rsid w:val="00783ECF"/>
    <w:rsid w:val="0078413A"/>
    <w:rsid w:val="00791DE0"/>
    <w:rsid w:val="007959E8"/>
    <w:rsid w:val="00795E9C"/>
    <w:rsid w:val="00796AB3"/>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E7C4A"/>
    <w:rsid w:val="007F0ED8"/>
    <w:rsid w:val="007F0F63"/>
    <w:rsid w:val="007F2A33"/>
    <w:rsid w:val="007F6CD4"/>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28D3"/>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87228"/>
    <w:rsid w:val="0089049D"/>
    <w:rsid w:val="0089271A"/>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4D2C"/>
    <w:rsid w:val="008B50C8"/>
    <w:rsid w:val="008B5281"/>
    <w:rsid w:val="008B68C0"/>
    <w:rsid w:val="008B7E05"/>
    <w:rsid w:val="008C1797"/>
    <w:rsid w:val="008C219C"/>
    <w:rsid w:val="008C475E"/>
    <w:rsid w:val="008C619A"/>
    <w:rsid w:val="008D0B24"/>
    <w:rsid w:val="008D0CE8"/>
    <w:rsid w:val="008D2D1D"/>
    <w:rsid w:val="008D453D"/>
    <w:rsid w:val="008D4F37"/>
    <w:rsid w:val="008D53AD"/>
    <w:rsid w:val="008D562B"/>
    <w:rsid w:val="008D5733"/>
    <w:rsid w:val="008D622B"/>
    <w:rsid w:val="008D666C"/>
    <w:rsid w:val="008D74B0"/>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8CE"/>
    <w:rsid w:val="008F7EA2"/>
    <w:rsid w:val="00900479"/>
    <w:rsid w:val="00902722"/>
    <w:rsid w:val="009027BC"/>
    <w:rsid w:val="009062E6"/>
    <w:rsid w:val="00911BE5"/>
    <w:rsid w:val="00913CA9"/>
    <w:rsid w:val="009145AE"/>
    <w:rsid w:val="009146CE"/>
    <w:rsid w:val="00914CA7"/>
    <w:rsid w:val="00915C3E"/>
    <w:rsid w:val="009161A8"/>
    <w:rsid w:val="00917E7B"/>
    <w:rsid w:val="00920ADD"/>
    <w:rsid w:val="009245AE"/>
    <w:rsid w:val="009245F5"/>
    <w:rsid w:val="009249EC"/>
    <w:rsid w:val="0092677F"/>
    <w:rsid w:val="00926AAD"/>
    <w:rsid w:val="009273B3"/>
    <w:rsid w:val="009305B5"/>
    <w:rsid w:val="00935558"/>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4AF1"/>
    <w:rsid w:val="00975727"/>
    <w:rsid w:val="00977010"/>
    <w:rsid w:val="00977D02"/>
    <w:rsid w:val="00977FF9"/>
    <w:rsid w:val="009809BB"/>
    <w:rsid w:val="0098364B"/>
    <w:rsid w:val="00987850"/>
    <w:rsid w:val="009908A3"/>
    <w:rsid w:val="00990E8E"/>
    <w:rsid w:val="009911AF"/>
    <w:rsid w:val="00991875"/>
    <w:rsid w:val="00991F92"/>
    <w:rsid w:val="00992985"/>
    <w:rsid w:val="00993889"/>
    <w:rsid w:val="0099551B"/>
    <w:rsid w:val="00996BD2"/>
    <w:rsid w:val="00997BF1"/>
    <w:rsid w:val="009A089C"/>
    <w:rsid w:val="009A0FF9"/>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2C7F"/>
    <w:rsid w:val="009D47FA"/>
    <w:rsid w:val="009D4C5B"/>
    <w:rsid w:val="009D50D2"/>
    <w:rsid w:val="009D6BCA"/>
    <w:rsid w:val="009E0F62"/>
    <w:rsid w:val="009E415B"/>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02C6"/>
    <w:rsid w:val="00A21236"/>
    <w:rsid w:val="00A2271D"/>
    <w:rsid w:val="00A237D5"/>
    <w:rsid w:val="00A30EFC"/>
    <w:rsid w:val="00A31984"/>
    <w:rsid w:val="00A32D73"/>
    <w:rsid w:val="00A3367B"/>
    <w:rsid w:val="00A33C67"/>
    <w:rsid w:val="00A3421A"/>
    <w:rsid w:val="00A3597D"/>
    <w:rsid w:val="00A36DD1"/>
    <w:rsid w:val="00A4006C"/>
    <w:rsid w:val="00A40091"/>
    <w:rsid w:val="00A4030F"/>
    <w:rsid w:val="00A41C79"/>
    <w:rsid w:val="00A41CB5"/>
    <w:rsid w:val="00A42CDF"/>
    <w:rsid w:val="00A4397F"/>
    <w:rsid w:val="00A4452E"/>
    <w:rsid w:val="00A4472C"/>
    <w:rsid w:val="00A44E69"/>
    <w:rsid w:val="00A4661E"/>
    <w:rsid w:val="00A503FB"/>
    <w:rsid w:val="00A55BD6"/>
    <w:rsid w:val="00A55D50"/>
    <w:rsid w:val="00A57142"/>
    <w:rsid w:val="00A648CD"/>
    <w:rsid w:val="00A6537A"/>
    <w:rsid w:val="00A67866"/>
    <w:rsid w:val="00A70B07"/>
    <w:rsid w:val="00A723F8"/>
    <w:rsid w:val="00A77CCB"/>
    <w:rsid w:val="00A82349"/>
    <w:rsid w:val="00A83D8D"/>
    <w:rsid w:val="00A8446B"/>
    <w:rsid w:val="00A8473F"/>
    <w:rsid w:val="00A862D6"/>
    <w:rsid w:val="00A8715E"/>
    <w:rsid w:val="00A9295B"/>
    <w:rsid w:val="00A93B09"/>
    <w:rsid w:val="00A94608"/>
    <w:rsid w:val="00A952D7"/>
    <w:rsid w:val="00A963F7"/>
    <w:rsid w:val="00A96AD8"/>
    <w:rsid w:val="00AA052C"/>
    <w:rsid w:val="00AA1E45"/>
    <w:rsid w:val="00AA4286"/>
    <w:rsid w:val="00AA456B"/>
    <w:rsid w:val="00AA57F5"/>
    <w:rsid w:val="00AA672E"/>
    <w:rsid w:val="00AA6EC9"/>
    <w:rsid w:val="00AB2952"/>
    <w:rsid w:val="00AB6309"/>
    <w:rsid w:val="00AB6C5F"/>
    <w:rsid w:val="00AB6FB9"/>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E6421"/>
    <w:rsid w:val="00AF0C18"/>
    <w:rsid w:val="00AF47C5"/>
    <w:rsid w:val="00AF5398"/>
    <w:rsid w:val="00B031C3"/>
    <w:rsid w:val="00B049AF"/>
    <w:rsid w:val="00B07242"/>
    <w:rsid w:val="00B10375"/>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4D88"/>
    <w:rsid w:val="00B64E1F"/>
    <w:rsid w:val="00B65149"/>
    <w:rsid w:val="00B66567"/>
    <w:rsid w:val="00B66F52"/>
    <w:rsid w:val="00B66FE5"/>
    <w:rsid w:val="00B72880"/>
    <w:rsid w:val="00B758BF"/>
    <w:rsid w:val="00B77EC8"/>
    <w:rsid w:val="00B81A03"/>
    <w:rsid w:val="00B827A6"/>
    <w:rsid w:val="00B831CE"/>
    <w:rsid w:val="00B86677"/>
    <w:rsid w:val="00B87131"/>
    <w:rsid w:val="00B939B1"/>
    <w:rsid w:val="00B96D40"/>
    <w:rsid w:val="00B97386"/>
    <w:rsid w:val="00BA0948"/>
    <w:rsid w:val="00BA263B"/>
    <w:rsid w:val="00BA42B2"/>
    <w:rsid w:val="00BA58D4"/>
    <w:rsid w:val="00BA5B9E"/>
    <w:rsid w:val="00BA6A47"/>
    <w:rsid w:val="00BA7C9A"/>
    <w:rsid w:val="00BB22BE"/>
    <w:rsid w:val="00BB2B4E"/>
    <w:rsid w:val="00BB5F8F"/>
    <w:rsid w:val="00BB657A"/>
    <w:rsid w:val="00BC1A4E"/>
    <w:rsid w:val="00BC5DC7"/>
    <w:rsid w:val="00BC5F42"/>
    <w:rsid w:val="00BC6B8B"/>
    <w:rsid w:val="00BC73D8"/>
    <w:rsid w:val="00BD50B9"/>
    <w:rsid w:val="00BD52D7"/>
    <w:rsid w:val="00BD5AD2"/>
    <w:rsid w:val="00BE22F3"/>
    <w:rsid w:val="00BE31C4"/>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175E7"/>
    <w:rsid w:val="00C21540"/>
    <w:rsid w:val="00C21906"/>
    <w:rsid w:val="00C21BFA"/>
    <w:rsid w:val="00C24C8D"/>
    <w:rsid w:val="00C25FE2"/>
    <w:rsid w:val="00C26B53"/>
    <w:rsid w:val="00C279B2"/>
    <w:rsid w:val="00C33E50"/>
    <w:rsid w:val="00C34C20"/>
    <w:rsid w:val="00C35A3E"/>
    <w:rsid w:val="00C36121"/>
    <w:rsid w:val="00C42130"/>
    <w:rsid w:val="00C423A4"/>
    <w:rsid w:val="00C423E3"/>
    <w:rsid w:val="00C44BF5"/>
    <w:rsid w:val="00C514E1"/>
    <w:rsid w:val="00C521D6"/>
    <w:rsid w:val="00C55232"/>
    <w:rsid w:val="00C553A4"/>
    <w:rsid w:val="00C55A06"/>
    <w:rsid w:val="00C55D03"/>
    <w:rsid w:val="00C601BC"/>
    <w:rsid w:val="00C6329F"/>
    <w:rsid w:val="00C63340"/>
    <w:rsid w:val="00C643F9"/>
    <w:rsid w:val="00C64E95"/>
    <w:rsid w:val="00C6520A"/>
    <w:rsid w:val="00C71372"/>
    <w:rsid w:val="00C72410"/>
    <w:rsid w:val="00C7287F"/>
    <w:rsid w:val="00C807ED"/>
    <w:rsid w:val="00C80CB8"/>
    <w:rsid w:val="00C819F8"/>
    <w:rsid w:val="00C8248C"/>
    <w:rsid w:val="00C84E33"/>
    <w:rsid w:val="00C85FFB"/>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32A"/>
    <w:rsid w:val="00CC4AC8"/>
    <w:rsid w:val="00CC5233"/>
    <w:rsid w:val="00CC5DE6"/>
    <w:rsid w:val="00CC6E4E"/>
    <w:rsid w:val="00CC6FE8"/>
    <w:rsid w:val="00CC7202"/>
    <w:rsid w:val="00CD2071"/>
    <w:rsid w:val="00CD2808"/>
    <w:rsid w:val="00CD28BF"/>
    <w:rsid w:val="00CD4092"/>
    <w:rsid w:val="00CD4A20"/>
    <w:rsid w:val="00CD50A1"/>
    <w:rsid w:val="00CD519E"/>
    <w:rsid w:val="00CE0C4F"/>
    <w:rsid w:val="00CE30EA"/>
    <w:rsid w:val="00CE32E2"/>
    <w:rsid w:val="00CE4905"/>
    <w:rsid w:val="00CF048A"/>
    <w:rsid w:val="00CF155A"/>
    <w:rsid w:val="00CF184A"/>
    <w:rsid w:val="00CF2947"/>
    <w:rsid w:val="00CF686F"/>
    <w:rsid w:val="00CF6E60"/>
    <w:rsid w:val="00CF7BCA"/>
    <w:rsid w:val="00D008FD"/>
    <w:rsid w:val="00D018FC"/>
    <w:rsid w:val="00D0321C"/>
    <w:rsid w:val="00D035EC"/>
    <w:rsid w:val="00D06AB1"/>
    <w:rsid w:val="00D06FC1"/>
    <w:rsid w:val="00D072ED"/>
    <w:rsid w:val="00D07A16"/>
    <w:rsid w:val="00D07DD9"/>
    <w:rsid w:val="00D1067E"/>
    <w:rsid w:val="00D10F50"/>
    <w:rsid w:val="00D110F0"/>
    <w:rsid w:val="00D11272"/>
    <w:rsid w:val="00D126F5"/>
    <w:rsid w:val="00D1489E"/>
    <w:rsid w:val="00D20737"/>
    <w:rsid w:val="00D21E81"/>
    <w:rsid w:val="00D223DE"/>
    <w:rsid w:val="00D25E37"/>
    <w:rsid w:val="00D2661A"/>
    <w:rsid w:val="00D27582"/>
    <w:rsid w:val="00D27EC4"/>
    <w:rsid w:val="00D32719"/>
    <w:rsid w:val="00D33333"/>
    <w:rsid w:val="00D352A2"/>
    <w:rsid w:val="00D35DE1"/>
    <w:rsid w:val="00D4162B"/>
    <w:rsid w:val="00D43AEF"/>
    <w:rsid w:val="00D4514F"/>
    <w:rsid w:val="00D451E2"/>
    <w:rsid w:val="00D45E89"/>
    <w:rsid w:val="00D45E8D"/>
    <w:rsid w:val="00D466AE"/>
    <w:rsid w:val="00D4734F"/>
    <w:rsid w:val="00D51BF3"/>
    <w:rsid w:val="00D51C20"/>
    <w:rsid w:val="00D66846"/>
    <w:rsid w:val="00D675FB"/>
    <w:rsid w:val="00D67CE3"/>
    <w:rsid w:val="00D71F25"/>
    <w:rsid w:val="00D72A9C"/>
    <w:rsid w:val="00D734C7"/>
    <w:rsid w:val="00D77031"/>
    <w:rsid w:val="00D77AD2"/>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06F3"/>
    <w:rsid w:val="00DB38EE"/>
    <w:rsid w:val="00DB45E9"/>
    <w:rsid w:val="00DB498B"/>
    <w:rsid w:val="00DB66CA"/>
    <w:rsid w:val="00DB6BCA"/>
    <w:rsid w:val="00DB6F54"/>
    <w:rsid w:val="00DB73F7"/>
    <w:rsid w:val="00DC0321"/>
    <w:rsid w:val="00DC3067"/>
    <w:rsid w:val="00DC370B"/>
    <w:rsid w:val="00DC5521"/>
    <w:rsid w:val="00DC5B90"/>
    <w:rsid w:val="00DD00FF"/>
    <w:rsid w:val="00DD0619"/>
    <w:rsid w:val="00DD06D0"/>
    <w:rsid w:val="00DD07FB"/>
    <w:rsid w:val="00DD25C6"/>
    <w:rsid w:val="00DD4FE5"/>
    <w:rsid w:val="00DD54B0"/>
    <w:rsid w:val="00DD57EE"/>
    <w:rsid w:val="00DD6BCC"/>
    <w:rsid w:val="00DE0A4B"/>
    <w:rsid w:val="00DE2410"/>
    <w:rsid w:val="00DE27B9"/>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0D23"/>
    <w:rsid w:val="00E312EC"/>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82A"/>
    <w:rsid w:val="00E62FF9"/>
    <w:rsid w:val="00E635D6"/>
    <w:rsid w:val="00E639BC"/>
    <w:rsid w:val="00E664CC"/>
    <w:rsid w:val="00E70388"/>
    <w:rsid w:val="00E70F92"/>
    <w:rsid w:val="00E73888"/>
    <w:rsid w:val="00E74313"/>
    <w:rsid w:val="00E74C54"/>
    <w:rsid w:val="00E77A03"/>
    <w:rsid w:val="00E80AB0"/>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5B6F"/>
    <w:rsid w:val="00F16F00"/>
    <w:rsid w:val="00F206DA"/>
    <w:rsid w:val="00F25BB6"/>
    <w:rsid w:val="00F26B7E"/>
    <w:rsid w:val="00F27A3B"/>
    <w:rsid w:val="00F32780"/>
    <w:rsid w:val="00F33817"/>
    <w:rsid w:val="00F37450"/>
    <w:rsid w:val="00F37C60"/>
    <w:rsid w:val="00F420D5"/>
    <w:rsid w:val="00F42FE6"/>
    <w:rsid w:val="00F451EA"/>
    <w:rsid w:val="00F45447"/>
    <w:rsid w:val="00F456C6"/>
    <w:rsid w:val="00F4577B"/>
    <w:rsid w:val="00F46496"/>
    <w:rsid w:val="00F474D0"/>
    <w:rsid w:val="00F50179"/>
    <w:rsid w:val="00F50B11"/>
    <w:rsid w:val="00F515EE"/>
    <w:rsid w:val="00F56511"/>
    <w:rsid w:val="00F57458"/>
    <w:rsid w:val="00F6194E"/>
    <w:rsid w:val="00F623AC"/>
    <w:rsid w:val="00F6412A"/>
    <w:rsid w:val="00F65893"/>
    <w:rsid w:val="00F66773"/>
    <w:rsid w:val="00F66A4A"/>
    <w:rsid w:val="00F67724"/>
    <w:rsid w:val="00F71E22"/>
    <w:rsid w:val="00F72142"/>
    <w:rsid w:val="00F72441"/>
    <w:rsid w:val="00F72AE7"/>
    <w:rsid w:val="00F75D3A"/>
    <w:rsid w:val="00F833BA"/>
    <w:rsid w:val="00F84FD0"/>
    <w:rsid w:val="00F859A8"/>
    <w:rsid w:val="00F86D87"/>
    <w:rsid w:val="00F9108B"/>
    <w:rsid w:val="00F91349"/>
    <w:rsid w:val="00F93A8A"/>
    <w:rsid w:val="00F95248"/>
    <w:rsid w:val="00F956A9"/>
    <w:rsid w:val="00F9574C"/>
    <w:rsid w:val="00F963DE"/>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3BDB"/>
    <w:rsid w:val="00FC4090"/>
    <w:rsid w:val="00FC55B4"/>
    <w:rsid w:val="00FD00E6"/>
    <w:rsid w:val="00FD09A1"/>
    <w:rsid w:val="00FD2A7C"/>
    <w:rsid w:val="00FD59EB"/>
    <w:rsid w:val="00FD7299"/>
    <w:rsid w:val="00FE1FBE"/>
    <w:rsid w:val="00FE3901"/>
    <w:rsid w:val="00FE39D3"/>
    <w:rsid w:val="00FE4BCE"/>
    <w:rsid w:val="00FE521A"/>
    <w:rsid w:val="00FE54AE"/>
    <w:rsid w:val="00FE576A"/>
    <w:rsid w:val="00FE7E79"/>
    <w:rsid w:val="00FF3E7D"/>
    <w:rsid w:val="00FF5B99"/>
    <w:rsid w:val="00FF730C"/>
    <w:rsid w:val="00FF73F4"/>
    <w:rsid w:val="00FF7CE4"/>
    <w:rsid w:val="00FF7E39"/>
    <w:rsid w:val="02E31131"/>
    <w:rsid w:val="044E4AD5"/>
    <w:rsid w:val="06AB34F5"/>
    <w:rsid w:val="15F26053"/>
    <w:rsid w:val="177A4741"/>
    <w:rsid w:val="182967A1"/>
    <w:rsid w:val="36A111AF"/>
    <w:rsid w:val="4DF933C5"/>
    <w:rsid w:val="4E221411"/>
    <w:rsid w:val="5B5F0564"/>
    <w:rsid w:val="63BC7093"/>
    <w:rsid w:val="75E04E86"/>
    <w:rsid w:val="788B5C62"/>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ind w:left="0"/>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tabs>
        <w:tab w:val="left" w:pos="851"/>
        <w:tab w:val="clear" w:pos="1986"/>
      </w:tabs>
      <w:ind w:left="851"/>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character" w:customStyle="1" w:styleId="230">
    <w:name w:val="未处理的提及1"/>
    <w:basedOn w:val="28"/>
    <w:semiHidden/>
    <w:unhideWhenUsed/>
    <w:qFormat/>
    <w:uiPriority w:val="99"/>
    <w:rPr>
      <w:color w:val="605E5C"/>
      <w:shd w:val="clear" w:color="auto" w:fill="E1DFDD"/>
    </w:rPr>
  </w:style>
  <w:style w:type="paragraph" w:customStyle="1" w:styleId="231">
    <w:name w:val="修订1"/>
    <w:hidden/>
    <w:unhideWhenUsed/>
    <w:uiPriority w:val="99"/>
    <w:rPr>
      <w:rFonts w:ascii="Calibri" w:hAnsi="Calibri" w:eastAsia="宋体" w:cs="Times New Roman"/>
      <w:kern w:val="2"/>
      <w:sz w:val="21"/>
      <w:szCs w:val="21"/>
      <w:lang w:val="en-US" w:eastAsia="zh-CN" w:bidi="ar-SA"/>
    </w:rPr>
  </w:style>
  <w:style w:type="paragraph" w:customStyle="1" w:styleId="232">
    <w:name w:val="Revision"/>
    <w:hidden/>
    <w:unhideWhenUsed/>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glossaryDocument" Target="glossary/document.xml"/><Relationship Id="rId27" Type="http://schemas.openxmlformats.org/officeDocument/2006/relationships/fontTable" Target="fontTable.xml"/><Relationship Id="rId26" Type="http://schemas.openxmlformats.org/officeDocument/2006/relationships/customXml" Target="../customXml/item3.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3.jpeg"/><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B35F976D7B2845C888A7BEDB67FADE20"/>
        <w:style w:val=""/>
        <w:category>
          <w:name w:val="常规"/>
          <w:gallery w:val="placeholder"/>
        </w:category>
        <w:types>
          <w:type w:val="bbPlcHdr"/>
        </w:types>
        <w:behaviors>
          <w:behavior w:val="content"/>
        </w:behaviors>
        <w:description w:val=""/>
        <w:guid w:val="{6424549A-D413-4884-A39C-BC5B985CC772}"/>
      </w:docPartPr>
      <w:docPartBody>
        <w:p w14:paraId="78F9D87C">
          <w:pPr>
            <w:pStyle w:val="5"/>
            <w:rPr>
              <w:rFonts w:hint="eastAsia"/>
            </w:rPr>
          </w:pPr>
          <w:r>
            <w:rPr>
              <w:rStyle w:val="4"/>
              <w:rFonts w:hint="eastAsia"/>
            </w:rPr>
            <w:t>单击或点击此处输入文字。</w:t>
          </w:r>
        </w:p>
      </w:docPartBody>
    </w:docPart>
    <w:docPart>
      <w:docPartPr>
        <w:name w:val="39536C9F6E3E4A51A9008E98917B67C3"/>
        <w:style w:val=""/>
        <w:category>
          <w:name w:val="常规"/>
          <w:gallery w:val="placeholder"/>
        </w:category>
        <w:types>
          <w:type w:val="bbPlcHdr"/>
        </w:types>
        <w:behaviors>
          <w:behavior w:val="content"/>
        </w:behaviors>
        <w:description w:val=""/>
        <w:guid w:val="{E8A744B0-F048-486A-9610-494B408095D7}"/>
      </w:docPartPr>
      <w:docPartBody>
        <w:p w14:paraId="5C3C1321">
          <w:pPr>
            <w:pStyle w:val="6"/>
            <w:rPr>
              <w:rFonts w:hint="eastAsia"/>
            </w:rPr>
          </w:pPr>
          <w:r>
            <w:rPr>
              <w:rStyle w:val="4"/>
              <w:rFonts w:hint="eastAsia"/>
            </w:rPr>
            <w:t>选择一项。</w:t>
          </w:r>
        </w:p>
      </w:docPartBody>
    </w:docPart>
    <w:docPart>
      <w:docPartPr>
        <w:name w:val="0F6153F59E0A4FF7B3CF9F2C14FDA838"/>
        <w:style w:val=""/>
        <w:category>
          <w:name w:val="常规"/>
          <w:gallery w:val="placeholder"/>
        </w:category>
        <w:types>
          <w:type w:val="bbPlcHdr"/>
        </w:types>
        <w:behaviors>
          <w:behavior w:val="content"/>
        </w:behaviors>
        <w:description w:val=""/>
        <w:guid w:val="{C2D40942-7962-4844-A888-4FB6331F626F}"/>
      </w:docPartPr>
      <w:docPartBody>
        <w:p w14:paraId="621F6C13">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ordia New">
    <w:altName w:val="Yu Gothic UI Light"/>
    <w:panose1 w:val="020B0304020202020204"/>
    <w:charset w:val="00"/>
    <w:family w:val="swiss"/>
    <w:pitch w:val="default"/>
    <w:sig w:usb0="00000000" w:usb1="00000000" w:usb2="00000000" w:usb3="00000000" w:csb0="00010001" w:csb1="00000000"/>
  </w:font>
  <w:font w:name="Yu Gothic UI Light">
    <w:panose1 w:val="020B0300000000000000"/>
    <w:charset w:val="80"/>
    <w:family w:val="auto"/>
    <w:pitch w:val="default"/>
    <w:sig w:usb0="E00002FF" w:usb1="2AC7FDFF" w:usb2="00000016" w:usb3="00000000" w:csb0="2002009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AEF"/>
    <w:rsid w:val="000A4840"/>
    <w:rsid w:val="0013005B"/>
    <w:rsid w:val="00131025"/>
    <w:rsid w:val="001D2D19"/>
    <w:rsid w:val="001E26DB"/>
    <w:rsid w:val="00211A23"/>
    <w:rsid w:val="00217B5B"/>
    <w:rsid w:val="0026665B"/>
    <w:rsid w:val="002C6F99"/>
    <w:rsid w:val="00404E7B"/>
    <w:rsid w:val="00483874"/>
    <w:rsid w:val="004D14DE"/>
    <w:rsid w:val="004F23F8"/>
    <w:rsid w:val="004F654A"/>
    <w:rsid w:val="00501DDB"/>
    <w:rsid w:val="00556BEB"/>
    <w:rsid w:val="00562940"/>
    <w:rsid w:val="00584686"/>
    <w:rsid w:val="00594ED0"/>
    <w:rsid w:val="00616644"/>
    <w:rsid w:val="007124D9"/>
    <w:rsid w:val="00827AEF"/>
    <w:rsid w:val="00835AFA"/>
    <w:rsid w:val="008D74B0"/>
    <w:rsid w:val="00917ABA"/>
    <w:rsid w:val="00926AAD"/>
    <w:rsid w:val="00927D51"/>
    <w:rsid w:val="0093427F"/>
    <w:rsid w:val="009A0300"/>
    <w:rsid w:val="009A1598"/>
    <w:rsid w:val="009B1EB9"/>
    <w:rsid w:val="009B5CB8"/>
    <w:rsid w:val="009C1991"/>
    <w:rsid w:val="00A56183"/>
    <w:rsid w:val="00AB2952"/>
    <w:rsid w:val="00AB6FB9"/>
    <w:rsid w:val="00C4485C"/>
    <w:rsid w:val="00C71FE2"/>
    <w:rsid w:val="00C807ED"/>
    <w:rsid w:val="00C85FFB"/>
    <w:rsid w:val="00CC432A"/>
    <w:rsid w:val="00CE32E2"/>
    <w:rsid w:val="00D16E1F"/>
    <w:rsid w:val="00D45542"/>
    <w:rsid w:val="00E23AEE"/>
    <w:rsid w:val="00E5251F"/>
    <w:rsid w:val="00E6282A"/>
    <w:rsid w:val="00EF5A4D"/>
    <w:rsid w:val="00F37450"/>
    <w:rsid w:val="00F50B11"/>
    <w:rsid w:val="00F75F33"/>
    <w:rsid w:val="00F963DE"/>
    <w:rsid w:val="00FC3BDB"/>
    <w:rsid w:val="00FE03E4"/>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B35F976D7B2845C888A7BEDB67FADE20"/>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paragraph" w:customStyle="1" w:styleId="6">
    <w:name w:val="39536C9F6E3E4A51A9008E98917B67C3"/>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 w:type="paragraph" w:customStyle="1" w:styleId="7">
    <w:name w:val="0F6153F59E0A4FF7B3CF9F2C14FDA838"/>
    <w:qFormat/>
    <w:uiPriority w:val="0"/>
    <w:pPr>
      <w:widowControl w:val="0"/>
      <w:spacing w:after="160" w:line="278" w:lineRule="auto"/>
    </w:pPr>
    <w:rPr>
      <w:rFonts w:asciiTheme="minorHAnsi" w:hAnsiTheme="minorHAnsi" w:eastAsiaTheme="minorEastAsia" w:cstheme="minorBidi"/>
      <w:kern w:val="2"/>
      <w:sz w:val="22"/>
      <w:szCs w:val="30"/>
      <w:lang w:val="en-US" w:eastAsia="zh-CN" w:bidi="th-TH"/>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d317f118-617a-473d-95b4-6d74ecc3aa0c</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502BEDE3</paraID>
      <start>39</start>
      <end>42</end>
      <status>unmodified</status>
      <modifiedWord/>
      <trackRevisions>false</trackRevisions>
    </reviewItem>
    <reviewItem>
      <errorID>ad214274-7385-4100-a74f-b14c275a5b81</errorID>
      <errorWord>“双碳”战略</errorWord>
      <group>L1_Word</group>
      <groupName>字词问题</groupName>
      <ability>L2_Typo</ability>
      <abilityName>字词错误</abilityName>
      <candidateList>
        <item>“双碳”目标</item>
      </candidateList>
      <explain/>
      <paraID> 11B302B</paraID>
      <start>8</start>
      <end>14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customXml/itemProps3.xml><?xml version="1.0" encoding="utf-8"?>
<ds:datastoreItem xmlns:ds="http://schemas.openxmlformats.org/officeDocument/2006/customXml" ds:itemID="{1698DCC8-386A-4370-8C4D-E4166594B45F}">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8</Pages>
  <Words>4118</Words>
  <Characters>4404</Characters>
  <Lines>36</Lines>
  <Paragraphs>10</Paragraphs>
  <TotalTime>48</TotalTime>
  <ScaleCrop>false</ScaleCrop>
  <LinksUpToDate>false</LinksUpToDate>
  <CharactersWithSpaces>4466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2026-06-12T07:21:00Z</dcterms:created>
  <dc:creator>MO</dc:creator>
  <dc:description>&lt;config cover="true" show_menu="true" version="1.0.0" doctype="SDKXY"&gt;_x000d_
&lt;/config&gt;</dc:description>
  <cp:lastModifiedBy>夏慕翰</cp:lastModifiedBy>
  <cp:lastPrinted>2021-02-02T08:22:00Z</cp:lastPrinted>
  <dcterms:modified xsi:type="dcterms:W3CDTF">2026-06-18T06:56:49Z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eyJoZGlkIjoiY2UxNzIyOTc4N2I2ZWNkNjQ1NTM5YzEzNDcxZDNkMDYiLCJ1c2VySWQiOiI0MjY2NDkwNDYifQ==</vt:lpwstr>
  </property>
  <property fmtid="{D5CDD505-2E9C-101B-9397-08002B2CF9AE}" pid="16" name="KSOProductBuildVer">
    <vt:lpwstr>2052-12.1.0.26895</vt:lpwstr>
  </property>
  <property fmtid="{D5CDD505-2E9C-101B-9397-08002B2CF9AE}" pid="17" name="ICV">
    <vt:lpwstr>0D76BC05F33346F1A7F94F0D17DB6F80_12</vt:lpwstr>
  </property>
</Properties>
</file>