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9DB4FC">
      <w:pPr>
        <w:pStyle w:val="2"/>
        <w:spacing w:before="0" w:after="0" w:line="640" w:lineRule="exact"/>
        <w:ind w:firstLine="880"/>
        <w:rPr>
          <w:rFonts w:hint="default" w:ascii="Times New Roman" w:hAnsi="Times New Roman" w:eastAsia="方正小标宋简体" w:cs="Times New Roman"/>
          <w:b w:val="0"/>
          <w:bCs/>
          <w:color w:val="auto"/>
          <w:szCs w:val="44"/>
        </w:rPr>
      </w:pPr>
      <w:r>
        <w:rPr>
          <w:rFonts w:hint="default" w:ascii="Times New Roman" w:hAnsi="Times New Roman" w:eastAsia="方正小标宋简体" w:cs="Times New Roman"/>
          <w:b w:val="0"/>
          <w:bCs/>
          <w:color w:val="auto"/>
          <w:szCs w:val="44"/>
        </w:rPr>
        <w:t>团体标准《生态环境科普研学课程设计指南》编制说明</w:t>
      </w:r>
    </w:p>
    <w:p w14:paraId="133516D2">
      <w:pPr>
        <w:spacing w:line="640" w:lineRule="exact"/>
        <w:ind w:firstLine="0" w:firstLineChars="0"/>
        <w:jc w:val="center"/>
        <w:rPr>
          <w:rFonts w:hint="default" w:ascii="Times New Roman" w:hAnsi="Times New Roman" w:eastAsia="楷体" w:cs="Times New Roman"/>
          <w:bCs/>
          <w:color w:val="auto"/>
          <w:sz w:val="32"/>
          <w:szCs w:val="32"/>
        </w:rPr>
      </w:pPr>
      <w:r>
        <w:rPr>
          <w:rFonts w:hint="default" w:ascii="Times New Roman" w:hAnsi="Times New Roman" w:eastAsia="楷体" w:cs="Times New Roman"/>
          <w:bCs/>
          <w:color w:val="auto"/>
          <w:sz w:val="32"/>
          <w:szCs w:val="32"/>
        </w:rPr>
        <w:t>（</w:t>
      </w:r>
      <w:r>
        <w:rPr>
          <w:rFonts w:hint="default" w:ascii="Times New Roman" w:hAnsi="Times New Roman" w:eastAsia="楷体" w:cs="Times New Roman"/>
          <w:bCs/>
          <w:color w:val="auto"/>
          <w:sz w:val="32"/>
          <w:szCs w:val="32"/>
          <w:lang w:val="en-US" w:eastAsia="zh-CN"/>
        </w:rPr>
        <w:t>征求意见</w:t>
      </w:r>
      <w:r>
        <w:rPr>
          <w:rFonts w:hint="default" w:ascii="Times New Roman" w:hAnsi="Times New Roman" w:eastAsia="楷体" w:cs="Times New Roman"/>
          <w:bCs/>
          <w:color w:val="auto"/>
          <w:sz w:val="32"/>
          <w:szCs w:val="32"/>
        </w:rPr>
        <w:t>稿）</w:t>
      </w:r>
    </w:p>
    <w:p w14:paraId="76B91FA5">
      <w:pPr>
        <w:spacing w:line="640" w:lineRule="exact"/>
        <w:ind w:firstLine="0" w:firstLineChars="0"/>
        <w:jc w:val="center"/>
        <w:rPr>
          <w:rFonts w:hint="default" w:ascii="Times New Roman" w:hAnsi="Times New Roman" w:eastAsia="楷体" w:cs="Times New Roman"/>
          <w:bCs/>
          <w:color w:val="auto"/>
          <w:sz w:val="32"/>
          <w:szCs w:val="32"/>
        </w:rPr>
      </w:pPr>
    </w:p>
    <w:p w14:paraId="37000756">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一、工作简介</w:t>
      </w:r>
    </w:p>
    <w:p w14:paraId="1726349A">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（一）任务来源</w:t>
      </w:r>
    </w:p>
    <w:p w14:paraId="2FBCC0ED">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《生态环境科普研学课程设计指南》团体标准由广西物品编码与标准化促进会批准立项，由广西壮族自治区辐射环境监督管理站（国家生态环境科普基地）提出。</w:t>
      </w:r>
    </w:p>
    <w:p w14:paraId="77421AC9">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（二）起草单位、主要起草人</w:t>
      </w:r>
    </w:p>
    <w:p w14:paraId="3E0A974B">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本文件</w:t>
      </w:r>
      <w:r>
        <w:rPr>
          <w:rFonts w:hint="default" w:ascii="Times New Roman" w:hAnsi="Times New Roman" w:cs="Times New Roman"/>
          <w:color w:val="auto"/>
          <w:sz w:val="32"/>
          <w:szCs w:val="32"/>
          <w:lang w:eastAsia="zh-CN"/>
        </w:rPr>
        <w:t>由</w:t>
      </w:r>
      <w:r>
        <w:rPr>
          <w:rFonts w:hint="default" w:ascii="Times New Roman" w:hAnsi="Times New Roman" w:cs="Times New Roman"/>
          <w:color w:val="auto"/>
          <w:sz w:val="32"/>
          <w:szCs w:val="32"/>
        </w:rPr>
        <w:t>广西壮族自治区辐射环境监督管理站、广西壮族自治区标准技术研究院、北部湾大学、广西防城港核电有限公司和广西科学院共同起草。主要起草人见表1。</w:t>
      </w:r>
    </w:p>
    <w:p w14:paraId="375ADEE8">
      <w:pPr>
        <w:spacing w:line="560" w:lineRule="exact"/>
        <w:ind w:firstLine="640"/>
        <w:jc w:val="center"/>
        <w:rPr>
          <w:rFonts w:hint="default" w:ascii="Times New Roman" w:hAnsi="Times New Roman" w:cs="Times New Roman"/>
          <w:color w:val="auto"/>
          <w:sz w:val="32"/>
          <w:szCs w:val="32"/>
        </w:rPr>
      </w:pPr>
      <w:r>
        <w:rPr>
          <w:rFonts w:hint="default" w:ascii="Times New Roman" w:hAnsi="Times New Roman" w:cs="Times New Roman"/>
          <w:color w:val="auto"/>
          <w:sz w:val="32"/>
          <w:szCs w:val="32"/>
        </w:rPr>
        <w:t>表1  主要起草人</w:t>
      </w:r>
    </w:p>
    <w:tbl>
      <w:tblPr>
        <w:tblStyle w:val="8"/>
        <w:tblpPr w:leftFromText="180" w:rightFromText="180" w:vertAnchor="text" w:tblpXSpec="center" w:tblpY="1"/>
        <w:tblOverlap w:val="never"/>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9"/>
        <w:gridCol w:w="2341"/>
        <w:gridCol w:w="1995"/>
        <w:gridCol w:w="3554"/>
      </w:tblGrid>
      <w:tr w14:paraId="21075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 w:hRule="atLeast"/>
          <w:tblHeader/>
        </w:trPr>
        <w:tc>
          <w:tcPr>
            <w:tcW w:w="1149" w:type="dxa"/>
            <w:tcBorders>
              <w:bottom w:val="single" w:color="auto" w:sz="4" w:space="0"/>
            </w:tcBorders>
            <w:vAlign w:val="center"/>
          </w:tcPr>
          <w:p w14:paraId="342628C6">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b/>
                <w:bCs/>
                <w:color w:val="auto"/>
                <w:sz w:val="24"/>
                <w:szCs w:val="32"/>
              </w:rPr>
            </w:pPr>
            <w:r>
              <w:rPr>
                <w:rFonts w:hint="default" w:ascii="Times New Roman" w:hAnsi="Times New Roman" w:cs="Times New Roman"/>
                <w:b/>
                <w:bCs/>
                <w:color w:val="auto"/>
                <w:sz w:val="24"/>
                <w:szCs w:val="32"/>
              </w:rPr>
              <w:t>姓名</w:t>
            </w:r>
          </w:p>
        </w:tc>
        <w:tc>
          <w:tcPr>
            <w:tcW w:w="2341" w:type="dxa"/>
            <w:tcBorders>
              <w:bottom w:val="single" w:color="auto" w:sz="4" w:space="0"/>
            </w:tcBorders>
            <w:vAlign w:val="center"/>
          </w:tcPr>
          <w:p w14:paraId="36F6FA23">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b/>
                <w:bCs/>
                <w:color w:val="auto"/>
                <w:sz w:val="24"/>
                <w:szCs w:val="32"/>
              </w:rPr>
            </w:pPr>
            <w:r>
              <w:rPr>
                <w:rFonts w:hint="default" w:ascii="Times New Roman" w:hAnsi="Times New Roman" w:cs="Times New Roman"/>
                <w:b/>
                <w:bCs/>
                <w:color w:val="auto"/>
                <w:sz w:val="24"/>
                <w:szCs w:val="32"/>
              </w:rPr>
              <w:t>单位</w:t>
            </w:r>
          </w:p>
        </w:tc>
        <w:tc>
          <w:tcPr>
            <w:tcW w:w="1995" w:type="dxa"/>
            <w:tcBorders>
              <w:bottom w:val="single" w:color="auto" w:sz="4" w:space="0"/>
            </w:tcBorders>
            <w:vAlign w:val="center"/>
          </w:tcPr>
          <w:p w14:paraId="3BE6F21F">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b/>
                <w:bCs/>
                <w:color w:val="auto"/>
                <w:sz w:val="24"/>
                <w:szCs w:val="32"/>
              </w:rPr>
            </w:pPr>
            <w:r>
              <w:rPr>
                <w:rFonts w:hint="default" w:ascii="Times New Roman" w:hAnsi="Times New Roman" w:cs="Times New Roman"/>
                <w:b/>
                <w:bCs/>
                <w:color w:val="auto"/>
                <w:sz w:val="24"/>
                <w:szCs w:val="32"/>
              </w:rPr>
              <w:t>职称/职务</w:t>
            </w:r>
          </w:p>
        </w:tc>
        <w:tc>
          <w:tcPr>
            <w:tcW w:w="3554" w:type="dxa"/>
            <w:tcBorders>
              <w:bottom w:val="single" w:color="auto" w:sz="4" w:space="0"/>
            </w:tcBorders>
            <w:vAlign w:val="center"/>
          </w:tcPr>
          <w:p w14:paraId="25E36E33">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b/>
                <w:bCs/>
                <w:color w:val="auto"/>
                <w:sz w:val="24"/>
                <w:szCs w:val="32"/>
              </w:rPr>
            </w:pPr>
            <w:r>
              <w:rPr>
                <w:rFonts w:hint="default" w:ascii="Times New Roman" w:hAnsi="Times New Roman" w:cs="Times New Roman"/>
                <w:b/>
                <w:bCs/>
                <w:color w:val="auto"/>
                <w:sz w:val="24"/>
                <w:szCs w:val="32"/>
              </w:rPr>
              <w:t>主要负责工作</w:t>
            </w:r>
          </w:p>
        </w:tc>
      </w:tr>
      <w:tr w14:paraId="387A0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311464DB">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bookmarkStart w:id="0" w:name="_Hlk224291313"/>
            <w:r>
              <w:rPr>
                <w:rFonts w:hint="default" w:ascii="Times New Roman" w:hAnsi="Times New Roman" w:cs="Times New Roman"/>
                <w:color w:val="auto"/>
                <w:sz w:val="24"/>
                <w:szCs w:val="32"/>
              </w:rPr>
              <w:t>黄美琴</w:t>
            </w:r>
          </w:p>
        </w:tc>
        <w:tc>
          <w:tcPr>
            <w:tcW w:w="2341" w:type="dxa"/>
            <w:tcBorders>
              <w:bottom w:val="single" w:color="auto" w:sz="4" w:space="0"/>
            </w:tcBorders>
            <w:vAlign w:val="center"/>
          </w:tcPr>
          <w:p w14:paraId="766DE6E5">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tcBorders>
              <w:bottom w:val="single" w:color="auto" w:sz="4" w:space="0"/>
            </w:tcBorders>
            <w:vAlign w:val="center"/>
          </w:tcPr>
          <w:p w14:paraId="713FC803">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p w14:paraId="36E91FCA">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质管室主任</w:t>
            </w:r>
          </w:p>
        </w:tc>
        <w:tc>
          <w:tcPr>
            <w:tcW w:w="3554" w:type="dxa"/>
            <w:tcBorders>
              <w:bottom w:val="single" w:color="auto" w:sz="4" w:space="0"/>
            </w:tcBorders>
            <w:vAlign w:val="center"/>
          </w:tcPr>
          <w:p w14:paraId="2875563C">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项目负责人。负责标准的总体策划、技术路线制定、组织协调及最终统稿。</w:t>
            </w:r>
          </w:p>
        </w:tc>
      </w:tr>
      <w:tr w14:paraId="05BCD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3D07921F">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龙婷婷</w:t>
            </w:r>
          </w:p>
        </w:tc>
        <w:tc>
          <w:tcPr>
            <w:tcW w:w="2341" w:type="dxa"/>
            <w:tcBorders>
              <w:bottom w:val="single" w:color="auto" w:sz="4" w:space="0"/>
            </w:tcBorders>
            <w:vAlign w:val="center"/>
          </w:tcPr>
          <w:p w14:paraId="667D8E45">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tcBorders>
              <w:bottom w:val="single" w:color="auto" w:sz="4" w:space="0"/>
            </w:tcBorders>
            <w:vAlign w:val="center"/>
          </w:tcPr>
          <w:p w14:paraId="79C7D331">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tc>
        <w:tc>
          <w:tcPr>
            <w:tcW w:w="3554" w:type="dxa"/>
            <w:tcBorders>
              <w:bottom w:val="single" w:color="auto" w:sz="4" w:space="0"/>
            </w:tcBorders>
            <w:vAlign w:val="center"/>
          </w:tcPr>
          <w:p w14:paraId="01FDEEBF">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主要技术骨干。协助制定技术方案，负责关键章节的编写及数据审核。</w:t>
            </w:r>
          </w:p>
        </w:tc>
      </w:tr>
      <w:tr w14:paraId="05A8E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389A7F21">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岑旭</w:t>
            </w:r>
          </w:p>
        </w:tc>
        <w:tc>
          <w:tcPr>
            <w:tcW w:w="2341" w:type="dxa"/>
            <w:tcBorders>
              <w:bottom w:val="single" w:color="auto" w:sz="4" w:space="0"/>
            </w:tcBorders>
            <w:vAlign w:val="center"/>
          </w:tcPr>
          <w:p w14:paraId="1A0BED66">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tcBorders>
              <w:bottom w:val="single" w:color="auto" w:sz="4" w:space="0"/>
            </w:tcBorders>
            <w:vAlign w:val="center"/>
          </w:tcPr>
          <w:p w14:paraId="569F1322">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p w14:paraId="2FADD838">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总工办副主任</w:t>
            </w:r>
          </w:p>
        </w:tc>
        <w:tc>
          <w:tcPr>
            <w:tcW w:w="3554" w:type="dxa"/>
            <w:tcBorders>
              <w:bottom w:val="single" w:color="auto" w:sz="4" w:space="0"/>
            </w:tcBorders>
            <w:vAlign w:val="center"/>
          </w:tcPr>
          <w:p w14:paraId="3B4CA028">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主要技术骨干。负责技术难点攻关，参与主要章节的撰写与验证。</w:t>
            </w:r>
          </w:p>
        </w:tc>
      </w:tr>
      <w:bookmarkEnd w:id="0"/>
      <w:tr w14:paraId="501A3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3AC3AEEC">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莫冬丽</w:t>
            </w:r>
          </w:p>
        </w:tc>
        <w:tc>
          <w:tcPr>
            <w:tcW w:w="2341" w:type="dxa"/>
            <w:tcBorders>
              <w:bottom w:val="single" w:color="auto" w:sz="4" w:space="0"/>
            </w:tcBorders>
            <w:vAlign w:val="center"/>
          </w:tcPr>
          <w:p w14:paraId="001A66E9">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w:t>
            </w:r>
          </w:p>
          <w:p w14:paraId="0FEA9D96">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标准技术研究院</w:t>
            </w:r>
          </w:p>
        </w:tc>
        <w:tc>
          <w:tcPr>
            <w:tcW w:w="1995" w:type="dxa"/>
            <w:tcBorders>
              <w:bottom w:val="single" w:color="auto" w:sz="4" w:space="0"/>
            </w:tcBorders>
            <w:vAlign w:val="center"/>
          </w:tcPr>
          <w:p w14:paraId="36AC4C06">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tcBorders>
              <w:bottom w:val="single" w:color="auto" w:sz="4" w:space="0"/>
            </w:tcBorders>
            <w:vAlign w:val="center"/>
          </w:tcPr>
          <w:p w14:paraId="0AED63CC">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highlight w:val="yellow"/>
              </w:rPr>
            </w:pPr>
            <w:r>
              <w:rPr>
                <w:rFonts w:hint="default" w:ascii="Times New Roman" w:hAnsi="Times New Roman" w:cs="Times New Roman"/>
                <w:bCs/>
                <w:color w:val="auto"/>
                <w:sz w:val="24"/>
              </w:rPr>
              <w:t>主要技术骨干。负责标准文本格式规范</w:t>
            </w:r>
            <w:r>
              <w:rPr>
                <w:rFonts w:hint="default" w:ascii="Times New Roman" w:hAnsi="Times New Roman" w:cs="Times New Roman"/>
                <w:bCs/>
                <w:color w:val="auto"/>
                <w:sz w:val="24"/>
                <w:szCs w:val="32"/>
              </w:rPr>
              <w:t>审核</w:t>
            </w:r>
            <w:r>
              <w:rPr>
                <w:rFonts w:hint="default" w:ascii="Times New Roman" w:hAnsi="Times New Roman" w:cs="Times New Roman"/>
                <w:bCs/>
                <w:color w:val="auto"/>
                <w:sz w:val="24"/>
              </w:rPr>
              <w:t>及技术性内容校对。</w:t>
            </w:r>
          </w:p>
        </w:tc>
      </w:tr>
      <w:tr w14:paraId="16208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18E69FED">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bookmarkStart w:id="1" w:name="_Hlk224291369"/>
            <w:r>
              <w:rPr>
                <w:rFonts w:hint="default" w:ascii="Times New Roman" w:hAnsi="Times New Roman" w:cs="Times New Roman"/>
                <w:color w:val="auto"/>
                <w:sz w:val="24"/>
                <w:szCs w:val="32"/>
              </w:rPr>
              <w:t>翁石磊</w:t>
            </w:r>
          </w:p>
        </w:tc>
        <w:tc>
          <w:tcPr>
            <w:tcW w:w="2341" w:type="dxa"/>
            <w:tcBorders>
              <w:bottom w:val="single" w:color="auto" w:sz="4" w:space="0"/>
            </w:tcBorders>
            <w:vAlign w:val="center"/>
          </w:tcPr>
          <w:p w14:paraId="62920B35">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广西防城港核电有限公司</w:t>
            </w:r>
          </w:p>
        </w:tc>
        <w:tc>
          <w:tcPr>
            <w:tcW w:w="1995" w:type="dxa"/>
            <w:tcBorders>
              <w:bottom w:val="single" w:color="auto" w:sz="4" w:space="0"/>
            </w:tcBorders>
            <w:vAlign w:val="center"/>
          </w:tcPr>
          <w:p w14:paraId="17C4CE5E">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企业文化主管</w:t>
            </w:r>
          </w:p>
        </w:tc>
        <w:tc>
          <w:tcPr>
            <w:tcW w:w="3554" w:type="dxa"/>
            <w:tcBorders>
              <w:bottom w:val="single" w:color="auto" w:sz="4" w:space="0"/>
            </w:tcBorders>
            <w:vAlign w:val="center"/>
          </w:tcPr>
          <w:p w14:paraId="742DA504">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主要技术骨干。负责企业方的联络协调，提供企业相关的背景支持。</w:t>
            </w:r>
          </w:p>
        </w:tc>
      </w:tr>
      <w:tr w14:paraId="0BBE2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tcBorders>
              <w:bottom w:val="single" w:color="auto" w:sz="4" w:space="0"/>
            </w:tcBorders>
            <w:vAlign w:val="center"/>
          </w:tcPr>
          <w:p w14:paraId="78ADC9C6">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邹家明</w:t>
            </w:r>
          </w:p>
        </w:tc>
        <w:tc>
          <w:tcPr>
            <w:tcW w:w="2341" w:type="dxa"/>
            <w:tcBorders>
              <w:bottom w:val="single" w:color="auto" w:sz="4" w:space="0"/>
            </w:tcBorders>
            <w:vAlign w:val="center"/>
          </w:tcPr>
          <w:p w14:paraId="3E22A811">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广西防城港核电有限公司</w:t>
            </w:r>
          </w:p>
        </w:tc>
        <w:tc>
          <w:tcPr>
            <w:tcW w:w="1995" w:type="dxa"/>
            <w:tcBorders>
              <w:bottom w:val="single" w:color="auto" w:sz="4" w:space="0"/>
            </w:tcBorders>
            <w:vAlign w:val="center"/>
          </w:tcPr>
          <w:p w14:paraId="529666D2">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培训工程师</w:t>
            </w:r>
          </w:p>
        </w:tc>
        <w:tc>
          <w:tcPr>
            <w:tcW w:w="3554" w:type="dxa"/>
            <w:tcBorders>
              <w:bottom w:val="single" w:color="auto" w:sz="4" w:space="0"/>
            </w:tcBorders>
            <w:vAlign w:val="center"/>
          </w:tcPr>
          <w:p w14:paraId="6EF36D8A">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主要技术骨干。负责企业方的联络协调，提供企业相关的背景支持。</w:t>
            </w:r>
          </w:p>
        </w:tc>
      </w:tr>
      <w:tr w14:paraId="2C6D6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1" w:hRule="atLeast"/>
        </w:trPr>
        <w:tc>
          <w:tcPr>
            <w:tcW w:w="1149" w:type="dxa"/>
            <w:tcBorders>
              <w:bottom w:val="single" w:color="auto" w:sz="4" w:space="0"/>
            </w:tcBorders>
            <w:vAlign w:val="center"/>
          </w:tcPr>
          <w:p w14:paraId="19BE6E4A">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亢振军</w:t>
            </w:r>
          </w:p>
        </w:tc>
        <w:tc>
          <w:tcPr>
            <w:tcW w:w="2341" w:type="dxa"/>
            <w:tcBorders>
              <w:bottom w:val="single" w:color="auto" w:sz="4" w:space="0"/>
            </w:tcBorders>
            <w:vAlign w:val="center"/>
          </w:tcPr>
          <w:p w14:paraId="3999D869">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北部湾大学</w:t>
            </w:r>
          </w:p>
        </w:tc>
        <w:tc>
          <w:tcPr>
            <w:tcW w:w="1995" w:type="dxa"/>
            <w:tcBorders>
              <w:bottom w:val="single" w:color="auto" w:sz="4" w:space="0"/>
            </w:tcBorders>
            <w:vAlign w:val="center"/>
          </w:tcPr>
          <w:p w14:paraId="5E101194">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教授</w:t>
            </w:r>
          </w:p>
          <w:p w14:paraId="297F4803">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海洋学院副院长平陆运河野外观测站站长</w:t>
            </w:r>
          </w:p>
        </w:tc>
        <w:tc>
          <w:tcPr>
            <w:tcW w:w="3554" w:type="dxa"/>
            <w:tcBorders>
              <w:bottom w:val="single" w:color="auto" w:sz="4" w:space="0"/>
            </w:tcBorders>
            <w:vAlign w:val="center"/>
          </w:tcPr>
          <w:p w14:paraId="12FA6E7D">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highlight w:val="yellow"/>
              </w:rPr>
            </w:pPr>
            <w:r>
              <w:rPr>
                <w:rFonts w:hint="default" w:ascii="Times New Roman" w:hAnsi="Times New Roman" w:cs="Times New Roman"/>
                <w:bCs/>
                <w:color w:val="auto"/>
                <w:sz w:val="24"/>
              </w:rPr>
              <w:t>主要技术骨干。负责具体章节的编写、文献调研及理论分析。</w:t>
            </w:r>
          </w:p>
        </w:tc>
      </w:tr>
      <w:bookmarkEnd w:id="1"/>
      <w:tr w14:paraId="16E5C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trPr>
        <w:tc>
          <w:tcPr>
            <w:tcW w:w="1149" w:type="dxa"/>
            <w:tcBorders>
              <w:bottom w:val="single" w:color="auto" w:sz="4" w:space="0"/>
            </w:tcBorders>
            <w:vAlign w:val="center"/>
          </w:tcPr>
          <w:p w14:paraId="7CB87F24">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廖日权</w:t>
            </w:r>
          </w:p>
        </w:tc>
        <w:tc>
          <w:tcPr>
            <w:tcW w:w="2341" w:type="dxa"/>
            <w:tcBorders>
              <w:bottom w:val="single" w:color="auto" w:sz="4" w:space="0"/>
            </w:tcBorders>
            <w:vAlign w:val="center"/>
          </w:tcPr>
          <w:p w14:paraId="4CF282CF">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北部湾大学</w:t>
            </w:r>
          </w:p>
        </w:tc>
        <w:tc>
          <w:tcPr>
            <w:tcW w:w="1995" w:type="dxa"/>
            <w:tcBorders>
              <w:bottom w:val="single" w:color="auto" w:sz="4" w:space="0"/>
            </w:tcBorders>
            <w:vAlign w:val="center"/>
          </w:tcPr>
          <w:p w14:paraId="0E912D6C">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副教授</w:t>
            </w:r>
          </w:p>
          <w:p w14:paraId="72884320">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海洋科学系主任</w:t>
            </w:r>
          </w:p>
        </w:tc>
        <w:tc>
          <w:tcPr>
            <w:tcW w:w="3554" w:type="dxa"/>
            <w:tcBorders>
              <w:bottom w:val="single" w:color="auto" w:sz="4" w:space="0"/>
            </w:tcBorders>
            <w:vAlign w:val="center"/>
          </w:tcPr>
          <w:p w14:paraId="708419FC">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主要技术骨干。负责具体章节的编写、文献调研及理论分析。</w:t>
            </w:r>
          </w:p>
        </w:tc>
      </w:tr>
      <w:tr w14:paraId="20A13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149" w:type="dxa"/>
            <w:vAlign w:val="center"/>
          </w:tcPr>
          <w:p w14:paraId="07047A2E">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王晓飞</w:t>
            </w:r>
          </w:p>
        </w:tc>
        <w:tc>
          <w:tcPr>
            <w:tcW w:w="2341" w:type="dxa"/>
            <w:vAlign w:val="center"/>
          </w:tcPr>
          <w:p w14:paraId="51CFDB93">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广西科学院</w:t>
            </w:r>
          </w:p>
        </w:tc>
        <w:tc>
          <w:tcPr>
            <w:tcW w:w="1995" w:type="dxa"/>
            <w:vAlign w:val="center"/>
          </w:tcPr>
          <w:p w14:paraId="2E277E54">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正高级工程师</w:t>
            </w:r>
          </w:p>
        </w:tc>
        <w:tc>
          <w:tcPr>
            <w:tcW w:w="3554" w:type="dxa"/>
            <w:vAlign w:val="center"/>
          </w:tcPr>
          <w:p w14:paraId="3C2633E2">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主要技术骨干。负责生态保护工程相关的技术内容编写与验证。</w:t>
            </w:r>
          </w:p>
        </w:tc>
      </w:tr>
      <w:tr w14:paraId="7B528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3" w:hRule="atLeast"/>
        </w:trPr>
        <w:tc>
          <w:tcPr>
            <w:tcW w:w="1149" w:type="dxa"/>
            <w:vAlign w:val="center"/>
          </w:tcPr>
          <w:p w14:paraId="63C7C2EE">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向辉云</w:t>
            </w:r>
          </w:p>
        </w:tc>
        <w:tc>
          <w:tcPr>
            <w:tcW w:w="2341" w:type="dxa"/>
            <w:vAlign w:val="center"/>
          </w:tcPr>
          <w:p w14:paraId="018E0CB1">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418988D0">
            <w:pPr>
              <w:keepNext/>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tc>
        <w:tc>
          <w:tcPr>
            <w:tcW w:w="3554" w:type="dxa"/>
            <w:vAlign w:val="center"/>
          </w:tcPr>
          <w:p w14:paraId="54527B57">
            <w:pPr>
              <w:keepNext/>
              <w:keepLines w:val="0"/>
              <w:suppressLineNumbers w:val="0"/>
              <w:snapToGrid w:val="0"/>
              <w:spacing w:before="0" w:beforeAutospacing="0" w:after="0" w:afterAutospacing="0"/>
              <w:ind w:left="0" w:right="0" w:firstLine="0" w:firstLineChars="0"/>
              <w:jc w:val="left"/>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7D780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290B39A0">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李秀媚</w:t>
            </w:r>
          </w:p>
        </w:tc>
        <w:tc>
          <w:tcPr>
            <w:tcW w:w="2341" w:type="dxa"/>
            <w:vAlign w:val="center"/>
          </w:tcPr>
          <w:p w14:paraId="2EAE6599">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737C7A71">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0972356B">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5FA36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7FC34B0D">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何佶蔓</w:t>
            </w:r>
          </w:p>
        </w:tc>
        <w:tc>
          <w:tcPr>
            <w:tcW w:w="2341" w:type="dxa"/>
            <w:vAlign w:val="center"/>
          </w:tcPr>
          <w:p w14:paraId="022333BA">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1B841FBE">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36C28635">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6D199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1A19658B">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徐聘</w:t>
            </w:r>
          </w:p>
        </w:tc>
        <w:tc>
          <w:tcPr>
            <w:tcW w:w="2341" w:type="dxa"/>
            <w:vAlign w:val="center"/>
          </w:tcPr>
          <w:p w14:paraId="5B5952F8">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0CD0ED42">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462AA570">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2B4EC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09BBEE07">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巫迪</w:t>
            </w:r>
          </w:p>
        </w:tc>
        <w:tc>
          <w:tcPr>
            <w:tcW w:w="2341" w:type="dxa"/>
            <w:vAlign w:val="center"/>
          </w:tcPr>
          <w:p w14:paraId="09A74036">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70571DE6">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5922E8EE">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324B0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94" w:hRule="atLeast"/>
        </w:trPr>
        <w:tc>
          <w:tcPr>
            <w:tcW w:w="1149" w:type="dxa"/>
            <w:vAlign w:val="center"/>
          </w:tcPr>
          <w:p w14:paraId="0928B5D6">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陈秀娟</w:t>
            </w:r>
          </w:p>
        </w:tc>
        <w:tc>
          <w:tcPr>
            <w:tcW w:w="2341" w:type="dxa"/>
            <w:vAlign w:val="center"/>
          </w:tcPr>
          <w:p w14:paraId="79D498CC">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6BF6C3F1">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74C7DBE0">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2E99A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0436C1A9">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江菲菲</w:t>
            </w:r>
          </w:p>
        </w:tc>
        <w:tc>
          <w:tcPr>
            <w:tcW w:w="2341" w:type="dxa"/>
            <w:vAlign w:val="center"/>
          </w:tcPr>
          <w:p w14:paraId="43B011D0">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广西壮族自治区辐射环境监督管理站</w:t>
            </w:r>
          </w:p>
        </w:tc>
        <w:tc>
          <w:tcPr>
            <w:tcW w:w="1995" w:type="dxa"/>
            <w:vAlign w:val="center"/>
          </w:tcPr>
          <w:p w14:paraId="54A832DA">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53B3AA50">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szCs w:val="32"/>
              </w:rPr>
            </w:pPr>
            <w:r>
              <w:rPr>
                <w:rFonts w:hint="default" w:ascii="Times New Roman" w:hAnsi="Times New Roman" w:cs="Times New Roman"/>
                <w:bCs/>
                <w:color w:val="auto"/>
                <w:sz w:val="24"/>
              </w:rPr>
              <w:t>主要技术骨干。参与部分章节的编写及数据整理。</w:t>
            </w:r>
          </w:p>
        </w:tc>
      </w:tr>
      <w:tr w14:paraId="2755C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578590D4">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李文妍</w:t>
            </w:r>
          </w:p>
        </w:tc>
        <w:tc>
          <w:tcPr>
            <w:tcW w:w="2341" w:type="dxa"/>
            <w:vAlign w:val="center"/>
          </w:tcPr>
          <w:p w14:paraId="3A11F201">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广西壮族自治区标准技术研究院</w:t>
            </w:r>
          </w:p>
        </w:tc>
        <w:tc>
          <w:tcPr>
            <w:tcW w:w="1995" w:type="dxa"/>
            <w:vAlign w:val="center"/>
          </w:tcPr>
          <w:p w14:paraId="5D7DD3CC">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p w14:paraId="3F33253B">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国际标准化研究所副所长</w:t>
            </w:r>
          </w:p>
        </w:tc>
        <w:tc>
          <w:tcPr>
            <w:tcW w:w="3554" w:type="dxa"/>
            <w:vAlign w:val="center"/>
          </w:tcPr>
          <w:p w14:paraId="28282665">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主要技术骨干。跟进标准报批流程中的格式适配工作。</w:t>
            </w:r>
          </w:p>
        </w:tc>
      </w:tr>
      <w:tr w14:paraId="3B6A8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1FFFE3D3">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bookmarkStart w:id="2" w:name="_Hlk224291452"/>
            <w:r>
              <w:rPr>
                <w:rFonts w:hint="default" w:ascii="Times New Roman" w:hAnsi="Times New Roman" w:cs="Times New Roman"/>
                <w:color w:val="auto"/>
                <w:sz w:val="24"/>
                <w:szCs w:val="32"/>
              </w:rPr>
              <w:t>林明媚</w:t>
            </w:r>
          </w:p>
        </w:tc>
        <w:tc>
          <w:tcPr>
            <w:tcW w:w="2341" w:type="dxa"/>
            <w:vAlign w:val="center"/>
          </w:tcPr>
          <w:p w14:paraId="36D3D21F">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highlight w:val="yellow"/>
              </w:rPr>
            </w:pPr>
            <w:r>
              <w:rPr>
                <w:rFonts w:hint="default" w:ascii="Times New Roman" w:hAnsi="Times New Roman" w:cs="Times New Roman"/>
                <w:color w:val="auto"/>
                <w:sz w:val="24"/>
                <w:szCs w:val="32"/>
              </w:rPr>
              <w:t>广西壮族自治区辐射环境监督管理站</w:t>
            </w:r>
          </w:p>
        </w:tc>
        <w:tc>
          <w:tcPr>
            <w:tcW w:w="1995" w:type="dxa"/>
            <w:vAlign w:val="center"/>
          </w:tcPr>
          <w:p w14:paraId="7730B923">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高级工程师</w:t>
            </w:r>
          </w:p>
        </w:tc>
        <w:tc>
          <w:tcPr>
            <w:tcW w:w="3554" w:type="dxa"/>
            <w:vAlign w:val="center"/>
          </w:tcPr>
          <w:p w14:paraId="233B77AA">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主要技术骨干。参与部分章节的编写及数据整理。</w:t>
            </w:r>
          </w:p>
        </w:tc>
      </w:tr>
      <w:tr w14:paraId="3C145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012F9DCB">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庞海敏</w:t>
            </w:r>
          </w:p>
        </w:tc>
        <w:tc>
          <w:tcPr>
            <w:tcW w:w="2341" w:type="dxa"/>
            <w:vAlign w:val="center"/>
          </w:tcPr>
          <w:p w14:paraId="1AC52B39">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highlight w:val="yellow"/>
              </w:rPr>
            </w:pPr>
            <w:r>
              <w:rPr>
                <w:rFonts w:hint="default" w:ascii="Times New Roman" w:hAnsi="Times New Roman" w:cs="Times New Roman"/>
                <w:color w:val="auto"/>
                <w:sz w:val="24"/>
                <w:szCs w:val="32"/>
              </w:rPr>
              <w:t>广西壮族自治区辐射环境监督管理站</w:t>
            </w:r>
          </w:p>
        </w:tc>
        <w:tc>
          <w:tcPr>
            <w:tcW w:w="1995" w:type="dxa"/>
            <w:vAlign w:val="center"/>
          </w:tcPr>
          <w:p w14:paraId="1917DF36">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43DACDC1">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主要技术骨干。参与部分章节的编写及数据整理。</w:t>
            </w:r>
          </w:p>
        </w:tc>
      </w:tr>
      <w:tr w14:paraId="07354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7273392B">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黄彬丽</w:t>
            </w:r>
          </w:p>
        </w:tc>
        <w:tc>
          <w:tcPr>
            <w:tcW w:w="2341" w:type="dxa"/>
            <w:vAlign w:val="center"/>
          </w:tcPr>
          <w:p w14:paraId="49652939">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highlight w:val="yellow"/>
              </w:rPr>
            </w:pPr>
            <w:r>
              <w:rPr>
                <w:rFonts w:hint="default" w:ascii="Times New Roman" w:hAnsi="Times New Roman" w:cs="Times New Roman"/>
                <w:color w:val="auto"/>
                <w:sz w:val="24"/>
                <w:szCs w:val="32"/>
              </w:rPr>
              <w:t>广西壮族自治区辐射环境监督管理站</w:t>
            </w:r>
          </w:p>
        </w:tc>
        <w:tc>
          <w:tcPr>
            <w:tcW w:w="1995" w:type="dxa"/>
            <w:vAlign w:val="center"/>
          </w:tcPr>
          <w:p w14:paraId="48EB3A43">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0326EBEB">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主要技术骨干。参与部分章节的编写及数据整理。</w:t>
            </w:r>
          </w:p>
        </w:tc>
      </w:tr>
      <w:tr w14:paraId="04550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149" w:type="dxa"/>
            <w:vAlign w:val="center"/>
          </w:tcPr>
          <w:p w14:paraId="21CF21FA">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刘锦玲</w:t>
            </w:r>
          </w:p>
        </w:tc>
        <w:tc>
          <w:tcPr>
            <w:tcW w:w="2341" w:type="dxa"/>
            <w:vAlign w:val="center"/>
          </w:tcPr>
          <w:p w14:paraId="225725B7">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highlight w:val="yellow"/>
              </w:rPr>
            </w:pPr>
            <w:r>
              <w:rPr>
                <w:rFonts w:hint="default" w:ascii="Times New Roman" w:hAnsi="Times New Roman" w:cs="Times New Roman"/>
                <w:color w:val="auto"/>
                <w:sz w:val="24"/>
                <w:szCs w:val="32"/>
              </w:rPr>
              <w:t>广西壮族自治区辐射环境监督管理站</w:t>
            </w:r>
          </w:p>
        </w:tc>
        <w:tc>
          <w:tcPr>
            <w:tcW w:w="1995" w:type="dxa"/>
            <w:vAlign w:val="center"/>
          </w:tcPr>
          <w:p w14:paraId="044EA707">
            <w:pPr>
              <w:keepNext w:val="0"/>
              <w:keepLines w:val="0"/>
              <w:suppressLineNumbers w:val="0"/>
              <w:snapToGrid w:val="0"/>
              <w:spacing w:before="0" w:beforeAutospacing="0" w:after="0" w:afterAutospacing="0"/>
              <w:ind w:left="0" w:right="0" w:firstLine="0" w:firstLineChars="0"/>
              <w:jc w:val="center"/>
              <w:rPr>
                <w:rFonts w:hint="default" w:ascii="Times New Roman" w:hAnsi="Times New Roman" w:cs="Times New Roman"/>
                <w:color w:val="auto"/>
                <w:sz w:val="24"/>
                <w:szCs w:val="32"/>
              </w:rPr>
            </w:pPr>
            <w:r>
              <w:rPr>
                <w:rFonts w:hint="default" w:ascii="Times New Roman" w:hAnsi="Times New Roman" w:cs="Times New Roman"/>
                <w:color w:val="auto"/>
                <w:sz w:val="24"/>
                <w:szCs w:val="32"/>
              </w:rPr>
              <w:t>工程师</w:t>
            </w:r>
          </w:p>
        </w:tc>
        <w:tc>
          <w:tcPr>
            <w:tcW w:w="3554" w:type="dxa"/>
            <w:vAlign w:val="center"/>
          </w:tcPr>
          <w:p w14:paraId="586A6297">
            <w:pPr>
              <w:keepNext w:val="0"/>
              <w:keepLines w:val="0"/>
              <w:suppressLineNumbers w:val="0"/>
              <w:snapToGrid w:val="0"/>
              <w:spacing w:before="0" w:beforeAutospacing="0" w:after="0" w:afterAutospacing="0"/>
              <w:ind w:left="0" w:right="0" w:firstLine="0" w:firstLineChars="0"/>
              <w:rPr>
                <w:rFonts w:hint="default" w:ascii="Times New Roman" w:hAnsi="Times New Roman" w:cs="Times New Roman"/>
                <w:bCs/>
                <w:color w:val="auto"/>
                <w:sz w:val="24"/>
              </w:rPr>
            </w:pPr>
            <w:r>
              <w:rPr>
                <w:rFonts w:hint="default" w:ascii="Times New Roman" w:hAnsi="Times New Roman" w:cs="Times New Roman"/>
                <w:bCs/>
                <w:color w:val="auto"/>
                <w:sz w:val="24"/>
              </w:rPr>
              <w:t>主要技术骨干。参与部分章节的编写及数据整理。</w:t>
            </w:r>
          </w:p>
        </w:tc>
      </w:tr>
      <w:bookmarkEnd w:id="2"/>
    </w:tbl>
    <w:p w14:paraId="71F18BF3">
      <w:pPr>
        <w:pStyle w:val="3"/>
        <w:spacing w:before="0" w:after="0" w:line="560" w:lineRule="exact"/>
        <w:ind w:firstLine="640"/>
        <w:rPr>
          <w:rFonts w:hint="default" w:ascii="Times New Roman" w:hAnsi="Times New Roman" w:eastAsia="楷体" w:cs="Times New Roman"/>
          <w:b w:val="0"/>
          <w:color w:val="auto"/>
          <w:szCs w:val="32"/>
        </w:rPr>
      </w:pPr>
      <w:r>
        <w:rPr>
          <w:rFonts w:hint="default" w:ascii="Times New Roman" w:hAnsi="Times New Roman" w:eastAsia="楷体" w:cs="Times New Roman"/>
          <w:b w:val="0"/>
          <w:color w:val="auto"/>
          <w:szCs w:val="32"/>
        </w:rPr>
        <w:t>（三）目的意义</w:t>
      </w:r>
    </w:p>
    <w:p w14:paraId="5A92D6D2">
      <w:pPr>
        <w:pStyle w:val="16"/>
        <w:spacing w:line="600" w:lineRule="exact"/>
        <w:rPr>
          <w:rFonts w:hint="default" w:ascii="Times New Roman" w:hAnsi="Times New Roman" w:eastAsia="仿宋" w:cs="Times New Roman"/>
          <w:color w:val="auto"/>
        </w:rPr>
      </w:pPr>
      <w:bookmarkStart w:id="3" w:name="7fc1902533df4d1eb7d81dd63ec0eae1"/>
      <w:r>
        <w:rPr>
          <w:rFonts w:hint="default" w:ascii="Times New Roman" w:hAnsi="Times New Roman" w:eastAsia="仿宋" w:cs="Times New Roman"/>
          <w:color w:val="auto"/>
        </w:rPr>
        <w:t>随着我国生态文明建设进入纵深发展阶段，公众对生态环境保护的认知需求日益提升，科普教育作为连接科学与社会的重要桥梁，其作用愈发凸显。特别是在承担国家战略监测与科研任务的生态环境系统单位中，如何在保障国家安全与保密要求的前提下，科学、有序、有效地开展科普研学活动，已成为新时代推动科技资源科普化、提升全民科学素养的重要课题。</w:t>
      </w:r>
      <w:bookmarkEnd w:id="3"/>
    </w:p>
    <w:p w14:paraId="4E4825B5">
      <w:pPr>
        <w:pStyle w:val="16"/>
        <w:spacing w:line="600" w:lineRule="exact"/>
        <w:rPr>
          <w:rFonts w:hint="default" w:ascii="Times New Roman" w:hAnsi="Times New Roman" w:eastAsia="仿宋" w:cs="Times New Roman"/>
          <w:color w:val="auto"/>
        </w:rPr>
      </w:pPr>
      <w:bookmarkStart w:id="4" w:name="140655fd85fe4933b648e2fa7741c9a1"/>
      <w:r>
        <w:rPr>
          <w:rFonts w:hint="default" w:ascii="Times New Roman" w:hAnsi="Times New Roman" w:eastAsia="仿宋" w:cs="Times New Roman"/>
          <w:color w:val="auto"/>
        </w:rPr>
        <w:t>当前，国内尚缺乏针对生态环境系统</w:t>
      </w:r>
      <w:r>
        <w:rPr>
          <w:rFonts w:hint="default" w:ascii="Times New Roman" w:hAnsi="Times New Roman" w:eastAsia="仿宋" w:cs="Times New Roman"/>
          <w:color w:val="auto"/>
          <w:lang w:val="en-US" w:eastAsia="zh-CN"/>
        </w:rPr>
        <w:t>开展</w:t>
      </w:r>
      <w:r>
        <w:rPr>
          <w:rFonts w:hint="default" w:ascii="Times New Roman" w:hAnsi="Times New Roman" w:eastAsia="仿宋" w:cs="Times New Roman"/>
          <w:color w:val="auto"/>
        </w:rPr>
        <w:t>研学课程设计与评价的统一标准。现有研学规范多侧重于通用性教育目标，未能充分考虑</w:t>
      </w:r>
      <w:r>
        <w:rPr>
          <w:rFonts w:hint="default" w:ascii="Times New Roman" w:hAnsi="Times New Roman" w:eastAsia="仿宋" w:cs="Times New Roman"/>
          <w:color w:val="auto"/>
          <w:lang w:val="en-US" w:eastAsia="zh-CN"/>
        </w:rPr>
        <w:t>生态环境科普研学的保密性与特殊性</w:t>
      </w:r>
      <w:r>
        <w:rPr>
          <w:rFonts w:hint="default" w:ascii="Times New Roman" w:hAnsi="Times New Roman" w:eastAsia="仿宋" w:cs="Times New Roman"/>
          <w:color w:val="auto"/>
        </w:rPr>
        <w:t>。此外，现有规范多侧重于通用性教育目标，未能充分解决涉密单位“开放难”、科研内容“转化难”、高危区域“安全管控难”的问题，导致部分单位在开展研学活动时存在内容碎片化、价值引导弱化、安全边界模糊等问题。</w:t>
      </w:r>
    </w:p>
    <w:bookmarkEnd w:id="4"/>
    <w:p w14:paraId="40DB6E6A">
      <w:pPr>
        <w:pStyle w:val="16"/>
        <w:spacing w:line="600" w:lineRule="exact"/>
        <w:rPr>
          <w:rFonts w:hint="default" w:ascii="Times New Roman" w:hAnsi="Times New Roman" w:cs="Times New Roman"/>
          <w:color w:val="auto"/>
        </w:rPr>
      </w:pPr>
      <w:bookmarkStart w:id="5" w:name="720198719de54b23b5b82b169abbf804"/>
      <w:r>
        <w:rPr>
          <w:rFonts w:hint="default" w:ascii="Times New Roman" w:hAnsi="Times New Roman" w:eastAsia="仿宋" w:cs="Times New Roman"/>
          <w:color w:val="auto"/>
        </w:rPr>
        <w:t>因此，制定一部兼具专业性、安全性、教育性与价值引领性的团体标准——《生态环境科普研学课程设计指南》，不仅是填补行业空白的现实需要，更是贯彻落实总体国家安全观、弘扬科学家精神、推动科技伦理与爱国主义教育深度融合的战略举措。</w:t>
      </w:r>
      <w:bookmarkEnd w:id="5"/>
    </w:p>
    <w:p w14:paraId="3D27B44C">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二、标准编制过程</w:t>
      </w:r>
    </w:p>
    <w:p w14:paraId="373C8EA4">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（一）成立编制工作组</w:t>
      </w:r>
    </w:p>
    <w:p w14:paraId="29390AE9">
      <w:pPr>
        <w:snapToGrid w:val="0"/>
        <w:spacing w:line="560" w:lineRule="exact"/>
        <w:ind w:firstLine="640"/>
        <w:rPr>
          <w:rFonts w:hint="default" w:ascii="Times New Roman" w:hAnsi="Times New Roman" w:eastAsia="仿宋" w:cs="Times New Roman"/>
          <w:color w:val="auto"/>
          <w:sz w:val="32"/>
          <w:szCs w:val="32"/>
          <w:lang w:eastAsia="zh-CN"/>
        </w:rPr>
      </w:pPr>
      <w:r>
        <w:rPr>
          <w:rFonts w:hint="default" w:ascii="Times New Roman" w:hAnsi="Times New Roman" w:cs="Times New Roman"/>
          <w:color w:val="auto"/>
          <w:sz w:val="32"/>
          <w:szCs w:val="32"/>
        </w:rPr>
        <w:t>2026年3月，由广西壮族自治区辐射环境监督管理站、广西壮族自治区标准技术研究院、北部湾大学、广西防城港核电有限公司共同组成标准编制工作组</w:t>
      </w:r>
      <w:r>
        <w:rPr>
          <w:rFonts w:hint="default" w:ascii="Times New Roman" w:hAnsi="Times New Roman" w:cs="Times New Roman"/>
          <w:color w:val="auto"/>
          <w:sz w:val="32"/>
          <w:szCs w:val="32"/>
          <w:lang w:eastAsia="zh-CN"/>
        </w:rPr>
        <w:t>。</w:t>
      </w:r>
    </w:p>
    <w:p w14:paraId="0C64649D">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（二）展开调研，收集资料</w:t>
      </w:r>
    </w:p>
    <w:p w14:paraId="027497F5">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2026年4月，编制小组开展生态环境科普研学标准化现状资料收集和分析，确定标准制定的边界和主题框架，形成标准工作组讨论稿。</w:t>
      </w:r>
    </w:p>
    <w:p w14:paraId="4BCE84A7">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（三）确定主体内容</w:t>
      </w:r>
    </w:p>
    <w:p w14:paraId="4CC3E61D">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2026年5月，编制小组组织召开小组讨论会，对标准文本进行讨论修改，形成标准征求意见稿。</w:t>
      </w:r>
    </w:p>
    <w:p w14:paraId="08546DC7">
      <w:pPr>
        <w:pageBreakBefore w:val="0"/>
        <w:kinsoku/>
        <w:wordWrap/>
        <w:overflowPunct/>
        <w:topLinePunct w:val="0"/>
        <w:autoSpaceDE/>
        <w:autoSpaceDN/>
        <w:bidi w:val="0"/>
        <w:adjustRightInd/>
        <w:spacing w:line="560" w:lineRule="exact"/>
        <w:ind w:firstLine="640"/>
        <w:textAlignment w:val="auto"/>
        <w:rPr>
          <w:rFonts w:hint="default" w:ascii="Times New Roman" w:hAnsi="Times New Roman" w:eastAsia="楷体" w:cs="Times New Roman"/>
          <w:color w:val="auto"/>
          <w:kern w:val="2"/>
          <w:sz w:val="32"/>
          <w:szCs w:val="32"/>
          <w:lang w:val="en-US" w:eastAsia="zh-CN" w:bidi="ar-SA"/>
        </w:rPr>
      </w:pPr>
      <w:r>
        <w:rPr>
          <w:rFonts w:hint="default" w:ascii="Times New Roman" w:hAnsi="Times New Roman" w:eastAsia="楷体" w:cs="Times New Roman"/>
          <w:color w:val="auto"/>
          <w:kern w:val="2"/>
          <w:sz w:val="32"/>
          <w:szCs w:val="32"/>
          <w:lang w:val="en-US" w:eastAsia="zh-CN" w:bidi="ar-SA"/>
        </w:rPr>
        <w:t>（四）专家研讨</w:t>
      </w:r>
    </w:p>
    <w:p w14:paraId="074B60CF">
      <w:pPr>
        <w:pageBreakBefore w:val="0"/>
        <w:kinsoku/>
        <w:wordWrap/>
        <w:overflowPunct/>
        <w:topLinePunct w:val="0"/>
        <w:autoSpaceDE/>
        <w:autoSpaceDN/>
        <w:bidi w:val="0"/>
        <w:adjustRightInd/>
        <w:spacing w:line="560" w:lineRule="exact"/>
        <w:ind w:firstLine="640"/>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2026年5月26日，组织召开专家研讨会，</w:t>
      </w:r>
      <w:r>
        <w:rPr>
          <w:rFonts w:hint="default" w:ascii="Times New Roman" w:hAnsi="Times New Roman" w:cs="Times New Roman"/>
          <w:color w:val="auto"/>
          <w:sz w:val="32"/>
          <w:szCs w:val="32"/>
        </w:rPr>
        <w:t>邀请广西壮族自治区环境保护科学研究院、广西壮族自治区科学技术馆、广西壮族自治区生态环境监测中心、南宁市科技馆、广西标准化协会等5位专家</w:t>
      </w:r>
      <w:r>
        <w:rPr>
          <w:rFonts w:hint="default" w:ascii="Times New Roman" w:hAnsi="Times New Roman" w:eastAsia="仿宋" w:cs="Times New Roman"/>
          <w:color w:val="auto"/>
          <w:sz w:val="32"/>
          <w:szCs w:val="32"/>
          <w:lang w:val="en-US" w:eastAsia="zh-CN"/>
        </w:rPr>
        <w:t>对标准文本进行深入讨论，收到修改意见建议30条，采纳29条。会后编制小组按照专家意见对标准进行修改，形成征求意见稿。</w:t>
      </w:r>
    </w:p>
    <w:p w14:paraId="2B52ECB6">
      <w:pPr>
        <w:pStyle w:val="4"/>
        <w:spacing w:before="0" w:after="0" w:line="560" w:lineRule="exact"/>
        <w:rPr>
          <w:rFonts w:hint="default" w:ascii="Times New Roman" w:hAnsi="Times New Roman" w:cs="Times New Roman"/>
          <w:b/>
          <w:bCs/>
          <w:color w:val="auto"/>
          <w:szCs w:val="32"/>
        </w:rPr>
      </w:pPr>
      <w:r>
        <w:rPr>
          <w:rFonts w:hint="default" w:ascii="Times New Roman" w:hAnsi="Times New Roman" w:cs="Times New Roman"/>
          <w:bCs/>
          <w:color w:val="auto"/>
          <w:szCs w:val="32"/>
        </w:rPr>
        <w:t>三、标准编制原则</w:t>
      </w:r>
    </w:p>
    <w:p w14:paraId="274FD584">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（一）规范性原则</w:t>
      </w:r>
    </w:p>
    <w:p w14:paraId="3CBEE2CC">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本标准的起草格式、结构和编写规则严格按照 GB/T 1.1—2020《标准化工作导则  第1部分：标准化文件的结构和起草规则》的要求执行。标准编写流程严格遵守团体标准相关管理</w:t>
      </w:r>
      <w:r>
        <w:rPr>
          <w:rFonts w:hint="default" w:ascii="Times New Roman" w:hAnsi="Times New Roman" w:cs="Times New Roman"/>
          <w:color w:val="auto"/>
          <w:sz w:val="32"/>
          <w:szCs w:val="32"/>
          <w:lang w:eastAsia="zh-CN"/>
        </w:rPr>
        <w:t>办法</w:t>
      </w:r>
      <w:r>
        <w:rPr>
          <w:rFonts w:hint="default" w:ascii="Times New Roman" w:hAnsi="Times New Roman" w:cs="Times New Roman"/>
          <w:color w:val="auto"/>
          <w:sz w:val="32"/>
          <w:szCs w:val="32"/>
        </w:rPr>
        <w:t>。</w:t>
      </w:r>
    </w:p>
    <w:p w14:paraId="020F8EA5">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（二）一致性原则</w:t>
      </w:r>
    </w:p>
    <w:p w14:paraId="29DFFDF3">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本标准中的术语和定义与 GB/T 32844《科普资源分类与代码》保持一致，确保专业术语的一致性。</w:t>
      </w:r>
    </w:p>
    <w:p w14:paraId="111E1AFD">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（三）可操作性原则</w:t>
      </w:r>
    </w:p>
    <w:p w14:paraId="12197E30">
      <w:pPr>
        <w:spacing w:line="560" w:lineRule="exact"/>
        <w:ind w:firstLine="640"/>
        <w:rPr>
          <w:rFonts w:hint="default" w:ascii="Times New Roman" w:hAnsi="Times New Roman" w:eastAsia="仿宋" w:cs="Times New Roman"/>
          <w:color w:val="auto"/>
          <w:sz w:val="32"/>
          <w:szCs w:val="32"/>
          <w:lang w:val="en-US" w:eastAsia="zh-CN"/>
        </w:rPr>
      </w:pPr>
      <w:bookmarkStart w:id="6" w:name="00c82019c90749579cce6876a0a9c46a"/>
      <w:r>
        <w:rPr>
          <w:rFonts w:hint="default" w:ascii="Times New Roman" w:hAnsi="Times New Roman" w:cs="Times New Roman"/>
          <w:color w:val="auto"/>
          <w:sz w:val="32"/>
          <w:szCs w:val="32"/>
        </w:rPr>
        <w:t>本</w:t>
      </w:r>
      <w:r>
        <w:rPr>
          <w:rFonts w:hint="default" w:ascii="Times New Roman" w:hAnsi="Times New Roman" w:cs="Times New Roman"/>
          <w:color w:val="auto"/>
          <w:sz w:val="32"/>
          <w:szCs w:val="32"/>
          <w:lang w:eastAsia="zh-CN"/>
        </w:rPr>
        <w:t>标准</w:t>
      </w:r>
      <w:r>
        <w:rPr>
          <w:rFonts w:hint="default" w:ascii="Times New Roman" w:hAnsi="Times New Roman" w:cs="Times New Roman"/>
          <w:color w:val="auto"/>
          <w:sz w:val="32"/>
          <w:szCs w:val="32"/>
        </w:rPr>
        <w:t>的设计基于前期调查</w:t>
      </w:r>
      <w:r>
        <w:rPr>
          <w:rFonts w:hint="default" w:ascii="Times New Roman" w:hAnsi="Times New Roman" w:cs="Times New Roman"/>
          <w:color w:val="auto"/>
          <w:sz w:val="32"/>
          <w:szCs w:val="32"/>
          <w:lang w:eastAsia="zh-CN"/>
        </w:rPr>
        <w:t>研究</w:t>
      </w:r>
      <w:r>
        <w:rPr>
          <w:rFonts w:hint="default" w:ascii="Times New Roman" w:hAnsi="Times New Roman" w:cs="Times New Roman"/>
          <w:color w:val="auto"/>
          <w:sz w:val="32"/>
          <w:szCs w:val="32"/>
        </w:rPr>
        <w:t>，结合生态环境科普研学工作经验，根据现实发展需要，按照课程设计流程制定</w:t>
      </w:r>
      <w:bookmarkEnd w:id="6"/>
      <w:r>
        <w:rPr>
          <w:rFonts w:hint="default" w:ascii="Times New Roman" w:hAnsi="Times New Roman" w:cs="Times New Roman"/>
          <w:color w:val="auto"/>
          <w:sz w:val="32"/>
          <w:szCs w:val="32"/>
        </w:rPr>
        <w:t>，</w:t>
      </w:r>
      <w:r>
        <w:rPr>
          <w:rFonts w:hint="default" w:ascii="Times New Roman" w:hAnsi="Times New Roman" w:cs="Times New Roman"/>
          <w:color w:val="auto"/>
          <w:sz w:val="32"/>
          <w:szCs w:val="32"/>
          <w:lang w:val="en-US" w:eastAsia="zh-CN"/>
        </w:rPr>
        <w:t>可操作性强。</w:t>
      </w:r>
    </w:p>
    <w:p w14:paraId="770AB88C">
      <w:pPr>
        <w:pStyle w:val="4"/>
        <w:spacing w:before="0" w:after="0" w:line="560" w:lineRule="exact"/>
        <w:ind w:firstLine="640"/>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（四）</w:t>
      </w:r>
      <w:r>
        <w:rPr>
          <w:rFonts w:hint="default" w:ascii="Times New Roman" w:hAnsi="Times New Roman" w:eastAsia="楷体" w:cs="Times New Roman"/>
          <w:color w:val="auto"/>
          <w:sz w:val="32"/>
          <w:szCs w:val="32"/>
          <w:lang w:eastAsia="zh-CN"/>
        </w:rPr>
        <w:t>通用性</w:t>
      </w:r>
    </w:p>
    <w:p w14:paraId="7156CD24">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指南适用于生态环境系统内各级生态环境局、环境监测中心（站）、辐射环境监督站、环境科学研究机构，以及向公众开放的环保设施单位（如污水处理厂、垃圾焚烧发电厂、危险废物处置中心等）开展的科普研学课程</w:t>
      </w:r>
      <w:r>
        <w:rPr>
          <w:rFonts w:hint="default" w:ascii="Times New Roman" w:hAnsi="Times New Roman" w:cs="Times New Roman"/>
          <w:color w:val="auto"/>
          <w:sz w:val="32"/>
          <w:szCs w:val="32"/>
          <w:lang w:eastAsia="zh-CN"/>
        </w:rPr>
        <w:t>的</w:t>
      </w:r>
      <w:r>
        <w:rPr>
          <w:rFonts w:hint="default" w:ascii="Times New Roman" w:hAnsi="Times New Roman" w:cs="Times New Roman"/>
          <w:color w:val="auto"/>
          <w:sz w:val="32"/>
          <w:szCs w:val="32"/>
        </w:rPr>
        <w:t>设计。</w:t>
      </w:r>
    </w:p>
    <w:p w14:paraId="2E086726">
      <w:pPr>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本指南旨在规范生态环境系统内各单位的研学课程设计，以广西壮族自治区为重点实施区域，同时可作为全国其他地区生态环境系统单位开展研学课程设计的参考模板。</w:t>
      </w:r>
    </w:p>
    <w:p w14:paraId="63D2A7FE">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四、主要内容（如技术指标、参数、公式、性能要求、试验方法、检验规则）的</w:t>
      </w:r>
      <w:r>
        <w:rPr>
          <w:rFonts w:hint="eastAsia" w:ascii="Times New Roman" w:hAnsi="Times New Roman" w:eastAsia="黑体" w:cs="Times New Roman"/>
          <w:b w:val="0"/>
          <w:bCs/>
          <w:color w:val="auto"/>
          <w:szCs w:val="32"/>
          <w:lang w:eastAsia="zh-CN"/>
        </w:rPr>
        <w:t>论证</w:t>
      </w:r>
    </w:p>
    <w:p w14:paraId="318A7DBF">
      <w:pPr>
        <w:snapToGrid w:val="0"/>
        <w:spacing w:line="560" w:lineRule="exact"/>
        <w:ind w:firstLine="0" w:firstLineChars="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本标准分为</w:t>
      </w:r>
      <w:r>
        <w:rPr>
          <w:rFonts w:hint="default" w:ascii="Times New Roman" w:hAnsi="Times New Roman" w:cs="Times New Roman"/>
          <w:color w:val="auto"/>
          <w:sz w:val="32"/>
          <w:szCs w:val="32"/>
          <w:lang w:val="en-US" w:eastAsia="zh-CN"/>
        </w:rPr>
        <w:t>5</w:t>
      </w:r>
      <w:r>
        <w:rPr>
          <w:rFonts w:hint="default" w:ascii="Times New Roman" w:hAnsi="Times New Roman" w:cs="Times New Roman"/>
          <w:color w:val="auto"/>
          <w:sz w:val="32"/>
          <w:szCs w:val="32"/>
        </w:rPr>
        <w:t>个章节：</w:t>
      </w:r>
    </w:p>
    <w:p w14:paraId="64B10A21">
      <w:pPr>
        <w:numPr>
          <w:ilvl w:val="0"/>
          <w:numId w:val="0"/>
        </w:numPr>
        <w:snapToGrid w:val="0"/>
        <w:spacing w:line="560" w:lineRule="exact"/>
        <w:ind w:firstLine="640" w:firstLineChars="200"/>
        <w:rPr>
          <w:rFonts w:hint="default" w:ascii="Times New Roman" w:hAnsi="Times New Roman" w:cs="Times New Roman"/>
          <w:color w:val="auto"/>
          <w:sz w:val="32"/>
          <w:szCs w:val="32"/>
        </w:rPr>
      </w:pPr>
      <w:r>
        <w:rPr>
          <w:rFonts w:hint="default" w:ascii="Times New Roman" w:hAnsi="Times New Roman" w:cs="Times New Roman"/>
          <w:color w:val="auto"/>
          <w:kern w:val="2"/>
          <w:sz w:val="32"/>
          <w:szCs w:val="32"/>
          <w:lang w:val="en-US" w:eastAsia="zh-CN" w:bidi="ar-SA"/>
        </w:rPr>
        <w:t>（一）第1章</w:t>
      </w:r>
      <w:r>
        <w:rPr>
          <w:rFonts w:hint="default" w:ascii="Times New Roman" w:hAnsi="Times New Roman" w:cs="Times New Roman"/>
          <w:color w:val="auto"/>
          <w:sz w:val="32"/>
          <w:szCs w:val="32"/>
        </w:rPr>
        <w:t>范围</w:t>
      </w:r>
    </w:p>
    <w:p w14:paraId="135D024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cs="Times New Roman"/>
          <w:color w:val="auto"/>
          <w:sz w:val="32"/>
          <w:szCs w:val="32"/>
          <w:lang w:val="en-US" w:eastAsia="zh-CN"/>
        </w:rPr>
        <w:t>本章界定了本标准的适用范围为“生态环境科普研学课程的设计”。</w:t>
      </w:r>
    </w:p>
    <w:p w14:paraId="3184A454">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二</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第2章</w:t>
      </w:r>
      <w:r>
        <w:rPr>
          <w:rFonts w:hint="default" w:ascii="Times New Roman" w:hAnsi="Times New Roman" w:cs="Times New Roman"/>
          <w:color w:val="auto"/>
          <w:sz w:val="32"/>
          <w:szCs w:val="32"/>
        </w:rPr>
        <w:t>规范性引用文件</w:t>
      </w:r>
    </w:p>
    <w:p w14:paraId="268C938F">
      <w:pPr>
        <w:snapToGrid w:val="0"/>
        <w:spacing w:line="560" w:lineRule="exact"/>
        <w:ind w:firstLine="640"/>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rPr>
        <w:t>引用GB/T32844-2016《科普资源分类与代码》规定的相关术语和定义，确保一致性。</w:t>
      </w:r>
    </w:p>
    <w:p w14:paraId="1E6D334F">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三</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第3章</w:t>
      </w:r>
      <w:r>
        <w:rPr>
          <w:rFonts w:hint="default" w:ascii="Times New Roman" w:hAnsi="Times New Roman" w:cs="Times New Roman"/>
          <w:color w:val="auto"/>
          <w:sz w:val="32"/>
          <w:szCs w:val="32"/>
        </w:rPr>
        <w:t>术语和定义</w:t>
      </w:r>
    </w:p>
    <w:p w14:paraId="6C3C87A8">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界定“生态环境科普研学课程”</w:t>
      </w:r>
      <w:r>
        <w:rPr>
          <w:rFonts w:hint="default" w:ascii="Times New Roman" w:hAnsi="Times New Roman" w:cs="Times New Roman"/>
          <w:color w:val="auto"/>
          <w:sz w:val="32"/>
          <w:szCs w:val="32"/>
          <w:lang w:eastAsia="zh-CN"/>
        </w:rPr>
        <w:t>的</w:t>
      </w:r>
      <w:r>
        <w:rPr>
          <w:rFonts w:hint="default" w:ascii="Times New Roman" w:hAnsi="Times New Roman" w:cs="Times New Roman"/>
          <w:color w:val="auto"/>
          <w:sz w:val="32"/>
          <w:szCs w:val="32"/>
        </w:rPr>
        <w:t>术语</w:t>
      </w:r>
      <w:r>
        <w:rPr>
          <w:rFonts w:hint="default" w:ascii="Times New Roman" w:hAnsi="Times New Roman" w:cs="Times New Roman"/>
          <w:color w:val="auto"/>
          <w:sz w:val="32"/>
          <w:szCs w:val="32"/>
          <w:lang w:val="en-US" w:eastAsia="zh-CN"/>
        </w:rPr>
        <w:t>和定义</w:t>
      </w:r>
      <w:r>
        <w:rPr>
          <w:rFonts w:hint="default" w:ascii="Times New Roman" w:hAnsi="Times New Roman" w:cs="Times New Roman"/>
          <w:color w:val="auto"/>
          <w:sz w:val="32"/>
          <w:szCs w:val="32"/>
        </w:rPr>
        <w:t>，统一行业认知。</w:t>
      </w:r>
    </w:p>
    <w:p w14:paraId="0D0359C5">
      <w:pPr>
        <w:numPr>
          <w:ilvl w:val="0"/>
          <w:numId w:val="0"/>
        </w:numPr>
        <w:snapToGrid w:val="0"/>
        <w:spacing w:line="560" w:lineRule="exact"/>
        <w:ind w:firstLine="640" w:firstLineChars="200"/>
        <w:rPr>
          <w:rFonts w:hint="default" w:ascii="Times New Roman" w:hAnsi="Times New Roman" w:eastAsia="仿宋" w:cs="Times New Roman"/>
          <w:color w:val="auto"/>
          <w:sz w:val="32"/>
          <w:szCs w:val="32"/>
          <w:lang w:val="en-US" w:eastAsia="zh-CN"/>
        </w:rPr>
      </w:pPr>
      <w:r>
        <w:rPr>
          <w:rFonts w:hint="default" w:ascii="Times New Roman" w:hAnsi="Times New Roman" w:cs="Times New Roman"/>
          <w:color w:val="auto"/>
          <w:kern w:val="2"/>
          <w:sz w:val="32"/>
          <w:szCs w:val="32"/>
          <w:lang w:val="en-US" w:eastAsia="zh-CN" w:bidi="ar-SA"/>
        </w:rPr>
        <w:t>（四）第</w:t>
      </w:r>
      <w:r>
        <w:rPr>
          <w:rFonts w:hint="default" w:ascii="Times New Roman" w:hAnsi="Times New Roman" w:eastAsia="仿宋" w:cs="Times New Roman"/>
          <w:color w:val="auto"/>
          <w:kern w:val="2"/>
          <w:sz w:val="32"/>
          <w:szCs w:val="32"/>
          <w:lang w:val="en-US" w:eastAsia="zh-CN" w:bidi="ar-SA"/>
        </w:rPr>
        <w:t>4</w:t>
      </w:r>
      <w:r>
        <w:rPr>
          <w:rFonts w:hint="default" w:ascii="Times New Roman" w:hAnsi="Times New Roman" w:cs="Times New Roman"/>
          <w:color w:val="auto"/>
          <w:kern w:val="2"/>
          <w:sz w:val="32"/>
          <w:szCs w:val="32"/>
          <w:lang w:val="en-US" w:eastAsia="zh-CN" w:bidi="ar-SA"/>
        </w:rPr>
        <w:t>章</w:t>
      </w:r>
      <w:r>
        <w:rPr>
          <w:rFonts w:hint="default" w:ascii="Times New Roman" w:hAnsi="Times New Roman" w:cs="Times New Roman"/>
          <w:color w:val="auto"/>
          <w:sz w:val="32"/>
          <w:szCs w:val="32"/>
        </w:rPr>
        <w:t>课程</w:t>
      </w:r>
      <w:r>
        <w:rPr>
          <w:rFonts w:hint="default" w:ascii="Times New Roman" w:hAnsi="Times New Roman" w:cs="Times New Roman"/>
          <w:color w:val="auto"/>
          <w:sz w:val="32"/>
          <w:szCs w:val="32"/>
          <w:lang w:val="en-US" w:eastAsia="zh-CN"/>
        </w:rPr>
        <w:t>设计核心要素</w:t>
      </w:r>
    </w:p>
    <w:p w14:paraId="089A20E6">
      <w:pPr>
        <w:snapToGrid w:val="0"/>
        <w:spacing w:line="560" w:lineRule="exact"/>
        <w:ind w:firstLine="640"/>
        <w:rPr>
          <w:rFonts w:hint="default" w:ascii="Times New Roman" w:hAnsi="Times New Roman" w:cs="Times New Roman"/>
          <w:color w:val="auto"/>
          <w:sz w:val="32"/>
          <w:szCs w:val="32"/>
          <w:lang w:val="en-US"/>
        </w:rPr>
      </w:pPr>
      <w:r>
        <w:rPr>
          <w:rFonts w:hint="default" w:ascii="Times New Roman" w:hAnsi="Times New Roman" w:cs="Times New Roman"/>
          <w:color w:val="auto"/>
          <w:sz w:val="32"/>
          <w:szCs w:val="32"/>
          <w:lang w:val="en-US" w:eastAsia="zh-CN"/>
        </w:rPr>
        <w:t>——第4.2</w:t>
      </w:r>
      <w:r>
        <w:rPr>
          <w:rFonts w:hint="eastAsia" w:ascii="Times New Roman" w:hAnsi="Times New Roman" w:cs="Times New Roman"/>
          <w:color w:val="auto"/>
          <w:sz w:val="32"/>
          <w:szCs w:val="32"/>
          <w:lang w:val="en-US" w:eastAsia="zh-CN"/>
        </w:rPr>
        <w:t xml:space="preserve">条 </w:t>
      </w:r>
      <w:r>
        <w:rPr>
          <w:rFonts w:hint="default" w:ascii="Times New Roman" w:hAnsi="Times New Roman" w:cs="Times New Roman"/>
          <w:color w:val="auto"/>
          <w:sz w:val="32"/>
          <w:szCs w:val="32"/>
          <w:lang w:val="en-US" w:eastAsia="zh-CN"/>
        </w:rPr>
        <w:t>参考了《义务教育科学课程标准（2022年版）》，基于科学观念、科学思维、探究实践和态度责任四个维度，参考《全国科普教育基地科普研学课程指南》，结合生态环境科普特点，针对不同学段学生制定了相应的课程目标。</w:t>
      </w:r>
    </w:p>
    <w:p w14:paraId="55F5F620">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——第4.4条</w:t>
      </w:r>
      <w:r>
        <w:rPr>
          <w:rFonts w:hint="eastAsia"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rPr>
        <w:t>根据学段设计不同的难度等级和研学重点。</w:t>
      </w:r>
      <w:r>
        <w:rPr>
          <w:rFonts w:hint="default" w:ascii="Times New Roman" w:hAnsi="Times New Roman" w:cs="Times New Roman"/>
          <w:color w:val="auto"/>
          <w:sz w:val="32"/>
          <w:szCs w:val="32"/>
          <w:lang w:val="en-US" w:eastAsia="zh-CN"/>
        </w:rPr>
        <w:t>鉴于每个学段开展研学侧重点不同，所要达成的四大维度目标也有所不同，因此课程内容建议按不同学段设计相应的内容。对</w:t>
      </w:r>
      <w:r>
        <w:rPr>
          <w:rFonts w:hint="default" w:ascii="Times New Roman" w:hAnsi="Times New Roman" w:cs="Times New Roman"/>
          <w:color w:val="auto"/>
          <w:sz w:val="32"/>
          <w:szCs w:val="32"/>
        </w:rPr>
        <w:t>各模块时长依据逐一对应说明如下：</w:t>
      </w:r>
    </w:p>
    <w:p w14:paraId="16F78A72">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1</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 xml:space="preserve"> 理论科普模块（≤30%）编制依据依据教育部《中小学综合实践活动课程指导纲要》（教材〔2017〕4号）要求，研学类综合实践课程需摒弃传统课堂“讲授为主”的教学模式，严控单向理论灌输时长，明确知识讲解仅作为实践探究的前置铺垫。同时契合全国科普教育基地研学课程通用建设标准，科普类研学理论铺垫、图文视频、知识导入类内容，合理时长占比区间为20%—30%。本课程设置理论科普占比不超过30%，既保障学生掌握基础生态理论知识、搭建认知框架，又充分</w:t>
      </w:r>
      <w:r>
        <w:rPr>
          <w:rFonts w:hint="eastAsia" w:ascii="Times New Roman" w:hAnsi="Times New Roman" w:cs="Times New Roman"/>
          <w:color w:val="auto"/>
          <w:sz w:val="32"/>
          <w:szCs w:val="32"/>
          <w:lang w:eastAsia="zh-CN"/>
        </w:rPr>
        <w:t>预留</w:t>
      </w:r>
      <w:r>
        <w:rPr>
          <w:rFonts w:hint="default" w:ascii="Times New Roman" w:hAnsi="Times New Roman" w:cs="Times New Roman"/>
          <w:color w:val="auto"/>
          <w:sz w:val="32"/>
          <w:szCs w:val="32"/>
        </w:rPr>
        <w:t>实践探究时间，符合研学课程轻量化理论导入的实施要求。</w:t>
      </w:r>
    </w:p>
    <w:p w14:paraId="4A4A9269">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2</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实践探究模块（≥50%）编制依据依据《中小学综合实践活动课程指导纲要》核心育人要求，综合实践与研学课程以学生自主探究、实景体验、动手实践为核心，实践体验是研学课程区别于常规学科课堂的核心特征。结合全国自然生态科普研学行业统一实施标准，研学核心实操、实地调研、实验探究、项目实践等体验性内容，必须作为课程主体，时长占比不得低于50%。本课程将实践探究设为核心模块且占比不低于50%，完全契合研学课程“实践育人、体验育人”的核心定位，保障学生沉浸式开展实景探究与实操训练。</w:t>
      </w:r>
    </w:p>
    <w:p w14:paraId="3E469DFB">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3</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总结反思模块（≥20%）编制依据依据教育部《关于推进中小学生研学旅行的意见》及科普研学课程素养落地规范，研学课程需构建“学习—实践—复盘”的完整育人闭环，明确要求设置成果梳理、交流展示、行为反思、价值升华环节。行业规范明确研学总结复盘、成果转化、责任内化环节合理占比不低于20%。本课程设置总结反思模块占比不低于20%，旨在引导学生固化研学成果、反思自身行为、内化环保责任，实现从知识学习、实践体验到素养提升、行为转化的递进式育人目标，保障研学育人实效落地。</w:t>
      </w:r>
    </w:p>
    <w:p w14:paraId="7054A08F">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——第4.5条</w:t>
      </w:r>
      <w:r>
        <w:rPr>
          <w:rFonts w:hint="eastAsia"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lang w:val="en-US" w:eastAsia="zh-CN"/>
        </w:rPr>
        <w:t>本条内容遵循</w:t>
      </w:r>
      <w:r>
        <w:rPr>
          <w:rFonts w:hint="default" w:ascii="Times New Roman" w:hAnsi="Times New Roman" w:cs="Times New Roman"/>
          <w:color w:val="auto"/>
          <w:sz w:val="32"/>
          <w:szCs w:val="32"/>
        </w:rPr>
        <w:t>“由浅入深、从知到行、从个体到社会”的递进逻辑科学划分</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分为生态系统与自然观察、环境污染与治理、低碳生活与绿色发展、政策与公众参与四大模块。模块分类遵循中小学研学课程结构化、体系化设计要求，分别对应基础认知、问题探究、知行转化、社会责任四大育人层级，形成完整、系统、闭环的生态科普育人体系。</w:t>
      </w:r>
    </w:p>
    <w:p w14:paraId="32BC87DF">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——第4.6条</w:t>
      </w:r>
      <w:r>
        <w:rPr>
          <w:rFonts w:hint="eastAsia"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lang w:val="en-US" w:eastAsia="zh-CN"/>
        </w:rPr>
        <w:t>生态环境科普具有跨学科性、社会性和利益相关性，容易触及法律红线、引发社会争议或造成非预期的负面影响，因此在设计科普研学课程时应</w:t>
      </w:r>
      <w:r>
        <w:rPr>
          <w:rFonts w:hint="default" w:ascii="Times New Roman" w:hAnsi="Times New Roman" w:cs="Times New Roman"/>
          <w:color w:val="auto"/>
          <w:sz w:val="32"/>
          <w:szCs w:val="32"/>
        </w:rPr>
        <w:t>坚持正向科普、科学客观、稳妥育人原则，严格规避生态科普领域敏感风险点，规范课程内容、案例选取、语言表述与实践导向，杜绝负面舆情、不当导向、片面解读等问题，保障课程合规、安全、正向</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本条主要针对在涉密机构开展研学课程时的注意事项</w:t>
      </w:r>
      <w:r>
        <w:rPr>
          <w:rFonts w:hint="eastAsia" w:ascii="Times New Roman" w:hAnsi="Times New Roman" w:cs="Times New Roman"/>
          <w:color w:val="auto"/>
          <w:sz w:val="32"/>
          <w:szCs w:val="32"/>
          <w:lang w:eastAsia="zh-CN"/>
        </w:rPr>
        <w:t>。</w:t>
      </w:r>
    </w:p>
    <w:p w14:paraId="316B10BF">
      <w:pPr>
        <w:snapToGrid w:val="0"/>
        <w:spacing w:line="560" w:lineRule="exact"/>
        <w:ind w:firstLine="640"/>
        <w:rPr>
          <w:rFonts w:hint="default" w:ascii="Times New Roman" w:hAnsi="Times New Roman" w:cs="Times New Roman"/>
          <w:color w:val="auto"/>
          <w:sz w:val="32"/>
          <w:szCs w:val="32"/>
          <w:lang w:val="en-US" w:eastAsia="zh-CN"/>
        </w:rPr>
      </w:pPr>
      <w:r>
        <w:rPr>
          <w:rFonts w:hint="default" w:ascii="Times New Roman" w:hAnsi="Times New Roman" w:cs="Times New Roman"/>
          <w:color w:val="auto"/>
          <w:sz w:val="32"/>
          <w:szCs w:val="32"/>
          <w:lang w:val="en-US" w:eastAsia="zh-CN"/>
        </w:rPr>
        <w:t>——第4.7条</w:t>
      </w:r>
      <w:r>
        <w:rPr>
          <w:rFonts w:hint="eastAsia"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lang w:val="en-US" w:eastAsia="zh-CN"/>
        </w:rPr>
        <w:t>参考《全国科普教育基地科普研学课程指南》和DB 3715/T 29-2023《研学旅行课程设计规范》，将课程类型按实践方式划分</w:t>
      </w:r>
      <w:r>
        <w:rPr>
          <w:rFonts w:hint="eastAsia" w:ascii="Times New Roman" w:hAnsi="Times New Roman" w:cs="Times New Roman"/>
          <w:color w:val="auto"/>
          <w:sz w:val="32"/>
          <w:szCs w:val="32"/>
          <w:lang w:val="en-US" w:eastAsia="zh-CN"/>
        </w:rPr>
        <w:t>。</w:t>
      </w:r>
    </w:p>
    <w:p w14:paraId="0F9C1036">
      <w:pPr>
        <w:snapToGrid w:val="0"/>
        <w:spacing w:line="560" w:lineRule="exact"/>
        <w:ind w:firstLine="640"/>
        <w:rPr>
          <w:rFonts w:hint="default" w:ascii="Times New Roman" w:hAnsi="Times New Roman" w:cs="Times New Roman"/>
          <w:color w:val="auto"/>
          <w:kern w:val="2"/>
          <w:sz w:val="32"/>
          <w:szCs w:val="32"/>
          <w:lang w:val="en-US" w:eastAsia="zh-CN" w:bidi="ar-SA"/>
        </w:rPr>
      </w:pPr>
      <w:r>
        <w:rPr>
          <w:rFonts w:hint="default" w:ascii="Times New Roman" w:hAnsi="Times New Roman" w:cs="Times New Roman"/>
          <w:color w:val="auto"/>
          <w:sz w:val="32"/>
          <w:szCs w:val="32"/>
          <w:lang w:val="en-US" w:eastAsia="zh-CN"/>
        </w:rPr>
        <w:t>——第4.8条</w:t>
      </w:r>
      <w:r>
        <w:rPr>
          <w:rFonts w:hint="eastAsia"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lang w:val="en-US" w:eastAsia="zh-CN"/>
        </w:rPr>
        <w:t>关于人员配置参考</w:t>
      </w:r>
      <w:r>
        <w:rPr>
          <w:rFonts w:hint="default" w:ascii="Times New Roman" w:hAnsi="Times New Roman" w:cs="Times New Roman"/>
          <w:color w:val="auto"/>
          <w:sz w:val="32"/>
          <w:szCs w:val="32"/>
          <w:lang w:eastAsia="zh-CN"/>
        </w:rPr>
        <w:t>常德市、</w:t>
      </w:r>
      <w:r>
        <w:rPr>
          <w:rFonts w:hint="default" w:ascii="Times New Roman" w:hAnsi="Times New Roman" w:cs="Times New Roman"/>
          <w:color w:val="auto"/>
          <w:sz w:val="32"/>
          <w:szCs w:val="32"/>
          <w:lang w:val="en-US" w:eastAsia="zh-CN"/>
        </w:rPr>
        <w:t>天津市等关于</w:t>
      </w:r>
      <w:r>
        <w:rPr>
          <w:rFonts w:hint="default" w:ascii="Times New Roman" w:hAnsi="Times New Roman" w:cs="Times New Roman"/>
          <w:color w:val="auto"/>
          <w:sz w:val="32"/>
          <w:szCs w:val="32"/>
          <w:lang w:eastAsia="zh-CN"/>
        </w:rPr>
        <w:t>中小学校研学实践管理办法</w:t>
      </w:r>
      <w:r>
        <w:rPr>
          <w:rFonts w:hint="default" w:ascii="Times New Roman" w:hAnsi="Times New Roman" w:cs="Times New Roman"/>
          <w:color w:val="auto"/>
          <w:sz w:val="32"/>
          <w:szCs w:val="32"/>
          <w:lang w:val="en-US" w:eastAsia="zh-CN"/>
        </w:rPr>
        <w:t>及LB/T 054—2016《研学旅行服务规范》</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将各学段研学导师与学生的配比设置为</w:t>
      </w:r>
      <w:r>
        <w:rPr>
          <w:rFonts w:hint="default" w:ascii="Times New Roman" w:hAnsi="Times New Roman" w:eastAsia="仿宋" w:cs="Times New Roman"/>
          <w:color w:val="auto"/>
          <w:kern w:val="2"/>
          <w:sz w:val="32"/>
          <w:szCs w:val="32"/>
          <w:lang w:val="en-US" w:eastAsia="zh-CN" w:bidi="ar-SA"/>
        </w:rPr>
        <w:t>1:15</w:t>
      </w:r>
      <w:r>
        <w:rPr>
          <w:rFonts w:hint="default" w:ascii="Times New Roman" w:hAnsi="Times New Roman" w:cs="Times New Roman"/>
          <w:color w:val="auto"/>
          <w:kern w:val="2"/>
          <w:sz w:val="32"/>
          <w:szCs w:val="32"/>
          <w:lang w:val="en-US" w:eastAsia="zh-CN" w:bidi="ar-SA"/>
        </w:rPr>
        <w:t>，</w:t>
      </w:r>
      <w:r>
        <w:rPr>
          <w:rFonts w:hint="default" w:ascii="Times New Roman" w:hAnsi="Times New Roman" w:eastAsia="仿宋" w:cs="Times New Roman"/>
          <w:color w:val="auto"/>
          <w:kern w:val="2"/>
          <w:sz w:val="32"/>
          <w:szCs w:val="32"/>
          <w:lang w:val="en-US" w:eastAsia="zh-CN" w:bidi="ar-SA"/>
        </w:rPr>
        <w:t>每支研学队伍宜至少配备1名安全员</w:t>
      </w:r>
      <w:r>
        <w:rPr>
          <w:rFonts w:hint="default" w:ascii="Times New Roman" w:hAnsi="Times New Roman" w:cs="Times New Roman"/>
          <w:color w:val="auto"/>
          <w:kern w:val="2"/>
          <w:sz w:val="32"/>
          <w:szCs w:val="32"/>
          <w:lang w:val="en-US" w:eastAsia="zh-CN" w:bidi="ar-SA"/>
        </w:rPr>
        <w:t>。</w:t>
      </w:r>
    </w:p>
    <w:p w14:paraId="393CB549">
      <w:pPr>
        <w:numPr>
          <w:ilvl w:val="0"/>
          <w:numId w:val="0"/>
        </w:numPr>
        <w:snapToGrid w:val="0"/>
        <w:spacing w:line="560" w:lineRule="exact"/>
        <w:ind w:firstLine="640" w:firstLineChars="200"/>
        <w:rPr>
          <w:rFonts w:hint="default" w:ascii="Times New Roman" w:hAnsi="Times New Roman" w:eastAsia="仿宋" w:cs="Times New Roman"/>
          <w:color w:val="auto"/>
          <w:sz w:val="32"/>
          <w:szCs w:val="32"/>
          <w:lang w:val="en-US" w:eastAsia="zh-CN"/>
        </w:rPr>
      </w:pPr>
      <w:r>
        <w:rPr>
          <w:rFonts w:hint="default" w:ascii="Times New Roman" w:hAnsi="Times New Roman" w:cs="Times New Roman"/>
          <w:color w:val="auto"/>
          <w:kern w:val="2"/>
          <w:sz w:val="32"/>
          <w:szCs w:val="32"/>
          <w:lang w:val="en-US" w:eastAsia="zh-CN" w:bidi="ar-SA"/>
        </w:rPr>
        <w:t>——第4.9条</w:t>
      </w:r>
      <w:r>
        <w:rPr>
          <w:rFonts w:hint="eastAsia" w:ascii="Times New Roman" w:hAnsi="Times New Roman" w:cs="Times New Roman"/>
          <w:color w:val="auto"/>
          <w:kern w:val="2"/>
          <w:sz w:val="32"/>
          <w:szCs w:val="32"/>
          <w:lang w:val="en-US" w:eastAsia="zh-CN" w:bidi="ar-SA"/>
        </w:rPr>
        <w:t xml:space="preserve"> </w:t>
      </w:r>
      <w:r>
        <w:rPr>
          <w:rFonts w:hint="default" w:ascii="Times New Roman" w:hAnsi="Times New Roman" w:cs="Times New Roman"/>
          <w:color w:val="auto"/>
          <w:sz w:val="32"/>
          <w:szCs w:val="32"/>
          <w:lang w:val="en-US" w:eastAsia="zh-CN"/>
        </w:rPr>
        <w:t>本章参考LB/T 054—2016《研学旅行服务规范》“安全管理”相关内容</w:t>
      </w:r>
      <w:r>
        <w:rPr>
          <w:rFonts w:hint="eastAsia" w:ascii="Times New Roman" w:hAnsi="Times New Roman" w:cs="Times New Roman"/>
          <w:color w:val="auto"/>
          <w:sz w:val="32"/>
          <w:szCs w:val="32"/>
          <w:lang w:val="en-US" w:eastAsia="zh-CN"/>
        </w:rPr>
        <w:t>。</w:t>
      </w:r>
    </w:p>
    <w:p w14:paraId="7392E485">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（五）第5章</w:t>
      </w:r>
      <w:r>
        <w:rPr>
          <w:rFonts w:hint="default" w:ascii="Times New Roman" w:hAnsi="Times New Roman" w:cs="Times New Roman"/>
          <w:color w:val="auto"/>
          <w:sz w:val="32"/>
          <w:szCs w:val="32"/>
        </w:rPr>
        <w:t>课程</w:t>
      </w:r>
      <w:r>
        <w:rPr>
          <w:rFonts w:hint="eastAsia" w:ascii="Times New Roman" w:hAnsi="Times New Roman" w:cs="Times New Roman"/>
          <w:color w:val="auto"/>
          <w:sz w:val="32"/>
          <w:szCs w:val="32"/>
          <w:lang w:eastAsia="zh-CN"/>
        </w:rPr>
        <w:t>评价：</w:t>
      </w:r>
    </w:p>
    <w:p w14:paraId="61A38307">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本章节</w:t>
      </w:r>
      <w:r>
        <w:rPr>
          <w:rFonts w:hint="default" w:ascii="Times New Roman" w:hAnsi="Times New Roman" w:cs="Times New Roman"/>
          <w:color w:val="auto"/>
          <w:sz w:val="32"/>
          <w:szCs w:val="32"/>
          <w:lang w:val="en-US" w:eastAsia="zh-CN"/>
        </w:rPr>
        <w:t>参考《全国科普教育基地科普研学课程指南》相关内容，</w:t>
      </w:r>
      <w:r>
        <w:rPr>
          <w:rFonts w:hint="default" w:ascii="Times New Roman" w:hAnsi="Times New Roman" w:cs="Times New Roman"/>
          <w:color w:val="auto"/>
          <w:sz w:val="32"/>
          <w:szCs w:val="32"/>
        </w:rPr>
        <w:t>分为</w:t>
      </w:r>
      <w:r>
        <w:rPr>
          <w:rFonts w:hint="default" w:ascii="Times New Roman" w:hAnsi="Times New Roman" w:cs="Times New Roman"/>
          <w:b w:val="0"/>
          <w:bCs w:val="0"/>
          <w:color w:val="auto"/>
          <w:sz w:val="32"/>
          <w:szCs w:val="32"/>
          <w:lang w:val="en-US" w:eastAsia="zh-CN"/>
        </w:rPr>
        <w:t>评价内容、</w:t>
      </w:r>
      <w:r>
        <w:rPr>
          <w:rFonts w:hint="default" w:ascii="Times New Roman" w:hAnsi="Times New Roman" w:cs="Times New Roman"/>
          <w:b w:val="0"/>
          <w:bCs w:val="0"/>
          <w:color w:val="auto"/>
          <w:sz w:val="32"/>
          <w:szCs w:val="32"/>
        </w:rPr>
        <w:t>评价</w:t>
      </w:r>
      <w:r>
        <w:rPr>
          <w:rFonts w:hint="default" w:ascii="Times New Roman" w:hAnsi="Times New Roman" w:cs="Times New Roman"/>
          <w:b w:val="0"/>
          <w:bCs w:val="0"/>
          <w:color w:val="auto"/>
          <w:sz w:val="32"/>
          <w:szCs w:val="32"/>
          <w:lang w:val="en-US" w:eastAsia="zh-CN"/>
        </w:rPr>
        <w:t>方式</w:t>
      </w:r>
      <w:r>
        <w:rPr>
          <w:rFonts w:hint="default" w:ascii="Times New Roman" w:hAnsi="Times New Roman" w:cs="Times New Roman"/>
          <w:b w:val="0"/>
          <w:bCs w:val="0"/>
          <w:color w:val="auto"/>
          <w:sz w:val="32"/>
          <w:szCs w:val="32"/>
        </w:rPr>
        <w:t>、评价规则</w:t>
      </w:r>
      <w:r>
        <w:rPr>
          <w:rFonts w:hint="default" w:ascii="Times New Roman" w:hAnsi="Times New Roman" w:cs="Times New Roman"/>
          <w:b w:val="0"/>
          <w:bCs w:val="0"/>
          <w:color w:val="auto"/>
          <w:sz w:val="32"/>
          <w:szCs w:val="32"/>
          <w:lang w:eastAsia="zh-CN"/>
        </w:rPr>
        <w:t>、</w:t>
      </w:r>
      <w:r>
        <w:rPr>
          <w:rFonts w:hint="default" w:ascii="Times New Roman" w:hAnsi="Times New Roman" w:cs="Times New Roman"/>
          <w:b w:val="0"/>
          <w:bCs w:val="0"/>
          <w:color w:val="auto"/>
          <w:sz w:val="32"/>
          <w:szCs w:val="32"/>
        </w:rPr>
        <w:t>评价</w:t>
      </w:r>
      <w:r>
        <w:rPr>
          <w:rFonts w:hint="default" w:ascii="Times New Roman" w:hAnsi="Times New Roman" w:cs="Times New Roman"/>
          <w:b w:val="0"/>
          <w:bCs w:val="0"/>
          <w:color w:val="auto"/>
          <w:sz w:val="32"/>
          <w:szCs w:val="32"/>
          <w:lang w:val="en-US" w:eastAsia="zh-CN"/>
        </w:rPr>
        <w:t>方法和反馈机制</w:t>
      </w:r>
      <w:r>
        <w:rPr>
          <w:rFonts w:hint="default" w:ascii="Times New Roman" w:hAnsi="Times New Roman" w:cs="Times New Roman"/>
          <w:b w:val="0"/>
          <w:bCs w:val="0"/>
          <w:color w:val="auto"/>
          <w:sz w:val="32"/>
          <w:szCs w:val="32"/>
        </w:rPr>
        <w:t>。</w:t>
      </w:r>
      <w:r>
        <w:rPr>
          <w:rFonts w:hint="default" w:ascii="Times New Roman" w:hAnsi="Times New Roman" w:cs="Times New Roman"/>
          <w:b w:val="0"/>
          <w:bCs w:val="0"/>
          <w:color w:val="auto"/>
          <w:sz w:val="32"/>
          <w:szCs w:val="32"/>
          <w:lang w:val="en-US" w:eastAsia="zh-CN"/>
        </w:rPr>
        <w:t>评价内容主要针对学生研学过程的表现、研学成果和研学效果。</w:t>
      </w:r>
      <w:r>
        <w:rPr>
          <w:rFonts w:hint="default" w:ascii="Times New Roman" w:hAnsi="Times New Roman" w:cs="Times New Roman"/>
          <w:b w:val="0"/>
          <w:bCs w:val="0"/>
          <w:color w:val="auto"/>
          <w:sz w:val="32"/>
          <w:szCs w:val="32"/>
        </w:rPr>
        <w:t>评价要求分</w:t>
      </w:r>
      <w:r>
        <w:rPr>
          <w:rFonts w:hint="default" w:ascii="Times New Roman" w:hAnsi="Times New Roman" w:cs="Times New Roman"/>
          <w:color w:val="auto"/>
          <w:sz w:val="32"/>
          <w:szCs w:val="32"/>
        </w:rPr>
        <w:t>为内部评价和外部评价。内部评价由课程开发者、实施教师及学生代表共同参与，聚焦课程目标的适切性、内容的科学性、环节的逻辑性以及资源的适配性。通过集体备课、试课反馈、课后复盘等形式，自我审视课程设计的育人实效，及时调整优化；外部评价则引入教研员、学科专家、家长或社区代表等多元主体，从更广阔的视角审视课程。</w:t>
      </w:r>
    </w:p>
    <w:p w14:paraId="4EB7A14C">
      <w:pPr>
        <w:snapToGrid w:val="0"/>
        <w:spacing w:line="56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——关于评价等级：参考</w:t>
      </w:r>
      <w:r>
        <w:rPr>
          <w:rFonts w:hint="default" w:ascii="Times New Roman" w:hAnsi="Times New Roman" w:cs="Times New Roman"/>
          <w:color w:val="auto"/>
          <w:sz w:val="32"/>
          <w:szCs w:val="32"/>
        </w:rPr>
        <w:t>国内教育系统依据该方案统一执行</w:t>
      </w:r>
      <w:r>
        <w:rPr>
          <w:rFonts w:hint="eastAsia" w:ascii="Times New Roman" w:hAnsi="Times New Roman" w:cs="Times New Roman"/>
          <w:color w:val="auto"/>
          <w:sz w:val="32"/>
          <w:szCs w:val="32"/>
          <w:lang w:eastAsia="zh-CN"/>
        </w:rPr>
        <w:t>的百分制</w:t>
      </w:r>
      <w:r>
        <w:rPr>
          <w:rFonts w:hint="default" w:ascii="Times New Roman" w:hAnsi="Times New Roman" w:cs="Times New Roman"/>
          <w:color w:val="auto"/>
          <w:sz w:val="32"/>
          <w:szCs w:val="32"/>
        </w:rPr>
        <w:t>五级分级评价范式</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lang w:val="en-US" w:eastAsia="zh-CN"/>
        </w:rPr>
        <w:t>将课程</w:t>
      </w:r>
      <w:r>
        <w:rPr>
          <w:rFonts w:hint="default" w:ascii="Times New Roman" w:hAnsi="Times New Roman" w:cs="Times New Roman"/>
          <w:color w:val="auto"/>
          <w:sz w:val="32"/>
          <w:szCs w:val="32"/>
        </w:rPr>
        <w:t>评价等级分为优秀（90分≤综合得分≤100分）、良好（80分≤综合得分＜90分）、中等（70分≤综合得分＜80分）、合格（60分≤综合得分＜70分）、不合格（综合得分＜60分）。</w:t>
      </w:r>
    </w:p>
    <w:p w14:paraId="39634024">
      <w:pPr>
        <w:snapToGrid w:val="0"/>
        <w:spacing w:line="560" w:lineRule="exact"/>
        <w:ind w:firstLine="640"/>
        <w:rPr>
          <w:rFonts w:hint="default" w:ascii="Times New Roman" w:hAnsi="Times New Roman" w:cs="Times New Roman"/>
          <w:color w:val="auto"/>
          <w:sz w:val="32"/>
          <w:szCs w:val="32"/>
          <w:lang w:val="en-US" w:eastAsia="zh-CN"/>
        </w:rPr>
      </w:pPr>
      <w:r>
        <w:rPr>
          <w:rFonts w:hint="default" w:ascii="Times New Roman" w:hAnsi="Times New Roman" w:cs="Times New Roman"/>
          <w:b w:val="0"/>
          <w:bCs w:val="0"/>
          <w:color w:val="auto"/>
          <w:sz w:val="32"/>
          <w:szCs w:val="32"/>
          <w:lang w:val="en-US" w:eastAsia="zh-CN"/>
        </w:rPr>
        <w:t>评价方法</w:t>
      </w:r>
      <w:r>
        <w:rPr>
          <w:rFonts w:hint="default" w:ascii="Times New Roman" w:hAnsi="Times New Roman" w:cs="Times New Roman"/>
          <w:color w:val="auto"/>
          <w:sz w:val="32"/>
          <w:szCs w:val="32"/>
          <w:lang w:val="en-US" w:eastAsia="zh-CN"/>
        </w:rPr>
        <w:t>包括文档审阅、满意度问卷调查、现场观察、座谈与访谈、指标评分。</w:t>
      </w:r>
    </w:p>
    <w:p w14:paraId="4A1C3E45">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五、与有关的现行法律法规和强制性标准的关系</w:t>
      </w:r>
    </w:p>
    <w:p w14:paraId="388DC584">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在标准的制定过程中严格贯彻国家有关方针、政策、法律法规，严格执行国家标准和行业标准。与相关的各种基础标准相衔接，遵循了政策性和协调统一性的原则。标准的名称、内容及指标与现行的国家标准、行业标准之间不存在包含、重复、交叉问题。</w:t>
      </w:r>
    </w:p>
    <w:p w14:paraId="31DF3ABC">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六、与原标准或其他标准的主要差异和水平对比</w:t>
      </w:r>
    </w:p>
    <w:p w14:paraId="5BDD19B5">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无。</w:t>
      </w:r>
    </w:p>
    <w:p w14:paraId="4C3025AC">
      <w:pPr>
        <w:pStyle w:val="3"/>
        <w:spacing w:before="0" w:after="0" w:line="560" w:lineRule="exact"/>
        <w:ind w:firstLine="640"/>
        <w:rPr>
          <w:rFonts w:hint="default" w:ascii="Times New Roman" w:hAnsi="Times New Roman" w:cs="Times New Roman"/>
          <w:color w:val="auto"/>
          <w:szCs w:val="32"/>
        </w:rPr>
      </w:pPr>
      <w:bookmarkStart w:id="7" w:name="_Hlk203641237"/>
      <w:r>
        <w:rPr>
          <w:rFonts w:hint="default" w:ascii="Times New Roman" w:hAnsi="Times New Roman" w:eastAsia="黑体" w:cs="Times New Roman"/>
          <w:b w:val="0"/>
          <w:bCs/>
          <w:color w:val="auto"/>
          <w:szCs w:val="32"/>
        </w:rPr>
        <w:t>七、解决的主要问题</w:t>
      </w:r>
      <w:bookmarkEnd w:id="7"/>
      <w:r>
        <w:rPr>
          <w:rFonts w:hint="default" w:ascii="Times New Roman" w:hAnsi="Times New Roman" w:eastAsia="黑体" w:cs="Times New Roman"/>
          <w:b w:val="0"/>
          <w:bCs/>
          <w:color w:val="auto"/>
          <w:szCs w:val="32"/>
        </w:rPr>
        <w:t xml:space="preserve"> </w:t>
      </w:r>
      <w:r>
        <w:rPr>
          <w:rFonts w:hint="default" w:ascii="Times New Roman" w:hAnsi="Times New Roman" w:cs="Times New Roman"/>
          <w:color w:val="auto"/>
          <w:szCs w:val="32"/>
        </w:rPr>
        <w:t xml:space="preserve"> </w:t>
      </w:r>
    </w:p>
    <w:p w14:paraId="6E22070E">
      <w:pPr>
        <w:spacing w:line="560" w:lineRule="exact"/>
        <w:ind w:firstLine="640"/>
        <w:rPr>
          <w:rFonts w:hint="default" w:ascii="Times New Roman" w:hAnsi="Times New Roman" w:eastAsia="仿宋_GB2312" w:cs="Times New Roman"/>
          <w:color w:val="auto"/>
          <w:sz w:val="32"/>
          <w:szCs w:val="32"/>
        </w:rPr>
      </w:pPr>
      <w:bookmarkStart w:id="8" w:name="_Hlk203641246"/>
      <w:r>
        <w:rPr>
          <w:rFonts w:hint="default" w:ascii="Times New Roman" w:hAnsi="Times New Roman" w:eastAsia="仿宋_GB2312" w:cs="Times New Roman"/>
          <w:color w:val="auto"/>
          <w:sz w:val="32"/>
          <w:szCs w:val="32"/>
        </w:rPr>
        <w:t>本标准将</w:t>
      </w:r>
      <w:r>
        <w:rPr>
          <w:rFonts w:hint="default" w:ascii="Times New Roman" w:hAnsi="Times New Roman" w:eastAsia="仿宋_GB2312" w:cs="Times New Roman"/>
          <w:color w:val="auto"/>
          <w:sz w:val="32"/>
          <w:szCs w:val="32"/>
          <w:lang w:eastAsia="zh-CN"/>
        </w:rPr>
        <w:t>填补国内</w:t>
      </w:r>
      <w:r>
        <w:rPr>
          <w:rFonts w:hint="default" w:ascii="Times New Roman" w:hAnsi="Times New Roman" w:eastAsia="仿宋_GB2312" w:cs="Times New Roman"/>
          <w:color w:val="auto"/>
          <w:sz w:val="32"/>
          <w:szCs w:val="32"/>
        </w:rPr>
        <w:t>针对战略型科研机构开展系统化研学的标准空白，通过“双师制”解决专业性问题，通过“三段式”解决管理问题，通过“分学段”解决教育性问题，通过“敏感内容策略”解决安全性问题。</w:t>
      </w:r>
    </w:p>
    <w:p w14:paraId="2A75A08B">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八、主要试验（或验证）情况分析</w:t>
      </w:r>
    </w:p>
    <w:bookmarkEnd w:id="8"/>
    <w:p w14:paraId="7D9CC318">
      <w:pPr>
        <w:pStyle w:val="3"/>
        <w:spacing w:before="0" w:after="0" w:line="560" w:lineRule="exact"/>
        <w:ind w:firstLine="640"/>
        <w:rPr>
          <w:rFonts w:hint="default" w:ascii="Times New Roman" w:hAnsi="Times New Roman" w:eastAsia="仿宋" w:cs="Times New Roman"/>
          <w:b w:val="0"/>
          <w:color w:val="auto"/>
          <w:szCs w:val="22"/>
        </w:rPr>
      </w:pPr>
      <w:bookmarkStart w:id="9" w:name="_Hlk203641261"/>
      <w:r>
        <w:rPr>
          <w:rFonts w:hint="default" w:ascii="Times New Roman" w:hAnsi="Times New Roman" w:eastAsia="仿宋_GB2312" w:cs="Times New Roman"/>
          <w:b w:val="0"/>
          <w:color w:val="auto"/>
          <w:kern w:val="2"/>
          <w:sz w:val="32"/>
          <w:szCs w:val="32"/>
          <w:lang w:val="en-US" w:eastAsia="zh-CN" w:bidi="ar-SA"/>
        </w:rPr>
        <w:t>无。</w:t>
      </w:r>
    </w:p>
    <w:p w14:paraId="01F55E51">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九、标准中涉及的专利情况</w:t>
      </w:r>
    </w:p>
    <w:bookmarkEnd w:id="9"/>
    <w:p w14:paraId="3D3000CC">
      <w:pPr>
        <w:pStyle w:val="3"/>
        <w:spacing w:before="0" w:after="0" w:line="560" w:lineRule="exact"/>
        <w:ind w:firstLine="640"/>
        <w:rPr>
          <w:rFonts w:hint="default" w:ascii="Times New Roman" w:hAnsi="Times New Roman" w:eastAsia="仿宋" w:cs="Times New Roman"/>
          <w:b w:val="0"/>
          <w:color w:val="auto"/>
          <w:szCs w:val="22"/>
        </w:rPr>
      </w:pPr>
      <w:bookmarkStart w:id="10" w:name="_Hlk203641283"/>
      <w:r>
        <w:rPr>
          <w:rFonts w:hint="default" w:ascii="Times New Roman" w:hAnsi="Times New Roman" w:eastAsia="仿宋_GB2312" w:cs="Times New Roman"/>
          <w:b w:val="0"/>
          <w:color w:val="auto"/>
          <w:kern w:val="2"/>
          <w:sz w:val="32"/>
          <w:szCs w:val="32"/>
          <w:lang w:val="en-US" w:eastAsia="zh-CN" w:bidi="ar-SA"/>
        </w:rPr>
        <w:t>无。</w:t>
      </w:r>
    </w:p>
    <w:p w14:paraId="759B74DD">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十、产业化情况</w:t>
      </w:r>
    </w:p>
    <w:bookmarkEnd w:id="10"/>
    <w:p w14:paraId="67DF428F">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本文件是</w:t>
      </w:r>
      <w:r>
        <w:rPr>
          <w:rFonts w:hint="default" w:ascii="Times New Roman" w:hAnsi="Times New Roman" w:eastAsia="仿宋_GB2312" w:cs="Times New Roman"/>
          <w:color w:val="auto"/>
          <w:sz w:val="32"/>
          <w:szCs w:val="32"/>
          <w:lang w:val="en-US" w:eastAsia="zh-CN"/>
        </w:rPr>
        <w:t>针对生态环境科普研学课程</w:t>
      </w:r>
      <w:r>
        <w:rPr>
          <w:rFonts w:hint="default" w:ascii="Times New Roman" w:hAnsi="Times New Roman" w:eastAsia="仿宋_GB2312" w:cs="Times New Roman"/>
          <w:color w:val="auto"/>
          <w:sz w:val="32"/>
          <w:szCs w:val="32"/>
        </w:rPr>
        <w:t>的应用，与目前已有的相关标准相对接，有效解决该领域</w:t>
      </w:r>
      <w:r>
        <w:rPr>
          <w:rFonts w:hint="default" w:ascii="Times New Roman" w:hAnsi="Times New Roman" w:eastAsia="仿宋_GB2312" w:cs="Times New Roman"/>
          <w:color w:val="auto"/>
          <w:sz w:val="32"/>
          <w:szCs w:val="32"/>
          <w:lang w:val="en-US" w:eastAsia="zh-CN"/>
        </w:rPr>
        <w:t>研学课程设计标准不统一</w:t>
      </w:r>
      <w:r>
        <w:rPr>
          <w:rFonts w:hint="default" w:ascii="Times New Roman" w:hAnsi="Times New Roman" w:eastAsia="仿宋_GB2312" w:cs="Times New Roman"/>
          <w:color w:val="auto"/>
          <w:sz w:val="32"/>
          <w:szCs w:val="32"/>
        </w:rPr>
        <w:t>等问题。</w:t>
      </w:r>
    </w:p>
    <w:p w14:paraId="7B0966F3">
      <w:pPr>
        <w:pStyle w:val="3"/>
        <w:spacing w:before="0" w:after="0" w:line="560" w:lineRule="exact"/>
        <w:ind w:firstLine="640"/>
        <w:rPr>
          <w:rFonts w:hint="default" w:ascii="Times New Roman" w:hAnsi="Times New Roman" w:eastAsia="黑体" w:cs="Times New Roman"/>
          <w:b w:val="0"/>
          <w:bCs/>
          <w:color w:val="auto"/>
          <w:szCs w:val="32"/>
        </w:rPr>
      </w:pPr>
      <w:bookmarkStart w:id="11" w:name="_Hlk203641310"/>
      <w:r>
        <w:rPr>
          <w:rFonts w:hint="default" w:ascii="Times New Roman" w:hAnsi="Times New Roman" w:eastAsia="黑体" w:cs="Times New Roman"/>
          <w:b w:val="0"/>
          <w:bCs/>
          <w:color w:val="auto"/>
          <w:szCs w:val="32"/>
        </w:rPr>
        <w:t>十一、采用国际标准和国外先进标准情况</w:t>
      </w:r>
    </w:p>
    <w:bookmarkEnd w:id="11"/>
    <w:p w14:paraId="32BF73E9">
      <w:pPr>
        <w:spacing w:line="560" w:lineRule="exact"/>
        <w:ind w:firstLine="640"/>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无。</w:t>
      </w:r>
    </w:p>
    <w:p w14:paraId="75CE8064">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十二、与相关国家标准、行业标准及其他标准，特别是强制性标准的协调性</w:t>
      </w:r>
    </w:p>
    <w:p w14:paraId="0E2078DD">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本文件制定的内容符合国家相关</w:t>
      </w:r>
      <w:r>
        <w:rPr>
          <w:rFonts w:hint="default" w:ascii="Times New Roman" w:hAnsi="Times New Roman" w:eastAsia="仿宋_GB2312" w:cs="Times New Roman"/>
          <w:color w:val="auto"/>
          <w:sz w:val="32"/>
          <w:szCs w:val="32"/>
          <w:lang w:eastAsia="zh-CN"/>
        </w:rPr>
        <w:t>法律法规</w:t>
      </w:r>
      <w:r>
        <w:rPr>
          <w:rFonts w:hint="default" w:ascii="Times New Roman" w:hAnsi="Times New Roman" w:eastAsia="仿宋_GB2312" w:cs="Times New Roman"/>
          <w:color w:val="auto"/>
          <w:sz w:val="32"/>
          <w:szCs w:val="32"/>
        </w:rPr>
        <w:t>和政策的规定。</w:t>
      </w:r>
    </w:p>
    <w:p w14:paraId="0EC96591">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十三、符合市场需求和创新需求的情况说明</w:t>
      </w:r>
    </w:p>
    <w:p w14:paraId="5F4A36C1">
      <w:pPr>
        <w:keepNext/>
        <w:keepLines/>
        <w:spacing w:line="560" w:lineRule="exact"/>
        <w:ind w:firstLine="640"/>
        <w:outlineLvl w:val="2"/>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（一）社会效益显著</w:t>
      </w:r>
    </w:p>
    <w:p w14:paraId="3D23641A">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是填补国内针对战略型科研机构开展系统化研学的标准空白；二是打造“国家安全+生态环保+科学家精神”三位一体的研学品牌；三是提升公众对生态环境事业的理解与支持，增强社会凝聚力；四是为全国同类单位提供可复制、可推广的“广西经验”或“行业样板”。</w:t>
      </w:r>
    </w:p>
    <w:p w14:paraId="11C4190F">
      <w:pPr>
        <w:keepNext/>
        <w:keepLines/>
        <w:spacing w:line="560" w:lineRule="exact"/>
        <w:ind w:firstLine="640"/>
        <w:outlineLvl w:val="2"/>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（二）教育效益深远</w:t>
      </w:r>
    </w:p>
    <w:p w14:paraId="2B01FF3C">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一是推动科技资源向教育资源转化，提升科普服务供给能力；二是培养青少年的科学素养、生态意识与家国情怀；三是促进科研人员角色转型，提升其科学传播能力。</w:t>
      </w:r>
    </w:p>
    <w:p w14:paraId="06A96FC6">
      <w:pPr>
        <w:keepNext/>
        <w:keepLines/>
        <w:spacing w:line="560" w:lineRule="exact"/>
        <w:ind w:firstLine="640"/>
        <w:outlineLvl w:val="2"/>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（三）经济效益可持续</w:t>
      </w:r>
    </w:p>
    <w:p w14:paraId="2D31C3A4">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通过标准化建设，可带动研学线路开发、课程产品设计、师资培训、数字平台建设等相关产业链发展，形成“标准引领—产品孵化—服务输出”的良性循环，实现社会效益与经济效益的统一。</w:t>
      </w:r>
    </w:p>
    <w:p w14:paraId="692B33B5">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十四、重大分歧意见的处理经过和依据</w:t>
      </w:r>
    </w:p>
    <w:p w14:paraId="396B8B62">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无。</w:t>
      </w:r>
    </w:p>
    <w:p w14:paraId="6DCF0644">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十五、贯彻标准的要求和措施建议（包括组织措施、技术措施、过渡办法等）</w:t>
      </w:r>
    </w:p>
    <w:p w14:paraId="3A304C79">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1.试点先行。遴选具有代表性的战略监测与科研单位开展标准试点；</w:t>
      </w:r>
    </w:p>
    <w:p w14:paraId="69F29BD7">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2.师资建设。开展“科研+教育”双能力培训，打造专业化研学导师队伍；</w:t>
      </w:r>
    </w:p>
    <w:p w14:paraId="1B5177CD">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3.协同推进。联合教育部门、科协、高校、研学机构共建共享；</w:t>
      </w:r>
    </w:p>
    <w:p w14:paraId="1F6DAE25">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4.宣传推广。发布典型案例，举办成果展示，扩大社会影响力；</w:t>
      </w:r>
    </w:p>
    <w:p w14:paraId="4DBE7D89">
      <w:pPr>
        <w:pStyle w:val="3"/>
        <w:spacing w:before="0" w:after="0" w:line="560" w:lineRule="exact"/>
        <w:ind w:firstLine="640"/>
        <w:rPr>
          <w:rFonts w:hint="default" w:ascii="Times New Roman" w:hAnsi="Times New Roman" w:eastAsia="仿宋_GB2312"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5.动态修订。建立标准定期评估与更新机制，确保其时代性与适用性。</w:t>
      </w:r>
    </w:p>
    <w:p w14:paraId="1FE2BE2C">
      <w:pPr>
        <w:pStyle w:val="3"/>
        <w:spacing w:before="0" w:after="0" w:line="560" w:lineRule="exact"/>
        <w:ind w:firstLine="640"/>
        <w:rPr>
          <w:rFonts w:hint="default" w:ascii="Times New Roman" w:hAnsi="Times New Roman" w:eastAsia="黑体" w:cs="Times New Roman"/>
          <w:b w:val="0"/>
          <w:bCs/>
          <w:color w:val="auto"/>
          <w:szCs w:val="32"/>
        </w:rPr>
      </w:pPr>
      <w:r>
        <w:rPr>
          <w:rFonts w:hint="default" w:ascii="Times New Roman" w:hAnsi="Times New Roman" w:eastAsia="黑体" w:cs="Times New Roman"/>
          <w:b w:val="0"/>
          <w:bCs/>
          <w:color w:val="auto"/>
          <w:szCs w:val="32"/>
        </w:rPr>
        <w:t>十六、</w:t>
      </w:r>
      <w:r>
        <w:rPr>
          <w:rFonts w:hint="default" w:ascii="Times New Roman" w:hAnsi="Times New Roman" w:eastAsia="黑体" w:cs="Times New Roman"/>
          <w:b w:val="0"/>
          <w:bCs/>
          <w:color w:val="auto"/>
          <w:szCs w:val="32"/>
          <w:lang w:eastAsia="zh-CN"/>
        </w:rPr>
        <w:t>其他</w:t>
      </w:r>
      <w:r>
        <w:rPr>
          <w:rFonts w:hint="default" w:ascii="Times New Roman" w:hAnsi="Times New Roman" w:eastAsia="黑体" w:cs="Times New Roman"/>
          <w:b w:val="0"/>
          <w:bCs/>
          <w:color w:val="auto"/>
          <w:szCs w:val="32"/>
        </w:rPr>
        <w:t>应予说明的事项。</w:t>
      </w:r>
    </w:p>
    <w:p w14:paraId="58A669D0">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无。</w:t>
      </w:r>
    </w:p>
    <w:p w14:paraId="3A4C4690">
      <w:pPr>
        <w:spacing w:line="560" w:lineRule="exact"/>
        <w:ind w:firstLine="640"/>
        <w:rPr>
          <w:rFonts w:hint="default" w:ascii="Times New Roman" w:hAnsi="Times New Roman" w:eastAsia="仿宋_GB2312" w:cs="Times New Roman"/>
          <w:color w:val="auto"/>
          <w:sz w:val="32"/>
          <w:szCs w:val="32"/>
        </w:rPr>
      </w:pPr>
    </w:p>
    <w:p w14:paraId="787D945B">
      <w:pPr>
        <w:spacing w:line="560" w:lineRule="exact"/>
        <w:ind w:firstLine="640"/>
        <w:rPr>
          <w:rFonts w:hint="default" w:ascii="Times New Roman" w:hAnsi="Times New Roman" w:eastAsia="仿宋_GB2312" w:cs="Times New Roman"/>
          <w:color w:val="auto"/>
          <w:sz w:val="32"/>
          <w:szCs w:val="32"/>
        </w:rPr>
      </w:pPr>
    </w:p>
    <w:p w14:paraId="03362383">
      <w:pPr>
        <w:spacing w:line="560" w:lineRule="exact"/>
        <w:ind w:firstLine="640"/>
        <w:rPr>
          <w:rFonts w:hint="default" w:ascii="Times New Roman" w:hAnsi="Times New Roman" w:eastAsia="仿宋_GB2312" w:cs="Times New Roman"/>
          <w:color w:val="auto"/>
          <w:sz w:val="32"/>
          <w:szCs w:val="32"/>
        </w:rPr>
      </w:pPr>
      <w:bookmarkStart w:id="12" w:name="_GoBack"/>
      <w:bookmarkEnd w:id="12"/>
      <w:r>
        <w:rPr>
          <w:rFonts w:hint="default" w:ascii="Times New Roman" w:hAnsi="Times New Roman" w:eastAsia="仿宋_GB2312" w:cs="Times New Roman"/>
          <w:color w:val="auto"/>
          <w:sz w:val="32"/>
          <w:szCs w:val="32"/>
        </w:rPr>
        <w:t>《生态环境科普研学课程设计指南》标准编制组</w:t>
      </w:r>
    </w:p>
    <w:p w14:paraId="4EFD0EFD">
      <w:pPr>
        <w:spacing w:line="560" w:lineRule="exact"/>
        <w:ind w:firstLine="64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 2026年</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17</w:t>
      </w:r>
      <w:r>
        <w:rPr>
          <w:rFonts w:hint="default" w:ascii="Times New Roman" w:hAnsi="Times New Roman" w:eastAsia="仿宋_GB2312" w:cs="Times New Roman"/>
          <w:color w:val="auto"/>
          <w:sz w:val="32"/>
          <w:szCs w:val="32"/>
        </w:rPr>
        <w:t>日</w:t>
      </w:r>
    </w:p>
    <w:sectPr>
      <w:headerReference r:id="rId7" w:type="first"/>
      <w:footerReference r:id="rId10" w:type="first"/>
      <w:headerReference r:id="rId5" w:type="default"/>
      <w:footerReference r:id="rId8" w:type="default"/>
      <w:headerReference r:id="rId6" w:type="even"/>
      <w:footerReference r:id="rId9" w:type="even"/>
      <w:pgSz w:w="11906" w:h="16838"/>
      <w:pgMar w:top="1417" w:right="1803" w:bottom="1417" w:left="1803"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ordia New">
    <w:altName w:val="Yu Gothic UI Light"/>
    <w:panose1 w:val="020B0304020202020204"/>
    <w:charset w:val="00"/>
    <w:family w:val="swiss"/>
    <w:pitch w:val="default"/>
    <w:sig w:usb0="00000000" w:usb1="00000000" w:usb2="00000000" w:usb3="00000000" w:csb0="00010001" w:csb1="00000000"/>
  </w:font>
  <w:font w:name="Yu Gothic UI Light">
    <w:panose1 w:val="020B0300000000000000"/>
    <w:charset w:val="80"/>
    <w:family w:val="auto"/>
    <w:pitch w:val="default"/>
    <w:sig w:usb0="E00002FF" w:usb1="2AC7FDFF" w:usb2="00000016" w:usb3="00000000" w:csb0="2002009F" w:csb1="00000000"/>
  </w:font>
  <w:font w:name="Angsana New">
    <w:altName w:val="Times New Roman"/>
    <w:panose1 w:val="02020603050405020304"/>
    <w:charset w:val="00"/>
    <w:family w:val="roman"/>
    <w:pitch w:val="default"/>
    <w:sig w:usb0="00000000" w:usb1="00000000" w:usb2="00000000" w:usb3="00000000" w:csb0="00010001"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CCA79">
    <w:pPr>
      <w:pStyle w:val="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16826">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13718">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84942">
    <w:pPr>
      <w:pStyle w:val="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E4B05">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A3E6E">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5C1F88"/>
    <w:multiLevelType w:val="multilevel"/>
    <w:tmpl w:val="CB5C1F88"/>
    <w:lvl w:ilvl="0" w:tentative="0">
      <w:start w:val="1"/>
      <w:numFmt w:val="none"/>
      <w:pStyle w:val="19"/>
      <w:lvlText w:val="%1——"/>
      <w:lvlJc w:val="left"/>
      <w:pPr>
        <w:tabs>
          <w:tab w:val="left" w:pos="6522"/>
        </w:tabs>
        <w:ind w:left="6522" w:hanging="426"/>
      </w:pPr>
      <w:rPr>
        <w:rFonts w:hint="eastAsia" w:ascii="宋体" w:hAnsi="Times New Roman" w:eastAsia="宋体" w:cs="宋体"/>
        <w:b w:val="0"/>
        <w:i w:val="0"/>
        <w:sz w:val="21"/>
      </w:rPr>
    </w:lvl>
    <w:lvl w:ilvl="1" w:tentative="0">
      <w:start w:val="1"/>
      <w:numFmt w:val="none"/>
      <w:lvlText w:val=""/>
      <w:lvlJc w:val="left"/>
      <w:pPr>
        <w:ind w:left="851" w:hanging="431"/>
      </w:pPr>
      <w:rPr>
        <w:rFonts w:ascii="Symbol" w:hAnsi="Symbol" w:cs="Symbol"/>
        <w:sz w:val="21"/>
      </w:rPr>
    </w:lvl>
    <w:lvl w:ilvl="2" w:tentative="0">
      <w:start w:val="1"/>
      <w:numFmt w:val="bullet"/>
      <w:lvlText w:val=""/>
      <w:lvlJc w:val="left"/>
      <w:pPr>
        <w:ind w:left="851" w:hanging="426"/>
      </w:pPr>
      <w:rPr>
        <w:rFonts w:hint="default" w:ascii="Wingdings" w:hAnsi="Wingdings" w:cs="Wingdings"/>
        <w:sz w:val="21"/>
      </w:rPr>
    </w:lvl>
    <w:lvl w:ilvl="3" w:tentative="0">
      <w:start w:val="1"/>
      <w:numFmt w:val="decimal"/>
      <w:lvlText w:val="%4."/>
      <w:lvlJc w:val="left"/>
      <w:pPr>
        <w:tabs>
          <w:tab w:val="left" w:pos="2071"/>
        </w:tabs>
        <w:ind w:left="1884" w:hanging="528"/>
      </w:pPr>
    </w:lvl>
    <w:lvl w:ilvl="4" w:tentative="0">
      <w:start w:val="1"/>
      <w:numFmt w:val="lowerLetter"/>
      <w:lvlText w:val="%5)"/>
      <w:lvlJc w:val="left"/>
      <w:pPr>
        <w:tabs>
          <w:tab w:val="left" w:pos="2383"/>
        </w:tabs>
        <w:ind w:left="2196" w:hanging="528"/>
      </w:pPr>
    </w:lvl>
    <w:lvl w:ilvl="5" w:tentative="0">
      <w:start w:val="1"/>
      <w:numFmt w:val="lowerRoman"/>
      <w:lvlText w:val="%6."/>
      <w:lvlJc w:val="right"/>
      <w:pPr>
        <w:tabs>
          <w:tab w:val="left" w:pos="2695"/>
        </w:tabs>
        <w:ind w:left="2508" w:hanging="528"/>
      </w:pPr>
    </w:lvl>
    <w:lvl w:ilvl="6" w:tentative="0">
      <w:start w:val="1"/>
      <w:numFmt w:val="decimal"/>
      <w:lvlText w:val="%7."/>
      <w:lvlJc w:val="left"/>
      <w:pPr>
        <w:tabs>
          <w:tab w:val="left" w:pos="3007"/>
        </w:tabs>
        <w:ind w:left="2820" w:hanging="528"/>
      </w:pPr>
    </w:lvl>
    <w:lvl w:ilvl="7" w:tentative="0">
      <w:start w:val="1"/>
      <w:numFmt w:val="lowerLetter"/>
      <w:lvlText w:val="%8)"/>
      <w:lvlJc w:val="left"/>
      <w:pPr>
        <w:tabs>
          <w:tab w:val="left" w:pos="3319"/>
        </w:tabs>
        <w:ind w:left="3132" w:hanging="528"/>
      </w:pPr>
    </w:lvl>
    <w:lvl w:ilvl="8" w:tentative="0">
      <w:start w:val="1"/>
      <w:numFmt w:val="lowerRoman"/>
      <w:lvlText w:val="%9."/>
      <w:lvlJc w:val="right"/>
      <w:pPr>
        <w:tabs>
          <w:tab w:val="left" w:pos="3631"/>
        </w:tabs>
        <w:ind w:left="3444" w:hanging="528"/>
      </w:pPr>
    </w:lvl>
  </w:abstractNum>
  <w:abstractNum w:abstractNumId="1">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8"/>
      <w:suff w:val="nothing"/>
      <w:lvlText w:val="%1%2　"/>
      <w:lvlJc w:val="left"/>
      <w:pPr>
        <w:ind w:left="0" w:firstLine="0"/>
      </w:pPr>
      <w:rPr>
        <w:rFonts w:hint="eastAsia" w:ascii="黑体" w:eastAsia="黑体"/>
        <w:b w:val="0"/>
        <w:i w:val="0"/>
        <w:sz w:val="21"/>
      </w:rPr>
    </w:lvl>
    <w:lvl w:ilvl="2" w:tentative="0">
      <w:start w:val="1"/>
      <w:numFmt w:val="decimal"/>
      <w:pStyle w:val="1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3MGVkMjVjNDgyNjk1Mjk4MTU2MzIyOTdiMGYxMjcifQ=="/>
  </w:docVars>
  <w:rsids>
    <w:rsidRoot w:val="7208172C"/>
    <w:rsid w:val="00020906"/>
    <w:rsid w:val="000C4026"/>
    <w:rsid w:val="001110A0"/>
    <w:rsid w:val="00141A44"/>
    <w:rsid w:val="0026455B"/>
    <w:rsid w:val="003403E4"/>
    <w:rsid w:val="003B70DC"/>
    <w:rsid w:val="00456EEA"/>
    <w:rsid w:val="00476269"/>
    <w:rsid w:val="004A1387"/>
    <w:rsid w:val="004F6FD2"/>
    <w:rsid w:val="005540E8"/>
    <w:rsid w:val="005B13C9"/>
    <w:rsid w:val="00622C12"/>
    <w:rsid w:val="0063430B"/>
    <w:rsid w:val="0064079C"/>
    <w:rsid w:val="00676C0D"/>
    <w:rsid w:val="006A7BBC"/>
    <w:rsid w:val="0074238C"/>
    <w:rsid w:val="007D4F16"/>
    <w:rsid w:val="00805748"/>
    <w:rsid w:val="00840FFC"/>
    <w:rsid w:val="00852DD1"/>
    <w:rsid w:val="00950000"/>
    <w:rsid w:val="00976E79"/>
    <w:rsid w:val="009C0C62"/>
    <w:rsid w:val="009E720A"/>
    <w:rsid w:val="00A403F2"/>
    <w:rsid w:val="00AB6FB9"/>
    <w:rsid w:val="00AE18E4"/>
    <w:rsid w:val="00B57FF7"/>
    <w:rsid w:val="00B71922"/>
    <w:rsid w:val="00B82258"/>
    <w:rsid w:val="00BA03DF"/>
    <w:rsid w:val="00BA6011"/>
    <w:rsid w:val="00BC102D"/>
    <w:rsid w:val="00C83E8A"/>
    <w:rsid w:val="00C9428F"/>
    <w:rsid w:val="00C97C48"/>
    <w:rsid w:val="00DD0410"/>
    <w:rsid w:val="00DF7B27"/>
    <w:rsid w:val="00E8004F"/>
    <w:rsid w:val="00FA10FF"/>
    <w:rsid w:val="01543DEF"/>
    <w:rsid w:val="01FC237E"/>
    <w:rsid w:val="03465822"/>
    <w:rsid w:val="04910D1F"/>
    <w:rsid w:val="053E4A71"/>
    <w:rsid w:val="0565302D"/>
    <w:rsid w:val="060C01C3"/>
    <w:rsid w:val="0983332C"/>
    <w:rsid w:val="0A226FD3"/>
    <w:rsid w:val="0A591A4D"/>
    <w:rsid w:val="0BD35176"/>
    <w:rsid w:val="0C2E5785"/>
    <w:rsid w:val="0D381290"/>
    <w:rsid w:val="0D4B2102"/>
    <w:rsid w:val="0E014D41"/>
    <w:rsid w:val="0F0B5FE8"/>
    <w:rsid w:val="109341E4"/>
    <w:rsid w:val="12931D29"/>
    <w:rsid w:val="13C04469"/>
    <w:rsid w:val="15C26C69"/>
    <w:rsid w:val="16295EE4"/>
    <w:rsid w:val="185D347E"/>
    <w:rsid w:val="1A120BD5"/>
    <w:rsid w:val="1A2F0E75"/>
    <w:rsid w:val="1A395967"/>
    <w:rsid w:val="1AA93212"/>
    <w:rsid w:val="1AE41920"/>
    <w:rsid w:val="1B2817F1"/>
    <w:rsid w:val="1BD06957"/>
    <w:rsid w:val="1D37025D"/>
    <w:rsid w:val="20F1079B"/>
    <w:rsid w:val="212E6FDD"/>
    <w:rsid w:val="253E5643"/>
    <w:rsid w:val="25897210"/>
    <w:rsid w:val="27F470CE"/>
    <w:rsid w:val="283226BC"/>
    <w:rsid w:val="2AA10C88"/>
    <w:rsid w:val="2D077A2C"/>
    <w:rsid w:val="2D3C541C"/>
    <w:rsid w:val="2D751518"/>
    <w:rsid w:val="31AE5656"/>
    <w:rsid w:val="32F21457"/>
    <w:rsid w:val="330F4449"/>
    <w:rsid w:val="34F9444C"/>
    <w:rsid w:val="351D0293"/>
    <w:rsid w:val="352D17EF"/>
    <w:rsid w:val="366F1936"/>
    <w:rsid w:val="371745B9"/>
    <w:rsid w:val="389752FF"/>
    <w:rsid w:val="39726D9D"/>
    <w:rsid w:val="3A250733"/>
    <w:rsid w:val="3A6263F9"/>
    <w:rsid w:val="3AE04719"/>
    <w:rsid w:val="3C0F1B44"/>
    <w:rsid w:val="3C441F05"/>
    <w:rsid w:val="3D5A2356"/>
    <w:rsid w:val="3D8A6223"/>
    <w:rsid w:val="3DBA6A6E"/>
    <w:rsid w:val="3DE860F9"/>
    <w:rsid w:val="40806D62"/>
    <w:rsid w:val="40E83295"/>
    <w:rsid w:val="41231DEC"/>
    <w:rsid w:val="41AF1AC2"/>
    <w:rsid w:val="431A6C38"/>
    <w:rsid w:val="44666259"/>
    <w:rsid w:val="457C062C"/>
    <w:rsid w:val="459A19C4"/>
    <w:rsid w:val="46853222"/>
    <w:rsid w:val="4831611E"/>
    <w:rsid w:val="4B430E40"/>
    <w:rsid w:val="501C0C99"/>
    <w:rsid w:val="502B33A2"/>
    <w:rsid w:val="511C3DC8"/>
    <w:rsid w:val="526D205A"/>
    <w:rsid w:val="52D90ED7"/>
    <w:rsid w:val="5464380B"/>
    <w:rsid w:val="552008B5"/>
    <w:rsid w:val="567A51E0"/>
    <w:rsid w:val="57020AD9"/>
    <w:rsid w:val="57880388"/>
    <w:rsid w:val="59A86341"/>
    <w:rsid w:val="5A763835"/>
    <w:rsid w:val="5B46247A"/>
    <w:rsid w:val="5BE7533D"/>
    <w:rsid w:val="5C605459"/>
    <w:rsid w:val="5D186A5C"/>
    <w:rsid w:val="5D6F165C"/>
    <w:rsid w:val="5DA66ED8"/>
    <w:rsid w:val="5EB6633B"/>
    <w:rsid w:val="5F626BA8"/>
    <w:rsid w:val="60162A4B"/>
    <w:rsid w:val="602C5604"/>
    <w:rsid w:val="65076D30"/>
    <w:rsid w:val="65BE218E"/>
    <w:rsid w:val="65C0279B"/>
    <w:rsid w:val="663E752C"/>
    <w:rsid w:val="665F27B1"/>
    <w:rsid w:val="671766E1"/>
    <w:rsid w:val="6908303C"/>
    <w:rsid w:val="699501C1"/>
    <w:rsid w:val="6AE20910"/>
    <w:rsid w:val="6B15282D"/>
    <w:rsid w:val="6CF3094C"/>
    <w:rsid w:val="6D546B4F"/>
    <w:rsid w:val="6F100AE9"/>
    <w:rsid w:val="6FA33C1A"/>
    <w:rsid w:val="70FC0C0D"/>
    <w:rsid w:val="71EE3A59"/>
    <w:rsid w:val="71F413EE"/>
    <w:rsid w:val="7208172C"/>
    <w:rsid w:val="73052FA9"/>
    <w:rsid w:val="73CB62C6"/>
    <w:rsid w:val="797B017E"/>
    <w:rsid w:val="79C85DA8"/>
    <w:rsid w:val="7BA07EF1"/>
    <w:rsid w:val="7C8B1F44"/>
    <w:rsid w:val="7CBB3032"/>
    <w:rsid w:val="7D0D75E9"/>
    <w:rsid w:val="7DB61100"/>
    <w:rsid w:val="7E900012"/>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560"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340" w:after="330" w:line="576" w:lineRule="auto"/>
      <w:jc w:val="center"/>
      <w:outlineLvl w:val="0"/>
    </w:pPr>
    <w:rPr>
      <w:rFonts w:eastAsia="宋体"/>
      <w:b/>
      <w:kern w:val="44"/>
      <w:sz w:val="44"/>
    </w:rPr>
  </w:style>
  <w:style w:type="paragraph" w:styleId="3">
    <w:name w:val="heading 2"/>
    <w:basedOn w:val="1"/>
    <w:next w:val="1"/>
    <w:unhideWhenUsed/>
    <w:qFormat/>
    <w:uiPriority w:val="0"/>
    <w:pPr>
      <w:keepLines/>
      <w:spacing w:before="260" w:after="260" w:line="413" w:lineRule="auto"/>
      <w:outlineLvl w:val="1"/>
    </w:pPr>
    <w:rPr>
      <w:rFonts w:ascii="Arial" w:hAnsi="Arial" w:eastAsia="宋体"/>
      <w:b/>
      <w:sz w:val="32"/>
    </w:rPr>
  </w:style>
  <w:style w:type="paragraph" w:styleId="4">
    <w:name w:val="heading 3"/>
    <w:basedOn w:val="1"/>
    <w:next w:val="1"/>
    <w:unhideWhenUsed/>
    <w:qFormat/>
    <w:uiPriority w:val="0"/>
    <w:pPr>
      <w:keepNext/>
      <w:keepLines/>
      <w:spacing w:before="100" w:after="100" w:line="360" w:lineRule="auto"/>
      <w:outlineLvl w:val="2"/>
    </w:pPr>
    <w:rPr>
      <w:rFonts w:eastAsia="黑体"/>
    </w:rPr>
  </w:style>
  <w:style w:type="character" w:default="1" w:styleId="10">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2"/>
    <w:qFormat/>
    <w:uiPriority w:val="0"/>
    <w:pPr>
      <w:tabs>
        <w:tab w:val="center" w:pos="4153"/>
        <w:tab w:val="right" w:pos="8306"/>
      </w:tabs>
      <w:snapToGrid w:val="0"/>
      <w:jc w:val="center"/>
    </w:pPr>
    <w:rPr>
      <w:sz w:val="18"/>
      <w:szCs w:val="18"/>
    </w:rPr>
  </w:style>
  <w:style w:type="paragraph" w:styleId="7">
    <w:name w:val="Normal (Web)"/>
    <w:basedOn w:val="1"/>
    <w:qFormat/>
    <w:uiPriority w:val="0"/>
    <w:rPr>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customStyle="1" w:styleId="12">
    <w:name w:val="页眉 字符"/>
    <w:basedOn w:val="10"/>
    <w:link w:val="6"/>
    <w:qFormat/>
    <w:uiPriority w:val="0"/>
    <w:rPr>
      <w:rFonts w:eastAsia="仿宋"/>
      <w:kern w:val="2"/>
      <w:sz w:val="18"/>
      <w:szCs w:val="18"/>
    </w:rPr>
  </w:style>
  <w:style w:type="character" w:customStyle="1" w:styleId="13">
    <w:name w:val="页脚 字符"/>
    <w:basedOn w:val="10"/>
    <w:link w:val="5"/>
    <w:qFormat/>
    <w:uiPriority w:val="0"/>
    <w:rPr>
      <w:rFonts w:eastAsia="仿宋"/>
      <w:kern w:val="2"/>
      <w:sz w:val="18"/>
      <w:szCs w:val="18"/>
    </w:rPr>
  </w:style>
  <w:style w:type="paragraph" w:customStyle="1" w:styleId="14">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5">
    <w:name w:val="正文二级标题"/>
    <w:qFormat/>
    <w:uiPriority w:val="1"/>
    <w:pPr>
      <w:spacing w:line="560" w:lineRule="exact"/>
      <w:ind w:firstLine="640"/>
    </w:pPr>
    <w:rPr>
      <w:rFonts w:ascii="宋体" w:hAnsi="Times New Roman" w:eastAsia="宋体" w:cs="Times New Roman"/>
      <w:b/>
      <w:sz w:val="32"/>
      <w:szCs w:val="22"/>
      <w:lang w:val="en-US" w:eastAsia="zh-CN" w:bidi="th-TH"/>
    </w:rPr>
  </w:style>
  <w:style w:type="paragraph" w:customStyle="1" w:styleId="16">
    <w:name w:val="正文 文本"/>
    <w:qFormat/>
    <w:uiPriority w:val="1"/>
    <w:pPr>
      <w:spacing w:line="560" w:lineRule="exact"/>
      <w:ind w:firstLine="640"/>
      <w:jc w:val="both"/>
    </w:pPr>
    <w:rPr>
      <w:rFonts w:ascii="宋体" w:eastAsia="宋体" w:hAnsiTheme="minorHAnsi" w:cstheme="minorBidi"/>
      <w:sz w:val="32"/>
      <w:szCs w:val="22"/>
      <w:lang w:val="en-US" w:eastAsia="zh-CN" w:bidi="th-TH"/>
    </w:rPr>
  </w:style>
  <w:style w:type="paragraph" w:customStyle="1" w:styleId="17">
    <w:name w:val="标准文件_一级条标题"/>
    <w:basedOn w:val="18"/>
    <w:next w:val="14"/>
    <w:qFormat/>
    <w:uiPriority w:val="0"/>
    <w:pPr>
      <w:numPr>
        <w:ilvl w:val="2"/>
      </w:numPr>
      <w:spacing w:before="50" w:beforeLines="50" w:after="50" w:afterLines="50"/>
      <w:outlineLvl w:val="1"/>
    </w:pPr>
  </w:style>
  <w:style w:type="paragraph" w:customStyle="1" w:styleId="18">
    <w:name w:val="标准文件_章标题"/>
    <w:next w:val="14"/>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9">
    <w:name w:val="标准文件_一级项"/>
    <w:basedOn w:val="1"/>
    <w:qFormat/>
    <w:uiPriority w:val="0"/>
    <w:pPr>
      <w:widowControl/>
      <w:numPr>
        <w:ilvl w:val="0"/>
        <w:numId w:val="2"/>
      </w:numPr>
      <w:tabs>
        <w:tab w:val="left" w:pos="851"/>
        <w:tab w:val="clear" w:pos="6522"/>
      </w:tabs>
      <w:ind w:left="851"/>
      <w:jc w:val="left"/>
    </w:pPr>
    <w:rPr>
      <w:rFonts w:hint="eastAsia" w:ascii="宋体" w:hAnsi="Times New Roman" w:eastAsia="宋体" w:cs="Angsana New"/>
      <w:kern w:val="0"/>
      <w:sz w:val="21"/>
      <w:szCs w:val="20"/>
      <w:lang w:bidi="th-TH"/>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2416c6ac-4eb6-4f48-8edf-9961c86e5128</errorID>
      <errorWord>：</errorWord>
      <group>L1_Punc</group>
      <groupName>标点问题</groupName>
      <ability>L2_Punc_CN</ability>
      <abilityName>标点符号问题</abilityName>
      <candidateList>
        <item/>
      </candidateList>
      <explain/>
      <paraID>770AB88C</paraID>
      <start>6</start>
      <end>6</end>
      <status>modified</status>
      <modifiedWord/>
      <trackRevisions>false</trackRevisions>
    </reviewItem>
    <reviewItem>
      <errorID>55453697-86ec-4439-be4d-96a3aa991a4e</errorID>
      <errorWord>论据</errorWord>
      <group>L1_Word</group>
      <groupName>字词问题</groupName>
      <ability>L2_Typo</ability>
      <abilityName>字词错误</abilityName>
      <candidateList>
        <item>论证</item>
      </candidateList>
      <explain/>
      <paraID>63D2A7FE</paraID>
      <start>35</start>
      <end>37</end>
      <status>modified</status>
      <modifiedWord>论证</modifiedWord>
      <trackRevisions>false</trackRevisions>
    </reviewItem>
    <reviewItem>
      <errorID>d69970e1-e7c9-4ddf-a818-61cf70500f49</errorID>
      <errorWord>：</errorWord>
      <group>L1_Punc</group>
      <groupName>标点问题</groupName>
      <ability>L2_Punc_CN</ability>
      <abilityName>标点符号问题</abilityName>
      <candidateList>
        <item/>
      </candidateList>
      <explain/>
      <paraID>16F78A72</paraID>
      <start>20</start>
      <end>20</end>
      <status>modified</status>
      <modifiedWord/>
      <trackRevisions>false</trackRevisions>
    </reviewItem>
    <reviewItem>
      <errorID>90e23b86-7a07-40b9-96dd-93129de7e918</errorID>
      <errorWord>预留充足</errorWord>
      <group>L1_Grammar</group>
      <groupName>语法问题</groupName>
      <ability>L2_Grammar</ability>
      <abilityName>语法错误</abilityName>
      <candidateList>
        <item>预留</item>
      </candidateList>
      <explain/>
      <paraID>16F78A72</paraID>
      <start>222</start>
      <end>224</end>
      <status>modified</status>
      <modifiedWord>预留</modifiedWord>
      <trackRevisions>false</trackRevisions>
    </reviewItem>
    <reviewItem>
      <errorID>eea417d6-d48a-49cd-80f3-2f6dbe170e35</errorID>
      <errorWord>：</errorWord>
      <group>L1_Punc</group>
      <groupName>标点问题</groupName>
      <ability>L2_Punc_CN</ability>
      <abilityName>标点符号问题</abilityName>
      <candidateList>
        <item/>
      </candidateList>
      <explain/>
      <paraID>4A4A9269</paraID>
      <start>19</start>
      <end>19</end>
      <status>modified</status>
      <modifiedWord/>
      <trackRevisions>false</trackRevisions>
    </reviewItem>
    <reviewItem>
      <errorID>21def0c0-0581-4595-85d7-665c438dafa6</errorID>
      <errorWord>：</errorWord>
      <group>L1_Punc</group>
      <groupName>标点问题</groupName>
      <ability>L2_Punc_CN</ability>
      <abilityName>标点符号问题</abilityName>
      <candidateList>
        <item/>
      </candidateList>
      <explain/>
      <paraID>3E469DFB</paraID>
      <start>19</start>
      <end>19</end>
      <status>modified</status>
      <modifiedWord/>
      <trackRevisions>false</trackRevisions>
    </reviewItem>
    <reviewItem>
      <errorID>58dfe65c-de3f-47ca-8459-70d10e702b45</errorID>
      <errorWord>。</errorWord>
      <group>L1_Punc</group>
      <groupName>标点问题</groupName>
      <ability>L2_Punc_CN</ability>
      <abilityName>标点符号问题</abilityName>
      <candidateList>
        <item>，</item>
      </candidateList>
      <explain/>
      <paraID>32BC87DF</paraID>
      <start>192</start>
      <end>193</end>
      <status>modified</status>
      <modifiedWord>，</modifiedWord>
      <trackRevisions>false</trackRevisions>
    </reviewItem>
    <reviewItem>
      <errorID>5c6126d1-056f-4770-90fc-c037b027403a</errorID>
      <errorWord>。</errorWord>
      <group>L1_Punc</group>
      <groupName>标点问题</groupName>
      <ability>L2_Punc_CN</ability>
      <abilityName>标点符号问题</abilityName>
      <candidateList>
        <item>，</item>
      </candidateList>
      <explain/>
      <paraID>316B10BF</paraID>
      <start>74</start>
      <end>75</end>
      <status>modified</status>
      <modifiedWord>，</modifiedWord>
      <trackRevisions>false</trackRevisions>
    </reviewItem>
    <reviewItem>
      <errorID>4bb53b57-5da1-44c4-a706-d6470326591b</errorID>
      <errorWord>资源</errorWord>
      <group>L1_Punc</group>
      <groupName>标点问题</groupName>
      <ability>L2_Punc_CN</ability>
      <abilityName>标点符号问题</abilityName>
      <candidateList>
        <item>资源：</item>
      </candidateList>
      <explain/>
      <paraID>15CC7585</paraID>
      <start>9</start>
      <end>12</end>
      <status>modified</status>
      <modifiedWord>资源：</modifiedWord>
      <trackRevisions>false</trackRevisions>
    </reviewItem>
    <reviewItem>
      <errorID>cd4303b7-4da5-40b8-9fc9-5ec097754c27</errorID>
      <errorWord>：</errorWord>
      <group>L1_Punc</group>
      <groupName>标点问题</groupName>
      <ability>L2_Punc_CN</ability>
      <abilityName>标点符号问题</abilityName>
      <candidateList>
        <item/>
      </candidateList>
      <explain/>
      <paraID> F9C1036</paraID>
      <start>8</start>
      <end>8</end>
      <status>modified</status>
      <modifiedWord/>
      <trackRevisions>false</trackRevisions>
    </reviewItem>
    <reviewItem>
      <errorID>fa5dc733-9aa5-4fa2-85b5-5b4278bdae56</errorID>
      <errorWord>。</errorWord>
      <group>L1_Punc</group>
      <groupName>标点问题</groupName>
      <ability>L2_Punc_CN</ability>
      <abilityName>标点符号问题</abilityName>
      <candidateList>
        <item>，</item>
      </candidateList>
      <explain/>
      <paraID>393CB549</paraID>
      <start>37</start>
      <end>38</end>
      <status>modified</status>
      <modifiedWord>，</modifiedWord>
      <trackRevisions>false</trackRevisions>
    </reviewItem>
    <reviewItem>
      <errorID>5998cae5-022c-4ec4-b243-bf7518c510d0</errorID>
      <errorWord>评价</errorWord>
      <group>L1_Punc</group>
      <groupName>标点问题</groupName>
      <ability>L2_Punc_CN</ability>
      <abilityName>标点符号问题</abilityName>
      <candidateList>
        <item>评价：</item>
      </candidateList>
      <explain/>
      <paraID>7392E485</paraID>
      <start>8</start>
      <end>11</end>
      <status>modified</status>
      <modifiedWord>评价：</modifiedWord>
      <trackRevisions>false</trackRevisions>
    </reviewItem>
    <reviewItem>
      <errorID>c53ef884-3224-46cd-8df2-1358003c5137</errorID>
      <errorWord>百分制</errorWord>
      <group>L1_Word</group>
      <groupName>字词问题</groupName>
      <ability>L2_Typo</ability>
      <abilityName>字词错误</abilityName>
      <candidateList>
        <item>的百分制</item>
      </candidateList>
      <explain/>
      <paraID>4EB7A14C</paraID>
      <start>26</start>
      <end>30</end>
      <status>modified</status>
      <modifiedWord>的百分制</modifiedWord>
      <trackRevisions>false</trackRevisions>
    </reviewItem>
    <reviewItem>
      <errorID>8dd4e2f9-0dc1-4870-9a1f-8bc37909554d</errorID>
      <errorWord>。</errorWord>
      <group>L1_Punc</group>
      <groupName>标点问题</groupName>
      <ability>L2_Punc_CN</ability>
      <abilityName>标点符号问题</abilityName>
      <candidateList>
        <item/>
      </candidateList>
      <explain/>
      <paraID>4C3025AC</paraID>
      <start>9</start>
      <end>9</end>
      <status>modified</status>
      <modifiedWord/>
      <trackRevisions>false</trackRevisions>
    </reviewItem>
  </reviewItems>
  <config/>
</contractReview>
</file>

<file path=customXml/itemProps1.xml><?xml version="1.0" encoding="utf-8"?>
<ds:datastoreItem xmlns:ds="http://schemas.openxmlformats.org/officeDocument/2006/customXml" ds:itemID="{3a259335-074c-43d1-83b7-34b48c71cef1}">
  <ds:schemaRefs/>
</ds:datastoreItem>
</file>

<file path=docProps/app.xml><?xml version="1.0" encoding="utf-8"?>
<Properties xmlns="http://schemas.openxmlformats.org/officeDocument/2006/extended-properties" xmlns:vt="http://schemas.openxmlformats.org/officeDocument/2006/docPropsVTypes">
  <Template>Normal.dotm</Template>
  <Company>admin</Company>
  <Pages>11</Pages>
  <Words>5382</Words>
  <Characters>5512</Characters>
  <Lines>33</Lines>
  <Paragraphs>9</Paragraphs>
  <TotalTime>5</TotalTime>
  <ScaleCrop>false</ScaleCrop>
  <LinksUpToDate>false</LinksUpToDate>
  <CharactersWithSpaces>5551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2022-11-07T05:30:00Z</dcterms:created>
  <dc:creator>Summer</dc:creator>
  <cp:lastModifiedBy>龙婷婷</cp:lastModifiedBy>
  <dcterms:modified xsi:type="dcterms:W3CDTF">2026-06-17T00:58:39Z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BE250BDF18844981AF0C11B731B74617_13</vt:lpwstr>
  </property>
  <property fmtid="{D5CDD505-2E9C-101B-9397-08002B2CF9AE}" pid="4" name="KSOTemplateDocerSaveRecord">
    <vt:lpwstr>eyJoZGlkIjoiMGRjY2I1OTYzNDFmM2FmMGYxMmVkYjAyZDcxNjdkNzIiLCJ1c2VySWQiOiI3MTIzMzkwMDkifQ==</vt:lpwstr>
  </property>
</Properties>
</file>