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1EA342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noWrap w:val="0"/>
            <w:vAlign w:val="top"/>
          </w:tcPr>
          <w:p w14:paraId="33B97D8F">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noWrap w:val="0"/>
            <w:vAlign w:val="top"/>
          </w:tcPr>
          <w:p w14:paraId="5B3DE8BB">
            <w:pPr>
              <w:pStyle w:val="18"/>
              <w:framePr w:wrap="notBeside" w:vAnchor="page" w:hAnchor="page" w:x="1372" w:y="568"/>
              <w:tabs>
                <w:tab w:val="clear" w:pos="4153"/>
                <w:tab w:val="clear" w:pos="8306"/>
              </w:tabs>
              <w:spacing w:line="240" w:lineRule="auto"/>
              <w:jc w:val="both"/>
              <w:rPr>
                <w:rFonts w:hint="default" w:ascii="黑体" w:hAnsi="黑体" w:eastAsia="黑体"/>
                <w:sz w:val="21"/>
                <w:szCs w:val="21"/>
                <w:lang w:val="en-US" w:eastAsia="zh-CN"/>
              </w:rPr>
            </w:pPr>
            <w:r>
              <w:rPr>
                <w:rFonts w:hint="eastAsia" w:ascii="黑体" w:hAnsi="黑体" w:eastAsia="黑体"/>
                <w:sz w:val="21"/>
                <w:szCs w:val="21"/>
                <w:lang w:val="en-US" w:eastAsia="zh-CN"/>
              </w:rPr>
              <w:t>67.080</w:t>
            </w:r>
          </w:p>
        </w:tc>
      </w:tr>
      <w:tr w14:paraId="450D1B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noWrap w:val="0"/>
            <w:vAlign w:val="top"/>
          </w:tcPr>
          <w:p w14:paraId="75DC0165">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noWrap w:val="0"/>
            <w:vAlign w:val="top"/>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7426AA99">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noWrap w:val="0"/>
                  <w:vAlign w:val="center"/>
                </w:tcPr>
                <w:p w14:paraId="1F5BC75F">
                  <w:pPr>
                    <w:pStyle w:val="53"/>
                    <w:framePr w:wrap="notBeside" w:vAnchor="page" w:hAnchor="page" w:x="1372" w:y="568"/>
                    <w:ind w:left="420" w:right="624"/>
                    <w:rPr>
                      <w:rFonts w:hint="eastAsia" w:ascii="宋体" w:hAnsi="宋体"/>
                      <w:sz w:val="28"/>
                      <w:szCs w:val="28"/>
                    </w:rPr>
                  </w:pPr>
                  <w:r>
                    <w:drawing>
                      <wp:inline distT="0" distB="0" distL="114300" distR="11430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pic:cNvPicPr>
                              </pic:nvPicPr>
                              <pic:blipFill>
                                <a:blip r:embed="rId12"/>
                                <a:stretch>
                                  <a:fillRect/>
                                </a:stretch>
                              </pic:blipFill>
                              <pic:spPr>
                                <a:xfrm>
                                  <a:off x="0" y="0"/>
                                  <a:ext cx="414655" cy="430530"/>
                                </a:xfrm>
                                <a:prstGeom prst="rect">
                                  <a:avLst/>
                                </a:prstGeom>
                                <a:noFill/>
                                <a:ln>
                                  <a:noFill/>
                                </a:ln>
                              </pic:spPr>
                            </pic:pic>
                          </a:graphicData>
                        </a:graphic>
                      </wp:inline>
                    </w:drawing>
                  </w:r>
                  <w:r>
                    <w:drawing>
                      <wp:inline distT="0" distB="0" distL="114300" distR="11430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pic:cNvPicPr>
                              </pic:nvPicPr>
                              <pic:blipFill>
                                <a:blip r:embed="rId13"/>
                                <a:stretch>
                                  <a:fillRect/>
                                </a:stretch>
                              </pic:blipFill>
                              <pic:spPr>
                                <a:xfrm>
                                  <a:off x="0" y="0"/>
                                  <a:ext cx="170815" cy="436245"/>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0" w:name="c1"/>
                  <w:r>
                    <w:instrText xml:space="preserve"> FORMTEXT </w:instrText>
                  </w:r>
                  <w:r>
                    <w:fldChar w:fldCharType="separate"/>
                  </w:r>
                  <w:r>
                    <w:rPr>
                      <w:rFonts w:hint="eastAsia"/>
                      <w:lang w:eastAsia="zh-CN"/>
                    </w:rPr>
                    <w:t>Q</w:t>
                  </w:r>
                  <w:r>
                    <w:rPr>
                      <w:rFonts w:hint="eastAsia"/>
                      <w:lang w:val="en-US" w:eastAsia="zh-CN"/>
                    </w:rPr>
                    <w:t>AS</w:t>
                  </w:r>
                  <w:r>
                    <w:fldChar w:fldCharType="end"/>
                  </w:r>
                  <w:bookmarkEnd w:id="0"/>
                </w:p>
              </w:tc>
            </w:tr>
          </w:tbl>
          <w:p w14:paraId="79F9AF53">
            <w:pPr>
              <w:pStyle w:val="18"/>
              <w:framePr w:wrap="notBeside" w:vAnchor="page" w:hAnchor="page" w:x="1372" w:y="568"/>
              <w:tabs>
                <w:tab w:val="clear" w:pos="4153"/>
                <w:tab w:val="clear" w:pos="8306"/>
              </w:tabs>
              <w:spacing w:before="40" w:line="240" w:lineRule="auto"/>
              <w:jc w:val="left"/>
              <w:rPr>
                <w:rFonts w:hint="default" w:ascii="黑体" w:hAnsi="黑体" w:eastAsia="黑体"/>
                <w:sz w:val="21"/>
                <w:szCs w:val="21"/>
                <w:lang w:val="en-US" w:eastAsia="zh-CN"/>
              </w:rPr>
            </w:pPr>
            <w:r>
              <w:rPr>
                <w:rFonts w:hint="eastAsia" w:ascii="黑体" w:hAnsi="黑体" w:eastAsia="黑体"/>
                <w:sz w:val="21"/>
                <w:szCs w:val="21"/>
                <w:lang w:val="en-US" w:eastAsia="zh-CN"/>
              </w:rPr>
              <w:t>X 10</w:t>
            </w:r>
          </w:p>
        </w:tc>
      </w:tr>
    </w:tbl>
    <w:p w14:paraId="0EFB1321">
      <w:pPr>
        <w:pStyle w:val="54"/>
        <w:framePr w:w="9639" w:h="624" w:hRule="exact" w:hSpace="181" w:vSpace="181" w:wrap="around" w:vAnchor="text" w:hAnchor="page" w:x="1277" w:y="605"/>
        <w:rPr>
          <w:rFonts w:hint="eastAsia" w:ascii="黑体" w:hAnsi="黑体" w:eastAsia="黑体"/>
          <w:b w:val="0"/>
          <w:bCs w:val="0"/>
          <w:w w:val="100"/>
          <w:sz w:val="48"/>
          <w:szCs w:val="48"/>
        </w:rPr>
      </w:pPr>
      <w:bookmarkStart w:id="1" w:name="_Hlk26473981"/>
      <w:r>
        <w:rPr>
          <w:rFonts w:ascii="黑体" w:eastAsia="黑体"/>
          <w:b w:val="0"/>
          <w:w w:val="100"/>
          <w:sz w:val="48"/>
        </w:rPr>
        <w:fldChar w:fldCharType="begin">
          <w:ffData>
            <w:name w:val="c2"/>
            <w:enabled/>
            <w:calcOnExit w:val="0"/>
            <w:textInput/>
          </w:ffData>
        </w:fldChar>
      </w:r>
      <w:bookmarkStart w:id="2"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lang w:eastAsia="zh-CN"/>
        </w:rPr>
        <w:t xml:space="preserve"> </w:t>
      </w:r>
      <w:r>
        <w:rPr>
          <w:rFonts w:ascii="黑体" w:eastAsia="黑体"/>
          <w:b w:val="0"/>
          <w:w w:val="100"/>
          <w:sz w:val="48"/>
        </w:rPr>
        <w:fldChar w:fldCharType="end"/>
      </w:r>
      <w:bookmarkEnd w:id="2"/>
      <w:r>
        <w:rPr>
          <w:rFonts w:hint="eastAsia" w:ascii="黑体" w:eastAsia="黑体"/>
          <w:b w:val="0"/>
          <w:w w:val="100"/>
          <w:sz w:val="48"/>
        </w:rPr>
        <w:t>团体</w:t>
      </w:r>
      <w:r>
        <w:rPr>
          <w:rFonts w:hint="eastAsia" w:ascii="黑体" w:hAnsi="黑体" w:eastAsia="黑体"/>
          <w:b w:val="0"/>
          <w:bCs w:val="0"/>
          <w:w w:val="100"/>
          <w:sz w:val="48"/>
          <w:szCs w:val="48"/>
        </w:rPr>
        <w:t>标准</w:t>
      </w:r>
    </w:p>
    <w:bookmarkEnd w:id="1"/>
    <w:p w14:paraId="113FFACD">
      <w:pPr>
        <w:pStyle w:val="201"/>
      </w:pPr>
      <w:r>
        <w:t>T/</w:t>
      </w:r>
      <w:r>
        <w:fldChar w:fldCharType="begin">
          <w:ffData>
            <w:name w:val="文字1"/>
            <w:enabled/>
            <w:calcOnExit w:val="0"/>
            <w:textInput>
              <w:default w:val="XXX"/>
            </w:textInput>
          </w:ffData>
        </w:fldChar>
      </w:r>
      <w:bookmarkStart w:id="3" w:name="文字1"/>
      <w:r>
        <w:instrText xml:space="preserve"> FORMTEXT </w:instrText>
      </w:r>
      <w:r>
        <w:fldChar w:fldCharType="separate"/>
      </w:r>
      <w:r>
        <w:rPr>
          <w:rFonts w:hint="eastAsia"/>
          <w:lang w:eastAsia="zh-CN"/>
        </w:rPr>
        <w:t>Q</w:t>
      </w:r>
      <w:r>
        <w:rPr>
          <w:rFonts w:hint="eastAsia"/>
          <w:lang w:val="en-US" w:eastAsia="zh-CN"/>
        </w:rPr>
        <w:t>AS</w:t>
      </w:r>
      <w:r>
        <w:fldChar w:fldCharType="end"/>
      </w:r>
      <w:bookmarkEnd w:id="3"/>
      <w:r>
        <w:t xml:space="preserve"> </w:t>
      </w:r>
      <w:r>
        <w:fldChar w:fldCharType="begin">
          <w:ffData>
            <w:name w:val="NSTD_CODE_F"/>
            <w:enabled/>
            <w:calcOnExit w:val="0"/>
            <w:textInput>
              <w:default w:val="XXXX"/>
            </w:textInput>
          </w:ffData>
        </w:fldChar>
      </w:r>
      <w:bookmarkStart w:id="4" w:name="NSTD_CODE_F"/>
      <w:r>
        <w:instrText xml:space="preserve"> FORMTEXT </w:instrText>
      </w:r>
      <w:r>
        <w:fldChar w:fldCharType="separate"/>
      </w:r>
      <w:r>
        <w:t>XXXX</w:t>
      </w:r>
      <w:r>
        <w:fldChar w:fldCharType="end"/>
      </w:r>
      <w:bookmarkEnd w:id="4"/>
      <w:r>
        <w:rPr>
          <w:rFonts w:hAnsi="黑体"/>
        </w:rPr>
        <w:t>—</w:t>
      </w:r>
      <w:r>
        <w:fldChar w:fldCharType="begin">
          <w:ffData>
            <w:name w:val="NSTD_CODE_B"/>
            <w:enabled/>
            <w:calcOnExit w:val="0"/>
            <w:textInput>
              <w:default w:val="XXXX"/>
            </w:textInput>
          </w:ffData>
        </w:fldChar>
      </w:r>
      <w:bookmarkStart w:id="5" w:name="NSTD_CODE_B"/>
      <w:r>
        <w:instrText xml:space="preserve"> FORMTEXT </w:instrText>
      </w:r>
      <w:r>
        <w:fldChar w:fldCharType="separate"/>
      </w:r>
      <w:r>
        <w:t>XXXX</w:t>
      </w:r>
      <w:r>
        <w:fldChar w:fldCharType="end"/>
      </w:r>
      <w:bookmarkEnd w:id="5"/>
    </w:p>
    <w:p w14:paraId="317CCF28">
      <w:pPr>
        <w:pStyle w:val="202"/>
        <w:rPr>
          <w:rFonts w:hint="eastAsia" w:hAnsi="黑体"/>
        </w:rPr>
      </w:pPr>
      <w:r>
        <w:rPr>
          <w:rFonts w:hAnsi="黑体"/>
        </w:rPr>
        <w:fldChar w:fldCharType="begin">
          <w:ffData>
            <w:name w:val="OSTD_CODE"/>
            <w:enabled/>
            <w:calcOnExit w:val="0"/>
            <w:textInput/>
          </w:ffData>
        </w:fldChar>
      </w:r>
      <w:bookmarkStart w:id="6"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6"/>
    </w:p>
    <w:p w14:paraId="4170DE14">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4445" r="0" b="508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CeD&#10;SZbYAAAADAEAAA8AAAAAAAAAAQAgAAAAIgAAAGRycy9kb3ducmV2LnhtbFBLAQIUABQAAAAIAIdO&#10;4kDurh1R6gEAALoDAAAOAAAAAAAAAAEAIAAAACcBAABkcnMvZTJvRG9jLnhtbFBLBQYAAAAABgAG&#10;AFkBAACDBQAAAAA=&#10;">
                <v:fill on="f" focussize="0,0"/>
                <v:stroke color="#000000" joinstyle="round"/>
                <v:imagedata o:title=""/>
                <o:lock v:ext="edit" aspectratio="f"/>
              </v:line>
            </w:pict>
          </mc:Fallback>
        </mc:AlternateContent>
      </w:r>
    </w:p>
    <w:p w14:paraId="6965A804">
      <w:pPr>
        <w:pStyle w:val="54"/>
        <w:framePr w:w="9639" w:h="6976" w:hRule="exact" w:hSpace="0" w:vSpace="0" w:wrap="around" w:vAnchor="text" w:hAnchor="page" w:y="6408"/>
        <w:jc w:val="center"/>
        <w:rPr>
          <w:rFonts w:hint="eastAsia" w:ascii="黑体" w:hAnsi="黑体" w:eastAsia="黑体"/>
          <w:b w:val="0"/>
          <w:bCs w:val="0"/>
          <w:w w:val="100"/>
        </w:rPr>
      </w:pPr>
    </w:p>
    <w:p w14:paraId="2A2CCB7B">
      <w:pPr>
        <w:pStyle w:val="203"/>
        <w:framePr w:h="6974" w:hRule="exact" w:wrap="around" w:x="1419" w:anchorLock="1"/>
        <w:rPr>
          <w:rFonts w:hint="default" w:eastAsia="黑体"/>
          <w:lang w:val="en-US" w:eastAsia="zh-CN"/>
        </w:rPr>
      </w:pPr>
      <w:r>
        <w:rPr>
          <w:rFonts w:hint="eastAsia"/>
          <w:lang w:val="en-US" w:eastAsia="zh-CN"/>
        </w:rPr>
        <w:t>火锅食材 牦牛肉丸</w:t>
      </w:r>
    </w:p>
    <w:p w14:paraId="4B5302AE">
      <w:pPr>
        <w:framePr w:w="9639" w:h="6974" w:hRule="exact" w:wrap="around" w:vAnchor="page" w:hAnchor="page" w:x="1419" w:y="6408" w:anchorLock="1"/>
        <w:ind w:left="-1418"/>
      </w:pPr>
    </w:p>
    <w:p w14:paraId="4C1730A8">
      <w:pPr>
        <w:pStyle w:val="131"/>
        <w:framePr w:w="9639" w:h="6974" w:hRule="exact" w:wrap="around" w:vAnchor="page" w:hAnchor="page" w:x="1419" w:y="6408" w:anchorLock="1"/>
        <w:textAlignment w:val="bottom"/>
        <w:rPr>
          <w:rFonts w:eastAsia="黑体"/>
          <w:szCs w:val="28"/>
        </w:rPr>
      </w:pPr>
    </w:p>
    <w:p w14:paraId="670D96F8">
      <w:pPr>
        <w:framePr w:w="9639" w:h="6974" w:hRule="exact" w:wrap="around" w:vAnchor="page" w:hAnchor="page" w:x="1419" w:y="6408" w:anchorLock="1"/>
        <w:spacing w:line="760" w:lineRule="exact"/>
        <w:ind w:left="-1418"/>
      </w:pPr>
    </w:p>
    <w:p w14:paraId="7A7A494D">
      <w:pPr>
        <w:pStyle w:val="131"/>
        <w:framePr w:w="9639" w:h="6974" w:hRule="exact" w:wrap="around" w:vAnchor="page" w:hAnchor="page" w:x="1419" w:y="6408" w:anchorLock="1"/>
        <w:spacing w:before="440" w:after="160"/>
        <w:textAlignment w:val="bottom"/>
        <w:rPr>
          <w:sz w:val="24"/>
          <w:szCs w:val="28"/>
        </w:rPr>
      </w:pPr>
      <w:bookmarkStart w:id="7" w:name="下拉1"/>
      <w:r>
        <w:rPr>
          <w:rFonts w:ascii="Times New Roman" w:hAnsi="Times New Roman" w:eastAsia="宋体" w:cs="Times New Roman"/>
          <w:sz w:val="24"/>
          <w:szCs w:val="28"/>
          <w:lang w:val="en-US" w:eastAsia="zh-CN" w:bidi="ar-SA"/>
        </w:rPr>
        <w:fldChar w:fldCharType="begin">
          <w:ffData>
            <w:name w:val="下拉1"/>
            <w:enabled/>
            <w:calcOnExit w:val="0"/>
            <w:ddList>
              <w:listEntry w:val=" "/>
              <w:listEntry w:val="草案版次选择"/>
              <w:listEntry w:val="（工作组讨论稿）"/>
              <w:listEntry w:val="（征求意见稿）"/>
              <w:listEntry w:val="（送审讨论稿）"/>
              <w:listEntry w:val="（送审稿）"/>
              <w:listEntry w:val="（报批稿）"/>
            </w:ddList>
          </w:ffData>
        </w:fldChar>
      </w:r>
      <w:r>
        <w:rPr>
          <w:rFonts w:ascii="Times New Roman" w:hAnsi="Times New Roman" w:eastAsia="宋体" w:cs="Times New Roman"/>
          <w:sz w:val="24"/>
          <w:szCs w:val="28"/>
          <w:lang w:val="en-US" w:eastAsia="zh-CN" w:bidi="ar-SA"/>
        </w:rPr>
        <w:instrText xml:space="preserve">FORMDROPDOWN</w:instrText>
      </w:r>
      <w:r>
        <w:rPr>
          <w:rFonts w:ascii="Times New Roman" w:hAnsi="Times New Roman" w:eastAsia="宋体" w:cs="Times New Roman"/>
          <w:sz w:val="24"/>
          <w:szCs w:val="28"/>
          <w:lang w:val="en-US" w:eastAsia="zh-CN" w:bidi="ar-SA"/>
        </w:rPr>
        <w:fldChar w:fldCharType="separate"/>
      </w:r>
      <w:r>
        <w:rPr>
          <w:rFonts w:ascii="Times New Roman" w:hAnsi="Times New Roman" w:eastAsia="宋体" w:cs="Times New Roman"/>
          <w:sz w:val="24"/>
          <w:szCs w:val="28"/>
          <w:lang w:val="en-US" w:eastAsia="zh-CN" w:bidi="ar-SA"/>
        </w:rPr>
        <w:fldChar w:fldCharType="end"/>
      </w:r>
      <w:bookmarkEnd w:id="7"/>
    </w:p>
    <w:p w14:paraId="6025D66F">
      <w:pPr>
        <w:pStyle w:val="131"/>
        <w:framePr w:w="9639" w:h="6974" w:hRule="exact" w:wrap="around" w:vAnchor="page" w:hAnchor="page" w:x="1419" w:y="6408" w:anchorLock="1"/>
        <w:spacing w:before="180" w:line="240" w:lineRule="atLeast"/>
        <w:textAlignment w:val="bottom"/>
        <w:rPr>
          <w:sz w:val="21"/>
          <w:szCs w:val="28"/>
        </w:rPr>
      </w:pPr>
      <w:bookmarkStart w:id="8" w:name="CMPLSH_DATE"/>
      <w:r>
        <w:rPr>
          <w:rFonts w:ascii="Times New Roman" w:hAnsi="Times New Roman" w:eastAsia="宋体" w:cs="Times New Roman"/>
          <w:sz w:val="21"/>
          <w:szCs w:val="28"/>
          <w:lang w:val="en-US" w:eastAsia="zh-CN" w:bidi="ar-SA"/>
        </w:rPr>
        <w:fldChar w:fldCharType="begin">
          <w:ffData>
            <w:name w:val="CMPLSH_DATE"/>
            <w:enabled/>
            <w:calcOnExit w:val="0"/>
            <w:textInput>
              <w:default w:val="征求意见稿"/>
            </w:textInput>
          </w:ffData>
        </w:fldChar>
      </w:r>
      <w:r>
        <w:rPr>
          <w:rFonts w:ascii="Times New Roman" w:hAnsi="Times New Roman" w:eastAsia="宋体" w:cs="Times New Roman"/>
          <w:sz w:val="21"/>
          <w:szCs w:val="28"/>
          <w:lang w:val="en-US" w:eastAsia="zh-CN" w:bidi="ar-SA"/>
        </w:rPr>
        <w:instrText xml:space="preserve">FORMTEXT</w:instrText>
      </w:r>
      <w:r>
        <w:rPr>
          <w:rFonts w:ascii="Times New Roman" w:hAnsi="Times New Roman" w:eastAsia="宋体" w:cs="Times New Roman"/>
          <w:sz w:val="21"/>
          <w:szCs w:val="28"/>
          <w:lang w:val="en-US" w:eastAsia="zh-CN" w:bidi="ar-SA"/>
        </w:rPr>
        <w:fldChar w:fldCharType="separate"/>
      </w:r>
      <w:r>
        <w:rPr>
          <w:rFonts w:ascii="Times New Roman" w:hAnsi="Times New Roman" w:eastAsia="宋体" w:cs="Times New Roman"/>
          <w:sz w:val="21"/>
          <w:szCs w:val="28"/>
          <w:lang w:val="en-US" w:eastAsia="zh-CN" w:bidi="ar-SA"/>
        </w:rPr>
        <w:t>征求意见稿</w:t>
      </w:r>
      <w:r>
        <w:rPr>
          <w:rFonts w:ascii="Times New Roman" w:hAnsi="Times New Roman" w:eastAsia="宋体" w:cs="Times New Roman"/>
          <w:sz w:val="21"/>
          <w:szCs w:val="28"/>
          <w:lang w:val="en-US" w:eastAsia="zh-CN" w:bidi="ar-SA"/>
        </w:rPr>
        <w:fldChar w:fldCharType="end"/>
      </w:r>
      <w:bookmarkEnd w:id="8"/>
    </w:p>
    <w:p w14:paraId="3F7A27F5">
      <w:pPr>
        <w:pStyle w:val="131"/>
        <w:framePr w:w="9639" w:h="6974" w:hRule="exact" w:wrap="around" w:vAnchor="page" w:hAnchor="page" w:x="1419" w:y="6408" w:anchorLock="1"/>
        <w:spacing w:before="720" w:beforeLines="300" w:after="72" w:afterLines="30" w:line="240" w:lineRule="auto"/>
        <w:textAlignment w:val="bottom"/>
        <w:rPr>
          <w:b/>
          <w:sz w:val="21"/>
          <w:szCs w:val="28"/>
        </w:rPr>
      </w:pPr>
      <w:bookmarkStart w:id="9" w:name="下拉2"/>
      <w:r>
        <w:rPr>
          <w:rFonts w:ascii="Times New Roman" w:hAnsi="Times New Roman" w:eastAsia="宋体" w:cs="Times New Roman"/>
          <w:b/>
          <w:sz w:val="21"/>
          <w:szCs w:val="28"/>
          <w:lang w:val="en-US" w:eastAsia="zh-CN" w:bidi="ar-SA"/>
        </w:rPr>
        <w:fldChar w:fldCharType="begin">
          <w:ffData>
            <w:name w:val="下拉2"/>
            <w:enabled/>
            <w:calcOnExit w:val="0"/>
            <w:ddList>
              <w:listEntry w:val=" "/>
            </w:ddList>
          </w:ffData>
        </w:fldChar>
      </w:r>
      <w:r>
        <w:rPr>
          <w:rFonts w:ascii="Times New Roman" w:hAnsi="Times New Roman" w:eastAsia="宋体" w:cs="Times New Roman"/>
          <w:b/>
          <w:sz w:val="21"/>
          <w:szCs w:val="28"/>
          <w:lang w:val="en-US" w:eastAsia="zh-CN" w:bidi="ar-SA"/>
        </w:rPr>
        <w:instrText xml:space="preserve">FORMDROPDOWN</w:instrText>
      </w:r>
      <w:r>
        <w:rPr>
          <w:rFonts w:ascii="Times New Roman" w:hAnsi="Times New Roman" w:eastAsia="宋体" w:cs="Times New Roman"/>
          <w:b/>
          <w:sz w:val="21"/>
          <w:szCs w:val="28"/>
          <w:lang w:val="en-US" w:eastAsia="zh-CN" w:bidi="ar-SA"/>
        </w:rPr>
        <w:fldChar w:fldCharType="separate"/>
      </w:r>
      <w:r>
        <w:rPr>
          <w:rFonts w:ascii="Times New Roman" w:hAnsi="Times New Roman" w:eastAsia="宋体" w:cs="Times New Roman"/>
          <w:b/>
          <w:sz w:val="21"/>
          <w:szCs w:val="28"/>
          <w:lang w:val="en-US" w:eastAsia="zh-CN" w:bidi="ar-SA"/>
        </w:rPr>
        <w:fldChar w:fldCharType="end"/>
      </w:r>
      <w:bookmarkEnd w:id="9"/>
    </w:p>
    <w:p w14:paraId="1CD0BBC6">
      <w:pPr>
        <w:pStyle w:val="199"/>
        <w:framePr w:wrap="around" w:y="14176"/>
      </w:pPr>
      <w:r>
        <w:rPr>
          <w:rFonts w:ascii="黑体"/>
        </w:rPr>
        <w:fldChar w:fldCharType="begin">
          <w:ffData>
            <w:name w:val="PLSH_DATE_Y"/>
            <w:enabled/>
            <w:calcOnExit w:val="0"/>
            <w:textInput>
              <w:default w:val="XXXX"/>
              <w:maxLength w:val="4"/>
            </w:textInput>
          </w:ffData>
        </w:fldChar>
      </w:r>
      <w:bookmarkStart w:id="10"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0"/>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1"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1"/>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2"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2"/>
      <w:r>
        <w:rPr>
          <w:rFonts w:hint="eastAsia"/>
        </w:rPr>
        <w:t>发布</w:t>
      </w:r>
    </w:p>
    <w:p w14:paraId="3178E84C">
      <w:pPr>
        <w:pStyle w:val="200"/>
        <w:framePr w:wrap="around" w:y="14176"/>
      </w:pPr>
      <w:r>
        <w:rPr>
          <w:rFonts w:ascii="黑体"/>
        </w:rPr>
        <w:fldChar w:fldCharType="begin">
          <w:ffData>
            <w:name w:val="CROT_DATE_Y"/>
            <w:enabled/>
            <w:calcOnExit w:val="0"/>
            <w:textInput>
              <w:default w:val="XXXX"/>
              <w:maxLength w:val="4"/>
            </w:textInput>
          </w:ffData>
        </w:fldChar>
      </w:r>
      <w:bookmarkStart w:id="13"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3"/>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4"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4"/>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5"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rPr>
          <w:rFonts w:hint="eastAsia"/>
        </w:rPr>
        <w:t>实施</w:t>
      </w:r>
    </w:p>
    <w:p w14:paraId="680CBFB4">
      <w:pPr>
        <w:pStyle w:val="157"/>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16" w:name="fm"/>
      <w:r>
        <w:rPr>
          <w:rFonts w:hAnsi="黑体"/>
          <w:w w:val="100"/>
          <w:sz w:val="28"/>
        </w:rPr>
        <w:instrText xml:space="preserve"> FORMTEXT </w:instrText>
      </w:r>
      <w:r>
        <w:rPr>
          <w:rFonts w:hAnsi="黑体"/>
          <w:w w:val="100"/>
          <w:sz w:val="28"/>
        </w:rPr>
        <w:fldChar w:fldCharType="separate"/>
      </w:r>
      <w:r>
        <w:rPr>
          <w:rFonts w:hint="eastAsia" w:hAnsi="黑体"/>
          <w:w w:val="100"/>
          <w:sz w:val="28"/>
          <w:lang w:eastAsia="zh-CN"/>
        </w:rPr>
        <w:t>青海省标准化协会</w:t>
      </w:r>
      <w:r>
        <w:rPr>
          <w:rFonts w:hAnsi="黑体"/>
          <w:w w:val="100"/>
          <w:sz w:val="28"/>
        </w:rPr>
        <w:fldChar w:fldCharType="end"/>
      </w:r>
      <w:bookmarkEnd w:id="16"/>
      <w:r>
        <w:rPr>
          <w:rFonts w:ascii="Times New Roman"/>
          <w:w w:val="100"/>
          <w:sz w:val="28"/>
        </w:rPr>
        <w:t>  </w:t>
      </w:r>
      <w:r>
        <w:rPr>
          <w:rStyle w:val="235"/>
          <w:rFonts w:hint="eastAsia" w:hAnsi="黑体"/>
          <w:position w:val="0"/>
        </w:rPr>
        <w:t>发</w:t>
      </w:r>
      <w:r>
        <w:rPr>
          <w:rStyle w:val="235"/>
          <w:rFonts w:hint="eastAsia" w:hAnsi="黑体"/>
          <w:spacing w:val="0"/>
          <w:position w:val="0"/>
        </w:rPr>
        <w:t>布</w:t>
      </w:r>
    </w:p>
    <w:p w14:paraId="508C13AB">
      <w:pPr>
        <w:rPr>
          <w:rFonts w:hint="eastAsia"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720"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4445" r="0" b="508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szHPvX&#10;AAAADgEAAA8AAAAAAAAAAQAgAAAAIgAAAGRycy9kb3ducmV2LnhtbFBLAQIUABQAAAAIAIdO4kB3&#10;Ymi56AEAALgDAAAOAAAAAAAAAAEAIAAAACYBAABkcnMvZTJvRG9jLnhtbFBLBQYAAAAABgAGAFkB&#10;AACABQAAAAA=&#10;">
                <v:fill on="f" focussize="0,0"/>
                <v:stroke color="#000000" joinstyle="round"/>
                <v:imagedata o:title=""/>
                <o:lock v:ext="edit" aspectratio="f"/>
                <w10:anchorlock/>
              </v:line>
            </w:pict>
          </mc:Fallback>
        </mc:AlternateContent>
      </w:r>
    </w:p>
    <w:p w14:paraId="0E1B36A6">
      <w:pPr>
        <w:spacing w:line="20" w:lineRule="exact"/>
        <w:jc w:val="center"/>
        <w:rPr>
          <w:rFonts w:hint="eastAsia" w:ascii="黑体" w:hAnsi="黑体" w:eastAsia="黑体"/>
          <w:sz w:val="32"/>
          <w:szCs w:val="32"/>
        </w:rPr>
      </w:pPr>
      <w:bookmarkStart w:id="17" w:name="BookMark4"/>
    </w:p>
    <w:p w14:paraId="6C106404">
      <w:pPr>
        <w:spacing w:line="20" w:lineRule="exact"/>
        <w:jc w:val="center"/>
        <w:rPr>
          <w:rFonts w:hint="eastAsia" w:ascii="黑体" w:hAnsi="黑体" w:eastAsia="黑体"/>
          <w:sz w:val="32"/>
          <w:szCs w:val="32"/>
        </w:rPr>
      </w:pPr>
    </w:p>
    <w:p w14:paraId="471C76E1">
      <w:pPr>
        <w:pStyle w:val="183"/>
      </w:pPr>
      <w:bookmarkStart w:id="18" w:name="NEW_STAND_NAME"/>
      <w:r>
        <w:rPr>
          <w:rFonts w:hint="eastAsia" w:ascii="黑体" w:hAnsi="Times New Roman" w:eastAsia="黑体" w:cs="Times New Roman"/>
          <w:spacing w:val="320"/>
          <w:kern w:val="0"/>
          <w:sz w:val="32"/>
          <w:szCs w:val="20"/>
          <w:lang w:val="en-US" w:eastAsia="zh-CN" w:bidi="ar-SA"/>
        </w:rPr>
        <w:t>前言</w:t>
      </w:r>
      <w:bookmarkEnd w:id="18"/>
    </w:p>
    <w:p w14:paraId="40443492">
      <w:pPr>
        <w:pStyle w:val="246"/>
        <w:framePr w:wrap="around"/>
        <w:jc w:val="both"/>
        <w:rPr>
          <w:rFonts w:hint="default"/>
        </w:rPr>
      </w:pPr>
    </w:p>
    <w:p w14:paraId="0A8C4C36">
      <w:pPr>
        <w:pStyle w:val="60"/>
        <w:bidi w:val="0"/>
        <w:rPr>
          <w:rFonts w:hint="eastAsia"/>
          <w:lang w:eastAsia="zh-CN"/>
        </w:rPr>
      </w:pPr>
      <w:r>
        <w:rPr>
          <w:rFonts w:hint="eastAsia"/>
          <w:lang w:eastAsia="zh-CN"/>
        </w:rPr>
        <w:t>本文件按</w:t>
      </w:r>
      <w:r>
        <w:rPr>
          <w:rFonts w:hint="eastAsia" w:ascii="宋体" w:hAnsi="宋体" w:eastAsia="宋体" w:cs="宋体"/>
          <w:lang w:eastAsia="zh-CN"/>
        </w:rPr>
        <w:t>照GB/T 1.1—2020</w:t>
      </w:r>
      <w:r>
        <w:rPr>
          <w:rFonts w:hint="eastAsia"/>
          <w:lang w:eastAsia="zh-CN"/>
        </w:rPr>
        <w:t>《标准化工作导则  第1部分：标准化文件的结构和起草规则》的规定起草。</w:t>
      </w:r>
    </w:p>
    <w:p w14:paraId="6A8DEF9F">
      <w:pPr>
        <w:pStyle w:val="60"/>
        <w:bidi w:val="0"/>
        <w:rPr>
          <w:rFonts w:hint="eastAsia"/>
          <w:lang w:eastAsia="zh-CN"/>
        </w:rPr>
      </w:pPr>
      <w:r>
        <w:rPr>
          <w:rFonts w:hint="eastAsia"/>
          <w:lang w:eastAsia="zh-CN"/>
        </w:rPr>
        <w:t>请注意本文件的某些内容可能涉及专利。本文件的发布机构不承担识别专利的责任。</w:t>
      </w:r>
    </w:p>
    <w:p w14:paraId="57F077A0">
      <w:pPr>
        <w:pStyle w:val="60"/>
        <w:bidi w:val="0"/>
        <w:rPr>
          <w:rFonts w:hint="eastAsia"/>
          <w:lang w:eastAsia="zh-CN"/>
        </w:rPr>
      </w:pPr>
      <w:r>
        <w:rPr>
          <w:rFonts w:hint="eastAsia"/>
          <w:lang w:eastAsia="zh-CN"/>
        </w:rPr>
        <w:t>本文件由马夫子（青海）食品有限公司提出。</w:t>
      </w:r>
    </w:p>
    <w:p w14:paraId="69E6C50F">
      <w:pPr>
        <w:pStyle w:val="60"/>
        <w:bidi w:val="0"/>
        <w:rPr>
          <w:rFonts w:hint="eastAsia"/>
          <w:lang w:eastAsia="zh-CN"/>
        </w:rPr>
      </w:pPr>
      <w:r>
        <w:rPr>
          <w:rFonts w:hint="eastAsia"/>
          <w:lang w:eastAsia="zh-CN"/>
        </w:rPr>
        <w:t>本文件由青海省标准化协会归口。</w:t>
      </w:r>
    </w:p>
    <w:p w14:paraId="217D02FA">
      <w:pPr>
        <w:pStyle w:val="60"/>
        <w:bidi w:val="0"/>
        <w:rPr>
          <w:rFonts w:hint="eastAsia"/>
          <w:lang w:eastAsia="zh-CN"/>
        </w:rPr>
      </w:pPr>
      <w:r>
        <w:rPr>
          <w:rFonts w:hint="eastAsia"/>
          <w:lang w:eastAsia="zh-CN"/>
        </w:rPr>
        <w:t>本文件起草单位：马夫子（青海）食品有限公司、青海省轻工业研究所有限责任公司、青海韵驰检测技术有限公司</w:t>
      </w:r>
    </w:p>
    <w:p w14:paraId="1D06189D">
      <w:pPr>
        <w:pStyle w:val="60"/>
        <w:bidi w:val="0"/>
        <w:rPr>
          <w:rFonts w:hint="eastAsia"/>
          <w:lang w:eastAsia="zh-CN"/>
        </w:rPr>
      </w:pPr>
      <w:r>
        <w:rPr>
          <w:rFonts w:hint="eastAsia"/>
          <w:lang w:eastAsia="zh-CN"/>
        </w:rPr>
        <w:t>本文件主要起草人：</w:t>
      </w:r>
    </w:p>
    <w:p w14:paraId="0928631F">
      <w:pPr>
        <w:rPr>
          <w:rFonts w:hint="default"/>
        </w:rPr>
      </w:pPr>
    </w:p>
    <w:p w14:paraId="7AD9AB63">
      <w:pPr>
        <w:widowControl/>
        <w:jc w:val="left"/>
        <w:rPr>
          <w:rFonts w:hint="default"/>
        </w:rPr>
        <w:sectPr>
          <w:headerReference r:id="rId9" w:type="default"/>
          <w:footerReference r:id="rId10" w:type="default"/>
          <w:pgSz w:w="11906" w:h="16838"/>
          <w:pgMar w:top="2409" w:right="1134" w:bottom="1134" w:left="1134" w:header="1417" w:footer="1134" w:gutter="283"/>
          <w:pgNumType w:fmt="upperRoman" w:start="1"/>
          <w:cols w:space="720" w:num="1"/>
          <w:docGrid w:type="lines" w:linePitch="312" w:charSpace="0"/>
        </w:sectPr>
      </w:pPr>
    </w:p>
    <w:p w14:paraId="662A1CE7">
      <w:pPr>
        <w:pStyle w:val="183"/>
        <w:rPr>
          <w:rStyle w:val="184"/>
          <w:rFonts w:hint="default"/>
        </w:rPr>
      </w:pPr>
      <w:bookmarkStart w:id="19" w:name="StandardName"/>
      <w:r>
        <w:rPr>
          <w:rStyle w:val="184"/>
        </w:rPr>
        <w:t>火锅</w:t>
      </w:r>
      <w:r>
        <w:rPr>
          <w:rStyle w:val="184"/>
          <w:rFonts w:hint="eastAsia"/>
          <w:lang w:val="en-US" w:eastAsia="zh-CN"/>
        </w:rPr>
        <w:t xml:space="preserve">食材 </w:t>
      </w:r>
      <w:r>
        <w:rPr>
          <w:rStyle w:val="184"/>
        </w:rPr>
        <w:t>牦牛肉丸</w:t>
      </w:r>
    </w:p>
    <w:bookmarkEnd w:id="19"/>
    <w:p w14:paraId="763906CF">
      <w:pPr>
        <w:pStyle w:val="109"/>
        <w:spacing w:before="240" w:after="240"/>
        <w:rPr>
          <w:rFonts w:hint="eastAsia" w:hAnsi="Times New Roman" w:cs="Times New Roman"/>
          <w:lang w:val="en-US" w:eastAsia="zh-CN"/>
        </w:rPr>
      </w:pPr>
      <w:r>
        <w:rPr>
          <w:rFonts w:hint="eastAsia" w:hAnsi="Times New Roman" w:cs="Times New Roman"/>
          <w:lang w:val="en-US" w:eastAsia="zh-CN"/>
        </w:rPr>
        <w:t>范围</w:t>
      </w:r>
    </w:p>
    <w:p w14:paraId="255852E4">
      <w:pPr>
        <w:pStyle w:val="60"/>
        <w:autoSpaceDE w:val="0"/>
        <w:autoSpaceDN w:val="0"/>
        <w:ind w:firstLine="420"/>
        <w:rPr>
          <w:rFonts w:hint="eastAsia" w:ascii="Times New Roman" w:hAnsi="Times New Roman" w:eastAsia="宋体" w:cs="Times New Roman"/>
          <w:lang w:val="en-US" w:eastAsia="zh-CN"/>
        </w:rPr>
      </w:pPr>
      <w:r>
        <w:rPr>
          <w:rFonts w:hint="eastAsia" w:ascii="宋体" w:hAnsi="宋体" w:eastAsia="宋体" w:cs="Times New Roman"/>
          <w:b w:val="0"/>
          <w:bCs w:val="0"/>
          <w:kern w:val="2"/>
          <w:sz w:val="21"/>
          <w:szCs w:val="21"/>
          <w:lang w:val="en-US" w:eastAsia="zh-CN" w:bidi="ar-SA"/>
        </w:rPr>
        <w:t>本</w:t>
      </w:r>
      <w:r>
        <w:rPr>
          <w:rFonts w:hint="eastAsia" w:ascii="Times New Roman" w:hAnsi="Times New Roman" w:eastAsia="宋体" w:cs="Times New Roman"/>
          <w:lang w:val="en-US" w:eastAsia="zh-CN"/>
        </w:rPr>
        <w:t>标准规定了火锅食材牦牛肉丸的术语和定义、技术要求、检验方法、检验规则、标签、包装、运输、贮存、生产加工过程的食品安全控制和销售。</w:t>
      </w:r>
    </w:p>
    <w:p w14:paraId="52A6E7FF">
      <w:pPr>
        <w:pStyle w:val="60"/>
        <w:autoSpaceDE w:val="0"/>
        <w:autoSpaceDN w:val="0"/>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本标准适用于火锅食材牦牛肉丸。</w:t>
      </w:r>
    </w:p>
    <w:p w14:paraId="430FA3C5">
      <w:pPr>
        <w:pStyle w:val="109"/>
        <w:bidi w:val="0"/>
        <w:rPr>
          <w:rFonts w:hint="eastAsia"/>
          <w:lang w:val="en-US" w:eastAsia="zh-CN"/>
        </w:rPr>
      </w:pPr>
      <w:r>
        <w:rPr>
          <w:rFonts w:hint="eastAsia"/>
          <w:lang w:val="en-US" w:eastAsia="zh-CN"/>
        </w:rPr>
        <w:t>规范性引用文件</w:t>
      </w:r>
    </w:p>
    <w:p w14:paraId="718F8BC4">
      <w:pPr>
        <w:pStyle w:val="60"/>
        <w:autoSpaceDE w:val="0"/>
        <w:autoSpaceDN w:val="0"/>
        <w:ind w:firstLine="420"/>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下列文件中的内容通过文中的规范性引用而构成本文件必不可少的条款。其中，注日期的引用文件，仅该日期对应的版本适用于本文件；不注日期的引用文件，其最新版本（包括所有的修改单）适用于本文件。</w:t>
      </w:r>
    </w:p>
    <w:p w14:paraId="41AF6CED">
      <w:pPr>
        <w:pStyle w:val="60"/>
        <w:bidi w:val="0"/>
        <w:rPr>
          <w:rFonts w:hint="eastAsia"/>
          <w:lang w:val="en-US" w:eastAsia="zh-CN"/>
        </w:rPr>
      </w:pPr>
      <w:r>
        <w:rPr>
          <w:rFonts w:hint="eastAsia"/>
          <w:lang w:val="en-US" w:eastAsia="zh-CN"/>
        </w:rPr>
        <w:t>GB/T 191  包装储运图示标志</w:t>
      </w:r>
    </w:p>
    <w:p w14:paraId="7930F0C1">
      <w:pPr>
        <w:pStyle w:val="60"/>
        <w:bidi w:val="0"/>
        <w:rPr>
          <w:rFonts w:hint="eastAsia" w:ascii="Times New Roman" w:hAnsi="Times New Roman" w:eastAsia="宋体" w:cs="Times New Roman"/>
          <w:lang w:val="en-US" w:eastAsia="zh-CN"/>
        </w:rPr>
      </w:pPr>
      <w:r>
        <w:rPr>
          <w:rFonts w:hint="eastAsia"/>
          <w:lang w:val="en-US" w:eastAsia="zh-CN"/>
        </w:rPr>
        <w:t xml:space="preserve">GB 2721  </w:t>
      </w:r>
      <w:r>
        <w:rPr>
          <w:rFonts w:hint="eastAsia" w:ascii="Times New Roman" w:hAnsi="Times New Roman" w:eastAsia="宋体" w:cs="Times New Roman"/>
          <w:lang w:val="en-US" w:eastAsia="zh-CN"/>
        </w:rPr>
        <w:t>食品安全国家标准  食盐</w:t>
      </w:r>
    </w:p>
    <w:p w14:paraId="474AE6D5">
      <w:pPr>
        <w:pStyle w:val="60"/>
        <w:autoSpaceDE w:val="0"/>
        <w:autoSpaceDN w:val="0"/>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2760  食品安全国家标准  食品添加剂使用标准、</w:t>
      </w:r>
    </w:p>
    <w:p w14:paraId="5480CD68">
      <w:pPr>
        <w:pStyle w:val="60"/>
        <w:autoSpaceDE w:val="0"/>
        <w:autoSpaceDN w:val="0"/>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2762  食品安全国家标准  食品中污染物的限量</w:t>
      </w:r>
    </w:p>
    <w:p w14:paraId="0BEB60FA">
      <w:pPr>
        <w:pStyle w:val="60"/>
        <w:autoSpaceDE w:val="0"/>
        <w:autoSpaceDN w:val="0"/>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2763</w:t>
      </w:r>
      <w:r>
        <w:rPr>
          <w:rFonts w:hint="eastAsia" w:cs="Times New Roman"/>
          <w:lang w:val="en-US" w:eastAsia="zh-CN"/>
        </w:rPr>
        <w:t xml:space="preserve"> </w:t>
      </w:r>
      <w:r>
        <w:rPr>
          <w:rFonts w:hint="eastAsia" w:ascii="Times New Roman" w:hAnsi="Times New Roman" w:eastAsia="宋体" w:cs="Times New Roman"/>
          <w:lang w:val="en-US" w:eastAsia="zh-CN"/>
        </w:rPr>
        <w:t xml:space="preserve"> 食品安全国家标准 食品中农药最大残留限量</w:t>
      </w:r>
    </w:p>
    <w:p w14:paraId="34836173">
      <w:pPr>
        <w:pStyle w:val="60"/>
        <w:autoSpaceDE w:val="0"/>
        <w:autoSpaceDN w:val="0"/>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4789.2 食品安全国家标准 食品微生物学检验 菌落总数测定</w:t>
      </w:r>
    </w:p>
    <w:p w14:paraId="61C3CB9A">
      <w:pPr>
        <w:pStyle w:val="60"/>
        <w:autoSpaceDE w:val="0"/>
        <w:autoSpaceDN w:val="0"/>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4789.4 食品安全国家标准 食品微生物学检验 沙门氏菌检验</w:t>
      </w:r>
    </w:p>
    <w:p w14:paraId="3A1AB2A4">
      <w:pPr>
        <w:pStyle w:val="60"/>
        <w:autoSpaceDE w:val="0"/>
        <w:autoSpaceDN w:val="0"/>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4789.6 食品安全国家标准 食品微生物学检验 致泻大肠埃希氏菌检验</w:t>
      </w:r>
    </w:p>
    <w:p w14:paraId="6862872B">
      <w:pPr>
        <w:pStyle w:val="60"/>
        <w:autoSpaceDE w:val="0"/>
        <w:autoSpaceDN w:val="0"/>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4789.10 食品安全国家标准 食品微生物学检验 金黄色葡萄球菌检验</w:t>
      </w:r>
    </w:p>
    <w:p w14:paraId="1E872018">
      <w:pPr>
        <w:pStyle w:val="60"/>
        <w:autoSpaceDE w:val="0"/>
        <w:autoSpaceDN w:val="0"/>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4789.30 食品安全国家标准 食品微生物学检验 单核细胞增生李斯特氏菌检验</w:t>
      </w:r>
    </w:p>
    <w:p w14:paraId="5FD62D2E">
      <w:pPr>
        <w:pStyle w:val="60"/>
        <w:autoSpaceDE w:val="0"/>
        <w:autoSpaceDN w:val="0"/>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4806.7  食品安全国家标准  食品接触用塑料材料及制品</w:t>
      </w:r>
    </w:p>
    <w:p w14:paraId="5BE21606">
      <w:pPr>
        <w:pStyle w:val="60"/>
        <w:autoSpaceDE w:val="0"/>
        <w:autoSpaceDN w:val="0"/>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5009.3  食品安全国家标准  食品中水分的测定</w:t>
      </w:r>
    </w:p>
    <w:p w14:paraId="0A768AAB">
      <w:pPr>
        <w:pStyle w:val="60"/>
        <w:autoSpaceDE w:val="0"/>
        <w:autoSpaceDN w:val="0"/>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5009.5  食品安全国家标准  食品中蛋白质的测定</w:t>
      </w:r>
    </w:p>
    <w:p w14:paraId="33E136C8">
      <w:pPr>
        <w:pStyle w:val="60"/>
        <w:autoSpaceDE w:val="0"/>
        <w:autoSpaceDN w:val="0"/>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5009.6  食品安全国家标准  食品中脂肪的测定</w:t>
      </w:r>
    </w:p>
    <w:p w14:paraId="01972657">
      <w:pPr>
        <w:pStyle w:val="60"/>
        <w:autoSpaceDE w:val="0"/>
        <w:autoSpaceDN w:val="0"/>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5009.9  食品安全国家标准  食品中淀粉的测定</w:t>
      </w:r>
    </w:p>
    <w:p w14:paraId="341B4951">
      <w:pPr>
        <w:pStyle w:val="60"/>
        <w:autoSpaceDE w:val="0"/>
        <w:autoSpaceDN w:val="0"/>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5749  生活饮用水卫生标准</w:t>
      </w:r>
    </w:p>
    <w:p w14:paraId="0BFA915B">
      <w:pPr>
        <w:pStyle w:val="60"/>
        <w:autoSpaceDE w:val="0"/>
        <w:autoSpaceDN w:val="0"/>
        <w:ind w:firstLine="420"/>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GB/T 6543  运输包装用单瓦楞纸箱和双瓦楞纸箱</w:t>
      </w:r>
    </w:p>
    <w:p w14:paraId="145296CB">
      <w:pPr>
        <w:pStyle w:val="60"/>
        <w:autoSpaceDE w:val="0"/>
        <w:autoSpaceDN w:val="0"/>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7718  食品安全国家标准预包装食品标签通则</w:t>
      </w:r>
    </w:p>
    <w:p w14:paraId="24177D4B">
      <w:pPr>
        <w:pStyle w:val="60"/>
        <w:autoSpaceDE w:val="0"/>
        <w:autoSpaceDN w:val="0"/>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13104  国家食品安全标准  食糖</w:t>
      </w:r>
    </w:p>
    <w:p w14:paraId="3DCB789F">
      <w:pPr>
        <w:pStyle w:val="60"/>
        <w:autoSpaceDE w:val="0"/>
        <w:autoSpaceDN w:val="0"/>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14880  食品安全国家标准  食品营养强化剂使用标准</w:t>
      </w:r>
    </w:p>
    <w:p w14:paraId="1BFF19B2">
      <w:pPr>
        <w:pStyle w:val="60"/>
        <w:autoSpaceDE w:val="0"/>
        <w:autoSpaceDN w:val="0"/>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14881  食品安全国家标准  食品生产通用卫生规范</w:t>
      </w:r>
    </w:p>
    <w:p w14:paraId="4F28D997">
      <w:pPr>
        <w:pStyle w:val="60"/>
        <w:autoSpaceDE w:val="0"/>
        <w:autoSpaceDN w:val="0"/>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GB/T 15691  香辛料调味品通用技术条件</w:t>
      </w:r>
    </w:p>
    <w:p w14:paraId="028DF9E6">
      <w:pPr>
        <w:pStyle w:val="60"/>
        <w:autoSpaceDE w:val="0"/>
        <w:autoSpaceDN w:val="0"/>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19295  食品安全国家标准  速冻米面与调制食品</w:t>
      </w:r>
    </w:p>
    <w:p w14:paraId="40F616A3">
      <w:pPr>
        <w:pStyle w:val="60"/>
        <w:autoSpaceDE w:val="0"/>
        <w:autoSpaceDN w:val="0"/>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28050  食品安全国家标准  预包装食品营养标签通则</w:t>
      </w:r>
    </w:p>
    <w:p w14:paraId="00E15705">
      <w:pPr>
        <w:pStyle w:val="60"/>
        <w:autoSpaceDE w:val="0"/>
        <w:autoSpaceDN w:val="0"/>
        <w:ind w:firstLine="420"/>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GB 29921  食品安全国家标准  预包装食品中致病菌限量</w:t>
      </w:r>
    </w:p>
    <w:p w14:paraId="395D946E">
      <w:pPr>
        <w:pStyle w:val="60"/>
        <w:autoSpaceDE w:val="0"/>
        <w:autoSpaceDN w:val="0"/>
        <w:ind w:firstLine="420"/>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GB 31621  食品安全国家标准  食品经营过程卫生规范</w:t>
      </w:r>
    </w:p>
    <w:p w14:paraId="1FE440EC">
      <w:pPr>
        <w:pStyle w:val="60"/>
        <w:autoSpaceDE w:val="0"/>
        <w:autoSpaceDN w:val="0"/>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GB 31637  食品安全国家标准  食用淀粉</w:t>
      </w:r>
    </w:p>
    <w:p w14:paraId="005FB809">
      <w:pPr>
        <w:pStyle w:val="60"/>
        <w:autoSpaceDE w:val="0"/>
        <w:autoSpaceDN w:val="0"/>
        <w:ind w:firstLine="420"/>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GB 31646  食品安全国家标准  速冻食品生产和卫生规范</w:t>
      </w:r>
    </w:p>
    <w:p w14:paraId="494CBBFB">
      <w:pPr>
        <w:pStyle w:val="60"/>
        <w:autoSpaceDE w:val="0"/>
        <w:autoSpaceDN w:val="0"/>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JJF 1070  定量包装商品净含量计量检验规则</w:t>
      </w:r>
    </w:p>
    <w:p w14:paraId="5D1799B0">
      <w:pPr>
        <w:pStyle w:val="60"/>
        <w:autoSpaceDE w:val="0"/>
        <w:autoSpaceDN w:val="0"/>
        <w:ind w:firstLine="42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NY/T 3356-2018  牦牛肉</w:t>
      </w:r>
    </w:p>
    <w:p w14:paraId="334EC706">
      <w:pPr>
        <w:pStyle w:val="109"/>
        <w:bidi w:val="0"/>
        <w:rPr>
          <w:rFonts w:hint="eastAsia"/>
          <w:lang w:val="en-US" w:eastAsia="zh-CN"/>
        </w:rPr>
      </w:pPr>
      <w:r>
        <w:rPr>
          <w:rFonts w:hint="eastAsia"/>
          <w:lang w:val="en-US" w:eastAsia="zh-CN"/>
        </w:rPr>
        <w:t>术语和定义</w:t>
      </w:r>
    </w:p>
    <w:p w14:paraId="1B18A125">
      <w:pPr>
        <w:pStyle w:val="60"/>
        <w:ind w:firstLine="420"/>
        <w:rPr>
          <w:rFonts w:hint="default"/>
        </w:rPr>
      </w:pPr>
      <w:r>
        <w:rPr>
          <w:rFonts w:hint="default" w:ascii="宋体" w:hAnsi="宋体" w:eastAsia="宋体" w:cs="Times New Roman"/>
          <w:b w:val="0"/>
          <w:bCs w:val="0"/>
          <w:kern w:val="2"/>
          <w:sz w:val="21"/>
          <w:szCs w:val="21"/>
          <w:lang w:val="en-US" w:eastAsia="zh-CN" w:bidi="ar-SA"/>
        </w:rPr>
        <w:t>下列术语和定义适用于本文件。</w:t>
      </w:r>
    </w:p>
    <w:p w14:paraId="7CCC2AFF">
      <w:pPr>
        <w:pStyle w:val="110"/>
        <w:bidi w:val="0"/>
        <w:rPr>
          <w:rFonts w:hint="default"/>
        </w:rPr>
      </w:pPr>
      <w:r>
        <w:rPr>
          <w:rFonts w:hint="default"/>
        </w:rPr>
        <w:t>火锅牦牛肉丸</w:t>
      </w:r>
    </w:p>
    <w:p w14:paraId="7899BDAB">
      <w:pPr>
        <w:pStyle w:val="60"/>
        <w:keepNext w:val="0"/>
        <w:keepLines w:val="0"/>
        <w:pageBreakBefore w:val="0"/>
        <w:widowControl/>
        <w:kinsoku/>
        <w:wordWrap/>
        <w:overflowPunct/>
        <w:topLinePunct w:val="0"/>
        <w:autoSpaceDE/>
        <w:autoSpaceDN/>
        <w:bidi w:val="0"/>
        <w:adjustRightInd/>
        <w:snapToGrid/>
        <w:ind w:firstLine="440"/>
        <w:textAlignment w:val="auto"/>
      </w:pPr>
      <w:r>
        <w:rPr>
          <w:rFonts w:hint="eastAsia"/>
          <w:spacing w:val="5"/>
        </w:rPr>
        <w:t>以鲜、冻牦牛肉为主要原料，</w:t>
      </w:r>
      <w:r>
        <w:rPr>
          <w:rFonts w:hint="eastAsia"/>
          <w:spacing w:val="5"/>
          <w:lang w:eastAsia="zh-CN"/>
        </w:rPr>
        <w:t>或搭配合规</w:t>
      </w:r>
      <w:r>
        <w:rPr>
          <w:rFonts w:hint="eastAsia"/>
          <w:spacing w:val="5"/>
        </w:rPr>
        <w:t>蔬菜</w:t>
      </w:r>
      <w:r>
        <w:rPr>
          <w:rFonts w:hint="eastAsia"/>
          <w:spacing w:val="5"/>
          <w:lang w:eastAsia="zh-CN"/>
        </w:rPr>
        <w:t>，</w:t>
      </w:r>
      <w:r>
        <w:rPr>
          <w:rFonts w:hint="eastAsia"/>
          <w:spacing w:val="5"/>
        </w:rPr>
        <w:t>可添加食用淀粉、食用盐、食糖、香辛料、食品添加剂等辅料，经绞碎、斩拌、成型、熟制</w:t>
      </w:r>
      <w:r>
        <w:rPr>
          <w:rFonts w:hint="eastAsia"/>
          <w:spacing w:val="5"/>
          <w:lang w:eastAsia="zh-CN"/>
        </w:rPr>
        <w:t>（</w:t>
      </w:r>
      <w:r>
        <w:rPr>
          <w:rFonts w:hint="eastAsia"/>
          <w:spacing w:val="5"/>
          <w:lang w:val="en-US" w:eastAsia="zh-CN"/>
        </w:rPr>
        <w:t>或不熟制</w:t>
      </w:r>
      <w:r>
        <w:rPr>
          <w:rFonts w:hint="eastAsia"/>
          <w:spacing w:val="5"/>
          <w:lang w:eastAsia="zh-CN"/>
        </w:rPr>
        <w:t>）</w:t>
      </w:r>
      <w:r>
        <w:rPr>
          <w:rFonts w:hint="eastAsia"/>
          <w:spacing w:val="5"/>
        </w:rPr>
        <w:t>、速冻制成，专供火锅烹煮</w:t>
      </w:r>
      <w:r>
        <w:rPr>
          <w:rFonts w:hint="eastAsia"/>
          <w:spacing w:val="5"/>
          <w:lang w:val="en-US" w:eastAsia="zh-CN"/>
        </w:rPr>
        <w:t>等</w:t>
      </w:r>
      <w:r>
        <w:rPr>
          <w:rFonts w:hint="eastAsia"/>
          <w:spacing w:val="5"/>
        </w:rPr>
        <w:t>非即食</w:t>
      </w:r>
      <w:r>
        <w:rPr>
          <w:rFonts w:hint="eastAsia"/>
          <w:spacing w:val="5"/>
          <w:lang w:val="en-US" w:eastAsia="zh-CN"/>
        </w:rPr>
        <w:t>方式食用的速冻调制肉制品</w:t>
      </w:r>
      <w:r>
        <w:rPr>
          <w:rFonts w:hint="eastAsia"/>
          <w:spacing w:val="5"/>
        </w:rPr>
        <w:t>。</w:t>
      </w:r>
    </w:p>
    <w:p w14:paraId="779C3357">
      <w:pPr>
        <w:pStyle w:val="109"/>
        <w:bidi w:val="0"/>
      </w:pPr>
      <w:r>
        <w:rPr>
          <w:rFonts w:hint="default"/>
        </w:rPr>
        <w:t>技术要求</w:t>
      </w:r>
    </w:p>
    <w:p w14:paraId="2E7889D1">
      <w:pPr>
        <w:pStyle w:val="110"/>
        <w:numPr>
          <w:ilvl w:val="1"/>
          <w:numId w:val="0"/>
        </w:numPr>
        <w:spacing w:before="156" w:after="156"/>
        <w:ind w:left="0" w:leftChars="0" w:firstLine="0" w:firstLineChars="0"/>
        <w:rPr>
          <w:rFonts w:hint="default" w:ascii="黑体" w:hAnsi="黑体" w:eastAsia="黑体" w:cs="黑体"/>
          <w:sz w:val="21"/>
          <w:szCs w:val="21"/>
          <w:lang w:val="en-US" w:eastAsia="zh-CN" w:bidi="ar-SA"/>
        </w:rPr>
      </w:pPr>
      <w:r>
        <w:rPr>
          <w:rFonts w:hint="eastAsia" w:ascii="黑体" w:hAnsi="黑体" w:eastAsia="黑体" w:cs="黑体"/>
          <w:sz w:val="21"/>
          <w:szCs w:val="21"/>
          <w:lang w:val="en-US" w:eastAsia="zh-CN" w:bidi="ar-SA"/>
        </w:rPr>
        <w:t>4.1　</w:t>
      </w:r>
      <w:r>
        <w:rPr>
          <w:rFonts w:hint="default" w:ascii="黑体" w:hAnsi="黑体" w:eastAsia="黑体" w:cs="黑体"/>
          <w:sz w:val="21"/>
          <w:szCs w:val="21"/>
          <w:lang w:val="en-US" w:eastAsia="zh-CN" w:bidi="ar-SA"/>
        </w:rPr>
        <w:t>质量等级</w:t>
      </w:r>
    </w:p>
    <w:p w14:paraId="170521D1">
      <w:pPr>
        <w:pStyle w:val="171"/>
        <w:bidi w:val="0"/>
        <w:rPr>
          <w:rFonts w:hint="eastAsia"/>
          <w:lang w:eastAsia="zh-CN"/>
        </w:rPr>
      </w:pPr>
      <w:r>
        <w:rPr>
          <w:rFonts w:hint="default"/>
        </w:rPr>
        <w:t>优级：牦牛肉占成品净含量的质量分数≥80%</w:t>
      </w:r>
      <w:r>
        <w:rPr>
          <w:rFonts w:hint="eastAsia"/>
          <w:lang w:eastAsia="zh-CN"/>
        </w:rPr>
        <w:t>。</w:t>
      </w:r>
    </w:p>
    <w:p w14:paraId="38CEE6F3">
      <w:pPr>
        <w:pStyle w:val="171"/>
        <w:bidi w:val="0"/>
        <w:rPr>
          <w:rFonts w:hint="default"/>
        </w:rPr>
      </w:pPr>
      <w:r>
        <w:rPr>
          <w:rFonts w:hint="default"/>
        </w:rPr>
        <w:t>普通级：牦牛肉占成品净含量的质量分数≥40%</w:t>
      </w:r>
      <w:r>
        <w:rPr>
          <w:rFonts w:hint="eastAsia"/>
          <w:lang w:eastAsia="zh-CN"/>
        </w:rPr>
        <w:t>，</w:t>
      </w:r>
      <w:r>
        <w:rPr>
          <w:rFonts w:hint="eastAsia"/>
          <w:lang w:val="en-US" w:eastAsia="zh-CN"/>
        </w:rPr>
        <w:t>可添加一定比例蔬菜</w:t>
      </w:r>
      <w:r>
        <w:rPr>
          <w:rFonts w:hint="default"/>
        </w:rPr>
        <w:t>。</w:t>
      </w:r>
    </w:p>
    <w:p w14:paraId="484AA8DF">
      <w:pPr>
        <w:pStyle w:val="110"/>
        <w:bidi w:val="0"/>
        <w:rPr>
          <w:rFonts w:hint="eastAsia"/>
          <w:lang w:val="en-US" w:eastAsia="zh-CN"/>
        </w:rPr>
      </w:pPr>
      <w:r>
        <w:rPr>
          <w:rFonts w:hint="eastAsia"/>
          <w:lang w:val="en-US" w:eastAsia="zh-CN"/>
        </w:rPr>
        <w:t>原辅材料要求</w:t>
      </w:r>
    </w:p>
    <w:p w14:paraId="2B9555F1">
      <w:pPr>
        <w:pStyle w:val="171"/>
        <w:bidi w:val="0"/>
        <w:rPr>
          <w:rFonts w:hint="eastAsia"/>
          <w:lang w:val="en-US" w:eastAsia="zh-CN"/>
        </w:rPr>
      </w:pPr>
      <w:r>
        <w:rPr>
          <w:rFonts w:hint="eastAsia"/>
          <w:lang w:val="en-US" w:eastAsia="zh-CN"/>
        </w:rPr>
        <w:t>牦牛肉：应符合NY/T 3356—2018的规定。</w:t>
      </w:r>
    </w:p>
    <w:p w14:paraId="7F18394D">
      <w:pPr>
        <w:pStyle w:val="171"/>
        <w:bidi w:val="0"/>
        <w:rPr>
          <w:rFonts w:hint="eastAsia"/>
          <w:lang w:val="en-US" w:eastAsia="zh-CN"/>
        </w:rPr>
      </w:pPr>
      <w:r>
        <w:rPr>
          <w:rFonts w:hint="eastAsia"/>
          <w:lang w:val="en-US" w:eastAsia="zh-CN"/>
        </w:rPr>
        <w:t>食用淀粉：应符合GB 31637的规定。</w:t>
      </w:r>
    </w:p>
    <w:p w14:paraId="32B6875E">
      <w:pPr>
        <w:pStyle w:val="171"/>
        <w:bidi w:val="0"/>
        <w:rPr>
          <w:rFonts w:hint="eastAsia"/>
          <w:lang w:val="en-US" w:eastAsia="zh-CN"/>
        </w:rPr>
      </w:pPr>
      <w:r>
        <w:rPr>
          <w:rFonts w:hint="eastAsia"/>
          <w:lang w:val="en-US" w:eastAsia="zh-CN"/>
        </w:rPr>
        <w:t>生产用水：应符合GB 5749的规定。</w:t>
      </w:r>
    </w:p>
    <w:p w14:paraId="21ED551E">
      <w:pPr>
        <w:pStyle w:val="171"/>
        <w:bidi w:val="0"/>
        <w:rPr>
          <w:rFonts w:hint="eastAsia"/>
          <w:lang w:val="en-US" w:eastAsia="zh-CN"/>
        </w:rPr>
      </w:pPr>
      <w:r>
        <w:rPr>
          <w:rFonts w:hint="eastAsia"/>
          <w:lang w:val="en-US" w:eastAsia="zh-CN"/>
        </w:rPr>
        <w:t>食用盐：应符合GB 2721的规定。</w:t>
      </w:r>
    </w:p>
    <w:p w14:paraId="03741C85">
      <w:pPr>
        <w:pStyle w:val="171"/>
        <w:bidi w:val="0"/>
        <w:rPr>
          <w:rFonts w:hint="eastAsia"/>
          <w:lang w:val="en-US" w:eastAsia="zh-CN"/>
        </w:rPr>
      </w:pPr>
      <w:r>
        <w:rPr>
          <w:rFonts w:hint="eastAsia"/>
          <w:lang w:val="en-US" w:eastAsia="zh-CN"/>
        </w:rPr>
        <w:t>食糖：应符合GB 13104的规定。</w:t>
      </w:r>
    </w:p>
    <w:p w14:paraId="6FBD8C21">
      <w:pPr>
        <w:pStyle w:val="171"/>
        <w:bidi w:val="0"/>
        <w:rPr>
          <w:rFonts w:hint="eastAsia"/>
          <w:lang w:val="en-US" w:eastAsia="zh-CN"/>
        </w:rPr>
      </w:pPr>
      <w:r>
        <w:rPr>
          <w:rFonts w:hint="eastAsia"/>
          <w:lang w:val="en-US" w:eastAsia="zh-CN"/>
        </w:rPr>
        <w:t>香辛料：应符合GB/T 15691的规定。</w:t>
      </w:r>
    </w:p>
    <w:p w14:paraId="7C55EEBC">
      <w:pPr>
        <w:pStyle w:val="171"/>
        <w:bidi w:val="0"/>
        <w:rPr>
          <w:rFonts w:hint="eastAsia"/>
        </w:rPr>
      </w:pPr>
      <w:r>
        <w:rPr>
          <w:rFonts w:hint="eastAsia"/>
          <w:lang w:val="en-US" w:eastAsia="zh-CN"/>
        </w:rPr>
        <w:t>大豆分离蛋白等其他辅料：应符合相应国家标准或行业标准的规定</w:t>
      </w:r>
      <w:r>
        <w:rPr>
          <w:rFonts w:hint="eastAsia"/>
        </w:rPr>
        <w:t>。</w:t>
      </w:r>
    </w:p>
    <w:p w14:paraId="598F69A3">
      <w:pPr>
        <w:pStyle w:val="171"/>
        <w:bidi w:val="0"/>
        <w:rPr>
          <w:rFonts w:hint="eastAsia"/>
        </w:rPr>
      </w:pPr>
      <w:r>
        <w:rPr>
          <w:rFonts w:hint="eastAsia"/>
        </w:rPr>
        <w:t>新鲜蔬菜应符合GB 2762、GB 2763的规定，无腐烂、无病虫害、无异物；</w:t>
      </w:r>
    </w:p>
    <w:p w14:paraId="764D8C36">
      <w:pPr>
        <w:pStyle w:val="171"/>
        <w:bidi w:val="0"/>
        <w:rPr>
          <w:rFonts w:hint="eastAsia"/>
        </w:rPr>
      </w:pPr>
      <w:r>
        <w:rPr>
          <w:rFonts w:hint="eastAsia"/>
        </w:rPr>
        <w:t>脱水蔬菜、蔬菜粉等制品应符合相应国家/行业标准规定；</w:t>
      </w:r>
    </w:p>
    <w:p w14:paraId="2C10F683">
      <w:pPr>
        <w:pStyle w:val="110"/>
        <w:bidi w:val="0"/>
        <w:rPr>
          <w:rFonts w:hint="default"/>
          <w:lang w:val="en-US" w:eastAsia="zh-CN"/>
        </w:rPr>
      </w:pPr>
      <w:r>
        <w:rPr>
          <w:rFonts w:hint="eastAsia"/>
          <w:lang w:val="en-US" w:eastAsia="zh-CN"/>
        </w:rPr>
        <w:t>食品添加剂及营养强化剂</w:t>
      </w:r>
    </w:p>
    <w:p w14:paraId="0DB77950">
      <w:pPr>
        <w:pStyle w:val="171"/>
        <w:bidi w:val="0"/>
        <w:rPr>
          <w:rFonts w:hint="eastAsia" w:ascii="宋体" w:hAnsi="Times New Roman" w:eastAsia="宋体" w:cs="Times New Roman"/>
          <w:lang w:val="en-US" w:eastAsia="zh-CN"/>
        </w:rPr>
      </w:pPr>
      <w:r>
        <w:rPr>
          <w:rFonts w:hint="eastAsia" w:ascii="宋体" w:hAnsi="Times New Roman" w:eastAsia="宋体" w:cs="Times New Roman"/>
          <w:lang w:val="en-US" w:eastAsia="zh-CN"/>
        </w:rPr>
        <w:t>品质应符合相关国家标准或行业标准的要求。</w:t>
      </w:r>
    </w:p>
    <w:p w14:paraId="2915A7CF">
      <w:pPr>
        <w:pStyle w:val="171"/>
        <w:bidi w:val="0"/>
        <w:rPr>
          <w:rFonts w:hint="eastAsia" w:ascii="宋体" w:hAnsi="宋体" w:eastAsia="宋体" w:cs="Times New Roman"/>
          <w:b w:val="0"/>
          <w:bCs w:val="0"/>
          <w:kern w:val="2"/>
          <w:sz w:val="21"/>
          <w:szCs w:val="21"/>
          <w:lang w:val="en-US" w:eastAsia="zh-CN" w:bidi="ar-SA"/>
        </w:rPr>
      </w:pPr>
      <w:r>
        <w:rPr>
          <w:rFonts w:hint="eastAsia" w:ascii="宋体" w:hAnsi="Times New Roman" w:eastAsia="宋体" w:cs="Times New Roman"/>
          <w:lang w:val="en-US" w:eastAsia="zh-CN"/>
        </w:rPr>
        <w:t>适用范围和使用量应符合</w:t>
      </w:r>
      <w:r>
        <w:rPr>
          <w:rFonts w:hint="default" w:ascii="宋体" w:hAnsi="Times New Roman" w:eastAsia="宋体" w:cs="Times New Roman"/>
          <w:lang w:val="en-US" w:eastAsia="zh-CN"/>
        </w:rPr>
        <w:t>GB 2760</w:t>
      </w:r>
      <w:r>
        <w:rPr>
          <w:rFonts w:hint="eastAsia" w:ascii="宋体" w:hAnsi="Times New Roman" w:eastAsia="宋体" w:cs="Times New Roman"/>
          <w:lang w:val="en-US" w:eastAsia="zh-CN"/>
        </w:rPr>
        <w:t>，</w:t>
      </w:r>
      <w:r>
        <w:rPr>
          <w:rFonts w:hint="default" w:ascii="宋体" w:hAnsi="Times New Roman" w:eastAsia="宋体" w:cs="Times New Roman"/>
          <w:lang w:val="en-US" w:eastAsia="zh-CN"/>
        </w:rPr>
        <w:t>GB 14880</w:t>
      </w:r>
      <w:r>
        <w:rPr>
          <w:rFonts w:hint="eastAsia" w:ascii="宋体" w:hAnsi="Times New Roman" w:eastAsia="宋体" w:cs="Times New Roman"/>
          <w:lang w:val="en-US" w:eastAsia="zh-CN"/>
        </w:rPr>
        <w:t>的规定。</w:t>
      </w:r>
    </w:p>
    <w:p w14:paraId="09A44842">
      <w:pPr>
        <w:pStyle w:val="110"/>
        <w:bidi w:val="0"/>
      </w:pPr>
      <w:r>
        <w:t>感官要求</w:t>
      </w:r>
    </w:p>
    <w:p w14:paraId="72CC984D">
      <w:pPr>
        <w:pStyle w:val="60"/>
        <w:ind w:firstLine="420"/>
        <w:rPr>
          <w:rFonts w:hAnsi="宋体"/>
          <w:spacing w:val="5"/>
          <w:sz w:val="21"/>
          <w:szCs w:val="21"/>
        </w:rPr>
      </w:pPr>
      <w:r>
        <w:rPr>
          <w:rFonts w:hAnsi="宋体"/>
          <w:spacing w:val="5"/>
          <w:sz w:val="21"/>
          <w:szCs w:val="21"/>
        </w:rPr>
        <w:t>感官要求应符合表1的规定。</w:t>
      </w:r>
    </w:p>
    <w:p w14:paraId="367FDEDD">
      <w:pPr>
        <w:pStyle w:val="118"/>
        <w:bidi w:val="0"/>
      </w:pPr>
      <w:r>
        <w:t>感官要求</w:t>
      </w:r>
    </w:p>
    <w:tbl>
      <w:tblPr>
        <w:tblStyle w:val="259"/>
        <w:tblW w:w="9854"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autofit"/>
        <w:tblCellMar>
          <w:top w:w="0" w:type="dxa"/>
          <w:left w:w="0" w:type="dxa"/>
          <w:bottom w:w="0" w:type="dxa"/>
          <w:right w:w="0" w:type="dxa"/>
        </w:tblCellMar>
      </w:tblPr>
      <w:tblGrid>
        <w:gridCol w:w="3004"/>
        <w:gridCol w:w="3732"/>
        <w:gridCol w:w="3118"/>
      </w:tblGrid>
      <w:tr w14:paraId="3E96B63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0" w:hRule="atLeast"/>
          <w:tblHeader/>
          <w:jc w:val="center"/>
        </w:trPr>
        <w:tc>
          <w:tcPr>
            <w:tcW w:w="3004" w:type="dxa"/>
            <w:tcBorders>
              <w:bottom w:val="single" w:color="000000" w:sz="4" w:space="0"/>
              <w:right w:val="single" w:color="000000" w:sz="4" w:space="0"/>
            </w:tcBorders>
            <w:noWrap w:val="0"/>
            <w:vAlign w:val="center"/>
          </w:tcPr>
          <w:p w14:paraId="67434D18">
            <w:pPr>
              <w:pStyle w:val="258"/>
              <w:snapToGrid w:val="0"/>
              <w:spacing w:before="32"/>
              <w:ind w:left="0" w:leftChars="0" w:right="0" w:rightChars="0" w:firstLine="0" w:firstLineChars="0"/>
              <w:jc w:val="center"/>
              <w:rPr>
                <w:rFonts w:hint="eastAsia" w:ascii="宋体" w:hAnsi="宋体" w:eastAsia="宋体" w:cs="宋体"/>
                <w:b w:val="0"/>
                <w:bCs/>
                <w:sz w:val="18"/>
                <w:szCs w:val="18"/>
              </w:rPr>
            </w:pPr>
            <w:r>
              <w:rPr>
                <w:rFonts w:hint="eastAsia" w:ascii="宋体" w:hAnsi="宋体" w:eastAsia="宋体" w:cs="宋体"/>
                <w:b w:val="0"/>
                <w:bCs/>
                <w:spacing w:val="-5"/>
                <w:sz w:val="18"/>
                <w:szCs w:val="18"/>
              </w:rPr>
              <w:t>项目</w:t>
            </w:r>
          </w:p>
        </w:tc>
        <w:tc>
          <w:tcPr>
            <w:tcW w:w="3732" w:type="dxa"/>
            <w:tcBorders>
              <w:left w:val="single" w:color="000000" w:sz="4" w:space="0"/>
              <w:bottom w:val="single" w:color="000000" w:sz="4" w:space="0"/>
              <w:right w:val="single" w:color="000000" w:sz="4" w:space="0"/>
            </w:tcBorders>
            <w:noWrap w:val="0"/>
            <w:vAlign w:val="center"/>
          </w:tcPr>
          <w:p w14:paraId="6581877A">
            <w:pPr>
              <w:pStyle w:val="258"/>
              <w:snapToGrid w:val="0"/>
              <w:spacing w:before="33"/>
              <w:ind w:left="0" w:leftChars="0" w:right="0" w:rightChars="0" w:firstLine="0" w:firstLineChars="0"/>
              <w:jc w:val="center"/>
              <w:rPr>
                <w:rFonts w:hint="eastAsia" w:ascii="宋体" w:hAnsi="宋体" w:eastAsia="宋体" w:cs="宋体"/>
                <w:b w:val="0"/>
                <w:bCs/>
                <w:sz w:val="18"/>
                <w:szCs w:val="18"/>
              </w:rPr>
            </w:pPr>
            <w:r>
              <w:rPr>
                <w:rFonts w:hint="eastAsia" w:ascii="宋体" w:hAnsi="宋体" w:eastAsia="宋体" w:cs="宋体"/>
                <w:b w:val="0"/>
                <w:bCs/>
                <w:spacing w:val="-2"/>
                <w:sz w:val="18"/>
                <w:szCs w:val="18"/>
              </w:rPr>
              <w:t>要求</w:t>
            </w:r>
          </w:p>
        </w:tc>
        <w:tc>
          <w:tcPr>
            <w:tcW w:w="3118" w:type="dxa"/>
            <w:tcBorders>
              <w:left w:val="single" w:color="000000" w:sz="4" w:space="0"/>
              <w:bottom w:val="single" w:color="000000" w:sz="4" w:space="0"/>
            </w:tcBorders>
            <w:noWrap w:val="0"/>
            <w:vAlign w:val="center"/>
          </w:tcPr>
          <w:p w14:paraId="39840E63">
            <w:pPr>
              <w:pStyle w:val="258"/>
              <w:snapToGrid w:val="0"/>
              <w:spacing w:before="31"/>
              <w:ind w:left="0" w:leftChars="0" w:right="0" w:rightChars="0" w:firstLine="0" w:firstLineChars="0"/>
              <w:jc w:val="center"/>
              <w:rPr>
                <w:rFonts w:hint="eastAsia" w:ascii="宋体" w:hAnsi="宋体" w:eastAsia="宋体" w:cs="宋体"/>
                <w:b w:val="0"/>
                <w:bCs/>
                <w:sz w:val="18"/>
                <w:szCs w:val="18"/>
              </w:rPr>
            </w:pPr>
            <w:r>
              <w:rPr>
                <w:rFonts w:hint="eastAsia" w:ascii="宋体" w:hAnsi="宋体" w:eastAsia="宋体" w:cs="宋体"/>
                <w:b w:val="0"/>
                <w:bCs/>
                <w:spacing w:val="-2"/>
                <w:sz w:val="18"/>
                <w:szCs w:val="18"/>
              </w:rPr>
              <w:t>检验方法</w:t>
            </w:r>
          </w:p>
        </w:tc>
      </w:tr>
      <w:tr w14:paraId="691A047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0" w:hRule="atLeast"/>
          <w:jc w:val="center"/>
        </w:trPr>
        <w:tc>
          <w:tcPr>
            <w:tcW w:w="3004" w:type="dxa"/>
            <w:tcBorders>
              <w:top w:val="single" w:color="000000" w:sz="4" w:space="0"/>
              <w:bottom w:val="single" w:color="000000" w:sz="4" w:space="0"/>
              <w:right w:val="single" w:color="000000" w:sz="4" w:space="0"/>
            </w:tcBorders>
            <w:noWrap w:val="0"/>
            <w:vAlign w:val="center"/>
          </w:tcPr>
          <w:p w14:paraId="29B13B82">
            <w:pPr>
              <w:pStyle w:val="258"/>
              <w:snapToGrid w:val="0"/>
              <w:spacing w:before="30"/>
              <w:ind w:left="0" w:leftChars="0" w:right="0" w:rightChars="0" w:firstLine="0" w:firstLineChars="0"/>
              <w:jc w:val="center"/>
              <w:rPr>
                <w:rFonts w:hint="eastAsia" w:ascii="宋体" w:hAnsi="宋体" w:eastAsia="宋体" w:cs="宋体"/>
                <w:b w:val="0"/>
                <w:bCs/>
                <w:sz w:val="18"/>
                <w:szCs w:val="18"/>
              </w:rPr>
            </w:pPr>
            <w:r>
              <w:rPr>
                <w:rFonts w:hint="eastAsia" w:ascii="宋体" w:hAnsi="宋体" w:eastAsia="宋体" w:cs="宋体"/>
                <w:b w:val="0"/>
                <w:bCs/>
                <w:spacing w:val="-3"/>
                <w:sz w:val="18"/>
                <w:szCs w:val="18"/>
              </w:rPr>
              <w:t>色泽</w:t>
            </w:r>
          </w:p>
        </w:tc>
        <w:tc>
          <w:tcPr>
            <w:tcW w:w="3732" w:type="dxa"/>
            <w:tcBorders>
              <w:top w:val="single" w:color="000000" w:sz="4" w:space="0"/>
              <w:left w:val="single" w:color="000000" w:sz="4" w:space="0"/>
              <w:bottom w:val="single" w:color="000000" w:sz="4" w:space="0"/>
              <w:right w:val="single" w:color="000000" w:sz="4" w:space="0"/>
            </w:tcBorders>
            <w:noWrap w:val="0"/>
            <w:vAlign w:val="center"/>
          </w:tcPr>
          <w:p w14:paraId="49C90067">
            <w:pPr>
              <w:pStyle w:val="258"/>
              <w:snapToGrid w:val="0"/>
              <w:spacing w:before="29"/>
              <w:ind w:left="0" w:leftChars="0" w:right="0" w:rightChars="0" w:firstLine="0" w:firstLineChars="0"/>
              <w:jc w:val="center"/>
              <w:rPr>
                <w:rFonts w:hint="eastAsia" w:ascii="宋体" w:hAnsi="宋体" w:eastAsia="宋体" w:cs="宋体"/>
                <w:b w:val="0"/>
                <w:bCs/>
                <w:sz w:val="18"/>
                <w:szCs w:val="18"/>
                <w:lang w:val="en-US" w:eastAsia="zh-CN"/>
              </w:rPr>
            </w:pPr>
            <w:r>
              <w:rPr>
                <w:rFonts w:hint="eastAsia" w:ascii="宋体" w:hAnsi="宋体" w:eastAsia="宋体" w:cs="宋体"/>
                <w:b w:val="0"/>
                <w:bCs/>
                <w:spacing w:val="-1"/>
                <w:sz w:val="18"/>
                <w:szCs w:val="18"/>
              </w:rPr>
              <w:t>色泽均匀，呈浅褐色至深褐色</w:t>
            </w:r>
            <w:r>
              <w:rPr>
                <w:rFonts w:hint="eastAsia" w:ascii="宋体" w:hAnsi="宋体" w:eastAsia="宋体" w:cs="宋体"/>
                <w:b w:val="0"/>
                <w:bCs/>
                <w:spacing w:val="-1"/>
                <w:sz w:val="18"/>
                <w:szCs w:val="18"/>
                <w:lang w:eastAsia="zh-CN"/>
              </w:rPr>
              <w:t>。</w:t>
            </w:r>
            <w:r>
              <w:rPr>
                <w:rFonts w:hint="eastAsia" w:ascii="宋体" w:hAnsi="宋体" w:eastAsia="宋体" w:cs="宋体"/>
                <w:b w:val="0"/>
                <w:bCs/>
                <w:spacing w:val="-1"/>
                <w:sz w:val="18"/>
                <w:szCs w:val="18"/>
                <w:lang w:val="en-US" w:eastAsia="zh-CN"/>
              </w:rPr>
              <w:t>加入蔬菜后，蔬菜颗粒/纤维分布均匀，无异常变色</w:t>
            </w:r>
          </w:p>
        </w:tc>
        <w:tc>
          <w:tcPr>
            <w:tcW w:w="3118" w:type="dxa"/>
            <w:vMerge w:val="restart"/>
            <w:tcBorders>
              <w:top w:val="nil"/>
              <w:left w:val="single" w:color="000000" w:sz="4" w:space="0"/>
              <w:bottom w:val="nil"/>
            </w:tcBorders>
            <w:noWrap w:val="0"/>
            <w:vAlign w:val="center"/>
          </w:tcPr>
          <w:p w14:paraId="272BC671">
            <w:pPr>
              <w:pStyle w:val="258"/>
              <w:snapToGrid w:val="0"/>
              <w:spacing w:before="29"/>
              <w:ind w:left="0" w:leftChars="0" w:right="0" w:rightChars="0" w:firstLine="0" w:firstLineChars="0"/>
              <w:jc w:val="center"/>
              <w:rPr>
                <w:rFonts w:hint="eastAsia" w:ascii="宋体" w:hAnsi="宋体" w:eastAsia="宋体" w:cs="宋体"/>
                <w:b w:val="0"/>
                <w:bCs/>
                <w:sz w:val="18"/>
                <w:szCs w:val="18"/>
                <w:lang w:eastAsia="zh-CN"/>
              </w:rPr>
            </w:pPr>
            <w:r>
              <w:rPr>
                <w:rFonts w:hint="eastAsia" w:ascii="宋体" w:hAnsi="宋体" w:eastAsia="宋体" w:cs="宋体"/>
                <w:b w:val="0"/>
                <w:bCs/>
                <w:spacing w:val="-1"/>
                <w:sz w:val="18"/>
                <w:szCs w:val="18"/>
              </w:rPr>
              <w:t>取适量试样于洁净的白色瓷盘</w:t>
            </w:r>
            <w:r>
              <w:rPr>
                <w:rFonts w:hint="eastAsia" w:ascii="宋体" w:hAnsi="宋体" w:eastAsia="宋体" w:cs="宋体"/>
                <w:b w:val="0"/>
                <w:bCs/>
                <w:spacing w:val="1"/>
                <w:sz w:val="18"/>
                <w:szCs w:val="18"/>
              </w:rPr>
              <w:t>中，在自然光线下观察色泽和</w:t>
            </w:r>
            <w:r>
              <w:rPr>
                <w:rFonts w:hint="eastAsia" w:ascii="宋体" w:hAnsi="宋体" w:eastAsia="宋体" w:cs="宋体"/>
                <w:b w:val="0"/>
                <w:bCs/>
                <w:spacing w:val="-1"/>
                <w:sz w:val="18"/>
                <w:szCs w:val="18"/>
              </w:rPr>
              <w:t>组织形态。闻其气味，用温开</w:t>
            </w:r>
            <w:r>
              <w:rPr>
                <w:rFonts w:hint="eastAsia" w:ascii="宋体" w:hAnsi="宋体" w:eastAsia="宋体" w:cs="宋体"/>
                <w:b w:val="0"/>
                <w:bCs/>
                <w:spacing w:val="-2"/>
                <w:sz w:val="18"/>
                <w:szCs w:val="18"/>
              </w:rPr>
              <w:t>水漱口，品其滋味</w:t>
            </w:r>
            <w:r>
              <w:rPr>
                <w:rFonts w:hint="eastAsia" w:ascii="宋体" w:hAnsi="宋体" w:eastAsia="宋体" w:cs="宋体"/>
                <w:b w:val="0"/>
                <w:bCs/>
                <w:spacing w:val="-2"/>
                <w:sz w:val="18"/>
                <w:szCs w:val="18"/>
                <w:lang w:eastAsia="zh-CN"/>
              </w:rPr>
              <w:t>。</w:t>
            </w:r>
          </w:p>
        </w:tc>
      </w:tr>
      <w:tr w14:paraId="334B3B4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0" w:hRule="atLeast"/>
          <w:jc w:val="center"/>
        </w:trPr>
        <w:tc>
          <w:tcPr>
            <w:tcW w:w="3004" w:type="dxa"/>
            <w:tcBorders>
              <w:top w:val="single" w:color="000000" w:sz="4" w:space="0"/>
              <w:bottom w:val="single" w:color="000000" w:sz="4" w:space="0"/>
              <w:right w:val="single" w:color="000000" w:sz="4" w:space="0"/>
            </w:tcBorders>
            <w:noWrap w:val="0"/>
            <w:vAlign w:val="center"/>
          </w:tcPr>
          <w:p w14:paraId="785B3AAE">
            <w:pPr>
              <w:pStyle w:val="258"/>
              <w:snapToGrid w:val="0"/>
              <w:spacing w:before="33"/>
              <w:ind w:left="0" w:leftChars="0" w:right="0" w:rightChars="0" w:firstLine="0" w:firstLineChars="0"/>
              <w:jc w:val="center"/>
              <w:rPr>
                <w:rFonts w:hint="eastAsia" w:ascii="宋体" w:hAnsi="宋体" w:eastAsia="宋体" w:cs="宋体"/>
                <w:b w:val="0"/>
                <w:bCs/>
                <w:sz w:val="18"/>
                <w:szCs w:val="18"/>
              </w:rPr>
            </w:pPr>
            <w:r>
              <w:rPr>
                <w:rFonts w:hint="eastAsia" w:ascii="宋体" w:hAnsi="宋体" w:eastAsia="宋体" w:cs="宋体"/>
                <w:b w:val="0"/>
                <w:bCs/>
                <w:spacing w:val="-2"/>
                <w:sz w:val="18"/>
                <w:szCs w:val="18"/>
              </w:rPr>
              <w:t>组织形态</w:t>
            </w:r>
          </w:p>
        </w:tc>
        <w:tc>
          <w:tcPr>
            <w:tcW w:w="3732" w:type="dxa"/>
            <w:tcBorders>
              <w:top w:val="single" w:color="000000" w:sz="4" w:space="0"/>
              <w:left w:val="single" w:color="000000" w:sz="4" w:space="0"/>
              <w:bottom w:val="single" w:color="000000" w:sz="4" w:space="0"/>
              <w:right w:val="single" w:color="000000" w:sz="4" w:space="0"/>
            </w:tcBorders>
            <w:noWrap w:val="0"/>
            <w:vAlign w:val="center"/>
          </w:tcPr>
          <w:p w14:paraId="64506476">
            <w:pPr>
              <w:pStyle w:val="258"/>
              <w:snapToGrid w:val="0"/>
              <w:spacing w:before="33"/>
              <w:ind w:left="0" w:leftChars="0" w:right="0" w:rightChars="0" w:firstLine="0" w:firstLineChars="0"/>
              <w:jc w:val="center"/>
              <w:rPr>
                <w:rFonts w:hint="eastAsia" w:ascii="宋体" w:hAnsi="宋体" w:eastAsia="宋体" w:cs="宋体"/>
                <w:b w:val="0"/>
                <w:bCs/>
                <w:sz w:val="18"/>
                <w:szCs w:val="18"/>
                <w:lang w:val="en-US" w:eastAsia="zh-CN"/>
              </w:rPr>
            </w:pPr>
            <w:r>
              <w:rPr>
                <w:rFonts w:hint="eastAsia" w:ascii="宋体" w:hAnsi="宋体" w:eastAsia="宋体" w:cs="宋体"/>
                <w:b w:val="0"/>
                <w:bCs/>
                <w:color w:val="000000"/>
                <w:kern w:val="0"/>
                <w:sz w:val="18"/>
                <w:szCs w:val="18"/>
                <w:lang w:val="en-US" w:eastAsia="zh-CN" w:bidi="ar-SA"/>
              </w:rPr>
              <w:t>形态完整均匀，无破损开裂；结构紧密有弹性，按压后迅速恢复；</w:t>
            </w:r>
            <w:r>
              <w:rPr>
                <w:rFonts w:hint="eastAsia" w:ascii="宋体" w:hAnsi="宋体" w:eastAsia="宋体" w:cs="宋体"/>
                <w:b w:val="0"/>
                <w:bCs/>
                <w:spacing w:val="-2"/>
                <w:sz w:val="18"/>
                <w:szCs w:val="18"/>
                <w:lang w:val="en-US" w:eastAsia="zh-CN"/>
              </w:rPr>
              <w:t>切面</w:t>
            </w:r>
            <w:r>
              <w:rPr>
                <w:rFonts w:hint="eastAsia" w:ascii="宋体" w:hAnsi="宋体" w:eastAsia="宋体" w:cs="宋体"/>
                <w:b w:val="0"/>
                <w:bCs/>
                <w:color w:val="000000"/>
                <w:kern w:val="0"/>
                <w:sz w:val="18"/>
                <w:szCs w:val="18"/>
                <w:lang w:val="en-US" w:eastAsia="zh-CN" w:bidi="ar-SA"/>
              </w:rPr>
              <w:t>气孔分布均匀；沸水煮3分钟不松散，煮后汤水不浑浊。</w:t>
            </w:r>
          </w:p>
        </w:tc>
        <w:tc>
          <w:tcPr>
            <w:tcW w:w="3118" w:type="dxa"/>
            <w:vMerge w:val="continue"/>
            <w:tcBorders>
              <w:top w:val="nil"/>
              <w:left w:val="single" w:color="000000" w:sz="4" w:space="0"/>
              <w:bottom w:val="nil"/>
            </w:tcBorders>
            <w:noWrap w:val="0"/>
            <w:vAlign w:val="center"/>
          </w:tcPr>
          <w:p w14:paraId="124CAE52">
            <w:pPr>
              <w:snapToGrid w:val="0"/>
              <w:ind w:left="0" w:leftChars="0" w:right="0" w:rightChars="0" w:firstLine="0" w:firstLineChars="0"/>
              <w:jc w:val="center"/>
              <w:rPr>
                <w:rFonts w:hint="eastAsia" w:ascii="宋体" w:hAnsi="宋体" w:eastAsia="宋体" w:cs="宋体"/>
                <w:b w:val="0"/>
                <w:bCs/>
                <w:color w:val="000000"/>
                <w:sz w:val="18"/>
                <w:szCs w:val="18"/>
              </w:rPr>
            </w:pPr>
          </w:p>
        </w:tc>
      </w:tr>
      <w:tr w14:paraId="0277C61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0" w:hRule="atLeast"/>
          <w:jc w:val="center"/>
        </w:trPr>
        <w:tc>
          <w:tcPr>
            <w:tcW w:w="3004" w:type="dxa"/>
            <w:tcBorders>
              <w:top w:val="single" w:color="000000" w:sz="4" w:space="0"/>
              <w:bottom w:val="single" w:color="000000" w:sz="4" w:space="0"/>
              <w:right w:val="single" w:color="000000" w:sz="4" w:space="0"/>
            </w:tcBorders>
            <w:noWrap w:val="0"/>
            <w:vAlign w:val="center"/>
          </w:tcPr>
          <w:p w14:paraId="38051066">
            <w:pPr>
              <w:pStyle w:val="258"/>
              <w:snapToGrid w:val="0"/>
              <w:spacing w:before="33"/>
              <w:ind w:left="0" w:leftChars="0" w:right="0" w:rightChars="0" w:firstLine="0" w:firstLineChars="0"/>
              <w:jc w:val="center"/>
              <w:rPr>
                <w:rFonts w:hint="eastAsia" w:ascii="宋体" w:hAnsi="宋体" w:eastAsia="宋体" w:cs="宋体"/>
                <w:b w:val="0"/>
                <w:bCs/>
                <w:sz w:val="18"/>
                <w:szCs w:val="18"/>
                <w:lang w:val="en-US" w:eastAsia="zh-CN"/>
              </w:rPr>
            </w:pPr>
            <w:r>
              <w:rPr>
                <w:rFonts w:hint="eastAsia" w:ascii="宋体" w:hAnsi="宋体" w:eastAsia="宋体" w:cs="宋体"/>
                <w:b w:val="0"/>
                <w:bCs/>
                <w:spacing w:val="-2"/>
                <w:sz w:val="18"/>
                <w:szCs w:val="18"/>
                <w:lang w:val="en-US" w:eastAsia="zh-CN"/>
              </w:rPr>
              <w:t>气味与滋味</w:t>
            </w:r>
          </w:p>
        </w:tc>
        <w:tc>
          <w:tcPr>
            <w:tcW w:w="3732" w:type="dxa"/>
            <w:tcBorders>
              <w:top w:val="single" w:color="000000" w:sz="4" w:space="0"/>
              <w:left w:val="single" w:color="000000" w:sz="4" w:space="0"/>
              <w:bottom w:val="single" w:color="000000" w:sz="4" w:space="0"/>
              <w:right w:val="single" w:color="000000" w:sz="4" w:space="0"/>
            </w:tcBorders>
            <w:noWrap w:val="0"/>
            <w:vAlign w:val="center"/>
          </w:tcPr>
          <w:p w14:paraId="081EC3CC">
            <w:pPr>
              <w:pStyle w:val="258"/>
              <w:snapToGrid w:val="0"/>
              <w:spacing w:before="32"/>
              <w:ind w:left="0" w:leftChars="0" w:right="0" w:rightChars="0" w:firstLine="0" w:firstLineChars="0"/>
              <w:jc w:val="center"/>
              <w:rPr>
                <w:rFonts w:hint="eastAsia" w:ascii="宋体" w:hAnsi="宋体" w:eastAsia="宋体" w:cs="宋体"/>
                <w:b w:val="0"/>
                <w:bCs/>
                <w:sz w:val="18"/>
                <w:szCs w:val="18"/>
                <w:lang w:eastAsia="zh-CN"/>
              </w:rPr>
            </w:pPr>
            <w:r>
              <w:rPr>
                <w:rFonts w:hint="eastAsia" w:ascii="宋体" w:hAnsi="宋体" w:eastAsia="宋体" w:cs="宋体"/>
                <w:b w:val="0"/>
                <w:bCs/>
                <w:spacing w:val="-1"/>
                <w:sz w:val="18"/>
                <w:szCs w:val="18"/>
              </w:rPr>
              <w:t>具有牦牛肉固有的鲜香气味</w:t>
            </w:r>
            <w:r>
              <w:rPr>
                <w:rFonts w:hint="eastAsia" w:ascii="宋体" w:hAnsi="宋体" w:eastAsia="宋体" w:cs="宋体"/>
                <w:b w:val="0"/>
                <w:bCs/>
                <w:spacing w:val="-1"/>
                <w:sz w:val="18"/>
                <w:szCs w:val="18"/>
                <w:lang w:val="en-US" w:eastAsia="zh-CN"/>
              </w:rPr>
              <w:t>或蔬菜香气</w:t>
            </w:r>
            <w:r>
              <w:rPr>
                <w:rFonts w:hint="eastAsia" w:ascii="宋体" w:hAnsi="宋体" w:eastAsia="宋体" w:cs="宋体"/>
                <w:b w:val="0"/>
                <w:bCs/>
                <w:spacing w:val="-1"/>
                <w:sz w:val="18"/>
                <w:szCs w:val="18"/>
              </w:rPr>
              <w:t>，口感弹嫩，无酸味、哈喇味、腥臭味及其他异味</w:t>
            </w:r>
            <w:r>
              <w:rPr>
                <w:rFonts w:hint="eastAsia" w:ascii="宋体" w:hAnsi="宋体" w:eastAsia="宋体" w:cs="宋体"/>
                <w:b w:val="0"/>
                <w:bCs/>
                <w:spacing w:val="-1"/>
                <w:sz w:val="18"/>
                <w:szCs w:val="18"/>
                <w:lang w:eastAsia="zh-CN"/>
              </w:rPr>
              <w:t>。</w:t>
            </w:r>
          </w:p>
        </w:tc>
        <w:tc>
          <w:tcPr>
            <w:tcW w:w="3118" w:type="dxa"/>
            <w:vMerge w:val="continue"/>
            <w:tcBorders>
              <w:top w:val="nil"/>
              <w:left w:val="single" w:color="000000" w:sz="4" w:space="0"/>
              <w:bottom w:val="nil"/>
            </w:tcBorders>
            <w:noWrap w:val="0"/>
            <w:vAlign w:val="center"/>
          </w:tcPr>
          <w:p w14:paraId="68162116">
            <w:pPr>
              <w:snapToGrid w:val="0"/>
              <w:ind w:left="0" w:leftChars="0" w:right="0" w:rightChars="0" w:firstLine="0" w:firstLineChars="0"/>
              <w:jc w:val="center"/>
              <w:rPr>
                <w:rFonts w:hint="eastAsia" w:ascii="宋体" w:hAnsi="宋体" w:eastAsia="宋体" w:cs="宋体"/>
                <w:b w:val="0"/>
                <w:bCs/>
                <w:color w:val="000000"/>
                <w:sz w:val="18"/>
                <w:szCs w:val="18"/>
              </w:rPr>
            </w:pPr>
          </w:p>
        </w:tc>
      </w:tr>
      <w:tr w14:paraId="6CFE8F4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0" w:hRule="atLeast"/>
          <w:jc w:val="center"/>
        </w:trPr>
        <w:tc>
          <w:tcPr>
            <w:tcW w:w="3004" w:type="dxa"/>
            <w:tcBorders>
              <w:top w:val="single" w:color="000000" w:sz="4" w:space="0"/>
              <w:right w:val="single" w:color="000000" w:sz="4" w:space="0"/>
            </w:tcBorders>
            <w:noWrap w:val="0"/>
            <w:vAlign w:val="center"/>
          </w:tcPr>
          <w:p w14:paraId="5FADABC6">
            <w:pPr>
              <w:pStyle w:val="258"/>
              <w:snapToGrid w:val="0"/>
              <w:spacing w:before="34"/>
              <w:ind w:left="0" w:leftChars="0" w:right="0" w:rightChars="0" w:firstLine="0" w:firstLineChars="0"/>
              <w:jc w:val="center"/>
              <w:rPr>
                <w:rFonts w:hint="eastAsia" w:ascii="宋体" w:hAnsi="宋体" w:eastAsia="宋体" w:cs="宋体"/>
                <w:b w:val="0"/>
                <w:bCs/>
                <w:sz w:val="18"/>
                <w:szCs w:val="18"/>
              </w:rPr>
            </w:pPr>
            <w:r>
              <w:rPr>
                <w:rFonts w:hint="eastAsia" w:ascii="宋体" w:hAnsi="宋体" w:eastAsia="宋体" w:cs="宋体"/>
                <w:b w:val="0"/>
                <w:bCs/>
                <w:spacing w:val="10"/>
                <w:sz w:val="18"/>
                <w:szCs w:val="18"/>
              </w:rPr>
              <w:t>杂质</w:t>
            </w:r>
          </w:p>
        </w:tc>
        <w:tc>
          <w:tcPr>
            <w:tcW w:w="3732" w:type="dxa"/>
            <w:tcBorders>
              <w:top w:val="single" w:color="000000" w:sz="4" w:space="0"/>
              <w:left w:val="single" w:color="000000" w:sz="4" w:space="0"/>
              <w:right w:val="single" w:color="000000" w:sz="4" w:space="0"/>
            </w:tcBorders>
            <w:noWrap w:val="0"/>
            <w:vAlign w:val="center"/>
          </w:tcPr>
          <w:p w14:paraId="4E0D7E7C">
            <w:pPr>
              <w:pStyle w:val="258"/>
              <w:snapToGrid w:val="0"/>
              <w:spacing w:before="34"/>
              <w:ind w:left="0" w:leftChars="0" w:right="0" w:rightChars="0" w:firstLine="0" w:firstLineChars="0"/>
              <w:jc w:val="center"/>
              <w:rPr>
                <w:rFonts w:hint="eastAsia" w:ascii="宋体" w:hAnsi="宋体" w:eastAsia="宋体" w:cs="宋体"/>
                <w:b w:val="0"/>
                <w:bCs/>
                <w:sz w:val="18"/>
                <w:szCs w:val="18"/>
                <w:lang w:eastAsia="zh-CN"/>
              </w:rPr>
            </w:pPr>
            <w:r>
              <w:rPr>
                <w:rFonts w:hint="eastAsia" w:ascii="宋体" w:hAnsi="宋体" w:eastAsia="宋体" w:cs="宋体"/>
                <w:b w:val="0"/>
                <w:bCs/>
                <w:spacing w:val="-1"/>
                <w:sz w:val="18"/>
                <w:szCs w:val="18"/>
              </w:rPr>
              <w:t>无肉眼可见的异物</w:t>
            </w:r>
            <w:r>
              <w:rPr>
                <w:rFonts w:hint="eastAsia" w:ascii="宋体" w:hAnsi="宋体" w:eastAsia="宋体" w:cs="宋体"/>
                <w:b w:val="0"/>
                <w:bCs/>
                <w:spacing w:val="-1"/>
                <w:sz w:val="18"/>
                <w:szCs w:val="18"/>
                <w:lang w:eastAsia="zh-CN"/>
              </w:rPr>
              <w:t>。</w:t>
            </w:r>
          </w:p>
        </w:tc>
        <w:tc>
          <w:tcPr>
            <w:tcW w:w="3118" w:type="dxa"/>
            <w:vMerge w:val="continue"/>
            <w:tcBorders>
              <w:top w:val="nil"/>
              <w:left w:val="single" w:color="000000" w:sz="4" w:space="0"/>
            </w:tcBorders>
            <w:noWrap w:val="0"/>
            <w:vAlign w:val="center"/>
          </w:tcPr>
          <w:p w14:paraId="5ED50246">
            <w:pPr>
              <w:snapToGrid w:val="0"/>
              <w:ind w:left="0" w:leftChars="0" w:right="0" w:rightChars="0" w:firstLine="0" w:firstLineChars="0"/>
              <w:jc w:val="center"/>
              <w:rPr>
                <w:rFonts w:hint="eastAsia" w:ascii="宋体" w:hAnsi="宋体" w:eastAsia="宋体" w:cs="宋体"/>
                <w:b w:val="0"/>
                <w:bCs/>
                <w:color w:val="000000"/>
                <w:sz w:val="18"/>
                <w:szCs w:val="18"/>
              </w:rPr>
            </w:pPr>
          </w:p>
        </w:tc>
      </w:tr>
    </w:tbl>
    <w:p w14:paraId="46A6D684">
      <w:pPr>
        <w:pStyle w:val="110"/>
        <w:numPr>
          <w:ilvl w:val="1"/>
          <w:numId w:val="0"/>
        </w:numPr>
        <w:spacing w:before="156" w:after="156"/>
        <w:ind w:left="0" w:leftChars="0" w:firstLine="0" w:firstLineChars="0"/>
        <w:rPr>
          <w:rFonts w:hint="eastAsia" w:ascii="黑体" w:hAnsi="黑体" w:eastAsia="黑体" w:cs="黑体"/>
          <w:sz w:val="20"/>
          <w:lang w:val="en-US" w:eastAsia="zh-CN" w:bidi="ar-SA"/>
        </w:rPr>
      </w:pPr>
    </w:p>
    <w:p w14:paraId="396417D3">
      <w:pPr>
        <w:pStyle w:val="110"/>
        <w:bidi w:val="0"/>
      </w:pPr>
      <w:r>
        <w:t>理化指标</w:t>
      </w:r>
    </w:p>
    <w:p w14:paraId="40171947">
      <w:pPr>
        <w:pStyle w:val="60"/>
        <w:ind w:firstLine="420"/>
      </w:pPr>
      <w:r>
        <w:t>理化指标应符合表2的规定。</w:t>
      </w:r>
    </w:p>
    <w:p w14:paraId="33EEF6AF">
      <w:pPr>
        <w:pStyle w:val="118"/>
        <w:keepNext/>
        <w:tabs>
          <w:tab w:val="left" w:pos="539"/>
          <w:tab w:val="clear" w:pos="0"/>
        </w:tabs>
        <w:spacing w:before="156" w:after="156"/>
      </w:pPr>
      <w:r>
        <w:t>理化指标</w:t>
      </w:r>
    </w:p>
    <w:tbl>
      <w:tblPr>
        <w:tblStyle w:val="26"/>
        <w:tblW w:w="954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15" w:type="dxa"/>
          <w:left w:w="15" w:type="dxa"/>
          <w:bottom w:w="15" w:type="dxa"/>
          <w:right w:w="15" w:type="dxa"/>
        </w:tblCellMar>
      </w:tblPr>
      <w:tblGrid>
        <w:gridCol w:w="2836"/>
        <w:gridCol w:w="1860"/>
        <w:gridCol w:w="1896"/>
        <w:gridCol w:w="2951"/>
      </w:tblGrid>
      <w:tr w14:paraId="1F5868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2836" w:type="dxa"/>
            <w:vMerge w:val="restart"/>
            <w:noWrap w:val="0"/>
            <w:tcMar>
              <w:top w:w="96" w:type="dxa"/>
              <w:left w:w="96" w:type="dxa"/>
              <w:bottom w:w="96" w:type="dxa"/>
              <w:right w:w="96" w:type="dxa"/>
            </w:tcMar>
            <w:vAlign w:val="center"/>
          </w:tcPr>
          <w:p w14:paraId="138BC918">
            <w:pPr>
              <w:pStyle w:val="258"/>
              <w:snapToGrid w:val="0"/>
              <w:spacing w:before="30"/>
              <w:ind w:left="0" w:leftChars="0" w:right="0" w:rightChars="0" w:firstLine="0" w:firstLineChars="0"/>
              <w:jc w:val="center"/>
              <w:rPr>
                <w:rFonts w:hint="eastAsia" w:ascii="宋体" w:hAnsi="宋体" w:eastAsia="宋体" w:cs="Times New Roman"/>
                <w:b w:val="0"/>
                <w:bCs/>
                <w:color w:val="000000"/>
                <w:kern w:val="0"/>
                <w:sz w:val="18"/>
                <w:szCs w:val="18"/>
                <w:lang w:val="en-US" w:eastAsia="zh-CN" w:bidi="ar-SA"/>
              </w:rPr>
            </w:pPr>
            <w:r>
              <w:rPr>
                <w:rFonts w:hint="eastAsia" w:ascii="宋体" w:hAnsi="宋体" w:eastAsia="宋体" w:cs="Times New Roman"/>
                <w:b w:val="0"/>
                <w:bCs/>
                <w:color w:val="000000"/>
                <w:kern w:val="0"/>
                <w:sz w:val="18"/>
                <w:szCs w:val="18"/>
                <w:lang w:val="en-US" w:eastAsia="zh-CN" w:bidi="ar-SA"/>
              </w:rPr>
              <w:t>项目</w:t>
            </w:r>
          </w:p>
        </w:tc>
        <w:tc>
          <w:tcPr>
            <w:tcW w:w="3756" w:type="dxa"/>
            <w:gridSpan w:val="2"/>
            <w:noWrap w:val="0"/>
            <w:tcMar>
              <w:top w:w="96" w:type="dxa"/>
              <w:left w:w="96" w:type="dxa"/>
              <w:bottom w:w="96" w:type="dxa"/>
              <w:right w:w="96" w:type="dxa"/>
            </w:tcMar>
            <w:vAlign w:val="center"/>
          </w:tcPr>
          <w:p w14:paraId="382EE5B8">
            <w:pPr>
              <w:pStyle w:val="258"/>
              <w:snapToGrid w:val="0"/>
              <w:spacing w:before="30"/>
              <w:ind w:left="0" w:leftChars="0" w:right="0" w:rightChars="0" w:firstLine="0" w:firstLineChars="0"/>
              <w:jc w:val="center"/>
              <w:rPr>
                <w:rFonts w:hint="eastAsia" w:ascii="宋体" w:hAnsi="宋体" w:eastAsia="宋体" w:cs="Times New Roman"/>
                <w:b w:val="0"/>
                <w:bCs/>
                <w:color w:val="000000"/>
                <w:kern w:val="0"/>
                <w:sz w:val="18"/>
                <w:szCs w:val="18"/>
                <w:lang w:val="en-US" w:eastAsia="zh-CN" w:bidi="ar-SA"/>
              </w:rPr>
            </w:pPr>
            <w:r>
              <w:rPr>
                <w:rFonts w:hint="eastAsia" w:ascii="宋体" w:hAnsi="宋体" w:eastAsia="宋体" w:cs="Times New Roman"/>
                <w:b w:val="0"/>
                <w:bCs/>
                <w:color w:val="000000"/>
                <w:kern w:val="0"/>
                <w:sz w:val="18"/>
                <w:szCs w:val="18"/>
                <w:lang w:val="en-US" w:eastAsia="zh-CN" w:bidi="ar-SA"/>
              </w:rPr>
              <w:t>指标</w:t>
            </w:r>
          </w:p>
        </w:tc>
        <w:tc>
          <w:tcPr>
            <w:tcW w:w="2951" w:type="dxa"/>
            <w:vMerge w:val="restart"/>
            <w:noWrap w:val="0"/>
            <w:tcMar>
              <w:top w:w="96" w:type="dxa"/>
              <w:left w:w="96" w:type="dxa"/>
              <w:bottom w:w="96" w:type="dxa"/>
              <w:right w:w="96" w:type="dxa"/>
            </w:tcMar>
            <w:vAlign w:val="center"/>
          </w:tcPr>
          <w:p w14:paraId="7EAF179D">
            <w:pPr>
              <w:pStyle w:val="258"/>
              <w:snapToGrid w:val="0"/>
              <w:spacing w:before="30"/>
              <w:ind w:left="0" w:leftChars="0" w:right="0" w:rightChars="0" w:firstLine="0" w:firstLineChars="0"/>
              <w:jc w:val="center"/>
              <w:rPr>
                <w:rFonts w:hint="eastAsia" w:ascii="宋体" w:hAnsi="宋体" w:eastAsia="宋体" w:cs="Times New Roman"/>
                <w:b w:val="0"/>
                <w:bCs/>
                <w:color w:val="000000"/>
                <w:kern w:val="0"/>
                <w:sz w:val="18"/>
                <w:szCs w:val="18"/>
                <w:lang w:val="en-US" w:eastAsia="zh-CN" w:bidi="ar-SA"/>
              </w:rPr>
            </w:pPr>
            <w:r>
              <w:rPr>
                <w:rFonts w:hint="eastAsia" w:ascii="宋体" w:hAnsi="宋体" w:eastAsia="宋体" w:cs="Times New Roman"/>
                <w:b w:val="0"/>
                <w:bCs/>
                <w:color w:val="000000"/>
                <w:kern w:val="0"/>
                <w:sz w:val="18"/>
                <w:szCs w:val="18"/>
                <w:lang w:val="en-US" w:eastAsia="zh-CN" w:bidi="ar-SA"/>
              </w:rPr>
              <w:t>检验方法</w:t>
            </w:r>
          </w:p>
        </w:tc>
      </w:tr>
      <w:tr w14:paraId="13E2F2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2836" w:type="dxa"/>
            <w:vMerge w:val="continue"/>
            <w:noWrap w:val="0"/>
            <w:tcMar>
              <w:top w:w="96" w:type="dxa"/>
              <w:left w:w="96" w:type="dxa"/>
              <w:bottom w:w="96" w:type="dxa"/>
              <w:right w:w="96" w:type="dxa"/>
            </w:tcMar>
            <w:vAlign w:val="center"/>
          </w:tcPr>
          <w:p w14:paraId="3739D6F8">
            <w:pPr>
              <w:pStyle w:val="258"/>
              <w:snapToGrid w:val="0"/>
              <w:spacing w:before="30"/>
              <w:ind w:left="0" w:leftChars="0" w:right="0" w:rightChars="0" w:firstLine="0" w:firstLineChars="0"/>
              <w:jc w:val="center"/>
              <w:rPr>
                <w:rFonts w:hint="eastAsia" w:ascii="宋体" w:hAnsi="宋体" w:eastAsia="宋体" w:cs="Times New Roman"/>
                <w:b w:val="0"/>
                <w:bCs/>
                <w:color w:val="000000"/>
                <w:kern w:val="0"/>
                <w:sz w:val="18"/>
                <w:szCs w:val="18"/>
                <w:lang w:val="en-US" w:eastAsia="zh-CN" w:bidi="ar-SA"/>
              </w:rPr>
            </w:pPr>
          </w:p>
        </w:tc>
        <w:tc>
          <w:tcPr>
            <w:tcW w:w="1860" w:type="dxa"/>
            <w:noWrap w:val="0"/>
            <w:tcMar>
              <w:top w:w="96" w:type="dxa"/>
              <w:left w:w="96" w:type="dxa"/>
              <w:bottom w:w="96" w:type="dxa"/>
              <w:right w:w="96" w:type="dxa"/>
            </w:tcMar>
            <w:vAlign w:val="center"/>
          </w:tcPr>
          <w:p w14:paraId="2A5CB1D8">
            <w:pPr>
              <w:pStyle w:val="258"/>
              <w:snapToGrid w:val="0"/>
              <w:spacing w:before="30"/>
              <w:ind w:left="0" w:leftChars="0" w:right="0" w:rightChars="0" w:firstLine="0" w:firstLineChars="0"/>
              <w:jc w:val="center"/>
              <w:rPr>
                <w:rFonts w:hint="eastAsia" w:ascii="宋体" w:hAnsi="宋体" w:eastAsia="宋体" w:cs="Times New Roman"/>
                <w:b w:val="0"/>
                <w:bCs/>
                <w:color w:val="000000"/>
                <w:kern w:val="0"/>
                <w:sz w:val="18"/>
                <w:szCs w:val="18"/>
                <w:lang w:val="en-US" w:eastAsia="zh-CN" w:bidi="ar-SA"/>
              </w:rPr>
            </w:pPr>
            <w:r>
              <w:rPr>
                <w:rFonts w:hint="eastAsia" w:ascii="宋体" w:hAnsi="宋体" w:eastAsia="宋体" w:cs="Times New Roman"/>
                <w:b w:val="0"/>
                <w:bCs/>
                <w:color w:val="000000"/>
                <w:kern w:val="0"/>
                <w:sz w:val="18"/>
                <w:szCs w:val="18"/>
                <w:lang w:val="en-US" w:eastAsia="zh-CN" w:bidi="ar-SA"/>
              </w:rPr>
              <w:t>优级</w:t>
            </w:r>
          </w:p>
        </w:tc>
        <w:tc>
          <w:tcPr>
            <w:tcW w:w="1896" w:type="dxa"/>
            <w:noWrap w:val="0"/>
            <w:tcMar>
              <w:top w:w="96" w:type="dxa"/>
              <w:left w:w="96" w:type="dxa"/>
              <w:bottom w:w="96" w:type="dxa"/>
              <w:right w:w="96" w:type="dxa"/>
            </w:tcMar>
            <w:vAlign w:val="center"/>
          </w:tcPr>
          <w:p w14:paraId="34C5DB77">
            <w:pPr>
              <w:pStyle w:val="258"/>
              <w:snapToGrid w:val="0"/>
              <w:spacing w:before="30"/>
              <w:ind w:left="0" w:leftChars="0" w:right="0" w:rightChars="0" w:firstLine="0" w:firstLineChars="0"/>
              <w:jc w:val="center"/>
              <w:rPr>
                <w:rFonts w:hint="eastAsia" w:ascii="宋体" w:hAnsi="宋体" w:eastAsia="宋体" w:cs="Times New Roman"/>
                <w:b w:val="0"/>
                <w:bCs/>
                <w:color w:val="000000"/>
                <w:kern w:val="0"/>
                <w:sz w:val="18"/>
                <w:szCs w:val="18"/>
                <w:lang w:val="en-US" w:eastAsia="zh-CN" w:bidi="ar-SA"/>
              </w:rPr>
            </w:pPr>
            <w:r>
              <w:rPr>
                <w:rFonts w:hint="eastAsia" w:ascii="宋体" w:hAnsi="宋体" w:eastAsia="宋体" w:cs="Times New Roman"/>
                <w:b w:val="0"/>
                <w:bCs/>
                <w:color w:val="000000"/>
                <w:kern w:val="0"/>
                <w:sz w:val="18"/>
                <w:szCs w:val="18"/>
                <w:lang w:val="en-US" w:eastAsia="zh-CN" w:bidi="ar-SA"/>
              </w:rPr>
              <w:t>普通级</w:t>
            </w:r>
          </w:p>
        </w:tc>
        <w:tc>
          <w:tcPr>
            <w:tcW w:w="2951" w:type="dxa"/>
            <w:vMerge w:val="continue"/>
            <w:noWrap w:val="0"/>
            <w:tcMar>
              <w:top w:w="96" w:type="dxa"/>
              <w:left w:w="96" w:type="dxa"/>
              <w:bottom w:w="96" w:type="dxa"/>
              <w:right w:w="96" w:type="dxa"/>
            </w:tcMar>
            <w:vAlign w:val="center"/>
          </w:tcPr>
          <w:p w14:paraId="04A39355">
            <w:pPr>
              <w:pStyle w:val="258"/>
              <w:snapToGrid w:val="0"/>
              <w:spacing w:before="30"/>
              <w:ind w:left="0" w:leftChars="0" w:right="0" w:rightChars="0" w:firstLine="0" w:firstLineChars="0"/>
              <w:jc w:val="center"/>
              <w:rPr>
                <w:rFonts w:hint="eastAsia" w:ascii="宋体" w:hAnsi="宋体" w:eastAsia="宋体" w:cs="Times New Roman"/>
                <w:b w:val="0"/>
                <w:bCs/>
                <w:color w:val="000000"/>
                <w:kern w:val="0"/>
                <w:sz w:val="18"/>
                <w:szCs w:val="18"/>
                <w:lang w:val="en-US" w:eastAsia="zh-CN" w:bidi="ar-SA"/>
              </w:rPr>
            </w:pPr>
          </w:p>
        </w:tc>
      </w:tr>
      <w:tr w14:paraId="2F3283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2836" w:type="dxa"/>
            <w:noWrap w:val="0"/>
            <w:tcMar>
              <w:top w:w="96" w:type="dxa"/>
              <w:left w:w="96" w:type="dxa"/>
              <w:bottom w:w="96" w:type="dxa"/>
              <w:right w:w="96" w:type="dxa"/>
            </w:tcMar>
            <w:vAlign w:val="center"/>
          </w:tcPr>
          <w:p w14:paraId="20487C44">
            <w:pPr>
              <w:pStyle w:val="258"/>
              <w:snapToGrid w:val="0"/>
              <w:spacing w:before="30"/>
              <w:ind w:left="0" w:leftChars="0" w:right="0" w:rightChars="0" w:firstLine="0" w:firstLineChars="0"/>
              <w:jc w:val="center"/>
              <w:rPr>
                <w:rFonts w:hint="eastAsia" w:ascii="宋体" w:hAnsi="宋体" w:eastAsia="宋体" w:cs="Times New Roman"/>
                <w:b w:val="0"/>
                <w:bCs/>
                <w:color w:val="000000"/>
                <w:kern w:val="0"/>
                <w:sz w:val="18"/>
                <w:szCs w:val="18"/>
                <w:lang w:val="en-US" w:eastAsia="zh-CN" w:bidi="ar-SA"/>
              </w:rPr>
            </w:pPr>
            <w:r>
              <w:rPr>
                <w:rFonts w:hint="eastAsia" w:ascii="宋体" w:hAnsi="宋体" w:eastAsia="宋体" w:cs="Times New Roman"/>
                <w:b w:val="0"/>
                <w:bCs/>
                <w:color w:val="000000"/>
                <w:kern w:val="0"/>
                <w:sz w:val="18"/>
                <w:szCs w:val="18"/>
                <w:lang w:val="en-US" w:eastAsia="zh-CN" w:bidi="ar-SA"/>
              </w:rPr>
              <w:t>水分/(g/100g)</w:t>
            </w:r>
          </w:p>
        </w:tc>
        <w:tc>
          <w:tcPr>
            <w:tcW w:w="1860" w:type="dxa"/>
            <w:noWrap w:val="0"/>
            <w:tcMar>
              <w:top w:w="96" w:type="dxa"/>
              <w:left w:w="96" w:type="dxa"/>
              <w:bottom w:w="96" w:type="dxa"/>
              <w:right w:w="96" w:type="dxa"/>
            </w:tcMar>
            <w:vAlign w:val="center"/>
          </w:tcPr>
          <w:p w14:paraId="10B283E5">
            <w:pPr>
              <w:pStyle w:val="258"/>
              <w:snapToGrid w:val="0"/>
              <w:spacing w:before="30"/>
              <w:ind w:left="0" w:leftChars="0" w:right="0" w:rightChars="0" w:firstLine="0" w:firstLineChars="0"/>
              <w:jc w:val="center"/>
              <w:rPr>
                <w:rFonts w:hint="eastAsia" w:ascii="宋体" w:hAnsi="宋体" w:eastAsia="宋体" w:cs="Times New Roman"/>
                <w:b w:val="0"/>
                <w:bCs/>
                <w:color w:val="000000"/>
                <w:kern w:val="0"/>
                <w:sz w:val="18"/>
                <w:szCs w:val="18"/>
                <w:lang w:val="en-US" w:eastAsia="zh-CN" w:bidi="ar-SA"/>
              </w:rPr>
            </w:pPr>
            <w:r>
              <w:rPr>
                <w:rFonts w:hint="eastAsia" w:ascii="宋体" w:hAnsi="宋体" w:eastAsia="宋体" w:cs="Times New Roman"/>
                <w:b w:val="0"/>
                <w:bCs/>
                <w:color w:val="000000"/>
                <w:kern w:val="0"/>
                <w:sz w:val="18"/>
                <w:szCs w:val="18"/>
                <w:lang w:val="en-US" w:eastAsia="zh-CN" w:bidi="ar-SA"/>
              </w:rPr>
              <w:t>≤70</w:t>
            </w:r>
          </w:p>
        </w:tc>
        <w:tc>
          <w:tcPr>
            <w:tcW w:w="1896" w:type="dxa"/>
            <w:noWrap w:val="0"/>
            <w:tcMar>
              <w:top w:w="96" w:type="dxa"/>
              <w:left w:w="96" w:type="dxa"/>
              <w:bottom w:w="96" w:type="dxa"/>
              <w:right w:w="96" w:type="dxa"/>
            </w:tcMar>
            <w:vAlign w:val="center"/>
          </w:tcPr>
          <w:p w14:paraId="54F0D599">
            <w:pPr>
              <w:pStyle w:val="258"/>
              <w:snapToGrid w:val="0"/>
              <w:spacing w:before="30"/>
              <w:ind w:left="0" w:leftChars="0" w:right="0" w:rightChars="0" w:firstLine="0" w:firstLineChars="0"/>
              <w:jc w:val="center"/>
              <w:rPr>
                <w:rFonts w:hint="eastAsia" w:ascii="宋体" w:hAnsi="宋体" w:eastAsia="宋体" w:cs="Times New Roman"/>
                <w:b w:val="0"/>
                <w:bCs/>
                <w:color w:val="000000"/>
                <w:kern w:val="0"/>
                <w:sz w:val="18"/>
                <w:szCs w:val="18"/>
                <w:lang w:val="en-US" w:eastAsia="zh-CN" w:bidi="ar-SA"/>
              </w:rPr>
            </w:pPr>
            <w:r>
              <w:rPr>
                <w:rFonts w:hint="eastAsia" w:ascii="宋体" w:hAnsi="宋体" w:eastAsia="宋体" w:cs="Times New Roman"/>
                <w:b w:val="0"/>
                <w:bCs/>
                <w:color w:val="000000"/>
                <w:kern w:val="0"/>
                <w:sz w:val="18"/>
                <w:szCs w:val="18"/>
                <w:lang w:val="en-US" w:eastAsia="zh-CN" w:bidi="ar-SA"/>
              </w:rPr>
              <w:t>≤75</w:t>
            </w:r>
          </w:p>
        </w:tc>
        <w:tc>
          <w:tcPr>
            <w:tcW w:w="2951" w:type="dxa"/>
            <w:noWrap w:val="0"/>
            <w:tcMar>
              <w:top w:w="96" w:type="dxa"/>
              <w:left w:w="96" w:type="dxa"/>
              <w:bottom w:w="96" w:type="dxa"/>
              <w:right w:w="96" w:type="dxa"/>
            </w:tcMar>
            <w:vAlign w:val="center"/>
          </w:tcPr>
          <w:p w14:paraId="475D7227">
            <w:pPr>
              <w:pStyle w:val="258"/>
              <w:snapToGrid w:val="0"/>
              <w:spacing w:before="30"/>
              <w:ind w:left="0" w:leftChars="0" w:right="0" w:rightChars="0" w:firstLine="0" w:firstLineChars="0"/>
              <w:jc w:val="center"/>
              <w:rPr>
                <w:rFonts w:hint="eastAsia" w:ascii="宋体" w:hAnsi="宋体" w:eastAsia="宋体" w:cs="Times New Roman"/>
                <w:b w:val="0"/>
                <w:bCs/>
                <w:color w:val="000000"/>
                <w:kern w:val="0"/>
                <w:sz w:val="18"/>
                <w:szCs w:val="18"/>
                <w:lang w:val="en-US" w:eastAsia="zh-CN" w:bidi="ar-SA"/>
              </w:rPr>
            </w:pPr>
            <w:r>
              <w:rPr>
                <w:rFonts w:hint="eastAsia" w:ascii="宋体" w:hAnsi="宋体" w:eastAsia="宋体" w:cs="Times New Roman"/>
                <w:b w:val="0"/>
                <w:bCs/>
                <w:color w:val="000000"/>
                <w:kern w:val="0"/>
                <w:sz w:val="18"/>
                <w:szCs w:val="18"/>
                <w:lang w:val="en-US" w:eastAsia="zh-CN" w:bidi="ar-SA"/>
              </w:rPr>
              <w:t>GB 5009.3</w:t>
            </w:r>
          </w:p>
        </w:tc>
      </w:tr>
      <w:tr w14:paraId="738D64F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2836" w:type="dxa"/>
            <w:noWrap w:val="0"/>
            <w:tcMar>
              <w:top w:w="96" w:type="dxa"/>
              <w:left w:w="96" w:type="dxa"/>
              <w:bottom w:w="96" w:type="dxa"/>
              <w:right w:w="96" w:type="dxa"/>
            </w:tcMar>
            <w:vAlign w:val="center"/>
          </w:tcPr>
          <w:p w14:paraId="17503459">
            <w:pPr>
              <w:pStyle w:val="258"/>
              <w:snapToGrid w:val="0"/>
              <w:spacing w:before="30"/>
              <w:ind w:left="0" w:leftChars="0" w:right="0" w:rightChars="0" w:firstLine="0" w:firstLineChars="0"/>
              <w:jc w:val="center"/>
              <w:rPr>
                <w:rFonts w:hint="eastAsia" w:ascii="宋体" w:hAnsi="宋体" w:eastAsia="宋体" w:cs="Times New Roman"/>
                <w:b w:val="0"/>
                <w:bCs/>
                <w:color w:val="000000"/>
                <w:kern w:val="0"/>
                <w:sz w:val="18"/>
                <w:szCs w:val="18"/>
                <w:lang w:val="en-US" w:eastAsia="zh-CN" w:bidi="ar-SA"/>
              </w:rPr>
            </w:pPr>
            <w:r>
              <w:rPr>
                <w:rFonts w:hint="eastAsia" w:ascii="宋体" w:hAnsi="宋体" w:eastAsia="宋体" w:cs="Times New Roman"/>
                <w:b w:val="0"/>
                <w:bCs/>
                <w:color w:val="000000"/>
                <w:kern w:val="0"/>
                <w:sz w:val="18"/>
                <w:szCs w:val="18"/>
                <w:lang w:val="en-US" w:eastAsia="zh-CN" w:bidi="ar-SA"/>
              </w:rPr>
              <w:t>蛋白质/(g/100g)</w:t>
            </w:r>
          </w:p>
        </w:tc>
        <w:tc>
          <w:tcPr>
            <w:tcW w:w="1860" w:type="dxa"/>
            <w:noWrap w:val="0"/>
            <w:tcMar>
              <w:top w:w="96" w:type="dxa"/>
              <w:left w:w="96" w:type="dxa"/>
              <w:bottom w:w="96" w:type="dxa"/>
              <w:right w:w="96" w:type="dxa"/>
            </w:tcMar>
            <w:vAlign w:val="center"/>
          </w:tcPr>
          <w:p w14:paraId="758E7FB5">
            <w:pPr>
              <w:pStyle w:val="258"/>
              <w:snapToGrid w:val="0"/>
              <w:spacing w:before="30"/>
              <w:ind w:left="0" w:leftChars="0" w:right="0" w:rightChars="0" w:firstLine="0" w:firstLineChars="0"/>
              <w:jc w:val="center"/>
              <w:rPr>
                <w:rFonts w:hint="eastAsia" w:ascii="宋体" w:hAnsi="宋体" w:eastAsia="宋体" w:cs="Times New Roman"/>
                <w:b w:val="0"/>
                <w:bCs/>
                <w:color w:val="000000"/>
                <w:kern w:val="0"/>
                <w:sz w:val="18"/>
                <w:szCs w:val="18"/>
                <w:lang w:val="en-US" w:eastAsia="zh-CN" w:bidi="ar-SA"/>
              </w:rPr>
            </w:pPr>
            <w:r>
              <w:rPr>
                <w:rFonts w:hint="eastAsia" w:ascii="宋体" w:hAnsi="宋体" w:eastAsia="宋体" w:cs="Times New Roman"/>
                <w:b w:val="0"/>
                <w:bCs/>
                <w:color w:val="000000"/>
                <w:kern w:val="0"/>
                <w:sz w:val="18"/>
                <w:szCs w:val="18"/>
                <w:lang w:val="en-US" w:eastAsia="zh-CN" w:bidi="ar-SA"/>
              </w:rPr>
              <w:t>≥14</w:t>
            </w:r>
          </w:p>
        </w:tc>
        <w:tc>
          <w:tcPr>
            <w:tcW w:w="1896" w:type="dxa"/>
            <w:noWrap w:val="0"/>
            <w:tcMar>
              <w:top w:w="96" w:type="dxa"/>
              <w:left w:w="96" w:type="dxa"/>
              <w:bottom w:w="96" w:type="dxa"/>
              <w:right w:w="96" w:type="dxa"/>
            </w:tcMar>
            <w:vAlign w:val="center"/>
          </w:tcPr>
          <w:p w14:paraId="15D6E768">
            <w:pPr>
              <w:pStyle w:val="258"/>
              <w:snapToGrid w:val="0"/>
              <w:spacing w:before="30"/>
              <w:ind w:left="0" w:leftChars="0" w:right="0" w:rightChars="0" w:firstLine="0" w:firstLineChars="0"/>
              <w:jc w:val="center"/>
              <w:rPr>
                <w:rFonts w:hint="eastAsia" w:ascii="宋体" w:hAnsi="宋体" w:eastAsia="宋体" w:cs="Times New Roman"/>
                <w:b w:val="0"/>
                <w:bCs/>
                <w:color w:val="000000"/>
                <w:kern w:val="0"/>
                <w:sz w:val="18"/>
                <w:szCs w:val="18"/>
                <w:lang w:val="en-US" w:eastAsia="zh-CN" w:bidi="ar-SA"/>
              </w:rPr>
            </w:pPr>
            <w:r>
              <w:rPr>
                <w:rFonts w:hint="eastAsia" w:ascii="宋体" w:hAnsi="宋体" w:eastAsia="宋体" w:cs="Times New Roman"/>
                <w:b w:val="0"/>
                <w:bCs/>
                <w:color w:val="000000"/>
                <w:kern w:val="0"/>
                <w:sz w:val="18"/>
                <w:szCs w:val="18"/>
                <w:lang w:val="en-US" w:eastAsia="zh-CN" w:bidi="ar-SA"/>
              </w:rPr>
              <w:t>≥10</w:t>
            </w:r>
          </w:p>
        </w:tc>
        <w:tc>
          <w:tcPr>
            <w:tcW w:w="2951" w:type="dxa"/>
            <w:noWrap w:val="0"/>
            <w:tcMar>
              <w:top w:w="96" w:type="dxa"/>
              <w:left w:w="96" w:type="dxa"/>
              <w:bottom w:w="96" w:type="dxa"/>
              <w:right w:w="96" w:type="dxa"/>
            </w:tcMar>
            <w:vAlign w:val="center"/>
          </w:tcPr>
          <w:p w14:paraId="456FF614">
            <w:pPr>
              <w:pStyle w:val="258"/>
              <w:snapToGrid w:val="0"/>
              <w:spacing w:before="30"/>
              <w:ind w:left="0" w:leftChars="0" w:right="0" w:rightChars="0" w:firstLine="0" w:firstLineChars="0"/>
              <w:jc w:val="center"/>
              <w:rPr>
                <w:rFonts w:hint="eastAsia" w:ascii="宋体" w:hAnsi="宋体" w:eastAsia="宋体" w:cs="Times New Roman"/>
                <w:b w:val="0"/>
                <w:bCs/>
                <w:color w:val="000000"/>
                <w:kern w:val="0"/>
                <w:sz w:val="18"/>
                <w:szCs w:val="18"/>
                <w:lang w:val="en-US" w:eastAsia="zh-CN" w:bidi="ar-SA"/>
              </w:rPr>
            </w:pPr>
            <w:r>
              <w:rPr>
                <w:rFonts w:hint="eastAsia" w:ascii="宋体" w:hAnsi="宋体" w:eastAsia="宋体" w:cs="Times New Roman"/>
                <w:b w:val="0"/>
                <w:bCs/>
                <w:color w:val="000000"/>
                <w:kern w:val="0"/>
                <w:sz w:val="18"/>
                <w:szCs w:val="18"/>
                <w:lang w:val="en-US" w:eastAsia="zh-CN" w:bidi="ar-SA"/>
              </w:rPr>
              <w:t>GB 5009.5</w:t>
            </w:r>
          </w:p>
        </w:tc>
      </w:tr>
      <w:tr w14:paraId="6901A5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2836" w:type="dxa"/>
            <w:noWrap w:val="0"/>
            <w:tcMar>
              <w:top w:w="96" w:type="dxa"/>
              <w:left w:w="96" w:type="dxa"/>
              <w:bottom w:w="96" w:type="dxa"/>
              <w:right w:w="96" w:type="dxa"/>
            </w:tcMar>
            <w:vAlign w:val="center"/>
          </w:tcPr>
          <w:p w14:paraId="6DAACBB9">
            <w:pPr>
              <w:pStyle w:val="258"/>
              <w:snapToGrid w:val="0"/>
              <w:spacing w:before="30"/>
              <w:ind w:left="0" w:leftChars="0" w:right="0" w:rightChars="0" w:firstLine="0" w:firstLineChars="0"/>
              <w:jc w:val="center"/>
              <w:rPr>
                <w:rFonts w:hint="eastAsia" w:ascii="宋体" w:hAnsi="宋体" w:eastAsia="宋体" w:cs="Times New Roman"/>
                <w:b w:val="0"/>
                <w:bCs/>
                <w:color w:val="000000"/>
                <w:kern w:val="0"/>
                <w:sz w:val="18"/>
                <w:szCs w:val="18"/>
                <w:lang w:val="en-US" w:eastAsia="zh-CN" w:bidi="ar-SA"/>
              </w:rPr>
            </w:pPr>
            <w:r>
              <w:rPr>
                <w:rFonts w:hint="eastAsia" w:ascii="宋体" w:hAnsi="宋体" w:eastAsia="宋体" w:cs="Times New Roman"/>
                <w:b w:val="0"/>
                <w:bCs/>
                <w:color w:val="000000"/>
                <w:kern w:val="0"/>
                <w:sz w:val="18"/>
                <w:szCs w:val="18"/>
                <w:lang w:val="en-US" w:eastAsia="zh-CN" w:bidi="ar-SA"/>
              </w:rPr>
              <w:t>脂肪/(g/100g)</w:t>
            </w:r>
          </w:p>
        </w:tc>
        <w:tc>
          <w:tcPr>
            <w:tcW w:w="1860" w:type="dxa"/>
            <w:noWrap w:val="0"/>
            <w:tcMar>
              <w:top w:w="96" w:type="dxa"/>
              <w:left w:w="96" w:type="dxa"/>
              <w:bottom w:w="96" w:type="dxa"/>
              <w:right w:w="96" w:type="dxa"/>
            </w:tcMar>
            <w:vAlign w:val="center"/>
          </w:tcPr>
          <w:p w14:paraId="4E9C2442">
            <w:pPr>
              <w:pStyle w:val="258"/>
              <w:snapToGrid w:val="0"/>
              <w:spacing w:before="30"/>
              <w:ind w:left="0" w:leftChars="0" w:right="0" w:rightChars="0" w:firstLine="0" w:firstLineChars="0"/>
              <w:jc w:val="center"/>
              <w:rPr>
                <w:rFonts w:hint="eastAsia" w:ascii="宋体" w:hAnsi="宋体" w:eastAsia="宋体" w:cs="Times New Roman"/>
                <w:b w:val="0"/>
                <w:bCs/>
                <w:color w:val="000000"/>
                <w:kern w:val="0"/>
                <w:sz w:val="18"/>
                <w:szCs w:val="18"/>
                <w:lang w:val="en-US" w:eastAsia="zh-CN" w:bidi="ar-SA"/>
              </w:rPr>
            </w:pPr>
            <w:r>
              <w:rPr>
                <w:rFonts w:hint="eastAsia" w:ascii="宋体" w:hAnsi="宋体" w:eastAsia="宋体" w:cs="Times New Roman"/>
                <w:b w:val="0"/>
                <w:bCs/>
                <w:color w:val="000000"/>
                <w:kern w:val="0"/>
                <w:sz w:val="18"/>
                <w:szCs w:val="18"/>
                <w:lang w:val="en-US" w:eastAsia="zh-CN" w:bidi="ar-SA"/>
              </w:rPr>
              <w:t>≤12</w:t>
            </w:r>
          </w:p>
        </w:tc>
        <w:tc>
          <w:tcPr>
            <w:tcW w:w="1896" w:type="dxa"/>
            <w:noWrap w:val="0"/>
            <w:tcMar>
              <w:top w:w="96" w:type="dxa"/>
              <w:left w:w="96" w:type="dxa"/>
              <w:bottom w:w="96" w:type="dxa"/>
              <w:right w:w="96" w:type="dxa"/>
            </w:tcMar>
            <w:vAlign w:val="center"/>
          </w:tcPr>
          <w:p w14:paraId="42391688">
            <w:pPr>
              <w:pStyle w:val="258"/>
              <w:snapToGrid w:val="0"/>
              <w:spacing w:before="30"/>
              <w:ind w:left="0" w:leftChars="0" w:right="0" w:rightChars="0" w:firstLine="0" w:firstLineChars="0"/>
              <w:jc w:val="center"/>
              <w:rPr>
                <w:rFonts w:hint="eastAsia" w:ascii="宋体" w:hAnsi="宋体" w:eastAsia="宋体" w:cs="Times New Roman"/>
                <w:b w:val="0"/>
                <w:bCs/>
                <w:color w:val="000000"/>
                <w:kern w:val="0"/>
                <w:sz w:val="18"/>
                <w:szCs w:val="18"/>
                <w:lang w:val="en-US" w:eastAsia="zh-CN" w:bidi="ar-SA"/>
              </w:rPr>
            </w:pPr>
            <w:r>
              <w:rPr>
                <w:rFonts w:hint="eastAsia" w:ascii="宋体" w:hAnsi="宋体" w:eastAsia="宋体" w:cs="Times New Roman"/>
                <w:b w:val="0"/>
                <w:bCs/>
                <w:color w:val="000000"/>
                <w:kern w:val="0"/>
                <w:sz w:val="18"/>
                <w:szCs w:val="18"/>
                <w:lang w:val="en-US" w:eastAsia="zh-CN" w:bidi="ar-SA"/>
              </w:rPr>
              <w:t>≤15</w:t>
            </w:r>
          </w:p>
        </w:tc>
        <w:tc>
          <w:tcPr>
            <w:tcW w:w="2951" w:type="dxa"/>
            <w:noWrap w:val="0"/>
            <w:tcMar>
              <w:top w:w="96" w:type="dxa"/>
              <w:left w:w="96" w:type="dxa"/>
              <w:bottom w:w="96" w:type="dxa"/>
              <w:right w:w="96" w:type="dxa"/>
            </w:tcMar>
            <w:vAlign w:val="center"/>
          </w:tcPr>
          <w:p w14:paraId="16DC1EAC">
            <w:pPr>
              <w:pStyle w:val="258"/>
              <w:snapToGrid w:val="0"/>
              <w:spacing w:before="30"/>
              <w:ind w:left="0" w:leftChars="0" w:right="0" w:rightChars="0" w:firstLine="0" w:firstLineChars="0"/>
              <w:jc w:val="center"/>
              <w:rPr>
                <w:rFonts w:hint="eastAsia" w:ascii="宋体" w:hAnsi="宋体" w:eastAsia="宋体" w:cs="Times New Roman"/>
                <w:b w:val="0"/>
                <w:bCs/>
                <w:color w:val="000000"/>
                <w:kern w:val="0"/>
                <w:sz w:val="18"/>
                <w:szCs w:val="18"/>
                <w:lang w:val="en-US" w:eastAsia="zh-CN" w:bidi="ar-SA"/>
              </w:rPr>
            </w:pPr>
            <w:r>
              <w:rPr>
                <w:rFonts w:hint="eastAsia" w:ascii="宋体" w:hAnsi="宋体" w:eastAsia="宋体" w:cs="Times New Roman"/>
                <w:b w:val="0"/>
                <w:bCs/>
                <w:color w:val="000000"/>
                <w:kern w:val="0"/>
                <w:sz w:val="18"/>
                <w:szCs w:val="18"/>
                <w:lang w:val="en-US" w:eastAsia="zh-CN" w:bidi="ar-SA"/>
              </w:rPr>
              <w:t>GB 5009.6</w:t>
            </w:r>
          </w:p>
        </w:tc>
      </w:tr>
      <w:tr w14:paraId="73F1C88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2836" w:type="dxa"/>
            <w:noWrap w:val="0"/>
            <w:tcMar>
              <w:top w:w="96" w:type="dxa"/>
              <w:left w:w="96" w:type="dxa"/>
              <w:bottom w:w="96" w:type="dxa"/>
              <w:right w:w="96" w:type="dxa"/>
            </w:tcMar>
            <w:vAlign w:val="center"/>
          </w:tcPr>
          <w:p w14:paraId="0F3A420A">
            <w:pPr>
              <w:pStyle w:val="258"/>
              <w:snapToGrid w:val="0"/>
              <w:spacing w:before="30"/>
              <w:ind w:left="0" w:leftChars="0" w:right="0" w:rightChars="0" w:firstLine="0" w:firstLineChars="0"/>
              <w:jc w:val="center"/>
              <w:rPr>
                <w:rFonts w:hint="eastAsia" w:ascii="宋体" w:hAnsi="宋体" w:eastAsia="宋体" w:cs="Times New Roman"/>
                <w:b w:val="0"/>
                <w:bCs/>
                <w:color w:val="000000"/>
                <w:kern w:val="0"/>
                <w:sz w:val="18"/>
                <w:szCs w:val="18"/>
                <w:lang w:val="en-US" w:eastAsia="zh-CN" w:bidi="ar-SA"/>
              </w:rPr>
            </w:pPr>
            <w:r>
              <w:rPr>
                <w:rFonts w:hint="eastAsia" w:ascii="宋体" w:hAnsi="宋体" w:eastAsia="宋体" w:cs="Times New Roman"/>
                <w:b w:val="0"/>
                <w:bCs/>
                <w:color w:val="000000"/>
                <w:kern w:val="0"/>
                <w:sz w:val="18"/>
                <w:szCs w:val="18"/>
                <w:lang w:val="en-US" w:eastAsia="zh-CN" w:bidi="ar-SA"/>
              </w:rPr>
              <w:t>淀粉/(g/100g)</w:t>
            </w:r>
          </w:p>
        </w:tc>
        <w:tc>
          <w:tcPr>
            <w:tcW w:w="1860" w:type="dxa"/>
            <w:noWrap w:val="0"/>
            <w:tcMar>
              <w:top w:w="96" w:type="dxa"/>
              <w:left w:w="96" w:type="dxa"/>
              <w:bottom w:w="96" w:type="dxa"/>
              <w:right w:w="96" w:type="dxa"/>
            </w:tcMar>
            <w:vAlign w:val="center"/>
          </w:tcPr>
          <w:p w14:paraId="4EA3DF8E">
            <w:pPr>
              <w:pStyle w:val="258"/>
              <w:snapToGrid w:val="0"/>
              <w:spacing w:before="30"/>
              <w:ind w:left="0" w:leftChars="0" w:right="0" w:rightChars="0" w:firstLine="0" w:firstLineChars="0"/>
              <w:jc w:val="center"/>
              <w:rPr>
                <w:rFonts w:hint="eastAsia" w:ascii="宋体" w:hAnsi="宋体" w:eastAsia="宋体" w:cs="Times New Roman"/>
                <w:b w:val="0"/>
                <w:bCs/>
                <w:color w:val="000000"/>
                <w:kern w:val="0"/>
                <w:sz w:val="18"/>
                <w:szCs w:val="18"/>
                <w:lang w:val="en-US" w:eastAsia="zh-CN" w:bidi="ar-SA"/>
              </w:rPr>
            </w:pPr>
            <w:r>
              <w:rPr>
                <w:rFonts w:hint="eastAsia" w:ascii="宋体" w:hAnsi="宋体" w:eastAsia="宋体" w:cs="Times New Roman"/>
                <w:b w:val="0"/>
                <w:bCs/>
                <w:color w:val="000000"/>
                <w:kern w:val="0"/>
                <w:sz w:val="18"/>
                <w:szCs w:val="18"/>
                <w:lang w:val="en-US" w:eastAsia="zh-CN" w:bidi="ar-SA"/>
              </w:rPr>
              <w:t>≤6</w:t>
            </w:r>
          </w:p>
        </w:tc>
        <w:tc>
          <w:tcPr>
            <w:tcW w:w="1896" w:type="dxa"/>
            <w:noWrap w:val="0"/>
            <w:tcMar>
              <w:top w:w="96" w:type="dxa"/>
              <w:left w:w="96" w:type="dxa"/>
              <w:bottom w:w="96" w:type="dxa"/>
              <w:right w:w="96" w:type="dxa"/>
            </w:tcMar>
            <w:vAlign w:val="center"/>
          </w:tcPr>
          <w:p w14:paraId="5F9CF858">
            <w:pPr>
              <w:pStyle w:val="258"/>
              <w:snapToGrid w:val="0"/>
              <w:spacing w:before="30"/>
              <w:ind w:left="0" w:leftChars="0" w:right="0" w:rightChars="0" w:firstLine="0" w:firstLineChars="0"/>
              <w:jc w:val="center"/>
              <w:rPr>
                <w:rFonts w:hint="eastAsia" w:ascii="宋体" w:hAnsi="宋体" w:eastAsia="宋体" w:cs="Times New Roman"/>
                <w:b w:val="0"/>
                <w:bCs/>
                <w:color w:val="000000"/>
                <w:kern w:val="0"/>
                <w:sz w:val="18"/>
                <w:szCs w:val="18"/>
                <w:lang w:val="en-US" w:eastAsia="zh-CN" w:bidi="ar-SA"/>
              </w:rPr>
            </w:pPr>
            <w:r>
              <w:rPr>
                <w:rFonts w:hint="eastAsia" w:ascii="宋体" w:hAnsi="宋体" w:eastAsia="宋体" w:cs="Times New Roman"/>
                <w:b w:val="0"/>
                <w:bCs/>
                <w:color w:val="000000"/>
                <w:kern w:val="0"/>
                <w:sz w:val="18"/>
                <w:szCs w:val="18"/>
                <w:lang w:val="en-US" w:eastAsia="zh-CN" w:bidi="ar-SA"/>
              </w:rPr>
              <w:t>≤15</w:t>
            </w:r>
          </w:p>
        </w:tc>
        <w:tc>
          <w:tcPr>
            <w:tcW w:w="2951" w:type="dxa"/>
            <w:noWrap w:val="0"/>
            <w:tcMar>
              <w:top w:w="96" w:type="dxa"/>
              <w:left w:w="96" w:type="dxa"/>
              <w:bottom w:w="96" w:type="dxa"/>
              <w:right w:w="96" w:type="dxa"/>
            </w:tcMar>
            <w:vAlign w:val="center"/>
          </w:tcPr>
          <w:p w14:paraId="5A7DDA76">
            <w:pPr>
              <w:pStyle w:val="258"/>
              <w:snapToGrid w:val="0"/>
              <w:spacing w:before="30"/>
              <w:ind w:left="0" w:leftChars="0" w:right="0" w:rightChars="0" w:firstLine="0" w:firstLineChars="0"/>
              <w:jc w:val="center"/>
              <w:rPr>
                <w:rFonts w:hint="eastAsia" w:ascii="宋体" w:hAnsi="宋体" w:eastAsia="宋体" w:cs="Times New Roman"/>
                <w:b w:val="0"/>
                <w:bCs/>
                <w:color w:val="000000"/>
                <w:kern w:val="0"/>
                <w:sz w:val="18"/>
                <w:szCs w:val="18"/>
                <w:lang w:val="en-US" w:eastAsia="zh-CN" w:bidi="ar-SA"/>
              </w:rPr>
            </w:pPr>
            <w:r>
              <w:rPr>
                <w:rFonts w:hint="eastAsia" w:ascii="宋体" w:hAnsi="宋体" w:eastAsia="宋体" w:cs="Times New Roman"/>
                <w:b w:val="0"/>
                <w:bCs/>
                <w:color w:val="000000"/>
                <w:kern w:val="0"/>
                <w:sz w:val="18"/>
                <w:szCs w:val="18"/>
                <w:lang w:val="en-US" w:eastAsia="zh-CN" w:bidi="ar-SA"/>
              </w:rPr>
              <w:t>GB 5009.9</w:t>
            </w:r>
          </w:p>
        </w:tc>
      </w:tr>
      <w:tr w14:paraId="394706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2836" w:type="dxa"/>
            <w:noWrap w:val="0"/>
            <w:tcMar>
              <w:top w:w="96" w:type="dxa"/>
              <w:left w:w="96" w:type="dxa"/>
              <w:bottom w:w="96" w:type="dxa"/>
              <w:right w:w="96" w:type="dxa"/>
            </w:tcMar>
            <w:vAlign w:val="center"/>
          </w:tcPr>
          <w:p w14:paraId="21535598">
            <w:pPr>
              <w:pStyle w:val="258"/>
              <w:snapToGrid w:val="0"/>
              <w:spacing w:before="30"/>
              <w:ind w:left="0" w:leftChars="0" w:right="0" w:rightChars="0" w:firstLine="0" w:firstLineChars="0"/>
              <w:jc w:val="center"/>
              <w:rPr>
                <w:rFonts w:hint="eastAsia" w:ascii="宋体" w:hAnsi="宋体" w:eastAsia="宋体" w:cs="Times New Roman"/>
                <w:b w:val="0"/>
                <w:bCs/>
                <w:color w:val="000000"/>
                <w:kern w:val="0"/>
                <w:sz w:val="18"/>
                <w:szCs w:val="18"/>
                <w:lang w:val="en-US" w:eastAsia="zh-CN" w:bidi="ar-SA"/>
              </w:rPr>
            </w:pPr>
            <w:r>
              <w:rPr>
                <w:rFonts w:hint="eastAsia" w:ascii="宋体" w:hAnsi="宋体" w:eastAsia="宋体" w:cs="Times New Roman"/>
                <w:b w:val="0"/>
                <w:bCs/>
                <w:color w:val="000000"/>
                <w:kern w:val="0"/>
                <w:sz w:val="18"/>
                <w:szCs w:val="18"/>
                <w:lang w:val="en-US" w:eastAsia="zh-CN" w:bidi="ar-SA"/>
              </w:rPr>
              <w:t>牦牛肉含量/(g/100g)</w:t>
            </w:r>
          </w:p>
        </w:tc>
        <w:tc>
          <w:tcPr>
            <w:tcW w:w="1860" w:type="dxa"/>
            <w:noWrap w:val="0"/>
            <w:tcMar>
              <w:top w:w="96" w:type="dxa"/>
              <w:left w:w="96" w:type="dxa"/>
              <w:bottom w:w="96" w:type="dxa"/>
              <w:right w:w="96" w:type="dxa"/>
            </w:tcMar>
            <w:vAlign w:val="center"/>
          </w:tcPr>
          <w:p w14:paraId="495EE386">
            <w:pPr>
              <w:pStyle w:val="258"/>
              <w:snapToGrid w:val="0"/>
              <w:spacing w:before="30"/>
              <w:ind w:left="0" w:leftChars="0" w:right="0" w:rightChars="0" w:firstLine="0" w:firstLineChars="0"/>
              <w:jc w:val="center"/>
              <w:rPr>
                <w:rFonts w:hint="eastAsia" w:ascii="宋体" w:hAnsi="宋体" w:eastAsia="宋体" w:cs="Times New Roman"/>
                <w:b w:val="0"/>
                <w:bCs/>
                <w:color w:val="000000"/>
                <w:kern w:val="0"/>
                <w:sz w:val="18"/>
                <w:szCs w:val="18"/>
                <w:lang w:val="en-US" w:eastAsia="zh-CN" w:bidi="ar-SA"/>
              </w:rPr>
            </w:pPr>
            <w:r>
              <w:rPr>
                <w:rFonts w:hint="eastAsia" w:ascii="宋体" w:hAnsi="宋体" w:eastAsia="宋体" w:cs="Times New Roman"/>
                <w:b w:val="0"/>
                <w:bCs/>
                <w:color w:val="000000"/>
                <w:kern w:val="0"/>
                <w:sz w:val="18"/>
                <w:szCs w:val="18"/>
                <w:lang w:val="en-US" w:eastAsia="zh-CN" w:bidi="ar-SA"/>
              </w:rPr>
              <w:t>≥80</w:t>
            </w:r>
          </w:p>
        </w:tc>
        <w:tc>
          <w:tcPr>
            <w:tcW w:w="1896" w:type="dxa"/>
            <w:noWrap w:val="0"/>
            <w:tcMar>
              <w:top w:w="96" w:type="dxa"/>
              <w:left w:w="96" w:type="dxa"/>
              <w:bottom w:w="96" w:type="dxa"/>
              <w:right w:w="96" w:type="dxa"/>
            </w:tcMar>
            <w:vAlign w:val="center"/>
          </w:tcPr>
          <w:p w14:paraId="30AE05C5">
            <w:pPr>
              <w:pStyle w:val="258"/>
              <w:snapToGrid w:val="0"/>
              <w:spacing w:before="30"/>
              <w:ind w:left="0" w:leftChars="0" w:right="0" w:rightChars="0" w:firstLine="0" w:firstLineChars="0"/>
              <w:jc w:val="center"/>
              <w:rPr>
                <w:rFonts w:hint="eastAsia" w:ascii="宋体" w:hAnsi="宋体" w:eastAsia="宋体" w:cs="Times New Roman"/>
                <w:b w:val="0"/>
                <w:bCs/>
                <w:color w:val="000000"/>
                <w:kern w:val="0"/>
                <w:sz w:val="18"/>
                <w:szCs w:val="18"/>
                <w:lang w:val="en-US" w:eastAsia="zh-CN" w:bidi="ar-SA"/>
              </w:rPr>
            </w:pPr>
            <w:r>
              <w:rPr>
                <w:rFonts w:hint="eastAsia" w:ascii="宋体" w:hAnsi="宋体" w:eastAsia="宋体" w:cs="Times New Roman"/>
                <w:b w:val="0"/>
                <w:bCs/>
                <w:color w:val="000000"/>
                <w:kern w:val="0"/>
                <w:sz w:val="18"/>
                <w:szCs w:val="18"/>
                <w:lang w:val="en-US" w:eastAsia="zh-CN" w:bidi="ar-SA"/>
              </w:rPr>
              <w:t>≥40</w:t>
            </w:r>
          </w:p>
        </w:tc>
        <w:tc>
          <w:tcPr>
            <w:tcW w:w="2951" w:type="dxa"/>
            <w:noWrap w:val="0"/>
            <w:tcMar>
              <w:top w:w="96" w:type="dxa"/>
              <w:left w:w="96" w:type="dxa"/>
              <w:bottom w:w="96" w:type="dxa"/>
              <w:right w:w="96" w:type="dxa"/>
            </w:tcMar>
            <w:vAlign w:val="center"/>
          </w:tcPr>
          <w:p w14:paraId="23B0FD31">
            <w:pPr>
              <w:pStyle w:val="258"/>
              <w:snapToGrid w:val="0"/>
              <w:spacing w:before="30"/>
              <w:ind w:left="0" w:leftChars="0" w:right="0" w:rightChars="0" w:firstLine="0" w:firstLineChars="0"/>
              <w:jc w:val="center"/>
              <w:rPr>
                <w:rFonts w:hint="eastAsia" w:ascii="宋体" w:hAnsi="宋体" w:eastAsia="宋体" w:cs="Times New Roman"/>
                <w:b w:val="0"/>
                <w:bCs/>
                <w:color w:val="000000"/>
                <w:kern w:val="0"/>
                <w:sz w:val="18"/>
                <w:szCs w:val="18"/>
                <w:lang w:val="en-US" w:eastAsia="zh-CN" w:bidi="ar-SA"/>
              </w:rPr>
            </w:pPr>
            <w:r>
              <w:rPr>
                <w:rFonts w:hint="eastAsia" w:ascii="宋体" w:hAnsi="宋体" w:eastAsia="宋体" w:cs="Times New Roman"/>
                <w:b w:val="0"/>
                <w:bCs/>
                <w:color w:val="000000"/>
                <w:kern w:val="0"/>
                <w:sz w:val="18"/>
                <w:szCs w:val="18"/>
                <w:lang w:val="en-US" w:eastAsia="zh-CN" w:bidi="ar-SA"/>
              </w:rPr>
              <w:t>以生产投料配比计算，或按动物源性成分检测相关标准执行</w:t>
            </w:r>
          </w:p>
        </w:tc>
      </w:tr>
    </w:tbl>
    <w:p w14:paraId="5C3F7346">
      <w:pPr>
        <w:pStyle w:val="110"/>
        <w:numPr>
          <w:ilvl w:val="1"/>
          <w:numId w:val="0"/>
        </w:numPr>
        <w:spacing w:before="156" w:after="156"/>
        <w:ind w:left="0" w:leftChars="0" w:firstLine="0" w:firstLineChars="0"/>
        <w:rPr>
          <w:rFonts w:hint="eastAsia" w:ascii="黑体" w:hAnsi="黑体" w:eastAsia="黑体" w:cs="黑体"/>
          <w:sz w:val="20"/>
          <w:lang w:val="en-US" w:eastAsia="zh-CN" w:bidi="ar-SA"/>
        </w:rPr>
      </w:pPr>
    </w:p>
    <w:p w14:paraId="2FF686EE">
      <w:pPr>
        <w:pStyle w:val="110"/>
        <w:bidi w:val="0"/>
      </w:pPr>
      <w:r>
        <w:t>微生物限量</w:t>
      </w:r>
    </w:p>
    <w:p w14:paraId="6748C253">
      <w:pPr>
        <w:pStyle w:val="60"/>
        <w:rPr>
          <w:rFonts w:hint="eastAsia"/>
        </w:rPr>
      </w:pPr>
      <w:r>
        <w:rPr>
          <w:rFonts w:hint="eastAsia"/>
        </w:rPr>
        <w:t>微生物限量应符合表4的规定</w:t>
      </w:r>
    </w:p>
    <w:p w14:paraId="5268228F">
      <w:pPr>
        <w:pStyle w:val="118"/>
        <w:keepNext/>
        <w:tabs>
          <w:tab w:val="left" w:pos="539"/>
          <w:tab w:val="clear" w:pos="0"/>
        </w:tabs>
        <w:spacing w:before="156" w:after="156"/>
        <w:rPr>
          <w:rFonts w:hint="eastAsia"/>
        </w:rPr>
      </w:pPr>
      <w:r>
        <w:t>微生物限量</w:t>
      </w:r>
    </w:p>
    <w:tbl>
      <w:tblPr>
        <w:tblStyle w:val="259"/>
        <w:tblW w:w="9550"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3182"/>
        <w:gridCol w:w="789"/>
        <w:gridCol w:w="799"/>
        <w:gridCol w:w="789"/>
        <w:gridCol w:w="809"/>
        <w:gridCol w:w="3182"/>
      </w:tblGrid>
      <w:tr w14:paraId="53A5D3C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473" w:hRule="atLeast"/>
          <w:jc w:val="center"/>
        </w:trPr>
        <w:tc>
          <w:tcPr>
            <w:tcW w:w="3182" w:type="dxa"/>
            <w:vMerge w:val="restart"/>
            <w:tcBorders>
              <w:bottom w:val="nil"/>
            </w:tcBorders>
            <w:noWrap w:val="0"/>
            <w:vAlign w:val="center"/>
          </w:tcPr>
          <w:p w14:paraId="048C8BD8">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项 目</w:t>
            </w:r>
          </w:p>
        </w:tc>
        <w:tc>
          <w:tcPr>
            <w:tcW w:w="3186" w:type="dxa"/>
            <w:gridSpan w:val="4"/>
            <w:noWrap w:val="0"/>
            <w:vAlign w:val="center"/>
          </w:tcPr>
          <w:p w14:paraId="701E9DE2">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采样方案及限量(若非指定，均以/25g</w:t>
            </w:r>
          </w:p>
          <w:p w14:paraId="2C05AF17">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表示)</w:t>
            </w:r>
          </w:p>
        </w:tc>
        <w:tc>
          <w:tcPr>
            <w:tcW w:w="3182" w:type="dxa"/>
            <w:vMerge w:val="restart"/>
            <w:tcBorders>
              <w:bottom w:val="nil"/>
            </w:tcBorders>
            <w:noWrap w:val="0"/>
            <w:vAlign w:val="center"/>
          </w:tcPr>
          <w:p w14:paraId="064BDCC1">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检验方法</w:t>
            </w:r>
          </w:p>
        </w:tc>
      </w:tr>
      <w:tr w14:paraId="6FD88B9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39" w:hRule="atLeast"/>
          <w:jc w:val="center"/>
        </w:trPr>
        <w:tc>
          <w:tcPr>
            <w:tcW w:w="3182" w:type="dxa"/>
            <w:vMerge w:val="continue"/>
            <w:tcBorders>
              <w:top w:val="nil"/>
            </w:tcBorders>
            <w:noWrap w:val="0"/>
            <w:vAlign w:val="center"/>
          </w:tcPr>
          <w:p w14:paraId="0EC531AC">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p>
        </w:tc>
        <w:tc>
          <w:tcPr>
            <w:tcW w:w="789" w:type="dxa"/>
            <w:noWrap w:val="0"/>
            <w:vAlign w:val="center"/>
          </w:tcPr>
          <w:p w14:paraId="438BB66F">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n</w:t>
            </w:r>
          </w:p>
        </w:tc>
        <w:tc>
          <w:tcPr>
            <w:tcW w:w="799" w:type="dxa"/>
            <w:noWrap w:val="0"/>
            <w:vAlign w:val="center"/>
          </w:tcPr>
          <w:p w14:paraId="38FBE6A7">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C</w:t>
            </w:r>
          </w:p>
        </w:tc>
        <w:tc>
          <w:tcPr>
            <w:tcW w:w="789" w:type="dxa"/>
            <w:noWrap w:val="0"/>
            <w:vAlign w:val="center"/>
          </w:tcPr>
          <w:p w14:paraId="39CEC916">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m</w:t>
            </w:r>
          </w:p>
        </w:tc>
        <w:tc>
          <w:tcPr>
            <w:tcW w:w="809" w:type="dxa"/>
            <w:noWrap w:val="0"/>
            <w:vAlign w:val="center"/>
          </w:tcPr>
          <w:p w14:paraId="568EE423">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M</w:t>
            </w:r>
          </w:p>
        </w:tc>
        <w:tc>
          <w:tcPr>
            <w:tcW w:w="3182" w:type="dxa"/>
            <w:vMerge w:val="continue"/>
            <w:tcBorders>
              <w:top w:val="nil"/>
            </w:tcBorders>
            <w:noWrap w:val="0"/>
            <w:vAlign w:val="center"/>
          </w:tcPr>
          <w:p w14:paraId="27C58ABF">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p>
        </w:tc>
      </w:tr>
      <w:tr w14:paraId="09F6135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39" w:hRule="atLeast"/>
          <w:jc w:val="center"/>
        </w:trPr>
        <w:tc>
          <w:tcPr>
            <w:tcW w:w="3182" w:type="dxa"/>
            <w:noWrap w:val="0"/>
            <w:vAlign w:val="center"/>
          </w:tcPr>
          <w:p w14:paraId="46A44343">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菌落总数，CFU/g</w:t>
            </w:r>
          </w:p>
        </w:tc>
        <w:tc>
          <w:tcPr>
            <w:tcW w:w="789" w:type="dxa"/>
            <w:noWrap w:val="0"/>
            <w:vAlign w:val="center"/>
          </w:tcPr>
          <w:p w14:paraId="57BA79C6">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5</w:t>
            </w:r>
          </w:p>
        </w:tc>
        <w:tc>
          <w:tcPr>
            <w:tcW w:w="799" w:type="dxa"/>
            <w:noWrap w:val="0"/>
            <w:vAlign w:val="center"/>
          </w:tcPr>
          <w:p w14:paraId="5E5CDC5F">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2</w:t>
            </w:r>
          </w:p>
        </w:tc>
        <w:tc>
          <w:tcPr>
            <w:tcW w:w="789" w:type="dxa"/>
            <w:noWrap w:val="0"/>
            <w:vAlign w:val="center"/>
          </w:tcPr>
          <w:p w14:paraId="1CA96D7E">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10</w:t>
            </w:r>
            <w:r>
              <w:rPr>
                <w:rFonts w:hint="eastAsia" w:ascii="宋体" w:cs="Times New Roman"/>
                <w:b w:val="0"/>
                <w:bCs w:val="0"/>
                <w:color w:val="000000"/>
                <w:kern w:val="0"/>
                <w:sz w:val="18"/>
                <w:szCs w:val="18"/>
                <w:vertAlign w:val="superscript"/>
                <w:lang w:val="en-US" w:eastAsia="zh-CN" w:bidi="ar-SA"/>
              </w:rPr>
              <w:t>4</w:t>
            </w:r>
          </w:p>
        </w:tc>
        <w:tc>
          <w:tcPr>
            <w:tcW w:w="809" w:type="dxa"/>
            <w:noWrap w:val="0"/>
            <w:vAlign w:val="center"/>
          </w:tcPr>
          <w:p w14:paraId="1ADCF589">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10</w:t>
            </w:r>
            <w:r>
              <w:rPr>
                <w:rFonts w:hint="eastAsia" w:ascii="宋体" w:hAnsi="宋体" w:eastAsia="宋体" w:cs="Times New Roman"/>
                <w:b w:val="0"/>
                <w:bCs w:val="0"/>
                <w:color w:val="000000"/>
                <w:kern w:val="0"/>
                <w:sz w:val="18"/>
                <w:szCs w:val="18"/>
                <w:vertAlign w:val="superscript"/>
                <w:lang w:val="en-US" w:eastAsia="zh-CN" w:bidi="ar-SA"/>
              </w:rPr>
              <w:t>5</w:t>
            </w:r>
          </w:p>
        </w:tc>
        <w:tc>
          <w:tcPr>
            <w:tcW w:w="3182" w:type="dxa"/>
            <w:noWrap w:val="0"/>
            <w:vAlign w:val="center"/>
          </w:tcPr>
          <w:p w14:paraId="749D97B8">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GB 4789.2</w:t>
            </w:r>
          </w:p>
        </w:tc>
      </w:tr>
      <w:tr w14:paraId="0B887E5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39" w:hRule="atLeast"/>
          <w:jc w:val="center"/>
        </w:trPr>
        <w:tc>
          <w:tcPr>
            <w:tcW w:w="3182" w:type="dxa"/>
            <w:noWrap w:val="0"/>
            <w:vAlign w:val="center"/>
          </w:tcPr>
          <w:p w14:paraId="0808D91B">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沙门氏菌，CFU/g</w:t>
            </w:r>
          </w:p>
        </w:tc>
        <w:tc>
          <w:tcPr>
            <w:tcW w:w="789" w:type="dxa"/>
            <w:noWrap w:val="0"/>
            <w:vAlign w:val="center"/>
          </w:tcPr>
          <w:p w14:paraId="59E99620">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5</w:t>
            </w:r>
          </w:p>
        </w:tc>
        <w:tc>
          <w:tcPr>
            <w:tcW w:w="799" w:type="dxa"/>
            <w:noWrap w:val="0"/>
            <w:vAlign w:val="center"/>
          </w:tcPr>
          <w:p w14:paraId="1D636A39">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0</w:t>
            </w:r>
          </w:p>
        </w:tc>
        <w:tc>
          <w:tcPr>
            <w:tcW w:w="789" w:type="dxa"/>
            <w:noWrap w:val="0"/>
            <w:vAlign w:val="center"/>
          </w:tcPr>
          <w:p w14:paraId="1880BFAD">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0</w:t>
            </w:r>
          </w:p>
        </w:tc>
        <w:tc>
          <w:tcPr>
            <w:tcW w:w="809" w:type="dxa"/>
            <w:noWrap w:val="0"/>
            <w:vAlign w:val="center"/>
          </w:tcPr>
          <w:p w14:paraId="4F582C39">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w:t>
            </w:r>
          </w:p>
        </w:tc>
        <w:tc>
          <w:tcPr>
            <w:tcW w:w="3182" w:type="dxa"/>
            <w:noWrap w:val="0"/>
            <w:vAlign w:val="center"/>
          </w:tcPr>
          <w:p w14:paraId="4E133EAE">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GB 4789.4</w:t>
            </w:r>
          </w:p>
        </w:tc>
      </w:tr>
      <w:tr w14:paraId="3ACB696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19" w:hRule="atLeast"/>
          <w:jc w:val="center"/>
        </w:trPr>
        <w:tc>
          <w:tcPr>
            <w:tcW w:w="3182" w:type="dxa"/>
            <w:noWrap w:val="0"/>
            <w:vAlign w:val="center"/>
          </w:tcPr>
          <w:p w14:paraId="3805C884">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致泻大肠埃希氏菌</w:t>
            </w:r>
          </w:p>
        </w:tc>
        <w:tc>
          <w:tcPr>
            <w:tcW w:w="789" w:type="dxa"/>
            <w:noWrap w:val="0"/>
            <w:vAlign w:val="center"/>
          </w:tcPr>
          <w:p w14:paraId="4C326B62">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5</w:t>
            </w:r>
          </w:p>
        </w:tc>
        <w:tc>
          <w:tcPr>
            <w:tcW w:w="799" w:type="dxa"/>
            <w:noWrap w:val="0"/>
            <w:vAlign w:val="center"/>
          </w:tcPr>
          <w:p w14:paraId="43F66460">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0</w:t>
            </w:r>
          </w:p>
        </w:tc>
        <w:tc>
          <w:tcPr>
            <w:tcW w:w="789" w:type="dxa"/>
            <w:noWrap w:val="0"/>
            <w:vAlign w:val="center"/>
          </w:tcPr>
          <w:p w14:paraId="25C32B3B">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0</w:t>
            </w:r>
          </w:p>
        </w:tc>
        <w:tc>
          <w:tcPr>
            <w:tcW w:w="809" w:type="dxa"/>
            <w:noWrap w:val="0"/>
            <w:vAlign w:val="center"/>
          </w:tcPr>
          <w:p w14:paraId="30A299E7">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一</w:t>
            </w:r>
          </w:p>
        </w:tc>
        <w:tc>
          <w:tcPr>
            <w:tcW w:w="3182" w:type="dxa"/>
            <w:noWrap w:val="0"/>
            <w:vAlign w:val="center"/>
          </w:tcPr>
          <w:p w14:paraId="1C8CF204">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GB 4789.6</w:t>
            </w:r>
          </w:p>
        </w:tc>
      </w:tr>
      <w:tr w14:paraId="7CBB6C5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19" w:hRule="atLeast"/>
          <w:jc w:val="center"/>
        </w:trPr>
        <w:tc>
          <w:tcPr>
            <w:tcW w:w="3182" w:type="dxa"/>
            <w:noWrap w:val="0"/>
            <w:vAlign w:val="center"/>
          </w:tcPr>
          <w:p w14:paraId="40E42F96">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金黄色葡萄球菌，CFU/g</w:t>
            </w:r>
          </w:p>
        </w:tc>
        <w:tc>
          <w:tcPr>
            <w:tcW w:w="789" w:type="dxa"/>
            <w:noWrap w:val="0"/>
            <w:vAlign w:val="center"/>
          </w:tcPr>
          <w:p w14:paraId="21900CB2">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5</w:t>
            </w:r>
          </w:p>
        </w:tc>
        <w:tc>
          <w:tcPr>
            <w:tcW w:w="799" w:type="dxa"/>
            <w:noWrap w:val="0"/>
            <w:vAlign w:val="center"/>
          </w:tcPr>
          <w:p w14:paraId="2AB923D1">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1</w:t>
            </w:r>
          </w:p>
        </w:tc>
        <w:tc>
          <w:tcPr>
            <w:tcW w:w="789" w:type="dxa"/>
            <w:noWrap w:val="0"/>
            <w:vAlign w:val="center"/>
          </w:tcPr>
          <w:p w14:paraId="2E60CA82">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100</w:t>
            </w:r>
          </w:p>
        </w:tc>
        <w:tc>
          <w:tcPr>
            <w:tcW w:w="809" w:type="dxa"/>
            <w:noWrap w:val="0"/>
            <w:vAlign w:val="center"/>
          </w:tcPr>
          <w:p w14:paraId="367AEA59">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1000</w:t>
            </w:r>
          </w:p>
        </w:tc>
        <w:tc>
          <w:tcPr>
            <w:tcW w:w="3182" w:type="dxa"/>
            <w:noWrap w:val="0"/>
            <w:vAlign w:val="center"/>
          </w:tcPr>
          <w:p w14:paraId="73A668DB">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GB 4789.10</w:t>
            </w:r>
          </w:p>
        </w:tc>
      </w:tr>
      <w:tr w14:paraId="7A92668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39" w:hRule="atLeast"/>
          <w:jc w:val="center"/>
        </w:trPr>
        <w:tc>
          <w:tcPr>
            <w:tcW w:w="3182" w:type="dxa"/>
            <w:noWrap w:val="0"/>
            <w:vAlign w:val="center"/>
          </w:tcPr>
          <w:p w14:paraId="2FFD4ED9">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单核细胞增生李斯特氏菌</w:t>
            </w:r>
          </w:p>
        </w:tc>
        <w:tc>
          <w:tcPr>
            <w:tcW w:w="789" w:type="dxa"/>
            <w:noWrap w:val="0"/>
            <w:vAlign w:val="center"/>
          </w:tcPr>
          <w:p w14:paraId="6F15053C">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5</w:t>
            </w:r>
          </w:p>
        </w:tc>
        <w:tc>
          <w:tcPr>
            <w:tcW w:w="799" w:type="dxa"/>
            <w:noWrap w:val="0"/>
            <w:vAlign w:val="center"/>
          </w:tcPr>
          <w:p w14:paraId="7B45D4B2">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0</w:t>
            </w:r>
          </w:p>
        </w:tc>
        <w:tc>
          <w:tcPr>
            <w:tcW w:w="789" w:type="dxa"/>
            <w:noWrap w:val="0"/>
            <w:vAlign w:val="center"/>
          </w:tcPr>
          <w:p w14:paraId="69D721BF">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0</w:t>
            </w:r>
          </w:p>
        </w:tc>
        <w:tc>
          <w:tcPr>
            <w:tcW w:w="809" w:type="dxa"/>
            <w:noWrap w:val="0"/>
            <w:vAlign w:val="center"/>
          </w:tcPr>
          <w:p w14:paraId="7FA6E982">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一</w:t>
            </w:r>
          </w:p>
        </w:tc>
        <w:tc>
          <w:tcPr>
            <w:tcW w:w="3182" w:type="dxa"/>
            <w:noWrap w:val="0"/>
            <w:vAlign w:val="center"/>
          </w:tcPr>
          <w:p w14:paraId="733E842E">
            <w:pPr>
              <w:pStyle w:val="258"/>
              <w:snapToGrid w:val="0"/>
              <w:spacing w:before="30"/>
              <w:ind w:left="0" w:leftChars="0" w:right="0" w:rightChars="0" w:firstLine="0" w:firstLineChars="0"/>
              <w:jc w:val="center"/>
              <w:rPr>
                <w:rFonts w:hint="eastAsia" w:ascii="宋体" w:hAnsi="宋体" w:eastAsia="宋体" w:cs="Times New Roman"/>
                <w:b w:val="0"/>
                <w:bCs w:val="0"/>
                <w:color w:val="000000"/>
                <w:kern w:val="0"/>
                <w:sz w:val="18"/>
                <w:szCs w:val="18"/>
                <w:lang w:val="en-US" w:eastAsia="zh-CN" w:bidi="ar-SA"/>
              </w:rPr>
            </w:pPr>
            <w:r>
              <w:rPr>
                <w:rFonts w:hint="eastAsia" w:ascii="宋体" w:hAnsi="宋体" w:eastAsia="宋体" w:cs="Times New Roman"/>
                <w:b w:val="0"/>
                <w:bCs w:val="0"/>
                <w:color w:val="000000"/>
                <w:kern w:val="0"/>
                <w:sz w:val="18"/>
                <w:szCs w:val="18"/>
                <w:lang w:val="en-US" w:eastAsia="zh-CN" w:bidi="ar-SA"/>
              </w:rPr>
              <w:t>GB 4789.30</w:t>
            </w:r>
          </w:p>
        </w:tc>
      </w:tr>
      <w:tr w14:paraId="23A99CF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44" w:hRule="atLeast"/>
          <w:jc w:val="center"/>
        </w:trPr>
        <w:tc>
          <w:tcPr>
            <w:tcW w:w="9550" w:type="dxa"/>
            <w:gridSpan w:val="6"/>
            <w:noWrap w:val="0"/>
            <w:vAlign w:val="center"/>
          </w:tcPr>
          <w:p w14:paraId="6008800E">
            <w:pPr>
              <w:pStyle w:val="186"/>
              <w:bidi w:val="0"/>
              <w:rPr>
                <w:rFonts w:hint="eastAsia"/>
                <w:lang w:val="en-US" w:eastAsia="zh-CN"/>
              </w:rPr>
            </w:pPr>
            <w:r>
              <w:rPr>
                <w:rFonts w:hint="eastAsia"/>
                <w:lang w:val="en-US" w:eastAsia="zh-CN"/>
              </w:rPr>
              <w:t>样品的采样及处理按GB 4789.1执行。</w:t>
            </w:r>
          </w:p>
        </w:tc>
      </w:tr>
    </w:tbl>
    <w:p w14:paraId="7FBA37A4">
      <w:pPr>
        <w:pStyle w:val="60"/>
        <w:keepNext w:val="0"/>
        <w:keepLines w:val="0"/>
        <w:pageBreakBefore w:val="0"/>
        <w:widowControl/>
        <w:kinsoku/>
        <w:wordWrap/>
        <w:overflowPunct/>
        <w:topLinePunct w:val="0"/>
        <w:autoSpaceDE/>
        <w:autoSpaceDN/>
        <w:bidi w:val="0"/>
        <w:adjustRightInd/>
        <w:snapToGrid/>
        <w:ind w:firstLine="440"/>
        <w:textAlignment w:val="auto"/>
        <w:rPr>
          <w:rFonts w:hint="eastAsia"/>
          <w:spacing w:val="5"/>
        </w:rPr>
      </w:pPr>
    </w:p>
    <w:p w14:paraId="57123057">
      <w:pPr>
        <w:pStyle w:val="110"/>
        <w:bidi w:val="0"/>
      </w:pPr>
      <w:r>
        <w:t>污染物限量</w:t>
      </w:r>
    </w:p>
    <w:p w14:paraId="545D5298">
      <w:pPr>
        <w:pStyle w:val="60"/>
        <w:keepNext w:val="0"/>
        <w:keepLines w:val="0"/>
        <w:pageBreakBefore w:val="0"/>
        <w:widowControl/>
        <w:kinsoku/>
        <w:wordWrap/>
        <w:overflowPunct/>
        <w:topLinePunct w:val="0"/>
        <w:autoSpaceDE/>
        <w:autoSpaceDN/>
        <w:bidi w:val="0"/>
        <w:adjustRightInd/>
        <w:snapToGrid/>
        <w:ind w:firstLine="440"/>
        <w:textAlignment w:val="auto"/>
      </w:pPr>
      <w:r>
        <w:rPr>
          <w:rFonts w:hint="eastAsia" w:ascii="Times New Roman" w:hAnsi="Times New Roman" w:eastAsia="宋体" w:cs="Times New Roman"/>
          <w:spacing w:val="5"/>
        </w:rPr>
        <w:t>污染物限量应符</w:t>
      </w:r>
      <w:r>
        <w:rPr>
          <w:rFonts w:hint="eastAsia" w:ascii="宋体" w:hAnsi="宋体" w:eastAsia="宋体" w:cs="宋体"/>
          <w:spacing w:val="5"/>
        </w:rPr>
        <w:t>合</w:t>
      </w:r>
      <w:r>
        <w:rPr>
          <w:rFonts w:hint="eastAsia" w:ascii="宋体" w:hAnsi="宋体" w:eastAsia="宋体" w:cs="宋体"/>
          <w:spacing w:val="5"/>
          <w:lang w:val="en-US" w:eastAsia="zh-CN"/>
        </w:rPr>
        <w:t>GB 2762中</w:t>
      </w:r>
      <w:r>
        <w:rPr>
          <w:rFonts w:hint="eastAsia" w:ascii="Times New Roman" w:hAnsi="Times New Roman" w:eastAsia="宋体" w:cs="Times New Roman"/>
          <w:spacing w:val="5"/>
          <w:lang w:val="en-US" w:eastAsia="zh-CN"/>
        </w:rPr>
        <w:t>有关肉制品的</w:t>
      </w:r>
      <w:r>
        <w:rPr>
          <w:rFonts w:hint="eastAsia" w:ascii="Times New Roman" w:hAnsi="Times New Roman" w:eastAsia="宋体" w:cs="Times New Roman"/>
          <w:spacing w:val="5"/>
        </w:rPr>
        <w:t>规定。</w:t>
      </w:r>
    </w:p>
    <w:p w14:paraId="15A64C15">
      <w:pPr>
        <w:pStyle w:val="110"/>
        <w:bidi w:val="0"/>
      </w:pPr>
      <w:r>
        <w:t>净含量</w:t>
      </w:r>
    </w:p>
    <w:p w14:paraId="35FFAA81">
      <w:pPr>
        <w:pStyle w:val="60"/>
        <w:keepNext w:val="0"/>
        <w:keepLines w:val="0"/>
        <w:pageBreakBefore w:val="0"/>
        <w:widowControl/>
        <w:kinsoku/>
        <w:wordWrap/>
        <w:overflowPunct/>
        <w:topLinePunct w:val="0"/>
        <w:autoSpaceDE/>
        <w:autoSpaceDN/>
        <w:bidi w:val="0"/>
        <w:adjustRightInd/>
        <w:snapToGrid/>
        <w:ind w:firstLine="440"/>
        <w:textAlignment w:val="auto"/>
      </w:pPr>
      <w:r>
        <w:rPr>
          <w:rFonts w:hint="eastAsia" w:ascii="Times New Roman" w:hAnsi="Times New Roman" w:eastAsia="宋体" w:cs="Times New Roman"/>
          <w:spacing w:val="5"/>
        </w:rPr>
        <w:t>应符合国家市场监督管理总局令第70号的规定，按JJF 1070规定的方法检验。</w:t>
      </w:r>
    </w:p>
    <w:p w14:paraId="0DB835DF">
      <w:pPr>
        <w:pStyle w:val="110"/>
        <w:bidi w:val="0"/>
        <w:rPr>
          <w:rFonts w:hint="eastAsia"/>
        </w:rPr>
      </w:pPr>
      <w:r>
        <w:rPr>
          <w:rFonts w:hint="eastAsia"/>
        </w:rPr>
        <w:t>保质期</w:t>
      </w:r>
    </w:p>
    <w:p w14:paraId="0D2E0469">
      <w:pPr>
        <w:pStyle w:val="60"/>
        <w:keepNext w:val="0"/>
        <w:keepLines w:val="0"/>
        <w:pageBreakBefore w:val="0"/>
        <w:widowControl/>
        <w:kinsoku/>
        <w:wordWrap/>
        <w:overflowPunct/>
        <w:topLinePunct w:val="0"/>
        <w:autoSpaceDE/>
        <w:autoSpaceDN/>
        <w:bidi w:val="0"/>
        <w:adjustRightInd/>
        <w:snapToGrid/>
        <w:ind w:firstLine="440"/>
        <w:textAlignment w:val="auto"/>
      </w:pPr>
      <w:r>
        <w:rPr>
          <w:rFonts w:hint="eastAsia" w:ascii="Times New Roman" w:hAnsi="Times New Roman" w:eastAsia="宋体" w:cs="Times New Roman"/>
          <w:spacing w:val="5"/>
        </w:rPr>
        <w:t>在符合本文件规定的包装、运输、贮存条件下，产品保质期由生产企业根据产品特性确定，最长不超过12个月。</w:t>
      </w:r>
    </w:p>
    <w:p w14:paraId="669990C4">
      <w:pPr>
        <w:pStyle w:val="109"/>
        <w:bidi w:val="0"/>
        <w:rPr>
          <w:rFonts w:hint="eastAsia"/>
        </w:rPr>
      </w:pPr>
      <w:r>
        <w:rPr>
          <w:rFonts w:hint="eastAsia"/>
        </w:rPr>
        <w:t>检验方法</w:t>
      </w:r>
    </w:p>
    <w:p w14:paraId="72E34022">
      <w:pPr>
        <w:pStyle w:val="168"/>
        <w:bidi w:val="0"/>
        <w:rPr>
          <w:rFonts w:hint="eastAsia"/>
          <w:lang w:val="en-US" w:eastAsia="zh-CN"/>
        </w:rPr>
      </w:pPr>
      <w:r>
        <w:rPr>
          <w:rFonts w:hint="eastAsia"/>
          <w:lang w:val="en-US" w:eastAsia="zh-CN"/>
        </w:rPr>
        <w:t>感官检验：取适量试样置于洁净白色瓷盘中，在自然光线下观察色泽、组织形态及杂质；闻其气味，以温开水漱口后品其滋味。</w:t>
      </w:r>
    </w:p>
    <w:p w14:paraId="51C8B6D7">
      <w:pPr>
        <w:pStyle w:val="168"/>
        <w:bidi w:val="0"/>
        <w:rPr>
          <w:rFonts w:hint="eastAsia"/>
          <w:lang w:val="en-US" w:eastAsia="zh-CN"/>
        </w:rPr>
      </w:pPr>
      <w:r>
        <w:rPr>
          <w:rFonts w:hint="eastAsia"/>
          <w:lang w:val="en-US" w:eastAsia="zh-CN"/>
        </w:rPr>
        <w:t>水分：按GB 5009.3规定的方法测定。</w:t>
      </w:r>
    </w:p>
    <w:p w14:paraId="760899B2">
      <w:pPr>
        <w:pStyle w:val="168"/>
        <w:bidi w:val="0"/>
        <w:rPr>
          <w:rFonts w:hint="eastAsia"/>
          <w:lang w:val="en-US" w:eastAsia="zh-CN"/>
        </w:rPr>
      </w:pPr>
      <w:r>
        <w:rPr>
          <w:rFonts w:hint="eastAsia"/>
          <w:lang w:val="en-US" w:eastAsia="zh-CN"/>
        </w:rPr>
        <w:t>蛋白质：按GB 5009.5规定的方法测定。</w:t>
      </w:r>
    </w:p>
    <w:p w14:paraId="05CF3EB9">
      <w:pPr>
        <w:pStyle w:val="168"/>
        <w:bidi w:val="0"/>
        <w:rPr>
          <w:rFonts w:hint="eastAsia"/>
          <w:lang w:val="en-US" w:eastAsia="zh-CN"/>
        </w:rPr>
      </w:pPr>
      <w:r>
        <w:rPr>
          <w:rFonts w:hint="eastAsia"/>
          <w:lang w:val="en-US" w:eastAsia="zh-CN"/>
        </w:rPr>
        <w:t>脂肪：按GB 5009.6规定的方法测定。</w:t>
      </w:r>
    </w:p>
    <w:p w14:paraId="7B3D27B7">
      <w:pPr>
        <w:pStyle w:val="168"/>
        <w:bidi w:val="0"/>
        <w:rPr>
          <w:rFonts w:hint="eastAsia"/>
          <w:lang w:val="en-US" w:eastAsia="zh-CN"/>
        </w:rPr>
      </w:pPr>
      <w:r>
        <w:rPr>
          <w:rFonts w:hint="eastAsia"/>
          <w:lang w:val="en-US" w:eastAsia="zh-CN"/>
        </w:rPr>
        <w:t>淀粉：按GB 5009.9规定的方法测定。</w:t>
      </w:r>
    </w:p>
    <w:p w14:paraId="63802D60">
      <w:pPr>
        <w:pStyle w:val="168"/>
        <w:bidi w:val="0"/>
        <w:rPr>
          <w:rFonts w:hint="eastAsia"/>
          <w:lang w:val="en-US" w:eastAsia="zh-CN"/>
        </w:rPr>
      </w:pPr>
      <w:r>
        <w:rPr>
          <w:rFonts w:hint="eastAsia"/>
          <w:lang w:val="en-US" w:eastAsia="zh-CN"/>
        </w:rPr>
        <w:t>牦牛肉含量：以生产投料配比计算，或按动物源性成分检测相关标准执行。</w:t>
      </w:r>
    </w:p>
    <w:p w14:paraId="06A39219">
      <w:pPr>
        <w:pStyle w:val="168"/>
        <w:bidi w:val="0"/>
        <w:rPr>
          <w:rFonts w:hint="eastAsia"/>
          <w:lang w:val="en-US" w:eastAsia="zh-CN"/>
        </w:rPr>
      </w:pPr>
      <w:r>
        <w:rPr>
          <w:rFonts w:hint="eastAsia"/>
          <w:lang w:val="en-US" w:eastAsia="zh-CN"/>
        </w:rPr>
        <w:t>微生物检验：按GB 19295、GB 29921规定的方法测定。</w:t>
      </w:r>
    </w:p>
    <w:p w14:paraId="066CAFC5">
      <w:pPr>
        <w:pStyle w:val="168"/>
        <w:bidi w:val="0"/>
        <w:rPr>
          <w:rFonts w:hint="eastAsia"/>
          <w:lang w:val="en-US" w:eastAsia="zh-CN"/>
        </w:rPr>
      </w:pPr>
      <w:r>
        <w:rPr>
          <w:rFonts w:hint="eastAsia"/>
          <w:lang w:val="en-US" w:eastAsia="zh-CN"/>
        </w:rPr>
        <w:t>净含量检验：按JJF 1070规定的方法测定。</w:t>
      </w:r>
    </w:p>
    <w:p w14:paraId="411B9DB6">
      <w:pPr>
        <w:pStyle w:val="109"/>
        <w:bidi w:val="0"/>
        <w:rPr>
          <w:rFonts w:hint="eastAsia"/>
          <w:lang w:val="en-US" w:eastAsia="zh-CN"/>
        </w:rPr>
      </w:pPr>
      <w:r>
        <w:rPr>
          <w:rFonts w:hint="eastAsia"/>
          <w:lang w:val="en-US" w:eastAsia="zh-CN"/>
        </w:rPr>
        <w:t>检验规则</w:t>
      </w:r>
    </w:p>
    <w:p w14:paraId="47567674">
      <w:pPr>
        <w:pStyle w:val="110"/>
        <w:bidi w:val="0"/>
        <w:rPr>
          <w:rFonts w:hint="eastAsia"/>
          <w:lang w:val="en-US" w:eastAsia="zh-CN"/>
        </w:rPr>
      </w:pPr>
      <w:r>
        <w:rPr>
          <w:rFonts w:hint="eastAsia"/>
          <w:lang w:val="en-US" w:eastAsia="zh-CN"/>
        </w:rPr>
        <w:t>批次、抽样</w:t>
      </w:r>
    </w:p>
    <w:p w14:paraId="18934C2C">
      <w:pPr>
        <w:pStyle w:val="60"/>
        <w:keepNext w:val="0"/>
        <w:keepLines w:val="0"/>
        <w:pageBreakBefore w:val="0"/>
        <w:widowControl/>
        <w:kinsoku/>
        <w:wordWrap/>
        <w:overflowPunct/>
        <w:topLinePunct w:val="0"/>
        <w:autoSpaceDE/>
        <w:autoSpaceDN/>
        <w:bidi w:val="0"/>
        <w:adjustRightInd/>
        <w:snapToGrid/>
        <w:ind w:firstLine="440"/>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同日或同一班次、同一品种、同一规格的产品为一批。从生产企业成品库抽取。从每批产品中随机抽取具有代表性样品，抽样量满足全项目检验及留样要求。</w:t>
      </w:r>
    </w:p>
    <w:p w14:paraId="6A92021B">
      <w:pPr>
        <w:pStyle w:val="110"/>
        <w:bidi w:val="0"/>
        <w:rPr>
          <w:rFonts w:hint="eastAsia"/>
          <w:lang w:val="en-US" w:eastAsia="zh-CN"/>
        </w:rPr>
      </w:pPr>
      <w:r>
        <w:rPr>
          <w:rFonts w:hint="eastAsia"/>
          <w:lang w:val="en-US" w:eastAsia="zh-CN"/>
        </w:rPr>
        <w:t>检验分类</w:t>
      </w:r>
    </w:p>
    <w:p w14:paraId="4B1CE250">
      <w:pPr>
        <w:pStyle w:val="70"/>
        <w:bidi w:val="0"/>
        <w:rPr>
          <w:rFonts w:hint="eastAsia"/>
          <w:lang w:val="en-US" w:eastAsia="zh-CN"/>
        </w:rPr>
      </w:pPr>
      <w:r>
        <w:rPr>
          <w:rFonts w:hint="eastAsia"/>
          <w:lang w:val="en-US" w:eastAsia="zh-CN"/>
        </w:rPr>
        <w:t>出厂检验</w:t>
      </w:r>
    </w:p>
    <w:p w14:paraId="153DEA30">
      <w:pPr>
        <w:pStyle w:val="170"/>
        <w:bidi w:val="0"/>
        <w:rPr>
          <w:rFonts w:hint="eastAsia"/>
          <w:lang w:val="en-US" w:eastAsia="zh-CN"/>
        </w:rPr>
      </w:pPr>
      <w:r>
        <w:rPr>
          <w:rFonts w:hint="eastAsia"/>
          <w:lang w:val="en-US" w:eastAsia="zh-CN"/>
        </w:rPr>
        <w:t>产品出厂前，应由生产企业质量检验部门按本文件规定逐批检验，检验合格并签发质量合格证明后方可出厂。无自检能力的企业应委托具备相应资质的第三方检验机构检验。</w:t>
      </w:r>
    </w:p>
    <w:p w14:paraId="4AEE6891">
      <w:pPr>
        <w:pStyle w:val="170"/>
        <w:bidi w:val="0"/>
        <w:rPr>
          <w:rFonts w:hint="eastAsia"/>
          <w:lang w:val="en-US" w:eastAsia="zh-CN"/>
        </w:rPr>
      </w:pPr>
      <w:r>
        <w:rPr>
          <w:rFonts w:hint="eastAsia"/>
          <w:lang w:val="en-US" w:eastAsia="zh-CN"/>
        </w:rPr>
        <w:t>出厂检验项目：感官要求、净含量、标签。</w:t>
      </w:r>
    </w:p>
    <w:p w14:paraId="18938CBC">
      <w:pPr>
        <w:pStyle w:val="70"/>
        <w:bidi w:val="0"/>
        <w:rPr>
          <w:rFonts w:hint="eastAsia" w:ascii="黑体" w:hAnsi="黑体" w:eastAsia="黑体" w:cs="黑体"/>
          <w:sz w:val="21"/>
          <w:szCs w:val="21"/>
          <w:lang w:val="en-US" w:eastAsia="zh-CN" w:bidi="ar-SA"/>
        </w:rPr>
      </w:pPr>
      <w:r>
        <w:rPr>
          <w:rFonts w:hint="eastAsia" w:ascii="黑体" w:hAnsi="黑体" w:eastAsia="黑体" w:cs="黑体"/>
          <w:sz w:val="21"/>
          <w:szCs w:val="21"/>
          <w:lang w:val="en-US" w:eastAsia="zh-CN" w:bidi="ar-SA"/>
        </w:rPr>
        <w:t>型式检验</w:t>
      </w:r>
    </w:p>
    <w:p w14:paraId="6DCBA9E1">
      <w:pPr>
        <w:pStyle w:val="170"/>
        <w:bidi w:val="0"/>
        <w:rPr>
          <w:rFonts w:hint="eastAsia"/>
          <w:lang w:val="en-US" w:eastAsia="zh-CN"/>
        </w:rPr>
      </w:pPr>
      <w:r>
        <w:rPr>
          <w:rFonts w:hint="eastAsia"/>
          <w:lang w:val="en-US" w:eastAsia="zh-CN"/>
        </w:rPr>
        <w:t>型式检验项目为本文件第4章规定的全部项目。</w:t>
      </w:r>
    </w:p>
    <w:p w14:paraId="29068797">
      <w:pPr>
        <w:pStyle w:val="170"/>
        <w:bidi w:val="0"/>
        <w:rPr>
          <w:rFonts w:hint="eastAsia"/>
          <w:lang w:val="en-US" w:eastAsia="zh-CN"/>
        </w:rPr>
      </w:pPr>
      <w:r>
        <w:rPr>
          <w:rFonts w:hint="eastAsia"/>
          <w:lang w:val="en-US" w:eastAsia="zh-CN"/>
        </w:rPr>
        <w:t>一般情况下，型式检验半年至少进行一次。有下列情况之一时，应进行型式检验：</w:t>
      </w:r>
    </w:p>
    <w:p w14:paraId="3A7ED875">
      <w:pPr>
        <w:pStyle w:val="170"/>
        <w:numPr>
          <w:ilvl w:val="3"/>
          <w:numId w:val="0"/>
        </w:numPr>
        <w:ind w:left="0" w:leftChars="0" w:firstLine="420" w:firstLineChars="200"/>
        <w:rPr>
          <w:rFonts w:hint="eastAsia"/>
          <w:lang w:val="en-US" w:eastAsia="zh-CN"/>
        </w:rPr>
      </w:pPr>
      <w:r>
        <w:rPr>
          <w:rFonts w:hint="eastAsia"/>
          <w:lang w:val="en-US" w:eastAsia="zh-CN"/>
        </w:rPr>
        <w:t>a)原辅料有较大变化时；</w:t>
      </w:r>
    </w:p>
    <w:p w14:paraId="178E73A8">
      <w:pPr>
        <w:pStyle w:val="170"/>
        <w:numPr>
          <w:ilvl w:val="3"/>
          <w:numId w:val="0"/>
        </w:numPr>
        <w:ind w:left="0" w:leftChars="0" w:firstLine="420" w:firstLineChars="200"/>
        <w:rPr>
          <w:rFonts w:hint="eastAsia"/>
          <w:lang w:val="en-US" w:eastAsia="zh-CN"/>
        </w:rPr>
      </w:pPr>
      <w:r>
        <w:rPr>
          <w:rFonts w:hint="eastAsia"/>
          <w:lang w:val="en-US" w:eastAsia="zh-CN"/>
        </w:rPr>
        <w:t>b)更改关键工艺或设备时；</w:t>
      </w:r>
    </w:p>
    <w:p w14:paraId="1ACF5B6E">
      <w:pPr>
        <w:pStyle w:val="170"/>
        <w:numPr>
          <w:ilvl w:val="3"/>
          <w:numId w:val="0"/>
        </w:numPr>
        <w:ind w:left="0" w:leftChars="0" w:firstLine="420" w:firstLineChars="200"/>
        <w:rPr>
          <w:rFonts w:hint="eastAsia"/>
          <w:lang w:val="en-US" w:eastAsia="zh-CN"/>
        </w:rPr>
      </w:pPr>
      <w:r>
        <w:rPr>
          <w:rFonts w:hint="eastAsia"/>
          <w:lang w:val="en-US" w:eastAsia="zh-CN"/>
        </w:rPr>
        <w:t>c)新试制的产品或正常生产的产品停3个月后，重新恢复生产时；</w:t>
      </w:r>
    </w:p>
    <w:p w14:paraId="3387D744">
      <w:pPr>
        <w:pStyle w:val="170"/>
        <w:numPr>
          <w:ilvl w:val="3"/>
          <w:numId w:val="0"/>
        </w:numPr>
        <w:ind w:left="0" w:leftChars="0" w:firstLine="420" w:firstLineChars="200"/>
        <w:rPr>
          <w:rFonts w:hint="eastAsia"/>
          <w:lang w:val="en-US" w:eastAsia="zh-CN"/>
        </w:rPr>
      </w:pPr>
      <w:r>
        <w:rPr>
          <w:rFonts w:hint="eastAsia"/>
          <w:lang w:val="en-US" w:eastAsia="zh-CN"/>
        </w:rPr>
        <w:t>d)出厂检验与上次型式检验结果有较大差异时；</w:t>
      </w:r>
    </w:p>
    <w:p w14:paraId="0920A51F">
      <w:pPr>
        <w:pStyle w:val="170"/>
        <w:numPr>
          <w:ilvl w:val="3"/>
          <w:numId w:val="0"/>
        </w:numPr>
        <w:ind w:left="0" w:leftChars="0" w:firstLine="420" w:firstLineChars="200"/>
        <w:rPr>
          <w:rFonts w:hint="eastAsia"/>
          <w:lang w:val="en-US" w:eastAsia="zh-CN"/>
        </w:rPr>
      </w:pPr>
      <w:r>
        <w:rPr>
          <w:rFonts w:hint="eastAsia"/>
          <w:lang w:val="en-US" w:eastAsia="zh-CN"/>
        </w:rPr>
        <w:t>e)国家及地方市场监督管理部门。</w:t>
      </w:r>
    </w:p>
    <w:p w14:paraId="5D02301F">
      <w:pPr>
        <w:pStyle w:val="110"/>
        <w:bidi w:val="0"/>
        <w:rPr>
          <w:rFonts w:hint="eastAsia"/>
          <w:lang w:val="en-US" w:eastAsia="zh-CN"/>
        </w:rPr>
      </w:pPr>
      <w:r>
        <w:rPr>
          <w:rFonts w:hint="eastAsia"/>
          <w:lang w:val="en-US" w:eastAsia="zh-CN"/>
        </w:rPr>
        <w:t>判定规则</w:t>
      </w:r>
    </w:p>
    <w:p w14:paraId="1A3299BD">
      <w:pPr>
        <w:pStyle w:val="171"/>
        <w:bidi w:val="0"/>
        <w:rPr>
          <w:rFonts w:hint="eastAsia"/>
          <w:lang w:val="en-US" w:eastAsia="zh-CN"/>
        </w:rPr>
      </w:pPr>
      <w:r>
        <w:rPr>
          <w:rFonts w:hint="eastAsia"/>
          <w:lang w:val="en-US" w:eastAsia="zh-CN"/>
        </w:rPr>
        <w:t>微生物限量不符合本标准时，判定整批产品不合格，不得复检。</w:t>
      </w:r>
    </w:p>
    <w:p w14:paraId="4820FAE1">
      <w:pPr>
        <w:pStyle w:val="171"/>
        <w:bidi w:val="0"/>
        <w:rPr>
          <w:rFonts w:hint="eastAsia"/>
          <w:lang w:val="en-US" w:eastAsia="zh-CN"/>
        </w:rPr>
      </w:pPr>
      <w:r>
        <w:rPr>
          <w:rFonts w:hint="eastAsia"/>
          <w:lang w:val="en-US" w:eastAsia="zh-CN"/>
        </w:rPr>
        <w:t>感官要求、理化指标、净含量如不符合本标准时，可以在同批产品中抽取双倍量的样品进行复检，以复检结果为准；如复检结果中仍有一项不合格，则判该批产品不合格。</w:t>
      </w:r>
    </w:p>
    <w:p w14:paraId="0F4FEA3A">
      <w:pPr>
        <w:pStyle w:val="171"/>
        <w:bidi w:val="0"/>
        <w:rPr>
          <w:rFonts w:hint="eastAsia"/>
          <w:lang w:val="en-US" w:eastAsia="zh-CN"/>
        </w:rPr>
      </w:pPr>
      <w:r>
        <w:rPr>
          <w:rFonts w:hint="eastAsia"/>
          <w:lang w:val="en-US" w:eastAsia="zh-CN"/>
        </w:rPr>
        <w:t>标签不符合要求时，判定为不合格，整改合格后方可出厂。</w:t>
      </w:r>
    </w:p>
    <w:p w14:paraId="28389025">
      <w:pPr>
        <w:pStyle w:val="109"/>
        <w:bidi w:val="0"/>
      </w:pPr>
      <w:r>
        <w:t>标签、标志、包装、运输和贮存</w:t>
      </w:r>
    </w:p>
    <w:p w14:paraId="46040003">
      <w:pPr>
        <w:pStyle w:val="110"/>
        <w:bidi w:val="0"/>
        <w:ind w:left="0" w:leftChars="0" w:firstLine="0" w:firstLineChars="0"/>
        <w:rPr>
          <w:rFonts w:hint="default"/>
          <w:lang w:val="en-US" w:eastAsia="zh-CN"/>
        </w:rPr>
      </w:pPr>
      <w:r>
        <w:rPr>
          <w:rFonts w:hint="eastAsia"/>
          <w:lang w:val="en-US" w:eastAsia="zh-CN"/>
        </w:rPr>
        <w:t>标签、标志</w:t>
      </w:r>
    </w:p>
    <w:p w14:paraId="208762B5">
      <w:pPr>
        <w:pStyle w:val="171"/>
        <w:bidi w:val="0"/>
        <w:rPr>
          <w:rFonts w:hint="eastAsia"/>
          <w:lang w:val="en-US" w:eastAsia="zh-CN"/>
        </w:rPr>
      </w:pPr>
      <w:r>
        <w:rPr>
          <w:rFonts w:hint="eastAsia"/>
          <w:lang w:val="en-US" w:eastAsia="zh-CN"/>
        </w:rPr>
        <w:t>产品标签应符合GB7718、GB28050的规定；包装储运图示标志应符合GB/T191的规定。</w:t>
      </w:r>
    </w:p>
    <w:p w14:paraId="0EF25F78">
      <w:pPr>
        <w:pStyle w:val="110"/>
        <w:bidi w:val="0"/>
        <w:rPr>
          <w:rFonts w:hAnsi="黑体"/>
        </w:rPr>
      </w:pPr>
      <w:r>
        <w:t>包装</w:t>
      </w:r>
    </w:p>
    <w:p w14:paraId="1C80CA0F">
      <w:pPr>
        <w:pStyle w:val="60"/>
        <w:keepNext w:val="0"/>
        <w:keepLines w:val="0"/>
        <w:pageBreakBefore w:val="0"/>
        <w:widowControl/>
        <w:kinsoku/>
        <w:wordWrap/>
        <w:overflowPunct/>
        <w:topLinePunct w:val="0"/>
        <w:autoSpaceDE/>
        <w:autoSpaceDN/>
        <w:bidi w:val="0"/>
        <w:adjustRightInd/>
        <w:snapToGrid/>
        <w:ind w:firstLine="440"/>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包装材料和容器应符合国家食品安全相关规定。产品直接接触食品的包装材料和容器应符合GB</w:t>
      </w:r>
      <w:r>
        <w:rPr>
          <w:rFonts w:hint="eastAsia" w:cs="Times New Roman"/>
          <w:lang w:val="en-US" w:eastAsia="zh-CN"/>
        </w:rPr>
        <w:t xml:space="preserve"> </w:t>
      </w:r>
      <w:r>
        <w:rPr>
          <w:rFonts w:hint="eastAsia" w:ascii="Times New Roman" w:hAnsi="Times New Roman" w:eastAsia="宋体" w:cs="Times New Roman"/>
          <w:lang w:val="en-US" w:eastAsia="zh-CN"/>
        </w:rPr>
        <w:t>4806.</w:t>
      </w:r>
      <w:r>
        <w:rPr>
          <w:rFonts w:hint="eastAsia" w:cs="Times New Roman"/>
          <w:lang w:val="en-US" w:eastAsia="zh-CN"/>
        </w:rPr>
        <w:t>7</w:t>
      </w:r>
      <w:r>
        <w:rPr>
          <w:rFonts w:hint="eastAsia" w:ascii="Times New Roman" w:hAnsi="Times New Roman" w:eastAsia="宋体" w:cs="Times New Roman"/>
          <w:lang w:val="en-US" w:eastAsia="zh-CN"/>
        </w:rPr>
        <w:t>的规定。外包装用瓦楞纸箱应符合GB/T</w:t>
      </w:r>
      <w:r>
        <w:rPr>
          <w:rFonts w:hint="eastAsia" w:cs="Times New Roman"/>
          <w:lang w:val="en-US" w:eastAsia="zh-CN"/>
        </w:rPr>
        <w:t xml:space="preserve"> </w:t>
      </w:r>
      <w:r>
        <w:rPr>
          <w:rFonts w:hint="eastAsia" w:ascii="Times New Roman" w:hAnsi="Times New Roman" w:eastAsia="宋体" w:cs="Times New Roman"/>
          <w:lang w:val="en-US" w:eastAsia="zh-CN"/>
        </w:rPr>
        <w:t>6543的规定。</w:t>
      </w:r>
    </w:p>
    <w:p w14:paraId="64B98DCE">
      <w:pPr>
        <w:pStyle w:val="110"/>
        <w:bidi w:val="0"/>
        <w:rPr>
          <w:rFonts w:hAnsi="黑体"/>
        </w:rPr>
      </w:pPr>
      <w:r>
        <w:t>运输</w:t>
      </w:r>
    </w:p>
    <w:p w14:paraId="4C8166D5">
      <w:pPr>
        <w:pStyle w:val="171"/>
        <w:bidi w:val="0"/>
        <w:rPr>
          <w:rFonts w:hint="eastAsia" w:ascii="宋体" w:hAnsi="Times New Roman" w:eastAsia="宋体" w:cs="Times New Roman"/>
          <w:lang w:val="en-US" w:eastAsia="zh-CN"/>
        </w:rPr>
      </w:pPr>
      <w:r>
        <w:rPr>
          <w:rFonts w:hint="eastAsia" w:ascii="宋体" w:hAnsi="Times New Roman" w:eastAsia="宋体" w:cs="Times New Roman"/>
          <w:lang w:val="en-US" w:eastAsia="zh-CN"/>
        </w:rPr>
        <w:t>速冻类产品运输过程中温度不得高于-12℃,装卸后应尽快降至-18℃以下。</w:t>
      </w:r>
    </w:p>
    <w:p w14:paraId="53CAF061">
      <w:pPr>
        <w:pStyle w:val="171"/>
        <w:bidi w:val="0"/>
        <w:rPr>
          <w:rFonts w:hint="eastAsia" w:ascii="宋体" w:hAnsi="Times New Roman" w:eastAsia="宋体" w:cs="Times New Roman"/>
          <w:lang w:val="en-US" w:eastAsia="zh-CN"/>
        </w:rPr>
      </w:pPr>
      <w:r>
        <w:rPr>
          <w:rFonts w:hint="eastAsia" w:ascii="宋体" w:hAnsi="Times New Roman" w:eastAsia="宋体" w:cs="Times New Roman"/>
          <w:lang w:val="en-US" w:eastAsia="zh-CN"/>
        </w:rPr>
        <w:t>产品装卸时应小心轻放，运输过程中应防止日晒雨淋及挤压碰撞，运输工具应清洁、卫生，禁止与有毒、有害、有异味、易污染货物混装、混运。</w:t>
      </w:r>
    </w:p>
    <w:p w14:paraId="19B7E291">
      <w:pPr>
        <w:pStyle w:val="110"/>
        <w:bidi w:val="0"/>
        <w:rPr>
          <w:rFonts w:hAnsi="黑体"/>
        </w:rPr>
      </w:pPr>
      <w:r>
        <w:t>贮</w:t>
      </w:r>
      <w:r>
        <w:rPr>
          <w:spacing w:val="-41"/>
        </w:rPr>
        <w:t xml:space="preserve"> </w:t>
      </w:r>
      <w:r>
        <w:t>存</w:t>
      </w:r>
    </w:p>
    <w:p w14:paraId="6FFC2C33">
      <w:pPr>
        <w:pStyle w:val="171"/>
        <w:bidi w:val="0"/>
        <w:rPr>
          <w:rFonts w:hint="eastAsia" w:ascii="宋体" w:hAnsi="Times New Roman" w:eastAsia="宋体" w:cs="Times New Roman"/>
          <w:lang w:val="en-US" w:eastAsia="zh-CN"/>
        </w:rPr>
      </w:pPr>
      <w:r>
        <w:rPr>
          <w:rFonts w:hint="eastAsia" w:ascii="宋体" w:hAnsi="Times New Roman" w:eastAsia="宋体" w:cs="Times New Roman"/>
          <w:lang w:val="en-US" w:eastAsia="zh-CN"/>
        </w:rPr>
        <w:t>产品应在-18℃及以下的冷库中贮存，温度波动控制在±2℃以内。</w:t>
      </w:r>
    </w:p>
    <w:p w14:paraId="74629404">
      <w:pPr>
        <w:pStyle w:val="171"/>
        <w:bidi w:val="0"/>
        <w:rPr>
          <w:rFonts w:hint="eastAsia" w:ascii="宋体" w:hAnsi="Times New Roman" w:eastAsia="宋体" w:cs="Times New Roman"/>
          <w:lang w:val="en-US" w:eastAsia="zh-CN"/>
        </w:rPr>
      </w:pPr>
      <w:r>
        <w:rPr>
          <w:rFonts w:hint="eastAsia" w:ascii="宋体" w:hAnsi="Times New Roman" w:eastAsia="宋体" w:cs="Times New Roman"/>
          <w:lang w:val="en-US" w:eastAsia="zh-CN"/>
        </w:rPr>
        <w:t>产品不得与有毒、有害、有异味、易挥发、易腐蚀的物品同库贮存，产品应离地离墙存放。</w:t>
      </w:r>
    </w:p>
    <w:p w14:paraId="3C2C8FC7">
      <w:pPr>
        <w:pStyle w:val="109"/>
        <w:bidi w:val="0"/>
        <w:rPr>
          <w:rFonts w:hAnsi="黑体"/>
        </w:rPr>
      </w:pPr>
      <w:r>
        <w:t>生产加工过程的卫生要求</w:t>
      </w:r>
    </w:p>
    <w:p w14:paraId="5AA2CAF8">
      <w:pPr>
        <w:pStyle w:val="60"/>
        <w:keepNext w:val="0"/>
        <w:keepLines w:val="0"/>
        <w:pageBreakBefore w:val="0"/>
        <w:widowControl/>
        <w:kinsoku/>
        <w:wordWrap/>
        <w:overflowPunct/>
        <w:topLinePunct w:val="0"/>
        <w:autoSpaceDE/>
        <w:autoSpaceDN/>
        <w:bidi w:val="0"/>
        <w:adjustRightInd/>
        <w:snapToGrid/>
        <w:ind w:firstLine="440"/>
        <w:textAlignment w:val="auto"/>
        <w:rPr>
          <w:rFonts w:hint="eastAsia" w:ascii="宋体" w:hAnsi="宋体" w:eastAsia="宋体" w:cs="Times New Roman"/>
          <w:b w:val="0"/>
          <w:bCs w:val="0"/>
          <w:kern w:val="2"/>
          <w:sz w:val="21"/>
          <w:szCs w:val="21"/>
          <w:lang w:val="en-US" w:eastAsia="zh-CN" w:bidi="ar-SA"/>
        </w:rPr>
      </w:pPr>
      <w:r>
        <w:rPr>
          <w:rFonts w:hint="eastAsia" w:ascii="Times New Roman" w:hAnsi="Times New Roman" w:eastAsia="宋体" w:cs="Times New Roman"/>
          <w:lang w:val="en-US" w:eastAsia="zh-CN"/>
        </w:rPr>
        <w:t>应符</w:t>
      </w:r>
      <w:r>
        <w:rPr>
          <w:rFonts w:hint="eastAsia" w:ascii="宋体" w:hAnsi="宋体" w:eastAsia="宋体" w:cs="宋体"/>
          <w:lang w:val="en-US" w:eastAsia="zh-CN"/>
        </w:rPr>
        <w:t>合GB 14881、GB 31646</w:t>
      </w:r>
      <w:r>
        <w:rPr>
          <w:rFonts w:hint="eastAsia" w:ascii="Times New Roman" w:hAnsi="Times New Roman" w:eastAsia="宋体" w:cs="Times New Roman"/>
          <w:lang w:val="en-US" w:eastAsia="zh-CN"/>
        </w:rPr>
        <w:t>的规定。</w:t>
      </w:r>
    </w:p>
    <w:p w14:paraId="1F555857">
      <w:pPr>
        <w:pStyle w:val="109"/>
        <w:bidi w:val="0"/>
        <w:rPr>
          <w:rFonts w:hint="default"/>
        </w:rPr>
      </w:pPr>
      <w:r>
        <w:rPr>
          <w:rFonts w:hint="default"/>
        </w:rPr>
        <w:t>销售</w:t>
      </w:r>
    </w:p>
    <w:p w14:paraId="360F7AF0">
      <w:pPr>
        <w:pStyle w:val="168"/>
        <w:bidi w:val="0"/>
        <w:rPr>
          <w:rFonts w:hint="default"/>
          <w:lang w:val="en-US" w:eastAsia="zh-CN"/>
        </w:rPr>
      </w:pPr>
      <w:r>
        <w:rPr>
          <w:rFonts w:hint="default"/>
          <w:lang w:val="en-US" w:eastAsia="zh-CN"/>
        </w:rPr>
        <w:t>应符合GB</w:t>
      </w:r>
      <w:r>
        <w:rPr>
          <w:rFonts w:hint="eastAsia"/>
          <w:lang w:val="en-US" w:eastAsia="zh-CN"/>
        </w:rPr>
        <w:t xml:space="preserve"> </w:t>
      </w:r>
      <w:r>
        <w:rPr>
          <w:rFonts w:hint="default"/>
          <w:lang w:val="en-US" w:eastAsia="zh-CN"/>
        </w:rPr>
        <w:t>31621的要求。</w:t>
      </w:r>
    </w:p>
    <w:p w14:paraId="329DF406">
      <w:pPr>
        <w:pStyle w:val="168"/>
        <w:bidi w:val="0"/>
        <w:rPr>
          <w:rFonts w:hint="default"/>
          <w:lang w:val="en-US" w:eastAsia="zh-CN"/>
        </w:rPr>
      </w:pPr>
      <w:r>
        <w:rPr>
          <w:rFonts w:hint="default"/>
          <w:lang w:val="en-US" w:eastAsia="zh-CN"/>
        </w:rPr>
        <w:t>销售场所应配备正常运转的冷冻陈列设备，设备内温度保持在-18℃及以下。</w:t>
      </w:r>
    </w:p>
    <w:p w14:paraId="6F8D1F6D">
      <w:pPr>
        <w:pStyle w:val="168"/>
        <w:bidi w:val="0"/>
        <w:rPr>
          <w:rFonts w:hint="default"/>
          <w:lang w:val="en-US" w:eastAsia="zh-CN"/>
        </w:rPr>
      </w:pPr>
      <w:r>
        <w:rPr>
          <w:rFonts w:hint="default"/>
          <w:lang w:val="en-US" w:eastAsia="zh-CN"/>
        </w:rPr>
        <w:t>在经营过程中包装或分装的食品，不得更改原有的生产日期和延长保质期；包装或分装食品的包装材料和容器应无毒。</w:t>
      </w:r>
    </w:p>
    <w:bookmarkEnd w:id="17"/>
    <w:p w14:paraId="79076F25">
      <w:pPr>
        <w:pStyle w:val="168"/>
        <w:numPr>
          <w:numId w:val="0"/>
        </w:numPr>
        <w:bidi w:val="0"/>
        <w:ind w:leftChars="0" w:firstLine="0" w:firstLineChars="0"/>
        <w:jc w:val="center"/>
        <w:rPr>
          <w:rFonts w:hint="default"/>
          <w:lang w:val="en-US" w:eastAsia="zh-CN"/>
        </w:rPr>
      </w:pPr>
      <w:bookmarkStart w:id="21" w:name="_GoBack"/>
      <w:bookmarkEnd w:id="21"/>
      <w:bookmarkStart w:id="20" w:name="BookMark8"/>
      <w:r>
        <w:rPr>
          <w:rFonts w:hint="default"/>
          <w:lang w:val="en-US" w:eastAsia="zh-CN"/>
        </w:rPr>
        <w:drawing>
          <wp:inline distT="0" distB="0" distL="114300" distR="114300">
            <wp:extent cx="1485900" cy="317500"/>
            <wp:effectExtent l="0" t="0" r="0" b="6350"/>
            <wp:docPr id="3" name="图片 3" descr="1"/>
            <wp:cNvGraphicFramePr/>
            <a:graphic xmlns:a="http://schemas.openxmlformats.org/drawingml/2006/main">
              <a:graphicData uri="http://schemas.openxmlformats.org/drawingml/2006/picture">
                <pic:pic xmlns:pic="http://schemas.openxmlformats.org/drawingml/2006/picture">
                  <pic:nvPicPr>
                    <pic:cNvPr id="3" name="图片 3" descr="1"/>
                    <pic:cNvPicPr/>
                  </pic:nvPicPr>
                  <pic:blipFill>
                    <a:blip r:embed="rId14"/>
                    <a:stretch>
                      <a:fillRect/>
                    </a:stretch>
                  </pic:blipFill>
                  <pic:spPr>
                    <a:xfrm>
                      <a:off x="0" y="0"/>
                      <a:ext cx="1485900" cy="317500"/>
                    </a:xfrm>
                    <a:prstGeom prst="rect">
                      <a:avLst/>
                    </a:prstGeom>
                  </pic:spPr>
                </pic:pic>
              </a:graphicData>
            </a:graphic>
          </wp:inline>
        </w:drawing>
      </w:r>
      <w:bookmarkEnd w:id="20"/>
    </w:p>
    <w:sectPr>
      <w:pgSz w:w="11906" w:h="16838"/>
      <w:pgMar w:top="1928" w:right="1134" w:bottom="1134" w:left="1134" w:header="1418" w:footer="1134" w:gutter="284"/>
      <w:pgNumType w:start="1"/>
      <w:cols w:space="720"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8F4CE6">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9BA2C0">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9D265A">
    <w:pPr>
      <w:pStyle w:val="239"/>
      <w:rPr>
        <w:rFonts w:hint="default"/>
      </w:rPr>
    </w:pPr>
    <w:r>
      <w:rPr>
        <w:rFonts w:hint="default"/>
      </w:rPr>
      <w:fldChar w:fldCharType="begin"/>
    </w:r>
    <w:r>
      <w:rPr>
        <w:rFonts w:hint="default"/>
      </w:rPr>
      <w:instrText xml:space="preserve"> </w:instrText>
    </w:r>
    <w:r>
      <w:instrText xml:space="preserve">PAGE  \* MERGEFORMAT</w:instrText>
    </w:r>
    <w:r>
      <w:rPr>
        <w:rFonts w:hint="default"/>
      </w:rPr>
      <w:instrText xml:space="preserve"> </w:instrText>
    </w:r>
    <w:r>
      <w:rPr>
        <w:rFonts w:hint="default"/>
      </w:rPr>
      <w:fldChar w:fldCharType="separate"/>
    </w:r>
    <w:r>
      <w:rPr>
        <w:rFonts w:hint="default"/>
      </w:rPr>
      <w:t>4</w:t>
    </w:r>
    <w:r>
      <w:rPr>
        <w:rFonts w:hint="default"/>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1F0E80">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B15AAF">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B424F2">
    <w:pPr>
      <w:pStyle w:val="240"/>
      <w:rPr>
        <w:rFonts w:hint="default"/>
      </w:rPr>
    </w:pPr>
    <w:r>
      <w:t>T/XXX XXX－XXXX</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768DCBA"/>
    <w:multiLevelType w:val="multilevel"/>
    <w:tmpl w:val="9768DCBA"/>
    <w:lvl w:ilvl="0" w:tentative="0">
      <w:start w:val="1"/>
      <w:numFmt w:val="decimal"/>
      <w:pStyle w:val="257"/>
      <w:suff w:val="nothing"/>
      <w:lvlText w:val="[%1]  "/>
      <w:lvlJc w:val="left"/>
      <w:pPr>
        <w:ind w:left="0" w:firstLine="363"/>
      </w:pPr>
      <w:rPr>
        <w:rFonts w:hint="eastAsia" w:ascii="黑体" w:hAnsi="黑体" w:eastAsia="黑体" w:cs="黑体"/>
        <w:sz w:val="18"/>
      </w:rPr>
    </w:lvl>
    <w:lvl w:ilvl="1" w:tentative="0">
      <w:start w:val="1"/>
      <w:numFmt w:val="chineseCounting"/>
      <w:suff w:val="nothing"/>
      <w:lvlText w:val="第%2节　"/>
      <w:lvlJc w:val="left"/>
      <w:pPr>
        <w:ind w:left="0" w:firstLine="402"/>
      </w:pPr>
      <w:rPr>
        <w:rFonts w:hint="eastAsia"/>
      </w:rPr>
    </w:lvl>
    <w:lvl w:ilvl="2" w:tentative="0">
      <w:start w:val="1"/>
      <w:numFmt w:val="chineseCounting"/>
      <w:suff w:val="nothing"/>
      <w:lvlText w:val="第%3条　"/>
      <w:lvlJc w:val="left"/>
      <w:pPr>
        <w:ind w:left="0" w:firstLine="402"/>
      </w:pPr>
      <w:rPr>
        <w:rFonts w:hint="eastAsia"/>
      </w:rPr>
    </w:lvl>
    <w:lvl w:ilvl="3" w:tentative="0">
      <w:start w:val="1"/>
      <w:numFmt w:val="chineseCounting"/>
      <w:suff w:val="nothing"/>
      <w:lvlText w:val="（%4）"/>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decimalEnclosedCircleChinese"/>
      <w:suff w:val="nothing"/>
      <w:lvlText w:val="%7 "/>
      <w:lvlJc w:val="left"/>
      <w:pPr>
        <w:ind w:left="0" w:firstLine="402"/>
      </w:pPr>
      <w:rPr>
        <w:rFonts w:hint="eastAsia"/>
      </w:rPr>
    </w:lvl>
    <w:lvl w:ilvl="7" w:tentative="0">
      <w:start w:val="1"/>
      <w:numFmt w:val="decimal"/>
      <w:suff w:val="nothing"/>
      <w:lvlText w:val="%8）"/>
      <w:lvlJc w:val="left"/>
      <w:pPr>
        <w:ind w:left="0" w:firstLine="402"/>
      </w:pPr>
      <w:rPr>
        <w:rFonts w:hint="eastAsia"/>
      </w:rPr>
    </w:lvl>
    <w:lvl w:ilvl="8" w:tentative="0">
      <w:start w:val="1"/>
      <w:numFmt w:val="lowerLetter"/>
      <w:suff w:val="nothing"/>
      <w:lvlText w:val="%9．"/>
      <w:lvlJc w:val="left"/>
      <w:pPr>
        <w:ind w:left="0" w:firstLine="402"/>
      </w:pPr>
      <w:rPr>
        <w:rFonts w:hint="eastAsia"/>
      </w:rPr>
    </w:lvl>
  </w:abstractNum>
  <w:abstractNum w:abstractNumId="1">
    <w:nsid w:val="98D0E21E"/>
    <w:multiLevelType w:val="multilevel"/>
    <w:tmpl w:val="98D0E21E"/>
    <w:lvl w:ilvl="0" w:tentative="0">
      <w:start w:val="1"/>
      <w:numFmt w:val="decimal"/>
      <w:pStyle w:val="253"/>
      <w:suff w:val="nothing"/>
      <w:lvlText w:val="示例%1："/>
      <w:lvlJc w:val="left"/>
      <w:pPr>
        <w:ind w:left="0" w:firstLine="363"/>
      </w:pPr>
      <w:rPr>
        <w:rFonts w:hint="eastAsia" w:ascii="黑体" w:hAnsi="黑体" w:eastAsia="黑体" w:cs="黑体"/>
        <w:sz w:val="18"/>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2">
    <w:nsid w:val="BC4E935A"/>
    <w:multiLevelType w:val="multilevel"/>
    <w:tmpl w:val="BC4E935A"/>
    <w:lvl w:ilvl="0" w:tentative="0">
      <w:start w:val="1"/>
      <w:numFmt w:val="none"/>
      <w:pStyle w:val="252"/>
      <w:suff w:val="nothing"/>
      <w:lvlText w:val="示例："/>
      <w:lvlJc w:val="left"/>
      <w:pPr>
        <w:ind w:left="0" w:firstLine="363"/>
      </w:pPr>
      <w:rPr>
        <w:rFonts w:hint="eastAsia" w:ascii="黑体" w:hAnsi="黑体" w:eastAsia="黑体" w:cs="黑体"/>
        <w:sz w:val="18"/>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3">
    <w:nsid w:val="C2A75759"/>
    <w:multiLevelType w:val="multilevel"/>
    <w:tmpl w:val="C2A75759"/>
    <w:lvl w:ilvl="0" w:tentative="0">
      <w:start w:val="1"/>
      <w:numFmt w:val="upperLetter"/>
      <w:pStyle w:val="250"/>
      <w:lvlText w:val="%1"/>
      <w:lvlJc w:val="left"/>
      <w:pPr>
        <w:tabs>
          <w:tab w:val="left" w:pos="0"/>
        </w:tabs>
        <w:ind w:left="0" w:firstLine="0"/>
      </w:pPr>
      <w:rPr>
        <w:rFonts w:hint="default"/>
      </w:rPr>
    </w:lvl>
    <w:lvl w:ilvl="1" w:tentative="0">
      <w:start w:val="1"/>
      <w:numFmt w:val="decimal"/>
      <w:pStyle w:val="251"/>
      <w:suff w:val="nothing"/>
      <w:lvlText w:val="表%1.%2　"/>
      <w:lvlJc w:val="left"/>
      <w:pPr>
        <w:ind w:left="0" w:firstLine="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4">
    <w:nsid w:val="02837933"/>
    <w:multiLevelType w:val="multilevel"/>
    <w:tmpl w:val="02837933"/>
    <w:lvl w:ilvl="0" w:tentative="0">
      <w:start w:val="1"/>
      <w:numFmt w:val="decimal"/>
      <w:pStyle w:val="69"/>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5">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5"/>
      <w:suff w:val="nothing"/>
      <w:lvlText w:val="%1%2.%3　"/>
      <w:lvlJc w:val="left"/>
      <w:pPr>
        <w:ind w:left="0" w:firstLine="0"/>
      </w:pPr>
    </w:lvl>
    <w:lvl w:ilvl="3" w:tentative="0">
      <w:start w:val="1"/>
      <w:numFmt w:val="decimal"/>
      <w:pStyle w:val="124"/>
      <w:suff w:val="nothing"/>
      <w:lvlText w:val="%1%2.%3.%4　"/>
      <w:lvlJc w:val="left"/>
      <w:pPr>
        <w:ind w:left="0" w:firstLine="0"/>
      </w:pPr>
    </w:lvl>
    <w:lvl w:ilvl="4" w:tentative="0">
      <w:start w:val="1"/>
      <w:numFmt w:val="decimal"/>
      <w:pStyle w:val="159"/>
      <w:suff w:val="nothing"/>
      <w:lvlText w:val="%1%2.%3.%4.%5　"/>
      <w:lvlJc w:val="left"/>
      <w:pPr>
        <w:ind w:left="0" w:firstLine="0"/>
      </w:pPr>
    </w:lvl>
    <w:lvl w:ilvl="5" w:tentative="0">
      <w:start w:val="1"/>
      <w:numFmt w:val="decimal"/>
      <w:pStyle w:val="161"/>
      <w:suff w:val="nothing"/>
      <w:lvlText w:val="%1%2.%3.%4.%5.%6　"/>
      <w:lvlJc w:val="left"/>
      <w:pPr>
        <w:ind w:left="0" w:firstLine="0"/>
      </w:pPr>
    </w:lvl>
    <w:lvl w:ilvl="6" w:tentative="0">
      <w:start w:val="1"/>
      <w:numFmt w:val="decimal"/>
      <w:pStyle w:val="164"/>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6">
    <w:nsid w:val="079102AD"/>
    <w:multiLevelType w:val="multilevel"/>
    <w:tmpl w:val="079102AD"/>
    <w:lvl w:ilvl="0" w:tentative="0">
      <w:start w:val="1"/>
      <w:numFmt w:val="decimal"/>
      <w:pStyle w:val="187"/>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7">
    <w:nsid w:val="07ED3FEA"/>
    <w:multiLevelType w:val="multilevel"/>
    <w:tmpl w:val="07ED3FEA"/>
    <w:lvl w:ilvl="0" w:tentative="0">
      <w:start w:val="1"/>
      <w:numFmt w:val="none"/>
      <w:pStyle w:val="94"/>
      <w:lvlText w:val="%1"/>
      <w:lvlJc w:val="left"/>
      <w:pPr>
        <w:ind w:left="425" w:hanging="425"/>
      </w:pPr>
      <w:rPr>
        <w:rFonts w:hint="eastAsia"/>
      </w:rPr>
    </w:lvl>
    <w:lvl w:ilvl="1" w:tentative="0">
      <w:start w:val="1"/>
      <w:numFmt w:val="decimal"/>
      <w:pStyle w:val="206"/>
      <w:suff w:val="nothing"/>
      <w:lvlText w:val="%10.%2 "/>
      <w:lvlJc w:val="left"/>
      <w:pPr>
        <w:ind w:left="0" w:firstLine="0"/>
      </w:pPr>
      <w:rPr>
        <w:rFonts w:hint="eastAsia" w:ascii="黑体" w:hAnsi="等线" w:eastAsia="黑体"/>
        <w:b w:val="0"/>
        <w:i w:val="0"/>
        <w:sz w:val="21"/>
      </w:rPr>
    </w:lvl>
    <w:lvl w:ilvl="2" w:tentative="0">
      <w:start w:val="1"/>
      <w:numFmt w:val="decimal"/>
      <w:pStyle w:val="207"/>
      <w:suff w:val="nothing"/>
      <w:lvlText w:val="%10.%2.%3 "/>
      <w:lvlJc w:val="left"/>
      <w:pPr>
        <w:ind w:left="0" w:firstLine="0"/>
      </w:pPr>
      <w:rPr>
        <w:rFonts w:hint="eastAsia" w:ascii="黑体" w:hAnsi="等线" w:eastAsia="黑体"/>
        <w:b w:val="0"/>
        <w:i w:val="0"/>
        <w:sz w:val="21"/>
      </w:rPr>
    </w:lvl>
    <w:lvl w:ilvl="3" w:tentative="0">
      <w:start w:val="1"/>
      <w:numFmt w:val="decimal"/>
      <w:pStyle w:val="208"/>
      <w:suff w:val="nothing"/>
      <w:lvlText w:val="%10.%2.%3.%4 "/>
      <w:lvlJc w:val="left"/>
      <w:pPr>
        <w:ind w:left="0" w:firstLine="0"/>
      </w:pPr>
      <w:rPr>
        <w:rFonts w:hint="eastAsia" w:ascii="黑体" w:hAnsi="等线" w:eastAsia="黑体"/>
        <w:b w:val="0"/>
        <w:i w:val="0"/>
        <w:sz w:val="21"/>
      </w:rPr>
    </w:lvl>
    <w:lvl w:ilvl="4" w:tentative="0">
      <w:start w:val="1"/>
      <w:numFmt w:val="decimal"/>
      <w:pStyle w:val="209"/>
      <w:suff w:val="nothing"/>
      <w:lvlText w:val="%10.%2.%3.%4.%5 "/>
      <w:lvlJc w:val="left"/>
      <w:pPr>
        <w:ind w:left="0" w:firstLine="0"/>
      </w:pPr>
      <w:rPr>
        <w:rFonts w:hint="eastAsia" w:ascii="黑体" w:hAnsi="等线" w:eastAsia="黑体"/>
        <w:b w:val="0"/>
        <w:i w:val="0"/>
        <w:sz w:val="21"/>
      </w:rPr>
    </w:lvl>
    <w:lvl w:ilvl="5" w:tentative="0">
      <w:start w:val="1"/>
      <w:numFmt w:val="decimal"/>
      <w:pStyle w:val="210"/>
      <w:suff w:val="nothing"/>
      <w:lvlText w:val="%10.%2.%3.%4.%5.%6 "/>
      <w:lvlJc w:val="left"/>
      <w:pPr>
        <w:ind w:left="0" w:firstLine="0"/>
      </w:pPr>
      <w:rPr>
        <w:rFonts w:hint="eastAsia" w:ascii="黑体" w:hAnsi="等线" w:eastAsia="黑体"/>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8">
    <w:nsid w:val="0AE367E9"/>
    <w:multiLevelType w:val="multilevel"/>
    <w:tmpl w:val="0AE367E9"/>
    <w:lvl w:ilvl="0" w:tentative="0">
      <w:start w:val="1"/>
      <w:numFmt w:val="none"/>
      <w:pStyle w:val="188"/>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9">
    <w:nsid w:val="0BDC1670"/>
    <w:multiLevelType w:val="multilevel"/>
    <w:tmpl w:val="0BDC1670"/>
    <w:lvl w:ilvl="0" w:tentative="0">
      <w:start w:val="1"/>
      <w:numFmt w:val="decimal"/>
      <w:pStyle w:val="73"/>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0">
    <w:nsid w:val="0D051F45"/>
    <w:multiLevelType w:val="multilevel"/>
    <w:tmpl w:val="0D051F45"/>
    <w:lvl w:ilvl="0" w:tentative="0">
      <w:start w:val="1"/>
      <w:numFmt w:val="lowerRoman"/>
      <w:pStyle w:val="175"/>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11">
    <w:nsid w:val="1AD20F90"/>
    <w:multiLevelType w:val="multilevel"/>
    <w:tmpl w:val="1AD20F90"/>
    <w:lvl w:ilvl="0" w:tentative="0">
      <w:start w:val="1"/>
      <w:numFmt w:val="none"/>
      <w:pStyle w:val="116"/>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2">
    <w:nsid w:val="1AF15012"/>
    <w:multiLevelType w:val="multilevel"/>
    <w:tmpl w:val="1AF15012"/>
    <w:lvl w:ilvl="0" w:tentative="0">
      <w:start w:val="1"/>
      <w:numFmt w:val="upperLetter"/>
      <w:pStyle w:val="91"/>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3">
    <w:nsid w:val="1EAA1992"/>
    <w:multiLevelType w:val="multilevel"/>
    <w:tmpl w:val="1EAA1992"/>
    <w:lvl w:ilvl="0" w:tentative="0">
      <w:start w:val="1"/>
      <w:numFmt w:val="none"/>
      <w:pStyle w:val="97"/>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4">
    <w:nsid w:val="2C5917C3"/>
    <w:multiLevelType w:val="multilevel"/>
    <w:tmpl w:val="2C5917C3"/>
    <w:lvl w:ilvl="0" w:tentative="0">
      <w:start w:val="1"/>
      <w:numFmt w:val="none"/>
      <w:pStyle w:val="138"/>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93"/>
      <w:lvlText w:val=""/>
      <w:lvlJc w:val="left"/>
      <w:pPr>
        <w:ind w:left="851" w:hanging="431"/>
      </w:pPr>
      <w:rPr>
        <w:rFonts w:hint="default" w:ascii="Symbol" w:hAnsi="Symbol"/>
        <w:sz w:val="21"/>
      </w:rPr>
    </w:lvl>
    <w:lvl w:ilvl="2" w:tentative="0">
      <w:start w:val="1"/>
      <w:numFmt w:val="bullet"/>
      <w:pStyle w:val="178"/>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5">
    <w:nsid w:val="32F04FB2"/>
    <w:multiLevelType w:val="multilevel"/>
    <w:tmpl w:val="32F04FB2"/>
    <w:lvl w:ilvl="0" w:tentative="0">
      <w:start w:val="1"/>
      <w:numFmt w:val="lowerLetter"/>
      <w:pStyle w:val="106"/>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6">
    <w:nsid w:val="44C50F90"/>
    <w:multiLevelType w:val="multilevel"/>
    <w:tmpl w:val="44C50F90"/>
    <w:lvl w:ilvl="0" w:tentative="0">
      <w:start w:val="1"/>
      <w:numFmt w:val="lowerLetter"/>
      <w:pStyle w:val="180"/>
      <w:lvlText w:val="%1)"/>
      <w:lvlJc w:val="left"/>
      <w:pPr>
        <w:tabs>
          <w:tab w:val="left" w:pos="851"/>
        </w:tabs>
        <w:ind w:left="851" w:hanging="426"/>
      </w:pPr>
      <w:rPr>
        <w:rFonts w:hint="eastAsia" w:ascii="宋体" w:hAnsi="Times New Roman" w:eastAsia="宋体"/>
        <w:sz w:val="21"/>
      </w:rPr>
    </w:lvl>
    <w:lvl w:ilvl="1" w:tentative="0">
      <w:start w:val="1"/>
      <w:numFmt w:val="decimal"/>
      <w:pStyle w:val="115"/>
      <w:lvlText w:val="%2)"/>
      <w:lvlJc w:val="left"/>
      <w:pPr>
        <w:tabs>
          <w:tab w:val="left" w:pos="1276"/>
        </w:tabs>
        <w:ind w:left="1276" w:hanging="425"/>
      </w:pPr>
      <w:rPr>
        <w:rFonts w:hint="eastAsia" w:ascii="宋体" w:hAnsi="Times New Roman" w:eastAsia="宋体"/>
        <w:sz w:val="21"/>
      </w:rPr>
    </w:lvl>
    <w:lvl w:ilvl="2" w:tentative="0">
      <w:start w:val="1"/>
      <w:numFmt w:val="decimal"/>
      <w:pStyle w:val="123"/>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7">
    <w:nsid w:val="47022279"/>
    <w:multiLevelType w:val="multilevel"/>
    <w:tmpl w:val="47022279"/>
    <w:lvl w:ilvl="0" w:tentative="0">
      <w:start w:val="1"/>
      <w:numFmt w:val="decimal"/>
      <w:pStyle w:val="255"/>
      <w:suff w:val="nothing"/>
      <w:lvlText w:val="注%1："/>
      <w:lvlJc w:val="left"/>
      <w:pPr>
        <w:ind w:left="811" w:hanging="448"/>
      </w:pPr>
      <w:rPr>
        <w:rFonts w:hint="eastAsia" w:ascii="黑体" w:hAnsi="黑体" w:eastAsia="黑体" w:cs="黑体"/>
        <w:sz w:val="18"/>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18">
    <w:nsid w:val="48802D1C"/>
    <w:multiLevelType w:val="multilevel"/>
    <w:tmpl w:val="48802D1C"/>
    <w:lvl w:ilvl="0" w:tentative="0">
      <w:start w:val="1"/>
      <w:numFmt w:val="upperLetter"/>
      <w:pStyle w:val="204"/>
      <w:lvlText w:val="%1"/>
      <w:lvlJc w:val="left"/>
      <w:pPr>
        <w:ind w:left="420" w:hanging="420"/>
      </w:pPr>
      <w:rPr>
        <w:rFonts w:hint="eastAsia"/>
      </w:rPr>
    </w:lvl>
    <w:lvl w:ilvl="1" w:tentative="0">
      <w:start w:val="1"/>
      <w:numFmt w:val="decimal"/>
      <w:pStyle w:val="89"/>
      <w:suff w:val="space"/>
      <w:lvlText w:val="图%1.%2 "/>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9">
    <w:nsid w:val="4B733A5F"/>
    <w:multiLevelType w:val="multilevel"/>
    <w:tmpl w:val="4B733A5F"/>
    <w:lvl w:ilvl="0" w:tentative="0">
      <w:start w:val="1"/>
      <w:numFmt w:val="decimal"/>
      <w:pStyle w:val="190"/>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20">
    <w:nsid w:val="4E5D0534"/>
    <w:multiLevelType w:val="multilevel"/>
    <w:tmpl w:val="4E5D0534"/>
    <w:lvl w:ilvl="0" w:tentative="0">
      <w:start w:val="1"/>
      <w:numFmt w:val="decimal"/>
      <w:pStyle w:val="122"/>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21">
    <w:nsid w:val="53D04554"/>
    <w:multiLevelType w:val="multilevel"/>
    <w:tmpl w:val="53D04554"/>
    <w:lvl w:ilvl="0" w:tentative="0">
      <w:start w:val="1"/>
      <w:numFmt w:val="none"/>
      <w:pStyle w:val="254"/>
      <w:suff w:val="nothing"/>
      <w:lvlText w:val="注："/>
      <w:lvlJc w:val="left"/>
      <w:pPr>
        <w:ind w:left="737" w:hanging="374"/>
      </w:pPr>
      <w:rPr>
        <w:rFonts w:hint="eastAsia" w:ascii="黑体" w:hAnsi="黑体" w:eastAsia="黑体" w:cs="黑体"/>
        <w:sz w:val="18"/>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22">
    <w:nsid w:val="54632751"/>
    <w:multiLevelType w:val="multilevel"/>
    <w:tmpl w:val="54632751"/>
    <w:lvl w:ilvl="0" w:tentative="0">
      <w:start w:val="1"/>
      <w:numFmt w:val="none"/>
      <w:pStyle w:val="98"/>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23">
    <w:nsid w:val="557C2AF5"/>
    <w:multiLevelType w:val="multilevel"/>
    <w:tmpl w:val="557C2AF5"/>
    <w:lvl w:ilvl="0" w:tentative="0">
      <w:start w:val="1"/>
      <w:numFmt w:val="decimal"/>
      <w:pStyle w:val="120"/>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24">
    <w:nsid w:val="5603797C"/>
    <w:multiLevelType w:val="multilevel"/>
    <w:tmpl w:val="5603797C"/>
    <w:lvl w:ilvl="0" w:tentative="0">
      <w:start w:val="1"/>
      <w:numFmt w:val="upperLetter"/>
      <w:pStyle w:val="205"/>
      <w:suff w:val="space"/>
      <w:lvlText w:val="%1"/>
      <w:lvlJc w:val="left"/>
      <w:pPr>
        <w:ind w:left="425" w:hanging="425"/>
      </w:pPr>
      <w:rPr>
        <w:rFonts w:hint="eastAsia"/>
      </w:rPr>
    </w:lvl>
    <w:lvl w:ilvl="1" w:tentative="0">
      <w:start w:val="1"/>
      <w:numFmt w:val="decimal"/>
      <w:pStyle w:val="83"/>
      <w:suff w:val="space"/>
      <w:lvlText w:val="表%1.%2 "/>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5">
    <w:nsid w:val="564D2089"/>
    <w:multiLevelType w:val="multilevel"/>
    <w:tmpl w:val="564D2089"/>
    <w:lvl w:ilvl="0" w:tentative="0">
      <w:start w:val="1"/>
      <w:numFmt w:val="none"/>
      <w:pStyle w:val="117"/>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5F871B85"/>
    <w:multiLevelType w:val="multilevel"/>
    <w:tmpl w:val="5F871B85"/>
    <w:lvl w:ilvl="0" w:tentative="0">
      <w:start w:val="1"/>
      <w:numFmt w:val="upperLetter"/>
      <w:pStyle w:val="248"/>
      <w:lvlText w:val="%1"/>
      <w:lvlJc w:val="left"/>
      <w:pPr>
        <w:tabs>
          <w:tab w:val="left" w:pos="0"/>
        </w:tabs>
        <w:ind w:left="0" w:firstLine="0"/>
      </w:pPr>
      <w:rPr>
        <w:rFonts w:hint="default"/>
      </w:rPr>
    </w:lvl>
    <w:lvl w:ilvl="1" w:tentative="0">
      <w:start w:val="1"/>
      <w:numFmt w:val="decimal"/>
      <w:pStyle w:val="249"/>
      <w:suff w:val="nothing"/>
      <w:lvlText w:val="图%1.%2　"/>
      <w:lvlJc w:val="left"/>
      <w:pPr>
        <w:ind w:left="0" w:firstLine="0"/>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864" w:hanging="864"/>
      </w:pPr>
      <w:rPr>
        <w:rFonts w:hint="default"/>
      </w:rPr>
    </w:lvl>
    <w:lvl w:ilvl="4" w:tentative="0">
      <w:start w:val="1"/>
      <w:numFmt w:val="decimal"/>
      <w:lvlText w:val="%1.%2.%3.%4.%5."/>
      <w:lvlJc w:val="left"/>
      <w:pPr>
        <w:ind w:left="1008" w:hanging="1008"/>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abstractNum w:abstractNumId="27">
    <w:nsid w:val="644622F9"/>
    <w:multiLevelType w:val="multilevel"/>
    <w:tmpl w:val="644622F9"/>
    <w:lvl w:ilvl="0" w:tentative="0">
      <w:start w:val="1"/>
      <w:numFmt w:val="upperRoman"/>
      <w:pStyle w:val="174"/>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8">
    <w:nsid w:val="646260FA"/>
    <w:multiLevelType w:val="multilevel"/>
    <w:tmpl w:val="646260FA"/>
    <w:lvl w:ilvl="0" w:tentative="0">
      <w:start w:val="1"/>
      <w:numFmt w:val="decimal"/>
      <w:pStyle w:val="118"/>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9">
    <w:nsid w:val="654A26C9"/>
    <w:multiLevelType w:val="multilevel"/>
    <w:tmpl w:val="654A26C9"/>
    <w:lvl w:ilvl="0" w:tentative="0">
      <w:start w:val="1"/>
      <w:numFmt w:val="none"/>
      <w:pStyle w:val="195"/>
      <w:lvlText w:val="──"/>
      <w:lvlJc w:val="left"/>
      <w:pPr>
        <w:ind w:left="851" w:firstLine="0"/>
      </w:pPr>
      <w:rPr>
        <w:rFonts w:hint="eastAsia" w:ascii="宋体" w:hAnsi="等线 Light" w:eastAsia="宋体"/>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30">
    <w:nsid w:val="657D3FBC"/>
    <w:multiLevelType w:val="multilevel"/>
    <w:tmpl w:val="657D3FBC"/>
    <w:lvl w:ilvl="0" w:tentative="0">
      <w:start w:val="1"/>
      <w:numFmt w:val="upperLetter"/>
      <w:pStyle w:val="82"/>
      <w:suff w:val="nothing"/>
      <w:lvlText w:val="附录%1"/>
      <w:lvlJc w:val="left"/>
      <w:pPr>
        <w:ind w:left="0" w:firstLine="0"/>
      </w:pPr>
      <w:rPr>
        <w:rFonts w:hint="eastAsia"/>
        <w:spacing w:val="100"/>
      </w:rPr>
    </w:lvl>
    <w:lvl w:ilvl="1" w:tentative="0">
      <w:start w:val="1"/>
      <w:numFmt w:val="decimal"/>
      <w:pStyle w:val="84"/>
      <w:suff w:val="nothing"/>
      <w:lvlText w:val="%1.%2　"/>
      <w:lvlJc w:val="left"/>
      <w:pPr>
        <w:ind w:left="0" w:firstLine="0"/>
      </w:pPr>
      <w:rPr>
        <w:rFonts w:hint="eastAsia" w:ascii="黑体" w:eastAsia="黑体"/>
        <w:b w:val="0"/>
        <w:i w:val="0"/>
        <w:sz w:val="21"/>
      </w:rPr>
    </w:lvl>
    <w:lvl w:ilvl="2" w:tentative="0">
      <w:start w:val="1"/>
      <w:numFmt w:val="decimal"/>
      <w:pStyle w:val="85"/>
      <w:suff w:val="nothing"/>
      <w:lvlText w:val="%1.%2.%3　"/>
      <w:lvlJc w:val="left"/>
      <w:pPr>
        <w:ind w:left="0" w:firstLine="0"/>
      </w:pPr>
      <w:rPr>
        <w:rFonts w:hint="eastAsia" w:ascii="黑体" w:eastAsia="黑体"/>
        <w:b w:val="0"/>
        <w:i w:val="0"/>
        <w:sz w:val="21"/>
      </w:rPr>
    </w:lvl>
    <w:lvl w:ilvl="3" w:tentative="0">
      <w:start w:val="1"/>
      <w:numFmt w:val="decimal"/>
      <w:pStyle w:val="87"/>
      <w:suff w:val="nothing"/>
      <w:lvlText w:val="%1.%2.%3.%4　"/>
      <w:lvlJc w:val="left"/>
      <w:pPr>
        <w:ind w:left="0" w:firstLine="0"/>
      </w:pPr>
      <w:rPr>
        <w:rFonts w:hint="eastAsia" w:ascii="黑体" w:eastAsia="黑体"/>
        <w:b w:val="0"/>
        <w:i w:val="0"/>
        <w:sz w:val="21"/>
      </w:rPr>
    </w:lvl>
    <w:lvl w:ilvl="4" w:tentative="0">
      <w:start w:val="1"/>
      <w:numFmt w:val="decimal"/>
      <w:pStyle w:val="88"/>
      <w:suff w:val="nothing"/>
      <w:lvlText w:val="%1.%2.%3.%4.%5　"/>
      <w:lvlJc w:val="left"/>
      <w:pPr>
        <w:ind w:left="0" w:firstLine="0"/>
      </w:pPr>
      <w:rPr>
        <w:rFonts w:hint="eastAsia" w:ascii="黑体" w:eastAsia="黑体"/>
        <w:b w:val="0"/>
        <w:i w:val="0"/>
        <w:sz w:val="21"/>
      </w:rPr>
    </w:lvl>
    <w:lvl w:ilvl="5" w:tentative="0">
      <w:start w:val="1"/>
      <w:numFmt w:val="decimal"/>
      <w:pStyle w:val="90"/>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31">
    <w:nsid w:val="69506ABF"/>
    <w:multiLevelType w:val="multilevel"/>
    <w:tmpl w:val="69506ABF"/>
    <w:lvl w:ilvl="0" w:tentative="0">
      <w:start w:val="1"/>
      <w:numFmt w:val="bullet"/>
      <w:pStyle w:val="194"/>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32">
    <w:nsid w:val="6CA41985"/>
    <w:multiLevelType w:val="multilevel"/>
    <w:tmpl w:val="6CA41985"/>
    <w:lvl w:ilvl="0" w:tentative="0">
      <w:start w:val="1"/>
      <w:numFmt w:val="decimal"/>
      <w:pStyle w:val="103"/>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3">
    <w:nsid w:val="6CE42AC1"/>
    <w:multiLevelType w:val="multilevel"/>
    <w:tmpl w:val="6CE42AC1"/>
    <w:lvl w:ilvl="0" w:tentative="0">
      <w:start w:val="1"/>
      <w:numFmt w:val="lowerLetter"/>
      <w:pStyle w:val="179"/>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4">
    <w:nsid w:val="6CEA2025"/>
    <w:multiLevelType w:val="multilevel"/>
    <w:tmpl w:val="6CEA2025"/>
    <w:lvl w:ilvl="0" w:tentative="0">
      <w:start w:val="1"/>
      <w:numFmt w:val="none"/>
      <w:pStyle w:val="158"/>
      <w:suff w:val="nothing"/>
      <w:lvlText w:val="%1"/>
      <w:lvlJc w:val="left"/>
      <w:pPr>
        <w:ind w:left="0" w:firstLine="0"/>
      </w:pPr>
      <w:rPr>
        <w:rFonts w:hint="eastAsia"/>
      </w:rPr>
    </w:lvl>
    <w:lvl w:ilvl="1" w:tentative="0">
      <w:start w:val="1"/>
      <w:numFmt w:val="decimal"/>
      <w:pStyle w:val="109"/>
      <w:suff w:val="nothing"/>
      <w:lvlText w:val="%1%2　"/>
      <w:lvlJc w:val="left"/>
      <w:pPr>
        <w:ind w:left="0" w:firstLine="0"/>
      </w:pPr>
      <w:rPr>
        <w:rFonts w:hint="eastAsia" w:ascii="黑体" w:eastAsia="黑体"/>
        <w:b w:val="0"/>
        <w:i w:val="0"/>
        <w:sz w:val="21"/>
      </w:rPr>
    </w:lvl>
    <w:lvl w:ilvl="2" w:tentative="0">
      <w:start w:val="1"/>
      <w:numFmt w:val="decimal"/>
      <w:pStyle w:val="110"/>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rPr>
    </w:lvl>
    <w:lvl w:ilvl="3" w:tentative="0">
      <w:start w:val="1"/>
      <w:numFmt w:val="decimal"/>
      <w:pStyle w:val="70"/>
      <w:suff w:val="nothing"/>
      <w:lvlText w:val="%1%2.%3.%4　"/>
      <w:lvlJc w:val="left"/>
      <w:pPr>
        <w:ind w:left="0" w:firstLine="0"/>
      </w:pPr>
      <w:rPr>
        <w:rFonts w:hint="eastAsia" w:ascii="黑体" w:eastAsia="黑体"/>
        <w:b w:val="0"/>
        <w:i w:val="0"/>
        <w:sz w:val="21"/>
      </w:rPr>
    </w:lvl>
    <w:lvl w:ilvl="4" w:tentative="0">
      <w:start w:val="1"/>
      <w:numFmt w:val="decimal"/>
      <w:pStyle w:val="99"/>
      <w:suff w:val="nothing"/>
      <w:lvlText w:val="%1%2.%3.%4.%5　"/>
      <w:lvlJc w:val="left"/>
      <w:pPr>
        <w:ind w:left="0" w:firstLine="0"/>
      </w:pPr>
      <w:rPr>
        <w:rFonts w:hint="eastAsia" w:ascii="黑体" w:eastAsia="黑体"/>
        <w:b w:val="0"/>
        <w:i w:val="0"/>
        <w:sz w:val="21"/>
      </w:rPr>
    </w:lvl>
    <w:lvl w:ilvl="5" w:tentative="0">
      <w:start w:val="1"/>
      <w:numFmt w:val="decimal"/>
      <w:pStyle w:val="104"/>
      <w:suff w:val="nothing"/>
      <w:lvlText w:val="%1%2.%3.%4.%5.%6　"/>
      <w:lvlJc w:val="left"/>
      <w:pPr>
        <w:ind w:left="0" w:firstLine="0"/>
      </w:pPr>
      <w:rPr>
        <w:rFonts w:hint="eastAsia" w:ascii="黑体" w:eastAsia="黑体"/>
        <w:b w:val="0"/>
        <w:i w:val="0"/>
        <w:sz w:val="21"/>
      </w:rPr>
    </w:lvl>
    <w:lvl w:ilvl="6" w:tentative="0">
      <w:start w:val="1"/>
      <w:numFmt w:val="decimal"/>
      <w:pStyle w:val="108"/>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35">
    <w:nsid w:val="6DBF04F4"/>
    <w:multiLevelType w:val="multilevel"/>
    <w:tmpl w:val="6DBF04F4"/>
    <w:lvl w:ilvl="0" w:tentative="0">
      <w:start w:val="1"/>
      <w:numFmt w:val="none"/>
      <w:pStyle w:val="186"/>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36">
    <w:nsid w:val="6DF35F19"/>
    <w:multiLevelType w:val="multilevel"/>
    <w:tmpl w:val="6DF35F19"/>
    <w:lvl w:ilvl="0" w:tentative="0">
      <w:start w:val="1"/>
      <w:numFmt w:val="decimal"/>
      <w:pStyle w:val="121"/>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7">
    <w:nsid w:val="76933334"/>
    <w:multiLevelType w:val="multilevel"/>
    <w:tmpl w:val="76933334"/>
    <w:lvl w:ilvl="0" w:tentative="0">
      <w:start w:val="1"/>
      <w:numFmt w:val="none"/>
      <w:pStyle w:val="145"/>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4"/>
  </w:num>
  <w:num w:numId="2">
    <w:abstractNumId w:val="34"/>
  </w:num>
  <w:num w:numId="3">
    <w:abstractNumId w:val="9"/>
  </w:num>
  <w:num w:numId="4">
    <w:abstractNumId w:val="30"/>
  </w:num>
  <w:num w:numId="5">
    <w:abstractNumId w:val="24"/>
  </w:num>
  <w:num w:numId="6">
    <w:abstractNumId w:val="18"/>
  </w:num>
  <w:num w:numId="7">
    <w:abstractNumId w:val="12"/>
  </w:num>
  <w:num w:numId="8">
    <w:abstractNumId w:val="7"/>
  </w:num>
  <w:num w:numId="9">
    <w:abstractNumId w:val="13"/>
  </w:num>
  <w:num w:numId="10">
    <w:abstractNumId w:val="22"/>
  </w:num>
  <w:num w:numId="11">
    <w:abstractNumId w:val="32"/>
  </w:num>
  <w:num w:numId="12">
    <w:abstractNumId w:val="15"/>
  </w:num>
  <w:num w:numId="13">
    <w:abstractNumId w:val="16"/>
  </w:num>
  <w:num w:numId="14">
    <w:abstractNumId w:val="11"/>
  </w:num>
  <w:num w:numId="15">
    <w:abstractNumId w:val="25"/>
  </w:num>
  <w:num w:numId="16">
    <w:abstractNumId w:val="28"/>
  </w:num>
  <w:num w:numId="17">
    <w:abstractNumId w:val="23"/>
  </w:num>
  <w:num w:numId="18">
    <w:abstractNumId w:val="36"/>
  </w:num>
  <w:num w:numId="19">
    <w:abstractNumId w:val="20"/>
  </w:num>
  <w:num w:numId="20">
    <w:abstractNumId w:val="5"/>
  </w:num>
  <w:num w:numId="21">
    <w:abstractNumId w:val="14"/>
  </w:num>
  <w:num w:numId="22">
    <w:abstractNumId w:val="37"/>
  </w:num>
  <w:num w:numId="23">
    <w:abstractNumId w:val="27"/>
  </w:num>
  <w:num w:numId="24">
    <w:abstractNumId w:val="10"/>
  </w:num>
  <w:num w:numId="25">
    <w:abstractNumId w:val="33"/>
  </w:num>
  <w:num w:numId="26">
    <w:abstractNumId w:val="35"/>
  </w:num>
  <w:num w:numId="27">
    <w:abstractNumId w:val="6"/>
  </w:num>
  <w:num w:numId="28">
    <w:abstractNumId w:val="8"/>
  </w:num>
  <w:num w:numId="29">
    <w:abstractNumId w:val="19"/>
  </w:num>
  <w:num w:numId="30">
    <w:abstractNumId w:val="31"/>
  </w:num>
  <w:num w:numId="31">
    <w:abstractNumId w:val="29"/>
  </w:num>
  <w:num w:numId="32">
    <w:abstractNumId w:val="26"/>
  </w:num>
  <w:num w:numId="33">
    <w:abstractNumId w:val="3"/>
  </w:num>
  <w:num w:numId="34">
    <w:abstractNumId w:val="2"/>
  </w:num>
  <w:num w:numId="35">
    <w:abstractNumId w:val="1"/>
  </w:num>
  <w:num w:numId="36">
    <w:abstractNumId w:val="21"/>
  </w:num>
  <w:num w:numId="37">
    <w:abstractNumId w:val="17"/>
  </w:num>
  <w:num w:numId="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linkStyles/>
  <w:attachedTemplate r:id="rId1"/>
  <w:documentProtection w:enforcement="0"/>
  <w:defaultTabStop w:val="420"/>
  <w:hyphenationZone w:val="36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91B439A"/>
    <w:rsid w:val="0000040A"/>
    <w:rsid w:val="00000A94"/>
    <w:rsid w:val="00001972"/>
    <w:rsid w:val="00001D9A"/>
    <w:rsid w:val="00002D44"/>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4A5D"/>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ECF"/>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A3D27"/>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E28E0"/>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5609D"/>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6980"/>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27B9"/>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245"/>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286E"/>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5624"/>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D75C2"/>
    <w:rsid w:val="00EE0350"/>
    <w:rsid w:val="00EE0719"/>
    <w:rsid w:val="00EE0E80"/>
    <w:rsid w:val="00EE613F"/>
    <w:rsid w:val="00EE7295"/>
    <w:rsid w:val="00EE7869"/>
    <w:rsid w:val="00EF054A"/>
    <w:rsid w:val="00EF3235"/>
    <w:rsid w:val="00EF7076"/>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C1A2C38"/>
    <w:rsid w:val="191B439A"/>
    <w:rsid w:val="1B5302B4"/>
    <w:rsid w:val="1FE821AF"/>
    <w:rsid w:val="23BB404D"/>
    <w:rsid w:val="2451716B"/>
    <w:rsid w:val="2DFA155F"/>
    <w:rsid w:val="356D6ABA"/>
    <w:rsid w:val="3ED72C74"/>
    <w:rsid w:val="455C1FF7"/>
    <w:rsid w:val="4CEE7F5A"/>
    <w:rsid w:val="50700DB5"/>
    <w:rsid w:val="50776610"/>
    <w:rsid w:val="5429164F"/>
    <w:rsid w:val="5B8B1199"/>
    <w:rsid w:val="5F3B5EA7"/>
    <w:rsid w:val="60421B4F"/>
    <w:rsid w:val="62465D76"/>
    <w:rsid w:val="663568D1"/>
    <w:rsid w:val="6A050368"/>
    <w:rsid w:val="75073811"/>
    <w:rsid w:val="7806120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qFormat="1" w:unhideWhenUsed="0" w:uiPriority="0" w:name="table of figures"/>
    <w:lsdException w:unhideWhenUsed="0" w:uiPriority="0" w:semiHidden="0" w:name="envelope address"/>
    <w:lsdException w:unhideWhenUsed="0" w:uiPriority="0" w:semiHidden="0" w:name="envelope return"/>
    <w:lsdException w:qFormat="1" w:unhideWhenUsed="0" w:uiPriority="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22" w:semiHidden="0" w:name="Strong"/>
    <w:lsdException w:qFormat="1" w:unhideWhenUsed="0" w:uiPriority="2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iPriority="99" w:semiHidden="0" w:name="Balloon Text"/>
    <w:lsdException w:qFormat="1" w:unhideWhenUsed="0" w:uiPriority="39" w:semiHidden="0" w:name="Table Grid"/>
    <w:lsdException w:uiPriority="0"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unhideWhenUsed/>
    <w:qFormat/>
    <w:uiPriority w:val="1"/>
  </w:style>
  <w:style w:type="table" w:default="1" w:styleId="26">
    <w:name w:val="Normal Table"/>
    <w:unhideWhenUsed/>
    <w:qFormat/>
    <w:uiPriority w:val="99"/>
    <w:tblPr>
      <w:tblCellMar>
        <w:top w:w="0" w:type="dxa"/>
        <w:left w:w="108" w:type="dxa"/>
        <w:bottom w:w="0" w:type="dxa"/>
        <w:right w:w="108" w:type="dxa"/>
      </w:tblCellMar>
    </w:tblPr>
  </w:style>
  <w:style w:type="paragraph" w:styleId="11">
    <w:name w:val="toc 7"/>
    <w:basedOn w:val="1"/>
    <w:next w:val="1"/>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49"/>
    <w:qFormat/>
    <w:uiPriority w:val="0"/>
    <w:pPr>
      <w:spacing w:after="120"/>
    </w:pPr>
  </w:style>
  <w:style w:type="paragraph" w:styleId="14">
    <w:name w:val="toc 5"/>
    <w:basedOn w:val="1"/>
    <w:next w:val="1"/>
    <w:unhideWhenUsed/>
    <w:qFormat/>
    <w:uiPriority w:val="39"/>
    <w:pPr>
      <w:ind w:left="839"/>
    </w:pPr>
    <w:rPr>
      <w:rFonts w:ascii="宋体"/>
    </w:rPr>
  </w:style>
  <w:style w:type="paragraph" w:styleId="15">
    <w:name w:val="toc 3"/>
    <w:basedOn w:val="1"/>
    <w:next w:val="1"/>
    <w:unhideWhenUsed/>
    <w:qFormat/>
    <w:uiPriority w:val="39"/>
    <w:pPr>
      <w:spacing w:line="300" w:lineRule="exact"/>
      <w:ind w:left="420"/>
    </w:pPr>
    <w:rPr>
      <w:rFonts w:ascii="宋体"/>
    </w:rPr>
  </w:style>
  <w:style w:type="paragraph" w:styleId="16">
    <w:name w:val="Balloon Text"/>
    <w:basedOn w:val="1"/>
    <w:link w:val="50"/>
    <w:unhideWhenUsed/>
    <w:qFormat/>
    <w:uiPriority w:val="99"/>
    <w:rPr>
      <w:sz w:val="18"/>
      <w:szCs w:val="18"/>
    </w:rPr>
  </w:style>
  <w:style w:type="paragraph" w:styleId="17">
    <w:name w:val="footer"/>
    <w:basedOn w:val="1"/>
    <w:link w:val="45"/>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6"/>
    <w:qFormat/>
    <w:uiPriority w:val="99"/>
    <w:pPr>
      <w:tabs>
        <w:tab w:val="center" w:pos="4153"/>
        <w:tab w:val="right" w:pos="8306"/>
      </w:tabs>
      <w:adjustRightInd/>
      <w:snapToGrid w:val="0"/>
      <w:jc w:val="center"/>
    </w:pPr>
    <w:rPr>
      <w:sz w:val="18"/>
      <w:szCs w:val="18"/>
    </w:rPr>
  </w:style>
  <w:style w:type="paragraph" w:styleId="19">
    <w:name w:val="toc 1"/>
    <w:basedOn w:val="1"/>
    <w:next w:val="1"/>
    <w:unhideWhenUsed/>
    <w:qFormat/>
    <w:uiPriority w:val="39"/>
    <w:rPr>
      <w:rFonts w:ascii="宋体"/>
    </w:rPr>
  </w:style>
  <w:style w:type="paragraph" w:styleId="20">
    <w:name w:val="toc 4"/>
    <w:basedOn w:val="1"/>
    <w:next w:val="1"/>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47"/>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正文文本 Char"/>
    <w:link w:val="13"/>
    <w:qFormat/>
    <w:uiPriority w:val="99"/>
    <w:rPr>
      <w:rFonts w:ascii="Times New Roman" w:hAnsi="Times New Roman" w:eastAsia="宋体" w:cs="Times New Roman"/>
    </w:rPr>
  </w:style>
  <w:style w:type="character" w:customStyle="1" w:styleId="44">
    <w:name w:val="批注框文本 Char"/>
    <w:link w:val="16"/>
    <w:qFormat/>
    <w:uiPriority w:val="0"/>
    <w:rPr>
      <w:rFonts w:ascii="Times New Roman" w:hAnsi="Times New Roman" w:eastAsia="宋体" w:cs="Times New Roman"/>
      <w:sz w:val="18"/>
      <w:szCs w:val="18"/>
    </w:rPr>
  </w:style>
  <w:style w:type="character" w:customStyle="1" w:styleId="45">
    <w:name w:val="页脚 字符"/>
    <w:link w:val="17"/>
    <w:qFormat/>
    <w:uiPriority w:val="99"/>
    <w:rPr>
      <w:rFonts w:ascii="宋体"/>
      <w:kern w:val="2"/>
      <w:sz w:val="18"/>
      <w:szCs w:val="18"/>
    </w:rPr>
  </w:style>
  <w:style w:type="character" w:customStyle="1" w:styleId="46">
    <w:name w:val="页眉 字符"/>
    <w:link w:val="18"/>
    <w:qFormat/>
    <w:uiPriority w:val="99"/>
    <w:rPr>
      <w:kern w:val="2"/>
      <w:sz w:val="18"/>
      <w:szCs w:val="18"/>
    </w:rPr>
  </w:style>
  <w:style w:type="character" w:customStyle="1" w:styleId="47">
    <w:name w:val="脚注文本 字符"/>
    <w:link w:val="21"/>
    <w:semiHidden/>
    <w:qFormat/>
    <w:uiPriority w:val="0"/>
    <w:rPr>
      <w:rFonts w:ascii="宋体"/>
      <w:kern w:val="2"/>
      <w:sz w:val="18"/>
      <w:szCs w:val="18"/>
    </w:rPr>
  </w:style>
  <w:style w:type="character" w:customStyle="1" w:styleId="48">
    <w:name w:val="标题 字符"/>
    <w:link w:val="25"/>
    <w:qFormat/>
    <w:uiPriority w:val="0"/>
    <w:rPr>
      <w:rFonts w:ascii="Arial" w:hAnsi="Arial" w:cs="Arial"/>
      <w:b/>
      <w:bCs/>
      <w:kern w:val="2"/>
      <w:sz w:val="32"/>
      <w:szCs w:val="32"/>
    </w:rPr>
  </w:style>
  <w:style w:type="character" w:customStyle="1" w:styleId="49">
    <w:name w:val="正文文本 字符"/>
    <w:link w:val="13"/>
    <w:qFormat/>
    <w:uiPriority w:val="0"/>
    <w:rPr>
      <w:kern w:val="2"/>
      <w:sz w:val="21"/>
      <w:szCs w:val="21"/>
    </w:rPr>
  </w:style>
  <w:style w:type="character" w:customStyle="1" w:styleId="50">
    <w:name w:val="批注框文本 字符"/>
    <w:link w:val="16"/>
    <w:semiHidden/>
    <w:qFormat/>
    <w:uiPriority w:val="99"/>
    <w:rPr>
      <w:kern w:val="2"/>
      <w:sz w:val="18"/>
      <w:szCs w:val="18"/>
    </w:rPr>
  </w:style>
  <w:style w:type="paragraph" w:styleId="51">
    <w:name w:val="Quote"/>
    <w:basedOn w:val="1"/>
    <w:next w:val="1"/>
    <w:link w:val="52"/>
    <w:qFormat/>
    <w:uiPriority w:val="29"/>
    <w:rPr>
      <w:i/>
      <w:iCs/>
      <w:color w:val="000000"/>
    </w:rPr>
  </w:style>
  <w:style w:type="character" w:customStyle="1" w:styleId="52">
    <w:name w:val="引用 字符"/>
    <w:link w:val="51"/>
    <w:qFormat/>
    <w:uiPriority w:val="29"/>
    <w:rPr>
      <w:i/>
      <w:iCs/>
      <w:color w:val="000000"/>
      <w:kern w:val="2"/>
      <w:sz w:val="21"/>
      <w:szCs w:val="21"/>
    </w:rPr>
  </w:style>
  <w:style w:type="paragraph" w:customStyle="1" w:styleId="53">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4">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5">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6">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7">
    <w:name w:val="标准书眉一"/>
    <w:qFormat/>
    <w:uiPriority w:val="0"/>
    <w:pPr>
      <w:jc w:val="both"/>
    </w:pPr>
    <w:rPr>
      <w:rFonts w:ascii="Times New Roman" w:hAnsi="Times New Roman" w:eastAsia="宋体" w:cs="Times New Roman"/>
      <w:lang w:val="en-US" w:eastAsia="zh-CN" w:bidi="ar-SA"/>
    </w:rPr>
  </w:style>
  <w:style w:type="paragraph" w:customStyle="1" w:styleId="58">
    <w:name w:val="标准文件_ICS"/>
    <w:basedOn w:val="1"/>
    <w:qFormat/>
    <w:uiPriority w:val="0"/>
    <w:pPr>
      <w:spacing w:line="0" w:lineRule="atLeast"/>
    </w:pPr>
    <w:rPr>
      <w:rFonts w:ascii="黑体" w:hAnsi="宋体" w:eastAsia="黑体"/>
    </w:rPr>
  </w:style>
  <w:style w:type="paragraph" w:customStyle="1" w:styleId="59">
    <w:name w:val="标准文件_标准正文"/>
    <w:basedOn w:val="1"/>
    <w:next w:val="60"/>
    <w:qFormat/>
    <w:uiPriority w:val="0"/>
    <w:pPr>
      <w:snapToGrid w:val="0"/>
      <w:ind w:firstLine="200" w:firstLineChars="200"/>
    </w:pPr>
    <w:rPr>
      <w:kern w:val="0"/>
    </w:rPr>
  </w:style>
  <w:style w:type="paragraph" w:customStyle="1" w:styleId="60">
    <w:name w:val="标准文件_段"/>
    <w:link w:val="61"/>
    <w:qFormat/>
    <w:uiPriority w:val="0"/>
    <w:pPr>
      <w:autoSpaceDE w:val="0"/>
      <w:autoSpaceDN w:val="0"/>
      <w:ind w:firstLine="200" w:firstLineChars="200"/>
      <w:jc w:val="both"/>
    </w:pPr>
    <w:rPr>
      <w:rFonts w:ascii="Times New Roman" w:hAnsi="Times New Roman" w:eastAsia="宋体" w:cs="Times New Roman"/>
      <w:sz w:val="21"/>
      <w:lang w:val="en-US" w:eastAsia="zh-CN" w:bidi="ar-SA"/>
    </w:rPr>
  </w:style>
  <w:style w:type="character" w:customStyle="1" w:styleId="61">
    <w:name w:val="标准文件_段 Char"/>
    <w:link w:val="60"/>
    <w:qFormat/>
    <w:uiPriority w:val="0"/>
    <w:rPr>
      <w:rFonts w:ascii="Times New Roman" w:hAnsi="Times New Roman"/>
      <w:sz w:val="21"/>
    </w:rPr>
  </w:style>
  <w:style w:type="paragraph" w:customStyle="1" w:styleId="62">
    <w:name w:val="标准文件_版本"/>
    <w:basedOn w:val="59"/>
    <w:qFormat/>
    <w:uiPriority w:val="0"/>
    <w:pPr>
      <w:adjustRightInd/>
      <w:snapToGrid/>
      <w:ind w:firstLine="0" w:firstLineChars="0"/>
    </w:pPr>
    <w:rPr>
      <w:rFonts w:ascii="宋体" w:hAnsi="宋体"/>
      <w:kern w:val="2"/>
    </w:rPr>
  </w:style>
  <w:style w:type="paragraph" w:customStyle="1" w:styleId="63">
    <w:name w:val="标准文件_标准部门"/>
    <w:basedOn w:val="1"/>
    <w:qFormat/>
    <w:uiPriority w:val="0"/>
    <w:pPr>
      <w:jc w:val="center"/>
    </w:pPr>
    <w:rPr>
      <w:rFonts w:ascii="黑体" w:eastAsia="黑体"/>
      <w:kern w:val="0"/>
      <w:sz w:val="44"/>
    </w:rPr>
  </w:style>
  <w:style w:type="paragraph" w:customStyle="1" w:styleId="64">
    <w:name w:val="标准文件_标准代替"/>
    <w:basedOn w:val="1"/>
    <w:next w:val="1"/>
    <w:qFormat/>
    <w:uiPriority w:val="0"/>
    <w:pPr>
      <w:spacing w:line="310" w:lineRule="exact"/>
      <w:jc w:val="right"/>
    </w:pPr>
    <w:rPr>
      <w:rFonts w:ascii="宋体" w:hAnsi="宋体"/>
      <w:kern w:val="0"/>
    </w:rPr>
  </w:style>
  <w:style w:type="paragraph" w:customStyle="1" w:styleId="65">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6">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7">
    <w:name w:val="标准文件_页眉偶数页"/>
    <w:basedOn w:val="66"/>
    <w:next w:val="1"/>
    <w:qFormat/>
    <w:uiPriority w:val="0"/>
    <w:pPr>
      <w:jc w:val="left"/>
    </w:pPr>
  </w:style>
  <w:style w:type="paragraph" w:customStyle="1" w:styleId="68">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9">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70">
    <w:name w:val="标准文件_二级条标题"/>
    <w:next w:val="60"/>
    <w:link w:val="71"/>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71">
    <w:name w:val="标准文件_二级条标题 Char"/>
    <w:link w:val="70"/>
    <w:qFormat/>
    <w:uiPriority w:val="0"/>
    <w:rPr>
      <w:rFonts w:ascii="黑体" w:hAnsi="Times New Roman" w:eastAsia="黑体" w:cs="Times New Roman"/>
      <w:sz w:val="21"/>
      <w:lang w:val="en-US" w:eastAsia="zh-CN" w:bidi="ar-SA"/>
    </w:rPr>
  </w:style>
  <w:style w:type="character" w:customStyle="1" w:styleId="72">
    <w:name w:val="标准文件_发布"/>
    <w:qFormat/>
    <w:uiPriority w:val="0"/>
    <w:rPr>
      <w:rFonts w:ascii="黑体" w:eastAsia="黑体"/>
      <w:spacing w:val="0"/>
      <w:w w:val="100"/>
      <w:position w:val="3"/>
      <w:sz w:val="28"/>
    </w:rPr>
  </w:style>
  <w:style w:type="paragraph" w:customStyle="1" w:styleId="73">
    <w:name w:val="标准文件_方框数字列项"/>
    <w:basedOn w:val="60"/>
    <w:qFormat/>
    <w:uiPriority w:val="0"/>
    <w:pPr>
      <w:numPr>
        <w:ilvl w:val="0"/>
        <w:numId w:val="3"/>
      </w:numPr>
      <w:ind w:firstLine="0" w:firstLineChars="0"/>
    </w:pPr>
  </w:style>
  <w:style w:type="paragraph" w:customStyle="1" w:styleId="74">
    <w:name w:val="标准文件_封面标准编号"/>
    <w:basedOn w:val="1"/>
    <w:next w:val="64"/>
    <w:qFormat/>
    <w:uiPriority w:val="0"/>
    <w:pPr>
      <w:spacing w:line="310" w:lineRule="exact"/>
      <w:jc w:val="right"/>
    </w:pPr>
    <w:rPr>
      <w:rFonts w:ascii="黑体" w:eastAsia="黑体"/>
      <w:kern w:val="0"/>
      <w:sz w:val="28"/>
    </w:rPr>
  </w:style>
  <w:style w:type="paragraph" w:customStyle="1" w:styleId="75">
    <w:name w:val="标准文件_封面标准分类号"/>
    <w:basedOn w:val="1"/>
    <w:qFormat/>
    <w:uiPriority w:val="0"/>
    <w:rPr>
      <w:rFonts w:ascii="黑体" w:eastAsia="黑体"/>
      <w:b/>
      <w:kern w:val="0"/>
      <w:sz w:val="28"/>
    </w:rPr>
  </w:style>
  <w:style w:type="paragraph" w:customStyle="1" w:styleId="76">
    <w:name w:val="标准文件_封面标准名称"/>
    <w:basedOn w:val="1"/>
    <w:qFormat/>
    <w:uiPriority w:val="0"/>
    <w:pPr>
      <w:spacing w:line="240" w:lineRule="auto"/>
      <w:jc w:val="center"/>
    </w:pPr>
    <w:rPr>
      <w:rFonts w:ascii="黑体" w:eastAsia="黑体"/>
      <w:kern w:val="0"/>
      <w:sz w:val="52"/>
    </w:rPr>
  </w:style>
  <w:style w:type="paragraph" w:customStyle="1" w:styleId="77">
    <w:name w:val="标准文件_封面标准英文名称"/>
    <w:basedOn w:val="1"/>
    <w:qFormat/>
    <w:uiPriority w:val="0"/>
    <w:pPr>
      <w:spacing w:line="240" w:lineRule="auto"/>
      <w:jc w:val="center"/>
    </w:pPr>
    <w:rPr>
      <w:rFonts w:ascii="黑体" w:eastAsia="黑体"/>
      <w:b/>
      <w:sz w:val="28"/>
    </w:rPr>
  </w:style>
  <w:style w:type="paragraph" w:customStyle="1" w:styleId="78">
    <w:name w:val="标准文件_封面发布日期"/>
    <w:basedOn w:val="1"/>
    <w:qFormat/>
    <w:uiPriority w:val="0"/>
    <w:pPr>
      <w:spacing w:line="310" w:lineRule="exact"/>
    </w:pPr>
    <w:rPr>
      <w:rFonts w:ascii="黑体" w:eastAsia="黑体"/>
      <w:kern w:val="0"/>
      <w:sz w:val="28"/>
    </w:rPr>
  </w:style>
  <w:style w:type="paragraph" w:customStyle="1" w:styleId="79">
    <w:name w:val="标准文件_封面密级"/>
    <w:basedOn w:val="1"/>
    <w:qFormat/>
    <w:uiPriority w:val="0"/>
    <w:rPr>
      <w:rFonts w:eastAsia="黑体"/>
      <w:sz w:val="32"/>
    </w:rPr>
  </w:style>
  <w:style w:type="paragraph" w:customStyle="1" w:styleId="80">
    <w:name w:val="标准文件_封面实施日期"/>
    <w:basedOn w:val="1"/>
    <w:qFormat/>
    <w:uiPriority w:val="0"/>
    <w:pPr>
      <w:spacing w:line="310" w:lineRule="exact"/>
      <w:jc w:val="right"/>
    </w:pPr>
    <w:rPr>
      <w:rFonts w:ascii="黑体" w:eastAsia="黑体"/>
      <w:sz w:val="28"/>
    </w:rPr>
  </w:style>
  <w:style w:type="paragraph" w:customStyle="1" w:styleId="81">
    <w:name w:val="标准文件_封面抬头"/>
    <w:basedOn w:val="60"/>
    <w:qFormat/>
    <w:uiPriority w:val="0"/>
    <w:pPr>
      <w:adjustRightInd w:val="0"/>
      <w:spacing w:line="800" w:lineRule="exact"/>
      <w:ind w:firstLine="0" w:firstLineChars="0"/>
      <w:jc w:val="distribute"/>
    </w:pPr>
    <w:rPr>
      <w:rFonts w:ascii="黑体" w:eastAsia="黑体"/>
      <w:b/>
      <w:sz w:val="64"/>
    </w:rPr>
  </w:style>
  <w:style w:type="paragraph" w:customStyle="1" w:styleId="82">
    <w:name w:val="标准文件_附录标识"/>
    <w:next w:val="60"/>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83">
    <w:name w:val="标准文件_附录表标题"/>
    <w:next w:val="60"/>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84">
    <w:name w:val="标准文件_附录一级条标题"/>
    <w:next w:val="60"/>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5">
    <w:name w:val="标准文件_附录二级条标题"/>
    <w:basedOn w:val="84"/>
    <w:next w:val="60"/>
    <w:qFormat/>
    <w:uiPriority w:val="0"/>
    <w:pPr>
      <w:widowControl/>
      <w:numPr>
        <w:ilvl w:val="2"/>
      </w:numPr>
      <w:wordWrap w:val="0"/>
      <w:overflowPunct w:val="0"/>
      <w:autoSpaceDE w:val="0"/>
      <w:autoSpaceDN w:val="0"/>
      <w:textAlignment w:val="baseline"/>
      <w:outlineLvl w:val="3"/>
    </w:pPr>
  </w:style>
  <w:style w:type="paragraph" w:customStyle="1" w:styleId="86">
    <w:name w:val="标准文件_附录公式"/>
    <w:basedOn w:val="59"/>
    <w:next w:val="59"/>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7">
    <w:name w:val="标准文件_附录三级条标题"/>
    <w:next w:val="60"/>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8">
    <w:name w:val="标准文件_附录四级条标题"/>
    <w:next w:val="60"/>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9">
    <w:name w:val="标准文件_附录图标题"/>
    <w:next w:val="60"/>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90">
    <w:name w:val="标准文件_附录五级条标题"/>
    <w:next w:val="60"/>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91">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paragraph" w:customStyle="1" w:styleId="92">
    <w:name w:val="标准文件_附录章标题"/>
    <w:next w:val="60"/>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93">
    <w:name w:val="标准文件_公式后的破折号"/>
    <w:basedOn w:val="60"/>
    <w:next w:val="60"/>
    <w:qFormat/>
    <w:uiPriority w:val="0"/>
    <w:pPr>
      <w:ind w:left="488" w:leftChars="200" w:hanging="289" w:hangingChars="290"/>
    </w:pPr>
  </w:style>
  <w:style w:type="paragraph" w:customStyle="1" w:styleId="94">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5">
    <w:name w:val="标准文件_目次、标准名称标题"/>
    <w:basedOn w:val="94"/>
    <w:next w:val="60"/>
    <w:qFormat/>
    <w:uiPriority w:val="0"/>
    <w:pPr>
      <w:spacing w:line="460" w:lineRule="exact"/>
      <w:ind w:left="0" w:firstLine="0"/>
    </w:pPr>
  </w:style>
  <w:style w:type="paragraph" w:customStyle="1" w:styleId="96">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7">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8">
    <w:name w:val="标准文件_破折号列项（二级）"/>
    <w:basedOn w:val="97"/>
    <w:qFormat/>
    <w:uiPriority w:val="0"/>
    <w:pPr>
      <w:numPr>
        <w:numId w:val="10"/>
      </w:numPr>
    </w:pPr>
  </w:style>
  <w:style w:type="paragraph" w:customStyle="1" w:styleId="99">
    <w:name w:val="标准文件_三级条标题"/>
    <w:basedOn w:val="70"/>
    <w:next w:val="60"/>
    <w:link w:val="100"/>
    <w:qFormat/>
    <w:uiPriority w:val="0"/>
    <w:pPr>
      <w:widowControl/>
      <w:numPr>
        <w:ilvl w:val="4"/>
      </w:numPr>
      <w:outlineLvl w:val="3"/>
    </w:pPr>
  </w:style>
  <w:style w:type="character" w:customStyle="1" w:styleId="100">
    <w:name w:val="标准文件_三级条标题 Char"/>
    <w:link w:val="99"/>
    <w:qFormat/>
    <w:uiPriority w:val="0"/>
    <w:rPr>
      <w:rFonts w:ascii="Times New Roman" w:hAnsi="Times New Roman" w:eastAsia="宋体" w:cs="Times New Roman"/>
    </w:rPr>
  </w:style>
  <w:style w:type="character" w:customStyle="1" w:styleId="101">
    <w:name w:val="Subtle Reference"/>
    <w:qFormat/>
    <w:uiPriority w:val="31"/>
    <w:rPr>
      <w:smallCaps/>
      <w:color w:val="C0504D"/>
      <w:u w:val="single"/>
    </w:rPr>
  </w:style>
  <w:style w:type="paragraph" w:customStyle="1" w:styleId="102">
    <w:name w:val="标准文件_示例后续"/>
    <w:basedOn w:val="1"/>
    <w:qFormat/>
    <w:uiPriority w:val="0"/>
    <w:pPr>
      <w:adjustRightInd/>
      <w:spacing w:line="240" w:lineRule="auto"/>
      <w:ind w:firstLine="200" w:firstLineChars="200"/>
    </w:pPr>
    <w:rPr>
      <w:sz w:val="18"/>
      <w:szCs w:val="24"/>
    </w:rPr>
  </w:style>
  <w:style w:type="paragraph" w:customStyle="1" w:styleId="103">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104">
    <w:name w:val="标准文件_四级条标题"/>
    <w:next w:val="60"/>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paragraph" w:customStyle="1" w:styleId="105">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6">
    <w:name w:val="标准文件_图表脚注"/>
    <w:basedOn w:val="1"/>
    <w:next w:val="60"/>
    <w:qFormat/>
    <w:uiPriority w:val="0"/>
    <w:pPr>
      <w:numPr>
        <w:ilvl w:val="0"/>
        <w:numId w:val="12"/>
      </w:numPr>
      <w:spacing w:line="240" w:lineRule="auto"/>
      <w:jc w:val="left"/>
    </w:pPr>
    <w:rPr>
      <w:rFonts w:ascii="宋体" w:hAnsi="宋体"/>
      <w:sz w:val="18"/>
    </w:rPr>
  </w:style>
  <w:style w:type="character" w:customStyle="1" w:styleId="107">
    <w:name w:val="标准文件_图表脚注内容"/>
    <w:qFormat/>
    <w:uiPriority w:val="0"/>
    <w:rPr>
      <w:rFonts w:ascii="宋体" w:hAnsi="宋体" w:eastAsia="宋体" w:cs="Times New Roman"/>
      <w:spacing w:val="0"/>
      <w:sz w:val="18"/>
      <w:vertAlign w:val="superscript"/>
    </w:rPr>
  </w:style>
  <w:style w:type="paragraph" w:customStyle="1" w:styleId="108">
    <w:name w:val="标准文件_五级条标题"/>
    <w:next w:val="60"/>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9">
    <w:name w:val="标准文件_章标题"/>
    <w:next w:val="60"/>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10">
    <w:name w:val="标准文件_一级条标题"/>
    <w:basedOn w:val="109"/>
    <w:next w:val="60"/>
    <w:link w:val="111"/>
    <w:qFormat/>
    <w:uiPriority w:val="0"/>
    <w:pPr>
      <w:numPr>
        <w:ilvl w:val="2"/>
      </w:numPr>
      <w:spacing w:before="50" w:beforeLines="50" w:after="50" w:afterLines="50"/>
      <w:outlineLvl w:val="1"/>
    </w:pPr>
  </w:style>
  <w:style w:type="character" w:customStyle="1" w:styleId="111">
    <w:name w:val="标准文件_一级条标题 Char"/>
    <w:link w:val="110"/>
    <w:qFormat/>
    <w:uiPriority w:val="0"/>
    <w:rPr>
      <w:rFonts w:ascii="Times New Roman" w:hAnsi="Times New Roman" w:eastAsia="宋体" w:cs="Times New Roman"/>
    </w:rPr>
  </w:style>
  <w:style w:type="paragraph" w:customStyle="1" w:styleId="112">
    <w:name w:val="标准文件_一致程度"/>
    <w:basedOn w:val="1"/>
    <w:qFormat/>
    <w:uiPriority w:val="0"/>
    <w:pPr>
      <w:spacing w:line="440" w:lineRule="exact"/>
      <w:jc w:val="center"/>
    </w:pPr>
    <w:rPr>
      <w:sz w:val="28"/>
    </w:rPr>
  </w:style>
  <w:style w:type="paragraph" w:customStyle="1" w:styleId="113">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14">
    <w:name w:val="标准文件_英文图表脚注"/>
    <w:basedOn w:val="59"/>
    <w:qFormat/>
    <w:uiPriority w:val="0"/>
    <w:pPr>
      <w:widowControl/>
      <w:adjustRightInd/>
      <w:snapToGrid/>
      <w:spacing w:line="240" w:lineRule="auto"/>
      <w:ind w:left="79" w:hanging="79" w:hangingChars="80"/>
    </w:pPr>
    <w:rPr>
      <w:rFonts w:ascii="宋体" w:hAnsi="宋体"/>
    </w:rPr>
  </w:style>
  <w:style w:type="paragraph" w:customStyle="1" w:styleId="115">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6">
    <w:name w:val="标准文件_英文注："/>
    <w:basedOn w:val="1"/>
    <w:next w:val="60"/>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7">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8">
    <w:name w:val="标准文件_正文表标题"/>
    <w:next w:val="60"/>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9">
    <w:name w:val="标准文件_正文公式"/>
    <w:basedOn w:val="1"/>
    <w:next w:val="59"/>
    <w:qFormat/>
    <w:uiPriority w:val="0"/>
    <w:pPr>
      <w:tabs>
        <w:tab w:val="center" w:pos="4678"/>
        <w:tab w:val="right" w:leader="middleDot" w:pos="9356"/>
      </w:tabs>
      <w:spacing w:line="240" w:lineRule="auto"/>
    </w:pPr>
    <w:rPr>
      <w:rFonts w:ascii="宋体" w:hAnsi="宋体"/>
    </w:rPr>
  </w:style>
  <w:style w:type="paragraph" w:customStyle="1" w:styleId="120">
    <w:name w:val="标准文件_正文图标题"/>
    <w:next w:val="60"/>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21">
    <w:name w:val="标准文件_正文英文表标题"/>
    <w:next w:val="60"/>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22">
    <w:name w:val="标准文件_正文英文图标题"/>
    <w:next w:val="60"/>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23">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24">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5">
    <w:name w:val="发布部门"/>
    <w:next w:val="60"/>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6">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7">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8">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9">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30">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31">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32">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33">
    <w:name w:val="封面正文"/>
    <w:qFormat/>
    <w:uiPriority w:val="0"/>
    <w:pPr>
      <w:jc w:val="both"/>
    </w:pPr>
    <w:rPr>
      <w:rFonts w:ascii="Times New Roman" w:hAnsi="Times New Roman" w:eastAsia="宋体" w:cs="Times New Roman"/>
      <w:lang w:val="en-US" w:eastAsia="zh-CN" w:bidi="ar-SA"/>
    </w:rPr>
  </w:style>
  <w:style w:type="paragraph" w:customStyle="1" w:styleId="134">
    <w:name w:val="附录二级无标题条"/>
    <w:basedOn w:val="1"/>
    <w:next w:val="60"/>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5">
    <w:name w:val="附录三级无标题条"/>
    <w:basedOn w:val="134"/>
    <w:next w:val="60"/>
    <w:qFormat/>
    <w:uiPriority w:val="0"/>
    <w:pPr>
      <w:outlineLvl w:val="4"/>
    </w:pPr>
  </w:style>
  <w:style w:type="paragraph" w:customStyle="1" w:styleId="136">
    <w:name w:val="附录四级无标题条"/>
    <w:basedOn w:val="135"/>
    <w:next w:val="60"/>
    <w:qFormat/>
    <w:uiPriority w:val="0"/>
    <w:pPr>
      <w:outlineLvl w:val="5"/>
    </w:pPr>
  </w:style>
  <w:style w:type="paragraph" w:customStyle="1" w:styleId="137">
    <w:name w:val="附录图"/>
    <w:next w:val="60"/>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8">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9">
    <w:name w:val="附录五级无标题条"/>
    <w:basedOn w:val="136"/>
    <w:next w:val="60"/>
    <w:qFormat/>
    <w:uiPriority w:val="0"/>
    <w:pPr>
      <w:outlineLvl w:val="6"/>
    </w:pPr>
  </w:style>
  <w:style w:type="paragraph" w:customStyle="1" w:styleId="140">
    <w:name w:val="附录性质"/>
    <w:basedOn w:val="1"/>
    <w:qFormat/>
    <w:uiPriority w:val="0"/>
    <w:pPr>
      <w:widowControl/>
      <w:adjustRightInd/>
      <w:jc w:val="center"/>
    </w:pPr>
    <w:rPr>
      <w:rFonts w:ascii="黑体" w:eastAsia="黑体"/>
    </w:rPr>
  </w:style>
  <w:style w:type="paragraph" w:customStyle="1" w:styleId="141">
    <w:name w:val="附录一级无标题条"/>
    <w:basedOn w:val="92"/>
    <w:next w:val="60"/>
    <w:qFormat/>
    <w:uiPriority w:val="0"/>
    <w:pPr>
      <w:autoSpaceDN w:val="0"/>
      <w:outlineLvl w:val="2"/>
    </w:pPr>
    <w:rPr>
      <w:rFonts w:ascii="宋体" w:hAnsi="宋体" w:eastAsia="宋体"/>
    </w:rPr>
  </w:style>
  <w:style w:type="character" w:customStyle="1" w:styleId="142">
    <w:name w:val="个人答复风格"/>
    <w:qFormat/>
    <w:uiPriority w:val="0"/>
    <w:rPr>
      <w:rFonts w:ascii="Arial" w:hAnsi="Arial" w:eastAsia="宋体" w:cs="Arial"/>
      <w:color w:val="auto"/>
      <w:spacing w:val="0"/>
      <w:sz w:val="20"/>
    </w:rPr>
  </w:style>
  <w:style w:type="character" w:customStyle="1" w:styleId="143">
    <w:name w:val="个人撰写风格"/>
    <w:qFormat/>
    <w:uiPriority w:val="0"/>
    <w:rPr>
      <w:rFonts w:ascii="Arial" w:hAnsi="Arial" w:eastAsia="宋体" w:cs="Arial"/>
      <w:color w:val="auto"/>
      <w:spacing w:val="0"/>
      <w:sz w:val="20"/>
    </w:rPr>
  </w:style>
  <w:style w:type="paragraph" w:customStyle="1" w:styleId="144">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5">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6">
    <w:name w:val="列项·"/>
    <w:basedOn w:val="60"/>
    <w:qFormat/>
    <w:uiPriority w:val="0"/>
    <w:pPr>
      <w:tabs>
        <w:tab w:val="left" w:pos="840"/>
      </w:tabs>
    </w:pPr>
  </w:style>
  <w:style w:type="paragraph" w:customStyle="1" w:styleId="147">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8">
    <w:name w:val="目录 21"/>
    <w:basedOn w:val="1"/>
    <w:next w:val="1"/>
    <w:semiHidden/>
    <w:qFormat/>
    <w:uiPriority w:val="0"/>
    <w:pPr>
      <w:adjustRightInd/>
      <w:spacing w:line="240" w:lineRule="auto"/>
      <w:jc w:val="left"/>
    </w:pPr>
    <w:rPr>
      <w:bCs/>
      <w:iCs/>
    </w:rPr>
  </w:style>
  <w:style w:type="paragraph" w:customStyle="1" w:styleId="149">
    <w:name w:val="目录 31"/>
    <w:basedOn w:val="1"/>
    <w:next w:val="1"/>
    <w:semiHidden/>
    <w:qFormat/>
    <w:uiPriority w:val="0"/>
    <w:pPr>
      <w:spacing w:line="240" w:lineRule="auto"/>
    </w:pPr>
    <w:rPr>
      <w:rFonts w:ascii="宋体" w:hAnsi="宋体"/>
      <w:iCs/>
    </w:rPr>
  </w:style>
  <w:style w:type="paragraph" w:customStyle="1" w:styleId="150">
    <w:name w:val="目录 41"/>
    <w:basedOn w:val="1"/>
    <w:next w:val="1"/>
    <w:semiHidden/>
    <w:qFormat/>
    <w:uiPriority w:val="0"/>
    <w:pPr>
      <w:adjustRightInd/>
      <w:spacing w:line="240" w:lineRule="auto"/>
      <w:jc w:val="left"/>
    </w:pPr>
  </w:style>
  <w:style w:type="paragraph" w:customStyle="1" w:styleId="151">
    <w:name w:val="目录 51"/>
    <w:basedOn w:val="1"/>
    <w:next w:val="1"/>
    <w:semiHidden/>
    <w:qFormat/>
    <w:uiPriority w:val="0"/>
    <w:pPr>
      <w:spacing w:line="240" w:lineRule="auto"/>
    </w:pPr>
    <w:rPr>
      <w:rFonts w:ascii="宋体" w:hAnsi="宋体"/>
    </w:rPr>
  </w:style>
  <w:style w:type="paragraph" w:customStyle="1" w:styleId="152">
    <w:name w:val="目录 61"/>
    <w:basedOn w:val="1"/>
    <w:next w:val="1"/>
    <w:semiHidden/>
    <w:qFormat/>
    <w:uiPriority w:val="0"/>
    <w:pPr>
      <w:adjustRightInd/>
      <w:spacing w:line="240" w:lineRule="auto"/>
      <w:jc w:val="left"/>
    </w:pPr>
  </w:style>
  <w:style w:type="paragraph" w:customStyle="1" w:styleId="153">
    <w:name w:val="目录 71"/>
    <w:basedOn w:val="152"/>
    <w:semiHidden/>
    <w:qFormat/>
    <w:uiPriority w:val="0"/>
    <w:pPr>
      <w:ind w:left="1260"/>
    </w:pPr>
  </w:style>
  <w:style w:type="paragraph" w:customStyle="1" w:styleId="154">
    <w:name w:val="目录 81"/>
    <w:basedOn w:val="153"/>
    <w:semiHidden/>
    <w:qFormat/>
    <w:uiPriority w:val="0"/>
    <w:pPr>
      <w:ind w:left="1470"/>
    </w:pPr>
  </w:style>
  <w:style w:type="paragraph" w:customStyle="1" w:styleId="155">
    <w:name w:val="目录 91"/>
    <w:basedOn w:val="154"/>
    <w:semiHidden/>
    <w:qFormat/>
    <w:uiPriority w:val="0"/>
    <w:pPr>
      <w:ind w:left="1680"/>
    </w:pPr>
  </w:style>
  <w:style w:type="paragraph" w:customStyle="1" w:styleId="156">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7">
    <w:name w:val="其他发布部门"/>
    <w:basedOn w:val="125"/>
    <w:qFormat/>
    <w:uiPriority w:val="0"/>
    <w:pPr>
      <w:framePr w:wrap="around"/>
      <w:spacing w:line="0" w:lineRule="atLeast"/>
    </w:pPr>
    <w:rPr>
      <w:rFonts w:ascii="黑体" w:eastAsia="黑体"/>
      <w:b w:val="0"/>
    </w:rPr>
  </w:style>
  <w:style w:type="paragraph" w:customStyle="1" w:styleId="158">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9">
    <w:name w:val="三级无标题条"/>
    <w:basedOn w:val="1"/>
    <w:qFormat/>
    <w:uiPriority w:val="0"/>
    <w:pPr>
      <w:numPr>
        <w:ilvl w:val="4"/>
        <w:numId w:val="20"/>
      </w:numPr>
      <w:adjustRightInd/>
      <w:spacing w:line="240" w:lineRule="auto"/>
    </w:pPr>
    <w:rPr>
      <w:rFonts w:ascii="宋体" w:hAnsi="宋体"/>
      <w:szCs w:val="24"/>
    </w:rPr>
  </w:style>
  <w:style w:type="paragraph" w:customStyle="1" w:styleId="160">
    <w:name w:val="实施日期"/>
    <w:basedOn w:val="126"/>
    <w:qFormat/>
    <w:uiPriority w:val="0"/>
    <w:pPr>
      <w:framePr w:hSpace="0" w:wrap="around" w:xAlign="right"/>
      <w:jc w:val="right"/>
    </w:pPr>
  </w:style>
  <w:style w:type="paragraph" w:customStyle="1" w:styleId="161">
    <w:name w:val="四级无标题条"/>
    <w:basedOn w:val="1"/>
    <w:qFormat/>
    <w:uiPriority w:val="0"/>
    <w:pPr>
      <w:numPr>
        <w:ilvl w:val="5"/>
        <w:numId w:val="20"/>
      </w:numPr>
      <w:adjustRightInd/>
      <w:spacing w:line="240" w:lineRule="auto"/>
    </w:pPr>
    <w:rPr>
      <w:rFonts w:ascii="宋体" w:hAnsi="宋体"/>
      <w:szCs w:val="24"/>
    </w:rPr>
  </w:style>
  <w:style w:type="paragraph" w:customStyle="1" w:styleId="162">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63">
    <w:name w:val="无标题条"/>
    <w:next w:val="60"/>
    <w:qFormat/>
    <w:uiPriority w:val="0"/>
    <w:pPr>
      <w:jc w:val="both"/>
    </w:pPr>
    <w:rPr>
      <w:rFonts w:ascii="宋体" w:hAnsi="宋体" w:eastAsia="宋体" w:cs="Times New Roman"/>
      <w:sz w:val="21"/>
      <w:lang w:val="en-US" w:eastAsia="zh-CN" w:bidi="ar-SA"/>
    </w:rPr>
  </w:style>
  <w:style w:type="paragraph" w:customStyle="1" w:styleId="164">
    <w:name w:val="五级无标题条"/>
    <w:basedOn w:val="1"/>
    <w:qFormat/>
    <w:uiPriority w:val="0"/>
    <w:pPr>
      <w:numPr>
        <w:ilvl w:val="6"/>
        <w:numId w:val="20"/>
      </w:numPr>
      <w:adjustRightInd/>
    </w:pPr>
    <w:rPr>
      <w:szCs w:val="24"/>
    </w:rPr>
  </w:style>
  <w:style w:type="paragraph" w:customStyle="1" w:styleId="165">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6">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7">
    <w:name w:val="注×:后续"/>
    <w:basedOn w:val="166"/>
    <w:qFormat/>
    <w:uiPriority w:val="0"/>
    <w:pPr>
      <w:ind w:left="1406" w:leftChars="0" w:hanging="499" w:firstLineChars="0"/>
    </w:pPr>
  </w:style>
  <w:style w:type="paragraph" w:customStyle="1" w:styleId="168">
    <w:name w:val="标准文件_一级无标题"/>
    <w:basedOn w:val="110"/>
    <w:qFormat/>
    <w:uiPriority w:val="0"/>
    <w:pPr>
      <w:spacing w:before="0" w:beforeLines="0" w:after="0" w:afterLines="0"/>
      <w:outlineLvl w:val="9"/>
    </w:pPr>
    <w:rPr>
      <w:rFonts w:ascii="宋体" w:eastAsia="宋体"/>
    </w:rPr>
  </w:style>
  <w:style w:type="paragraph" w:customStyle="1" w:styleId="169">
    <w:name w:val="标准文件_五级无标题"/>
    <w:basedOn w:val="108"/>
    <w:qFormat/>
    <w:uiPriority w:val="0"/>
    <w:pPr>
      <w:spacing w:before="0" w:beforeLines="0" w:after="0" w:afterLines="0"/>
      <w:outlineLvl w:val="9"/>
    </w:pPr>
    <w:rPr>
      <w:rFonts w:ascii="宋体" w:eastAsia="宋体"/>
    </w:rPr>
  </w:style>
  <w:style w:type="paragraph" w:customStyle="1" w:styleId="170">
    <w:name w:val="标准文件_三级无标题"/>
    <w:basedOn w:val="99"/>
    <w:qFormat/>
    <w:uiPriority w:val="0"/>
    <w:pPr>
      <w:spacing w:before="0" w:beforeLines="0" w:after="0" w:afterLines="0"/>
      <w:outlineLvl w:val="9"/>
    </w:pPr>
    <w:rPr>
      <w:rFonts w:ascii="宋体" w:eastAsia="宋体"/>
    </w:rPr>
  </w:style>
  <w:style w:type="paragraph" w:customStyle="1" w:styleId="171">
    <w:name w:val="标准文件_二级无标题"/>
    <w:basedOn w:val="70"/>
    <w:qFormat/>
    <w:uiPriority w:val="0"/>
    <w:pPr>
      <w:spacing w:before="0" w:beforeLines="0" w:after="0" w:afterLines="0"/>
      <w:outlineLvl w:val="9"/>
    </w:pPr>
    <w:rPr>
      <w:rFonts w:ascii="宋体" w:eastAsia="宋体"/>
    </w:rPr>
  </w:style>
  <w:style w:type="paragraph" w:customStyle="1" w:styleId="172">
    <w:name w:val="标准_四级无标题"/>
    <w:basedOn w:val="104"/>
    <w:next w:val="60"/>
    <w:qFormat/>
    <w:uiPriority w:val="0"/>
    <w:rPr>
      <w:rFonts w:eastAsia="宋体"/>
    </w:rPr>
  </w:style>
  <w:style w:type="paragraph" w:customStyle="1" w:styleId="173">
    <w:name w:val="标准文件_四级无标题"/>
    <w:basedOn w:val="104"/>
    <w:qFormat/>
    <w:uiPriority w:val="0"/>
    <w:pPr>
      <w:spacing w:before="0" w:beforeLines="0" w:after="0" w:afterLines="0"/>
      <w:outlineLvl w:val="9"/>
    </w:pPr>
    <w:rPr>
      <w:rFonts w:ascii="宋体" w:hAnsi="黑体" w:eastAsia="宋体"/>
      <w:szCs w:val="52"/>
    </w:rPr>
  </w:style>
  <w:style w:type="paragraph" w:customStyle="1" w:styleId="174">
    <w:name w:val="标准文件_大写罗马数字编号列项"/>
    <w:basedOn w:val="60"/>
    <w:qFormat/>
    <w:uiPriority w:val="0"/>
    <w:pPr>
      <w:numPr>
        <w:ilvl w:val="0"/>
        <w:numId w:val="23"/>
      </w:numPr>
      <w:ind w:firstLine="0" w:firstLineChars="0"/>
    </w:pPr>
    <w:rPr>
      <w:rFonts w:cs="Arial"/>
      <w:szCs w:val="28"/>
    </w:rPr>
  </w:style>
  <w:style w:type="paragraph" w:customStyle="1" w:styleId="175">
    <w:name w:val="标准文件_小写罗马数字编号列项"/>
    <w:basedOn w:val="60"/>
    <w:qFormat/>
    <w:uiPriority w:val="0"/>
    <w:pPr>
      <w:numPr>
        <w:ilvl w:val="0"/>
        <w:numId w:val="24"/>
      </w:numPr>
      <w:ind w:firstLine="0" w:firstLineChars="0"/>
    </w:pPr>
    <w:rPr>
      <w:rFonts w:cs="Arial"/>
      <w:szCs w:val="28"/>
    </w:rPr>
  </w:style>
  <w:style w:type="paragraph" w:customStyle="1" w:styleId="176">
    <w:name w:val="标准文件_附录标题"/>
    <w:basedOn w:val="82"/>
    <w:qFormat/>
    <w:uiPriority w:val="0"/>
    <w:pPr>
      <w:numPr>
        <w:ilvl w:val="0"/>
        <w:numId w:val="0"/>
      </w:numPr>
      <w:spacing w:after="280"/>
      <w:outlineLvl w:val="9"/>
    </w:pPr>
  </w:style>
  <w:style w:type="paragraph" w:customStyle="1" w:styleId="177">
    <w:name w:val="标准文件_二级项"/>
    <w:qFormat/>
    <w:uiPriority w:val="0"/>
    <w:rPr>
      <w:rFonts w:ascii="宋体" w:hAnsi="Times New Roman" w:eastAsia="宋体" w:cs="Times New Roman"/>
      <w:sz w:val="21"/>
      <w:lang w:val="en-US" w:eastAsia="zh-CN" w:bidi="ar-SA"/>
    </w:rPr>
  </w:style>
  <w:style w:type="paragraph" w:customStyle="1" w:styleId="178">
    <w:name w:val="标准文件_三级项"/>
    <w:basedOn w:val="1"/>
    <w:qFormat/>
    <w:uiPriority w:val="0"/>
    <w:pPr>
      <w:numPr>
        <w:ilvl w:val="2"/>
        <w:numId w:val="21"/>
      </w:numPr>
      <w:spacing w:line="300" w:lineRule="exact"/>
    </w:pPr>
    <w:rPr>
      <w:rFonts w:ascii="Times New Roman" w:hAnsi="Times New Roman"/>
    </w:rPr>
  </w:style>
  <w:style w:type="paragraph" w:customStyle="1" w:styleId="179">
    <w:name w:val="图表脚注说明"/>
    <w:basedOn w:val="1"/>
    <w:next w:val="60"/>
    <w:qFormat/>
    <w:uiPriority w:val="0"/>
    <w:pPr>
      <w:numPr>
        <w:ilvl w:val="0"/>
        <w:numId w:val="25"/>
      </w:numPr>
      <w:adjustRightInd/>
      <w:spacing w:line="240" w:lineRule="auto"/>
    </w:pPr>
    <w:rPr>
      <w:rFonts w:ascii="宋体" w:hAnsi="Times New Roman"/>
      <w:sz w:val="18"/>
      <w:szCs w:val="18"/>
    </w:rPr>
  </w:style>
  <w:style w:type="paragraph" w:customStyle="1" w:styleId="180">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81">
    <w:name w:val="标准文件_索引字母"/>
    <w:next w:val="60"/>
    <w:qFormat/>
    <w:uiPriority w:val="0"/>
    <w:pPr>
      <w:jc w:val="center"/>
    </w:pPr>
    <w:rPr>
      <w:rFonts w:ascii="宋体" w:hAnsi="宋体" w:eastAsia="Times New Roman" w:cs="Times New Roman"/>
      <w:b/>
      <w:kern w:val="2"/>
      <w:sz w:val="21"/>
      <w:lang w:val="en-US" w:eastAsia="zh-CN" w:bidi="ar-SA"/>
    </w:rPr>
  </w:style>
  <w:style w:type="paragraph" w:customStyle="1" w:styleId="182">
    <w:name w:val="标准文件_附录前"/>
    <w:next w:val="60"/>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83">
    <w:name w:val="标准文件_正文标准名称"/>
    <w:link w:val="184"/>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character" w:customStyle="1" w:styleId="184">
    <w:name w:val="标准文件_正文标准名称 Char"/>
    <w:link w:val="183"/>
    <w:qFormat/>
    <w:uiPriority w:val="0"/>
    <w:rPr>
      <w:rFonts w:ascii="黑体" w:hAnsi="黑体" w:eastAsia="黑体" w:cs="Times New Roman"/>
      <w:kern w:val="2"/>
      <w:sz w:val="32"/>
      <w:szCs w:val="32"/>
      <w:lang w:val="en-US" w:eastAsia="zh-CN" w:bidi="ar-SA"/>
    </w:rPr>
  </w:style>
  <w:style w:type="paragraph" w:customStyle="1" w:styleId="185">
    <w:name w:val="标准文件_表格"/>
    <w:basedOn w:val="60"/>
    <w:qFormat/>
    <w:uiPriority w:val="0"/>
    <w:pPr>
      <w:ind w:firstLine="0" w:firstLineChars="0"/>
      <w:jc w:val="center"/>
    </w:pPr>
    <w:rPr>
      <w:sz w:val="18"/>
    </w:rPr>
  </w:style>
  <w:style w:type="paragraph" w:customStyle="1" w:styleId="186">
    <w:name w:val="标准文件_注："/>
    <w:next w:val="60"/>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7">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8">
    <w:name w:val="标准文件_示例："/>
    <w:next w:val="189"/>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9">
    <w:name w:val="标准文件_示例内容"/>
    <w:basedOn w:val="60"/>
    <w:qFormat/>
    <w:uiPriority w:val="0"/>
    <w:pPr>
      <w:ind w:firstLine="420"/>
    </w:pPr>
    <w:rPr>
      <w:sz w:val="18"/>
    </w:rPr>
  </w:style>
  <w:style w:type="paragraph" w:customStyle="1" w:styleId="190">
    <w:name w:val="标准文件_示例×："/>
    <w:basedOn w:val="1"/>
    <w:next w:val="189"/>
    <w:qFormat/>
    <w:uiPriority w:val="0"/>
    <w:pPr>
      <w:widowControl/>
      <w:numPr>
        <w:ilvl w:val="0"/>
        <w:numId w:val="29"/>
      </w:numPr>
      <w:adjustRightInd/>
      <w:spacing w:line="240" w:lineRule="auto"/>
    </w:pPr>
    <w:rPr>
      <w:rFonts w:ascii="宋体" w:hAnsi="Times New Roman"/>
      <w:kern w:val="0"/>
      <w:sz w:val="18"/>
      <w:szCs w:val="18"/>
    </w:rPr>
  </w:style>
  <w:style w:type="paragraph" w:customStyle="1" w:styleId="191">
    <w:name w:val="标准文件_表格续"/>
    <w:basedOn w:val="60"/>
    <w:next w:val="60"/>
    <w:qFormat/>
    <w:uiPriority w:val="0"/>
    <w:pPr>
      <w:jc w:val="center"/>
    </w:pPr>
    <w:rPr>
      <w:rFonts w:ascii="黑体" w:hAnsi="黑体" w:eastAsia="黑体"/>
    </w:rPr>
  </w:style>
  <w:style w:type="character" w:styleId="192">
    <w:name w:val="Placeholder Text"/>
    <w:basedOn w:val="28"/>
    <w:semiHidden/>
    <w:qFormat/>
    <w:uiPriority w:val="99"/>
    <w:rPr>
      <w:color w:val="808080"/>
    </w:rPr>
  </w:style>
  <w:style w:type="paragraph" w:customStyle="1" w:styleId="193">
    <w:name w:val="标准文件_二级项2"/>
    <w:basedOn w:val="60"/>
    <w:qFormat/>
    <w:uiPriority w:val="0"/>
    <w:pPr>
      <w:numPr>
        <w:ilvl w:val="1"/>
        <w:numId w:val="21"/>
      </w:numPr>
      <w:ind w:firstLine="0" w:firstLineChars="0"/>
    </w:pPr>
  </w:style>
  <w:style w:type="paragraph" w:customStyle="1" w:styleId="194">
    <w:name w:val="标准文件_三级项2"/>
    <w:basedOn w:val="60"/>
    <w:qFormat/>
    <w:uiPriority w:val="0"/>
    <w:pPr>
      <w:numPr>
        <w:ilvl w:val="0"/>
        <w:numId w:val="30"/>
      </w:numPr>
      <w:spacing w:line="300" w:lineRule="exact"/>
      <w:ind w:firstLineChars="0"/>
    </w:pPr>
  </w:style>
  <w:style w:type="paragraph" w:customStyle="1" w:styleId="195">
    <w:name w:val="标准文件_一级项2"/>
    <w:basedOn w:val="60"/>
    <w:qFormat/>
    <w:uiPriority w:val="0"/>
    <w:pPr>
      <w:numPr>
        <w:ilvl w:val="0"/>
        <w:numId w:val="31"/>
      </w:numPr>
      <w:spacing w:line="300" w:lineRule="exact"/>
      <w:ind w:firstLineChars="0"/>
    </w:pPr>
  </w:style>
  <w:style w:type="paragraph" w:customStyle="1" w:styleId="196">
    <w:name w:val="标准文件_提示"/>
    <w:basedOn w:val="60"/>
    <w:next w:val="60"/>
    <w:qFormat/>
    <w:uiPriority w:val="0"/>
    <w:pPr>
      <w:ind w:firstLine="420"/>
    </w:pPr>
    <w:rPr>
      <w:rFonts w:ascii="黑体" w:eastAsia="黑体"/>
    </w:rPr>
  </w:style>
  <w:style w:type="character" w:customStyle="1" w:styleId="197">
    <w:name w:val="标准文件_来源"/>
    <w:basedOn w:val="28"/>
    <w:qFormat/>
    <w:uiPriority w:val="1"/>
    <w:rPr>
      <w:rFonts w:eastAsia="宋体"/>
      <w:sz w:val="21"/>
    </w:rPr>
  </w:style>
  <w:style w:type="paragraph" w:customStyle="1" w:styleId="198">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9">
    <w:name w:val="其他发布日期"/>
    <w:basedOn w:val="126"/>
    <w:qFormat/>
    <w:uiPriority w:val="0"/>
    <w:pPr>
      <w:framePr w:w="3997" w:h="471" w:hRule="exact" w:hSpace="0" w:vSpace="181" w:wrap="around" w:vAnchor="page" w:hAnchor="page" w:x="1419" w:y="14097"/>
    </w:pPr>
  </w:style>
  <w:style w:type="paragraph" w:customStyle="1" w:styleId="200">
    <w:name w:val="其他实施日期"/>
    <w:basedOn w:val="160"/>
    <w:qFormat/>
    <w:uiPriority w:val="0"/>
    <w:pPr>
      <w:framePr w:w="3997" w:h="471" w:hRule="exact" w:vSpace="181" w:wrap="around" w:vAnchor="page" w:hAnchor="page" w:x="7089" w:y="14097"/>
    </w:pPr>
  </w:style>
  <w:style w:type="paragraph" w:customStyle="1" w:styleId="201">
    <w:name w:val="标准文件_文件编号"/>
    <w:basedOn w:val="60"/>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202">
    <w:name w:val="标准文件_替换文件编号"/>
    <w:basedOn w:val="201"/>
    <w:qFormat/>
    <w:uiPriority w:val="0"/>
    <w:pPr>
      <w:spacing w:before="57"/>
    </w:pPr>
    <w:rPr>
      <w:sz w:val="21"/>
    </w:rPr>
  </w:style>
  <w:style w:type="paragraph" w:customStyle="1" w:styleId="203">
    <w:name w:val="标准文件_文件名称"/>
    <w:basedOn w:val="60"/>
    <w:next w:val="60"/>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204">
    <w:name w:val="标准文件_附录图标号"/>
    <w:basedOn w:val="60"/>
    <w:next w:val="60"/>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5">
    <w:name w:val="标准文件_附录表标号"/>
    <w:basedOn w:val="60"/>
    <w:next w:val="60"/>
    <w:qFormat/>
    <w:uiPriority w:val="0"/>
    <w:pPr>
      <w:numPr>
        <w:ilvl w:val="0"/>
        <w:numId w:val="5"/>
      </w:numPr>
      <w:spacing w:line="14" w:lineRule="exact"/>
      <w:ind w:firstLine="0" w:firstLineChars="0"/>
      <w:jc w:val="center"/>
    </w:pPr>
    <w:rPr>
      <w:rFonts w:eastAsia="黑体"/>
      <w:vanish/>
      <w:sz w:val="2"/>
    </w:rPr>
  </w:style>
  <w:style w:type="paragraph" w:customStyle="1" w:styleId="206">
    <w:name w:val="标准文件_引言一级条标题"/>
    <w:basedOn w:val="60"/>
    <w:next w:val="60"/>
    <w:qFormat/>
    <w:uiPriority w:val="0"/>
    <w:pPr>
      <w:numPr>
        <w:ilvl w:val="1"/>
        <w:numId w:val="8"/>
      </w:numPr>
      <w:spacing w:before="50" w:beforeLines="50" w:after="50" w:afterLines="50"/>
      <w:ind w:firstLineChars="0"/>
    </w:pPr>
    <w:rPr>
      <w:rFonts w:ascii="黑体" w:eastAsia="黑体"/>
    </w:rPr>
  </w:style>
  <w:style w:type="paragraph" w:customStyle="1" w:styleId="207">
    <w:name w:val="标准文件_引言二级条标题"/>
    <w:basedOn w:val="60"/>
    <w:next w:val="60"/>
    <w:qFormat/>
    <w:uiPriority w:val="0"/>
    <w:pPr>
      <w:numPr>
        <w:ilvl w:val="2"/>
        <w:numId w:val="8"/>
      </w:numPr>
      <w:spacing w:before="50" w:beforeLines="50" w:after="50" w:afterLines="50"/>
      <w:ind w:firstLineChars="0"/>
    </w:pPr>
    <w:rPr>
      <w:rFonts w:ascii="黑体" w:eastAsia="黑体"/>
    </w:rPr>
  </w:style>
  <w:style w:type="paragraph" w:customStyle="1" w:styleId="208">
    <w:name w:val="标准文件_引言三级条标题"/>
    <w:basedOn w:val="60"/>
    <w:next w:val="60"/>
    <w:qFormat/>
    <w:uiPriority w:val="0"/>
    <w:pPr>
      <w:numPr>
        <w:ilvl w:val="3"/>
        <w:numId w:val="8"/>
      </w:numPr>
      <w:spacing w:before="50" w:beforeLines="50" w:after="50" w:afterLines="50"/>
      <w:ind w:firstLineChars="0"/>
    </w:pPr>
    <w:rPr>
      <w:rFonts w:ascii="黑体" w:eastAsia="黑体"/>
    </w:rPr>
  </w:style>
  <w:style w:type="paragraph" w:customStyle="1" w:styleId="209">
    <w:name w:val="标准文件_引言四级条标题"/>
    <w:basedOn w:val="60"/>
    <w:next w:val="60"/>
    <w:qFormat/>
    <w:uiPriority w:val="0"/>
    <w:pPr>
      <w:numPr>
        <w:ilvl w:val="4"/>
        <w:numId w:val="8"/>
      </w:numPr>
      <w:spacing w:before="50" w:beforeLines="50" w:after="50" w:afterLines="50"/>
      <w:ind w:firstLineChars="0"/>
    </w:pPr>
    <w:rPr>
      <w:rFonts w:ascii="黑体" w:eastAsia="黑体"/>
    </w:rPr>
  </w:style>
  <w:style w:type="paragraph" w:customStyle="1" w:styleId="210">
    <w:name w:val="标准文件_引言五级条标题"/>
    <w:basedOn w:val="60"/>
    <w:next w:val="60"/>
    <w:qFormat/>
    <w:uiPriority w:val="0"/>
    <w:pPr>
      <w:numPr>
        <w:ilvl w:val="5"/>
        <w:numId w:val="8"/>
      </w:numPr>
      <w:spacing w:before="50" w:beforeLines="50" w:after="50" w:afterLines="50"/>
      <w:ind w:firstLineChars="0"/>
    </w:pPr>
    <w:rPr>
      <w:rFonts w:ascii="黑体" w:eastAsia="黑体"/>
    </w:rPr>
  </w:style>
  <w:style w:type="paragraph" w:customStyle="1" w:styleId="211">
    <w:name w:val="标准文件_注后"/>
    <w:basedOn w:val="60"/>
    <w:qFormat/>
    <w:uiPriority w:val="0"/>
    <w:pPr>
      <w:ind w:left="811" w:firstLine="0" w:firstLineChars="0"/>
    </w:pPr>
    <w:rPr>
      <w:sz w:val="18"/>
    </w:rPr>
  </w:style>
  <w:style w:type="paragraph" w:customStyle="1" w:styleId="212">
    <w:name w:val="标准文件_注X后"/>
    <w:basedOn w:val="60"/>
    <w:qFormat/>
    <w:uiPriority w:val="0"/>
    <w:pPr>
      <w:ind w:left="811" w:firstLine="0" w:firstLineChars="0"/>
    </w:pPr>
    <w:rPr>
      <w:sz w:val="18"/>
    </w:rPr>
  </w:style>
  <w:style w:type="paragraph" w:customStyle="1" w:styleId="213">
    <w:name w:val="标准文件_示例后"/>
    <w:basedOn w:val="60"/>
    <w:qFormat/>
    <w:uiPriority w:val="0"/>
    <w:pPr>
      <w:ind w:left="964" w:firstLine="0" w:firstLineChars="0"/>
    </w:pPr>
    <w:rPr>
      <w:sz w:val="18"/>
    </w:rPr>
  </w:style>
  <w:style w:type="paragraph" w:customStyle="1" w:styleId="214">
    <w:name w:val="标准文件_示例X后"/>
    <w:basedOn w:val="60"/>
    <w:link w:val="215"/>
    <w:qFormat/>
    <w:uiPriority w:val="0"/>
    <w:pPr>
      <w:ind w:left="1049" w:firstLine="0" w:firstLineChars="0"/>
    </w:pPr>
    <w:rPr>
      <w:sz w:val="18"/>
    </w:rPr>
  </w:style>
  <w:style w:type="character" w:customStyle="1" w:styleId="215">
    <w:name w:val="标准文件_示例X后 字符"/>
    <w:basedOn w:val="61"/>
    <w:link w:val="214"/>
    <w:qFormat/>
    <w:uiPriority w:val="0"/>
    <w:rPr>
      <w:rFonts w:ascii="宋体" w:hAnsi="Times New Roman"/>
      <w:sz w:val="18"/>
    </w:rPr>
  </w:style>
  <w:style w:type="paragraph" w:customStyle="1" w:styleId="216">
    <w:name w:val="标准文件_索引项"/>
    <w:basedOn w:val="60"/>
    <w:next w:val="60"/>
    <w:qFormat/>
    <w:uiPriority w:val="0"/>
    <w:pPr>
      <w:tabs>
        <w:tab w:val="right" w:leader="dot" w:pos="9356"/>
      </w:tabs>
      <w:ind w:left="210" w:hanging="210" w:firstLineChars="0"/>
      <w:jc w:val="left"/>
    </w:pPr>
  </w:style>
  <w:style w:type="paragraph" w:customStyle="1" w:styleId="217">
    <w:name w:val="标准文件_附录一级无标题"/>
    <w:basedOn w:val="84"/>
    <w:qFormat/>
    <w:uiPriority w:val="0"/>
    <w:pPr>
      <w:spacing w:before="0" w:beforeLines="0" w:after="0" w:afterLines="0" w:line="276" w:lineRule="auto"/>
      <w:outlineLvl w:val="9"/>
    </w:pPr>
    <w:rPr>
      <w:rFonts w:ascii="宋体" w:eastAsia="宋体"/>
    </w:rPr>
  </w:style>
  <w:style w:type="paragraph" w:customStyle="1" w:styleId="218">
    <w:name w:val="标准文件_附录二级无标题"/>
    <w:basedOn w:val="85"/>
    <w:qFormat/>
    <w:uiPriority w:val="0"/>
    <w:pPr>
      <w:spacing w:before="0" w:beforeLines="0" w:after="0" w:afterLines="0" w:line="276" w:lineRule="auto"/>
      <w:outlineLvl w:val="9"/>
    </w:pPr>
    <w:rPr>
      <w:rFonts w:ascii="宋体" w:eastAsia="宋体"/>
    </w:rPr>
  </w:style>
  <w:style w:type="paragraph" w:customStyle="1" w:styleId="219">
    <w:name w:val="标准文件_附录三级无标题"/>
    <w:basedOn w:val="87"/>
    <w:qFormat/>
    <w:uiPriority w:val="0"/>
    <w:pPr>
      <w:spacing w:before="0" w:beforeLines="0" w:after="0" w:afterLines="0" w:line="276" w:lineRule="auto"/>
      <w:outlineLvl w:val="9"/>
    </w:pPr>
    <w:rPr>
      <w:rFonts w:ascii="宋体" w:eastAsia="宋体"/>
    </w:rPr>
  </w:style>
  <w:style w:type="paragraph" w:customStyle="1" w:styleId="220">
    <w:name w:val="标准文件_附录四级无标题"/>
    <w:basedOn w:val="88"/>
    <w:qFormat/>
    <w:uiPriority w:val="0"/>
    <w:pPr>
      <w:spacing w:before="0" w:beforeLines="0" w:after="0" w:afterLines="0" w:line="276" w:lineRule="auto"/>
      <w:outlineLvl w:val="9"/>
    </w:pPr>
    <w:rPr>
      <w:rFonts w:ascii="宋体" w:eastAsia="宋体"/>
    </w:rPr>
  </w:style>
  <w:style w:type="paragraph" w:customStyle="1" w:styleId="221">
    <w:name w:val="标准文件_附录五级无标题"/>
    <w:basedOn w:val="90"/>
    <w:qFormat/>
    <w:uiPriority w:val="0"/>
    <w:pPr>
      <w:spacing w:before="0" w:beforeLines="0" w:after="0" w:afterLines="0" w:line="276" w:lineRule="auto"/>
      <w:outlineLvl w:val="9"/>
    </w:pPr>
    <w:rPr>
      <w:rFonts w:ascii="宋体" w:eastAsia="宋体"/>
    </w:rPr>
  </w:style>
  <w:style w:type="paragraph" w:customStyle="1" w:styleId="222">
    <w:name w:val="标准文件_引言一级无标题"/>
    <w:basedOn w:val="206"/>
    <w:next w:val="60"/>
    <w:qFormat/>
    <w:uiPriority w:val="0"/>
    <w:pPr>
      <w:spacing w:before="0" w:beforeLines="0" w:after="0" w:afterLines="0" w:line="276" w:lineRule="auto"/>
    </w:pPr>
    <w:rPr>
      <w:rFonts w:ascii="宋体" w:eastAsia="宋体"/>
    </w:rPr>
  </w:style>
  <w:style w:type="paragraph" w:customStyle="1" w:styleId="223">
    <w:name w:val="标准文件_引言二级无标题"/>
    <w:basedOn w:val="207"/>
    <w:next w:val="60"/>
    <w:qFormat/>
    <w:uiPriority w:val="0"/>
    <w:pPr>
      <w:spacing w:before="0" w:beforeLines="0" w:after="0" w:afterLines="0" w:line="276" w:lineRule="auto"/>
    </w:pPr>
    <w:rPr>
      <w:rFonts w:ascii="宋体" w:eastAsia="宋体"/>
    </w:rPr>
  </w:style>
  <w:style w:type="paragraph" w:customStyle="1" w:styleId="224">
    <w:name w:val="标准文件_引言三级无标题"/>
    <w:basedOn w:val="208"/>
    <w:qFormat/>
    <w:uiPriority w:val="0"/>
    <w:pPr>
      <w:spacing w:before="0" w:beforeLines="0" w:after="0" w:afterLines="0" w:line="276" w:lineRule="auto"/>
    </w:pPr>
    <w:rPr>
      <w:rFonts w:ascii="宋体" w:eastAsia="宋体"/>
    </w:rPr>
  </w:style>
  <w:style w:type="paragraph" w:customStyle="1" w:styleId="225">
    <w:name w:val="标准文件_引言四级无标题"/>
    <w:basedOn w:val="209"/>
    <w:next w:val="60"/>
    <w:qFormat/>
    <w:uiPriority w:val="0"/>
    <w:pPr>
      <w:spacing w:before="0" w:beforeLines="0" w:after="0" w:afterLines="0" w:line="276" w:lineRule="auto"/>
    </w:pPr>
    <w:rPr>
      <w:rFonts w:ascii="宋体" w:eastAsia="宋体"/>
    </w:rPr>
  </w:style>
  <w:style w:type="paragraph" w:customStyle="1" w:styleId="226">
    <w:name w:val="标准文件_引言五级无标题"/>
    <w:basedOn w:val="210"/>
    <w:next w:val="60"/>
    <w:qFormat/>
    <w:uiPriority w:val="0"/>
    <w:pPr>
      <w:spacing w:before="0" w:beforeLines="0" w:after="0" w:afterLines="0" w:line="276" w:lineRule="auto"/>
    </w:pPr>
    <w:rPr>
      <w:rFonts w:ascii="宋体" w:eastAsia="宋体"/>
    </w:rPr>
  </w:style>
  <w:style w:type="paragraph" w:customStyle="1" w:styleId="227">
    <w:name w:val="标准文件_索引标题"/>
    <w:basedOn w:val="68"/>
    <w:next w:val="60"/>
    <w:qFormat/>
    <w:uiPriority w:val="0"/>
    <w:rPr>
      <w:rFonts w:hAnsi="黑体"/>
    </w:rPr>
  </w:style>
  <w:style w:type="paragraph" w:customStyle="1" w:styleId="228">
    <w:name w:val="标准文件_脚注内容"/>
    <w:basedOn w:val="60"/>
    <w:qFormat/>
    <w:uiPriority w:val="0"/>
    <w:pPr>
      <w:ind w:left="400" w:leftChars="200" w:hanging="200" w:hangingChars="200"/>
    </w:pPr>
    <w:rPr>
      <w:sz w:val="15"/>
    </w:rPr>
  </w:style>
  <w:style w:type="paragraph" w:customStyle="1" w:styleId="229">
    <w:name w:val="标准文件_术语条一"/>
    <w:basedOn w:val="168"/>
    <w:next w:val="60"/>
    <w:qFormat/>
    <w:uiPriority w:val="0"/>
  </w:style>
  <w:style w:type="paragraph" w:customStyle="1" w:styleId="230">
    <w:name w:val="标准文件_术语条二"/>
    <w:basedOn w:val="171"/>
    <w:next w:val="60"/>
    <w:qFormat/>
    <w:uiPriority w:val="0"/>
  </w:style>
  <w:style w:type="paragraph" w:customStyle="1" w:styleId="231">
    <w:name w:val="标准文件_术语条三"/>
    <w:basedOn w:val="170"/>
    <w:next w:val="60"/>
    <w:qFormat/>
    <w:uiPriority w:val="0"/>
  </w:style>
  <w:style w:type="paragraph" w:customStyle="1" w:styleId="232">
    <w:name w:val="标准文件_术语条四"/>
    <w:basedOn w:val="173"/>
    <w:next w:val="60"/>
    <w:qFormat/>
    <w:uiPriority w:val="0"/>
  </w:style>
  <w:style w:type="paragraph" w:customStyle="1" w:styleId="233">
    <w:name w:val="标准文件_术语条五"/>
    <w:basedOn w:val="169"/>
    <w:next w:val="60"/>
    <w:qFormat/>
    <w:uiPriority w:val="0"/>
  </w:style>
  <w:style w:type="paragraph" w:customStyle="1" w:styleId="234">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5">
    <w:name w:val="发布"/>
    <w:basedOn w:val="28"/>
    <w:qFormat/>
    <w:uiPriority w:val="0"/>
    <w:rPr>
      <w:rFonts w:ascii="黑体" w:eastAsia="黑体"/>
      <w:spacing w:val="85"/>
      <w:w w:val="100"/>
      <w:position w:val="3"/>
      <w:sz w:val="28"/>
      <w:szCs w:val="28"/>
    </w:rPr>
  </w:style>
  <w:style w:type="paragraph" w:customStyle="1" w:styleId="236">
    <w:name w:val="标准标志2"/>
    <w:next w:val="1"/>
    <w:qFormat/>
    <w:uiPriority w:val="0"/>
    <w:pPr>
      <w:framePr w:wrap="around" w:vAnchor="margin" w:hAnchor="margin" w:x="5614" w:y="398" w:anchorLock="1"/>
      <w:spacing w:line="0" w:lineRule="atLeast"/>
      <w:jc w:val="right"/>
    </w:pPr>
    <w:rPr>
      <w:rFonts w:hint="eastAsia" w:ascii="Times New Roman" w:hAnsi="Times New Roman" w:eastAsia="宋体" w:cs="Times New Roman"/>
      <w:b/>
      <w:w w:val="130"/>
      <w:sz w:val="96"/>
      <w:lang w:val="en-US" w:eastAsia="zh-CN" w:bidi="ar-SA"/>
    </w:rPr>
  </w:style>
  <w:style w:type="paragraph" w:customStyle="1" w:styleId="237">
    <w:name w:val="标准称谓2"/>
    <w:next w:val="1"/>
    <w:qFormat/>
    <w:uiPriority w:val="0"/>
    <w:pPr>
      <w:framePr w:w="6780" w:h="907" w:hRule="exact" w:hSpace="181" w:vSpace="181" w:wrap="around" w:vAnchor="page" w:hAnchor="page" w:xAlign="center" w:y="2268" w:anchorLock="1"/>
      <w:widowControl w:val="0"/>
      <w:kinsoku w:val="0"/>
      <w:overflowPunct w:val="0"/>
      <w:autoSpaceDE w:val="0"/>
      <w:autoSpaceDN w:val="0"/>
      <w:spacing w:line="14" w:lineRule="atLeast"/>
      <w:jc w:val="distribute"/>
    </w:pPr>
    <w:rPr>
      <w:rFonts w:hint="eastAsia" w:ascii="Times New Roman" w:hAnsi="Times New Roman" w:eastAsia="黑体" w:cs="Times New Roman"/>
      <w:spacing w:val="-39"/>
      <w:kern w:val="2"/>
      <w:sz w:val="72"/>
      <w:szCs w:val="72"/>
      <w:lang w:val="en-US" w:eastAsia="zh-CN" w:bidi="ar-SA"/>
    </w:rPr>
  </w:style>
  <w:style w:type="paragraph" w:customStyle="1" w:styleId="238">
    <w:name w:val="标准称谓3"/>
    <w:next w:val="1"/>
    <w:qFormat/>
    <w:uiPriority w:val="0"/>
    <w:pPr>
      <w:framePr w:w="9639" w:h="624" w:hRule="exact" w:hSpace="181" w:vSpace="181" w:wrap="around" w:vAnchor="page" w:hAnchor="page" w:x="1305" w:y="2269" w:anchorLock="1"/>
      <w:widowControl w:val="0"/>
      <w:kinsoku w:val="0"/>
      <w:overflowPunct w:val="0"/>
      <w:autoSpaceDE w:val="0"/>
      <w:autoSpaceDN w:val="0"/>
      <w:spacing w:line="0" w:lineRule="atLeast"/>
      <w:jc w:val="distribute"/>
    </w:pPr>
    <w:rPr>
      <w:rFonts w:hint="eastAsia" w:ascii="黑体" w:hAnsi="Times New Roman" w:eastAsia="黑体" w:cs="Times New Roman"/>
      <w:sz w:val="48"/>
      <w:lang w:val="en-US" w:eastAsia="zh-CN" w:bidi="ar-SA"/>
    </w:rPr>
  </w:style>
  <w:style w:type="paragraph" w:customStyle="1" w:styleId="239">
    <w:name w:val="标准书脚_奇数页"/>
    <w:qFormat/>
    <w:uiPriority w:val="0"/>
    <w:pPr>
      <w:ind w:right="227"/>
      <w:jc w:val="right"/>
    </w:pPr>
    <w:rPr>
      <w:rFonts w:hint="eastAsia" w:ascii="宋体" w:hAnsi="Times New Roman" w:eastAsia="宋体" w:cs="宋体"/>
      <w:sz w:val="18"/>
      <w:lang w:val="en-US" w:eastAsia="zh-CN" w:bidi="ar-SA"/>
    </w:rPr>
  </w:style>
  <w:style w:type="paragraph" w:customStyle="1" w:styleId="240">
    <w:name w:val="标准书眉_奇数页"/>
    <w:next w:val="1"/>
    <w:qFormat/>
    <w:uiPriority w:val="0"/>
    <w:pPr>
      <w:tabs>
        <w:tab w:val="center" w:pos="4153"/>
        <w:tab w:val="right" w:pos="8306"/>
      </w:tabs>
      <w:spacing w:after="120"/>
      <w:jc w:val="right"/>
    </w:pPr>
    <w:rPr>
      <w:rFonts w:hint="eastAsia" w:ascii="黑体" w:hAnsi="Times New Roman" w:eastAsia="黑体" w:cs="黑体"/>
      <w:sz w:val="21"/>
      <w:lang w:val="en-US" w:eastAsia="zh-CN" w:bidi="ar-SA"/>
    </w:rPr>
  </w:style>
  <w:style w:type="paragraph" w:customStyle="1" w:styleId="241">
    <w:name w:val="标准书眉_偶数页"/>
    <w:next w:val="1"/>
    <w:qFormat/>
    <w:uiPriority w:val="0"/>
    <w:pPr>
      <w:spacing w:after="120"/>
    </w:pPr>
    <w:rPr>
      <w:rFonts w:hint="eastAsia" w:ascii="黑体" w:hAnsi="Times New Roman" w:eastAsia="黑体" w:cs="黑体"/>
      <w:sz w:val="21"/>
      <w:lang w:val="en-US" w:eastAsia="zh-CN" w:bidi="ar-SA"/>
    </w:rPr>
  </w:style>
  <w:style w:type="paragraph" w:customStyle="1" w:styleId="242">
    <w:name w:val="封面标准顶部线"/>
    <w:qFormat/>
    <w:uiPriority w:val="0"/>
    <w:pPr>
      <w:framePr w:w="9672" w:hSpace="181" w:wrap="around" w:vAnchor="page" w:hAnchor="page" w:x="1389" w:y="4241"/>
      <w:spacing w:line="14" w:lineRule="atLeast"/>
    </w:pPr>
    <w:rPr>
      <w:rFonts w:hint="eastAsia" w:ascii="宋体" w:hAnsi="Times New Roman" w:eastAsia="宋体" w:cs="Times New Roman"/>
      <w:sz w:val="21"/>
      <w:lang w:val="en-US" w:eastAsia="zh-CN" w:bidi="ar-SA"/>
    </w:rPr>
  </w:style>
  <w:style w:type="paragraph" w:customStyle="1" w:styleId="243">
    <w:name w:val="封面日期"/>
    <w:qFormat/>
    <w:uiPriority w:val="0"/>
    <w:pPr>
      <w:framePr w:w="9672" w:vSpace="181" w:wrap="around" w:vAnchor="page" w:hAnchor="page" w:x="1418" w:y="14174" w:anchorLock="1"/>
      <w:spacing w:line="360" w:lineRule="exact"/>
    </w:pPr>
    <w:rPr>
      <w:rFonts w:hint="eastAsia" w:ascii="黑体" w:hAnsi="Times New Roman" w:eastAsia="黑体" w:cs="Times New Roman"/>
      <w:sz w:val="28"/>
      <w:lang w:val="en-US" w:eastAsia="zh-CN" w:bidi="ar-SA"/>
    </w:rPr>
  </w:style>
  <w:style w:type="paragraph" w:customStyle="1" w:styleId="244">
    <w:name w:val="封面标准号2"/>
    <w:qFormat/>
    <w:uiPriority w:val="0"/>
    <w:pPr>
      <w:framePr w:w="9354" w:h="624" w:hRule="exact" w:hSpace="181" w:vSpace="181" w:wrap="around" w:vAnchor="page" w:hAnchor="page" w:x="1418" w:y="3283"/>
      <w:spacing w:line="280" w:lineRule="exact"/>
      <w:jc w:val="right"/>
    </w:pPr>
    <w:rPr>
      <w:rFonts w:hint="eastAsia" w:ascii="黑体" w:hAnsi="Times New Roman" w:eastAsia="黑体" w:cs="Times New Roman"/>
      <w:sz w:val="28"/>
      <w:lang w:val="en-US" w:eastAsia="zh-CN" w:bidi="ar-SA"/>
    </w:rPr>
  </w:style>
  <w:style w:type="paragraph" w:customStyle="1" w:styleId="245">
    <w:name w:val="封面标准文稿附件"/>
    <w:basedOn w:val="130"/>
    <w:qFormat/>
    <w:uiPriority w:val="0"/>
    <w:pPr>
      <w:framePr w:wrap="around" w:vAnchor="margin" w:hAnchor="text" w:y="1"/>
      <w:spacing w:before="937" w:beforeLines="300" w:after="0" w:afterLines="30" w:line="240" w:lineRule="auto"/>
    </w:pPr>
    <w:rPr>
      <w:rFonts w:ascii="Times New Roman" w:hAnsi="Times New Roman" w:eastAsia="宋体" w:cs="Times New Roman"/>
      <w:b/>
      <w:sz w:val="21"/>
    </w:rPr>
  </w:style>
  <w:style w:type="paragraph" w:customStyle="1" w:styleId="246">
    <w:name w:val="其他发布部门2"/>
    <w:basedOn w:val="125"/>
    <w:qFormat/>
    <w:uiPriority w:val="0"/>
    <w:pPr>
      <w:framePr w:w="7432" w:h="584" w:hRule="exact" w:hSpace="181" w:wrap="around" w:y="15024"/>
      <w:spacing w:before="0" w:line="14" w:lineRule="atLeast"/>
    </w:pPr>
    <w:rPr>
      <w:rFonts w:ascii="黑体" w:hAnsi="黑体" w:eastAsia="黑体" w:cs="Times New Roman"/>
      <w:spacing w:val="0"/>
      <w:w w:val="100"/>
    </w:rPr>
  </w:style>
  <w:style w:type="paragraph" w:customStyle="1" w:styleId="247">
    <w:name w:val="其他发布部门3"/>
    <w:qFormat/>
    <w:uiPriority w:val="0"/>
    <w:pPr>
      <w:framePr w:w="9248" w:h="1259" w:hRule="exact" w:hSpace="181" w:vSpace="181" w:wrap="auto" w:vAnchor="margin" w:hAnchor="margin" w:xAlign="center" w:y="14545"/>
      <w:spacing w:line="0" w:lineRule="atLeast"/>
      <w:jc w:val="center"/>
    </w:pPr>
    <w:rPr>
      <w:rFonts w:hint="eastAsia" w:ascii="黑体" w:hAnsi="Times New Roman" w:eastAsia="黑体" w:cs="Times New Roman"/>
      <w:sz w:val="28"/>
      <w:lang w:val="en-US" w:eastAsia="zh-CN" w:bidi="ar-SA"/>
    </w:rPr>
  </w:style>
  <w:style w:type="paragraph" w:customStyle="1" w:styleId="248">
    <w:name w:val="附录图标号"/>
    <w:basedOn w:val="60"/>
    <w:next w:val="60"/>
    <w:qFormat/>
    <w:uiPriority w:val="0"/>
    <w:pPr>
      <w:numPr>
        <w:ilvl w:val="0"/>
        <w:numId w:val="32"/>
      </w:numPr>
      <w:spacing w:line="14" w:lineRule="exact"/>
      <w:jc w:val="center"/>
    </w:pPr>
    <w:rPr>
      <w:rFonts w:ascii="Times New Roman" w:hAnsi="Times New Roman" w:eastAsia="宋体" w:cs="Times New Roman"/>
      <w:sz w:val="2"/>
    </w:rPr>
  </w:style>
  <w:style w:type="paragraph" w:customStyle="1" w:styleId="249">
    <w:name w:val="附录图标题"/>
    <w:next w:val="60"/>
    <w:qFormat/>
    <w:uiPriority w:val="0"/>
    <w:pPr>
      <w:numPr>
        <w:ilvl w:val="1"/>
        <w:numId w:val="32"/>
      </w:numPr>
      <w:spacing w:before="157" w:beforeLines="50" w:after="157" w:afterLines="50"/>
      <w:jc w:val="center"/>
    </w:pPr>
    <w:rPr>
      <w:rFonts w:hint="eastAsia" w:ascii="黑体" w:hAnsi="黑体" w:eastAsia="黑体" w:cs="黑体"/>
      <w:sz w:val="21"/>
      <w:lang w:val="en-US" w:eastAsia="zh-CN" w:bidi="ar-SA"/>
    </w:rPr>
  </w:style>
  <w:style w:type="paragraph" w:customStyle="1" w:styleId="250">
    <w:name w:val="附录表标号"/>
    <w:basedOn w:val="60"/>
    <w:next w:val="60"/>
    <w:qFormat/>
    <w:uiPriority w:val="0"/>
    <w:pPr>
      <w:numPr>
        <w:ilvl w:val="0"/>
        <w:numId w:val="33"/>
      </w:numPr>
      <w:spacing w:line="14" w:lineRule="exact"/>
      <w:jc w:val="center"/>
    </w:pPr>
    <w:rPr>
      <w:rFonts w:ascii="Times New Roman" w:hAnsi="Times New Roman" w:eastAsia="宋体" w:cs="Times New Roman"/>
      <w:sz w:val="2"/>
    </w:rPr>
  </w:style>
  <w:style w:type="paragraph" w:customStyle="1" w:styleId="251">
    <w:name w:val="附录表标题"/>
    <w:next w:val="60"/>
    <w:qFormat/>
    <w:uiPriority w:val="0"/>
    <w:pPr>
      <w:numPr>
        <w:ilvl w:val="1"/>
        <w:numId w:val="33"/>
      </w:numPr>
      <w:spacing w:before="157" w:beforeLines="50" w:after="157" w:afterLines="50"/>
      <w:jc w:val="center"/>
    </w:pPr>
    <w:rPr>
      <w:rFonts w:hint="eastAsia" w:ascii="黑体" w:hAnsi="黑体" w:eastAsia="黑体" w:cs="黑体"/>
      <w:sz w:val="21"/>
      <w:lang w:val="en-US" w:eastAsia="zh-CN" w:bidi="ar-SA"/>
    </w:rPr>
  </w:style>
  <w:style w:type="paragraph" w:customStyle="1" w:styleId="252">
    <w:name w:val="标准文件_示例"/>
    <w:next w:val="189"/>
    <w:qFormat/>
    <w:uiPriority w:val="0"/>
    <w:pPr>
      <w:numPr>
        <w:ilvl w:val="0"/>
        <w:numId w:val="34"/>
      </w:numPr>
      <w:jc w:val="both"/>
    </w:pPr>
    <w:rPr>
      <w:rFonts w:hint="eastAsia" w:ascii="宋体" w:hAnsi="宋体" w:eastAsia="宋体" w:cs="宋体"/>
      <w:sz w:val="18"/>
      <w:lang w:val="en-US" w:eastAsia="zh-CN" w:bidi="ar-SA"/>
    </w:rPr>
  </w:style>
  <w:style w:type="paragraph" w:customStyle="1" w:styleId="253">
    <w:name w:val="标准文件_示例×"/>
    <w:basedOn w:val="1"/>
    <w:next w:val="189"/>
    <w:qFormat/>
    <w:uiPriority w:val="0"/>
    <w:pPr>
      <w:widowControl/>
      <w:numPr>
        <w:ilvl w:val="0"/>
        <w:numId w:val="35"/>
      </w:numPr>
    </w:pPr>
    <w:rPr>
      <w:rFonts w:hAnsi="宋体" w:eastAsia="宋体" w:cs="Times New Roman"/>
      <w:sz w:val="18"/>
    </w:rPr>
  </w:style>
  <w:style w:type="paragraph" w:customStyle="1" w:styleId="254">
    <w:name w:val="标准文件_注"/>
    <w:next w:val="60"/>
    <w:qFormat/>
    <w:uiPriority w:val="0"/>
    <w:pPr>
      <w:numPr>
        <w:ilvl w:val="0"/>
        <w:numId w:val="36"/>
      </w:numPr>
      <w:autoSpaceDE w:val="0"/>
      <w:autoSpaceDN w:val="0"/>
      <w:jc w:val="both"/>
    </w:pPr>
    <w:rPr>
      <w:rFonts w:hint="eastAsia" w:ascii="宋体" w:hAnsi="宋体" w:eastAsia="宋体" w:cs="宋体"/>
      <w:sz w:val="18"/>
      <w:lang w:val="en-US" w:eastAsia="zh-CN" w:bidi="ar-SA"/>
    </w:rPr>
  </w:style>
  <w:style w:type="paragraph" w:customStyle="1" w:styleId="255">
    <w:name w:val="标准文件_注×"/>
    <w:next w:val="60"/>
    <w:qFormat/>
    <w:uiPriority w:val="0"/>
    <w:pPr>
      <w:numPr>
        <w:ilvl w:val="0"/>
        <w:numId w:val="37"/>
      </w:numPr>
      <w:jc w:val="both"/>
    </w:pPr>
    <w:rPr>
      <w:rFonts w:hint="eastAsia" w:ascii="宋体" w:hAnsi="宋体" w:eastAsia="宋体" w:cs="宋体"/>
      <w:sz w:val="18"/>
      <w:lang w:val="en-US" w:eastAsia="zh-CN" w:bidi="ar-SA"/>
    </w:rPr>
  </w:style>
  <w:style w:type="paragraph" w:customStyle="1" w:styleId="256">
    <w:name w:val="终结线"/>
    <w:basedOn w:val="1"/>
    <w:qFormat/>
    <w:uiPriority w:val="0"/>
    <w:pPr>
      <w:framePr w:hSpace="181" w:vSpace="181" w:wrap="around" w:vAnchor="text" w:hAnchor="margin" w:xAlign="center" w:y="285"/>
    </w:pPr>
    <w:rPr>
      <w:rFonts w:ascii="Times New Roman" w:eastAsia="宋体" w:cs="Times New Roman"/>
      <w:b/>
      <w:sz w:val="34"/>
    </w:rPr>
  </w:style>
  <w:style w:type="paragraph" w:customStyle="1" w:styleId="257">
    <w:name w:val="标准文件_参考文献编号"/>
    <w:basedOn w:val="60"/>
    <w:qFormat/>
    <w:uiPriority w:val="0"/>
    <w:pPr>
      <w:numPr>
        <w:ilvl w:val="0"/>
        <w:numId w:val="38"/>
      </w:numPr>
    </w:pPr>
    <w:rPr>
      <w:rFonts w:ascii="Times New Roman" w:hAnsi="Times New Roman" w:eastAsia="宋体" w:cs="Times New Roman"/>
    </w:rPr>
  </w:style>
  <w:style w:type="paragraph" w:customStyle="1" w:styleId="258">
    <w:name w:val="Table Text"/>
    <w:basedOn w:val="1"/>
    <w:semiHidden/>
    <w:qFormat/>
    <w:uiPriority w:val="0"/>
    <w:pPr>
      <w:widowControl/>
      <w:kinsoku w:val="0"/>
      <w:autoSpaceDE w:val="0"/>
      <w:autoSpaceDN w:val="0"/>
      <w:adjustRightInd w:val="0"/>
      <w:snapToGrid w:val="0"/>
      <w:jc w:val="left"/>
      <w:textAlignment w:val="baseline"/>
    </w:pPr>
    <w:rPr>
      <w:rFonts w:hint="default" w:hAnsi="宋体" w:eastAsia="宋体" w:cs="Times New Roman"/>
      <w:color w:val="000000"/>
      <w:kern w:val="0"/>
      <w:sz w:val="18"/>
      <w:szCs w:val="18"/>
    </w:rPr>
  </w:style>
  <w:style w:type="table" w:customStyle="1" w:styleId="259">
    <w:name w:val="Table Normal"/>
    <w:basedOn w:val="26"/>
    <w:qFormat/>
    <w:uiPriority w:val="0"/>
    <w:rPr>
      <w:rFonts w:ascii="Times New Roman" w:hAnsi="Times New Roman" w:eastAsia="Times New Roman" w:cs="Times New Roman"/>
    </w:rPr>
    <w:tblPr>
      <w:tblCellMar>
        <w:left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3.jpe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set2025\StandardEditor\template\&#22242;&#20307;&#26631;&#20934;.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团体标准.dotx</Template>
  <Pages>7</Pages>
  <Words>3022</Words>
  <Characters>3538</Characters>
  <Lines>4</Lines>
  <Paragraphs>1</Paragraphs>
  <TotalTime>2</TotalTime>
  <ScaleCrop>false</ScaleCrop>
  <LinksUpToDate>false</LinksUpToDate>
  <CharactersWithSpaces>3726</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2026-05-08T06:56:00Z</dcterms:created>
  <dc:creator>。</dc:creator>
  <cp:lastModifiedBy>。</cp:lastModifiedBy>
  <dcterms:modified xsi:type="dcterms:W3CDTF">2026-06-16T09:16:36Z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ICV">
    <vt:lpwstr>BD6C0557BAC04343BF45645E458511AD_13</vt:lpwstr>
  </property>
  <property fmtid="{D5CDD505-2E9C-101B-9397-08002B2CF9AE}" pid="15" name="KSOTemplateDocerSaveRecord">
    <vt:lpwstr>eyJoZGlkIjoiYzkwYzJmZDNiMmRhZjM0NTlkZDY1MmFlNDljZjQ0NWEiLCJ1c2VySWQiOiIyNDIyMjUwNzQifQ==</vt:lpwstr>
  </property>
  <property fmtid="{D5CDD505-2E9C-101B-9397-08002B2CF9AE}" pid="16" name="KSOProductBuildVer">
    <vt:lpwstr>2052-12.1.0.26895</vt:lpwstr>
  </property>
</Properties>
</file>