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20CAA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noWrap w:val="0"/>
            <w:vAlign w:val="top"/>
          </w:tcPr>
          <w:p w14:paraId="59420201">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noWrap w:val="0"/>
            <w:vAlign w:val="top"/>
          </w:tcPr>
          <w:p w14:paraId="1B86B123">
            <w:pPr>
              <w:pStyle w:val="18"/>
              <w:framePr w:wrap="notBeside" w:vAnchor="page" w:hAnchor="page" w:x="1372" w:y="568"/>
              <w:tabs>
                <w:tab w:val="clear" w:pos="4153"/>
                <w:tab w:val="clear" w:pos="8306"/>
              </w:tabs>
              <w:spacing w:line="240" w:lineRule="auto"/>
              <w:jc w:val="both"/>
              <w:rPr>
                <w:rFonts w:hint="default" w:ascii="黑体" w:hAnsi="黑体" w:eastAsia="黑体"/>
                <w:sz w:val="21"/>
                <w:szCs w:val="21"/>
                <w:lang w:val="en-US" w:eastAsia="zh-CN"/>
              </w:rPr>
            </w:pPr>
            <w:r>
              <w:rPr>
                <w:rFonts w:hint="eastAsia" w:ascii="黑体" w:hAnsi="黑体" w:eastAsia="黑体"/>
                <w:sz w:val="21"/>
                <w:szCs w:val="21"/>
                <w:lang w:val="en-US" w:eastAsia="zh-CN"/>
              </w:rPr>
              <w:t>67.080</w:t>
            </w:r>
          </w:p>
        </w:tc>
      </w:tr>
      <w:tr w14:paraId="04255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noWrap w:val="0"/>
            <w:vAlign w:val="top"/>
          </w:tcPr>
          <w:p w14:paraId="1C3B30BA">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noWrap w:val="0"/>
            <w:vAlign w:val="top"/>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9CF9FAF">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noWrap w:val="0"/>
                  <w:vAlign w:val="center"/>
                </w:tcPr>
                <w:p w14:paraId="0C98CC27">
                  <w:pPr>
                    <w:pStyle w:val="51"/>
                    <w:framePr w:wrap="notBeside" w:vAnchor="page" w:hAnchor="page" w:x="1372" w:y="568"/>
                    <w:ind w:left="420" w:right="624"/>
                    <w:rPr>
                      <w:rFonts w:hint="eastAsia" w:ascii="宋体" w:hAnsi="宋体"/>
                      <w:sz w:val="28"/>
                      <w:szCs w:val="28"/>
                    </w:rPr>
                  </w:pPr>
                  <w:r>
                    <w:drawing>
                      <wp:inline distT="0" distB="0" distL="114300" distR="11430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pic:cNvPicPr>
                              </pic:nvPicPr>
                              <pic:blipFill>
                                <a:blip r:embed="rId13"/>
                                <a:stretch>
                                  <a:fillRect/>
                                </a:stretch>
                              </pic:blipFill>
                              <pic:spPr>
                                <a:xfrm>
                                  <a:off x="0" y="0"/>
                                  <a:ext cx="414655" cy="430530"/>
                                </a:xfrm>
                                <a:prstGeom prst="rect">
                                  <a:avLst/>
                                </a:prstGeom>
                                <a:noFill/>
                                <a:ln>
                                  <a:noFill/>
                                </a:ln>
                              </pic:spPr>
                            </pic:pic>
                          </a:graphicData>
                        </a:graphic>
                      </wp:inline>
                    </w:drawing>
                  </w:r>
                  <w:r>
                    <w:drawing>
                      <wp:inline distT="0" distB="0" distL="114300" distR="11430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pic:cNvPicPr>
                              </pic:nvPicPr>
                              <pic:blipFill>
                                <a:blip r:embed="rId14"/>
                                <a:stretch>
                                  <a:fillRect/>
                                </a:stretch>
                              </pic:blipFill>
                              <pic:spPr>
                                <a:xfrm>
                                  <a:off x="0" y="0"/>
                                  <a:ext cx="170815" cy="436245"/>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0"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0"/>
                </w:p>
              </w:tc>
            </w:tr>
          </w:tbl>
          <w:p w14:paraId="65CE4901">
            <w:pPr>
              <w:pStyle w:val="18"/>
              <w:framePr w:wrap="notBeside" w:vAnchor="page" w:hAnchor="page" w:x="1372" w:y="568"/>
              <w:tabs>
                <w:tab w:val="clear" w:pos="4153"/>
                <w:tab w:val="clear" w:pos="8306"/>
              </w:tabs>
              <w:spacing w:before="40" w:line="240" w:lineRule="auto"/>
              <w:jc w:val="left"/>
              <w:rPr>
                <w:rFonts w:hint="default" w:ascii="黑体" w:hAnsi="黑体" w:eastAsia="黑体"/>
                <w:sz w:val="21"/>
                <w:szCs w:val="21"/>
                <w:lang w:val="en-US" w:eastAsia="zh-CN"/>
              </w:rPr>
            </w:pPr>
            <w:r>
              <w:rPr>
                <w:rFonts w:hint="eastAsia" w:ascii="黑体" w:hAnsi="黑体" w:eastAsia="黑体"/>
                <w:sz w:val="21"/>
                <w:szCs w:val="21"/>
                <w:lang w:val="en-US" w:eastAsia="zh-CN"/>
              </w:rPr>
              <w:t>X 10</w:t>
            </w:r>
          </w:p>
        </w:tc>
      </w:tr>
    </w:tbl>
    <w:p w14:paraId="5D25E679">
      <w:pPr>
        <w:pStyle w:val="52"/>
        <w:framePr w:w="9639" w:h="624" w:hRule="exact" w:hSpace="181" w:vSpace="181" w:wrap="around" w:vAnchor="text" w:hAnchor="page" w:x="1398" w:y="701"/>
        <w:rPr>
          <w:rFonts w:hint="eastAsia" w:ascii="黑体" w:hAnsi="黑体" w:eastAsia="黑体"/>
          <w:b w:val="0"/>
          <w:bCs w:val="0"/>
          <w:w w:val="100"/>
          <w:sz w:val="48"/>
          <w:szCs w:val="48"/>
        </w:rPr>
      </w:pPr>
      <w:bookmarkStart w:id="1" w:name="_Hlk26473981"/>
      <w:r>
        <w:rPr>
          <w:rFonts w:ascii="黑体" w:eastAsia="黑体"/>
          <w:b w:val="0"/>
          <w:w w:val="100"/>
          <w:sz w:val="48"/>
        </w:rPr>
        <w:fldChar w:fldCharType="begin">
          <w:ffData>
            <w:name w:val="c2"/>
            <w:enabled/>
            <w:calcOnExit w:val="0"/>
            <w:textInput/>
          </w:ffData>
        </w:fldChar>
      </w:r>
      <w:bookmarkStart w:id="2"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2"/>
      <w:r>
        <w:rPr>
          <w:rFonts w:hint="eastAsia" w:ascii="黑体" w:eastAsia="黑体"/>
          <w:b w:val="0"/>
          <w:w w:val="100"/>
          <w:sz w:val="48"/>
        </w:rPr>
        <w:t>团体</w:t>
      </w:r>
      <w:r>
        <w:rPr>
          <w:rFonts w:hint="eastAsia" w:ascii="黑体" w:hAnsi="黑体" w:eastAsia="黑体"/>
          <w:b w:val="0"/>
          <w:bCs w:val="0"/>
          <w:w w:val="100"/>
          <w:sz w:val="48"/>
          <w:szCs w:val="48"/>
        </w:rPr>
        <w:t>标准</w:t>
      </w:r>
    </w:p>
    <w:bookmarkEnd w:id="1"/>
    <w:p w14:paraId="1166F9E0">
      <w:pPr>
        <w:pStyle w:val="195"/>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XXXX</w:t>
      </w:r>
      <w:r>
        <w:fldChar w:fldCharType="end"/>
      </w:r>
      <w:bookmarkEnd w:id="5"/>
    </w:p>
    <w:p w14:paraId="19DBFD0B">
      <w:pPr>
        <w:pStyle w:val="196"/>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68D430C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eD&#10;SZ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14:paraId="4495C32D">
      <w:pPr>
        <w:pStyle w:val="52"/>
        <w:framePr w:w="9639" w:h="6976" w:hRule="exact" w:hSpace="0" w:vSpace="0" w:wrap="around" w:vAnchor="text" w:hAnchor="page" w:y="6408"/>
        <w:jc w:val="center"/>
        <w:rPr>
          <w:rFonts w:hint="eastAsia" w:ascii="黑体" w:hAnsi="黑体" w:eastAsia="黑体"/>
          <w:b w:val="0"/>
          <w:bCs w:val="0"/>
          <w:w w:val="100"/>
        </w:rPr>
      </w:pPr>
    </w:p>
    <w:p w14:paraId="13981429">
      <w:pPr>
        <w:pStyle w:val="197"/>
        <w:framePr w:h="6974" w:hRule="exact" w:wrap="around" w:x="1419" w:anchorLock="1"/>
        <w:rPr>
          <w:rFonts w:hint="eastAsia"/>
        </w:rPr>
      </w:pPr>
      <w:bookmarkStart w:id="7" w:name="CSTD_NAME"/>
      <w:r>
        <w:rPr>
          <w:rFonts w:hint="eastAsia" w:ascii="黑体" w:hAnsi="黑体" w:eastAsia="黑体" w:cs="Times New Roman"/>
          <w:bCs/>
          <w:sz w:val="52"/>
          <w:lang w:val="en-US" w:eastAsia="zh-CN" w:bidi="ar-SA"/>
        </w:rPr>
        <w:fldChar w:fldCharType="begin">
          <w:ffData>
            <w:name w:val="CSTD_NAME"/>
            <w:enabled/>
            <w:calcOnExit w:val="0"/>
            <w:textInput>
              <w:default w:val="速冻食品  牦牛肉水饺"/>
            </w:textInput>
          </w:ffData>
        </w:fldChar>
      </w:r>
      <w:r>
        <w:rPr>
          <w:rFonts w:hint="eastAsia" w:ascii="黑体" w:hAnsi="黑体" w:eastAsia="黑体" w:cs="Times New Roman"/>
          <w:bCs/>
          <w:sz w:val="52"/>
          <w:lang w:val="en-US" w:eastAsia="zh-CN" w:bidi="ar-SA"/>
        </w:rPr>
        <w:instrText xml:space="preserve">FORMTEXT</w:instrText>
      </w:r>
      <w:r>
        <w:rPr>
          <w:rFonts w:hint="eastAsia" w:ascii="黑体" w:hAnsi="黑体" w:eastAsia="黑体" w:cs="Times New Roman"/>
          <w:bCs/>
          <w:sz w:val="52"/>
          <w:lang w:val="en-US" w:eastAsia="zh-CN" w:bidi="ar-SA"/>
        </w:rPr>
        <w:fldChar w:fldCharType="separate"/>
      </w:r>
      <w:r>
        <w:rPr>
          <w:rFonts w:hint="eastAsia" w:ascii="黑体" w:hAnsi="黑体" w:eastAsia="黑体" w:cs="Times New Roman"/>
          <w:bCs/>
          <w:sz w:val="52"/>
          <w:lang w:val="en-US" w:eastAsia="zh-CN" w:bidi="ar-SA"/>
        </w:rPr>
        <w:t>速冻食品  牦牛肉水饺</w:t>
      </w:r>
      <w:r>
        <w:rPr>
          <w:rFonts w:hint="eastAsia" w:ascii="黑体" w:hAnsi="黑体" w:eastAsia="黑体" w:cs="Times New Roman"/>
          <w:bCs/>
          <w:sz w:val="52"/>
          <w:lang w:val="en-US" w:eastAsia="zh-CN" w:bidi="ar-SA"/>
        </w:rPr>
        <w:fldChar w:fldCharType="end"/>
      </w:r>
      <w:bookmarkEnd w:id="7"/>
    </w:p>
    <w:p w14:paraId="54570A29">
      <w:pPr>
        <w:framePr w:w="9639" w:h="6974" w:hRule="exact" w:wrap="around" w:vAnchor="page" w:hAnchor="page" w:x="1419" w:y="6408" w:anchorLock="1"/>
        <w:ind w:left="-1418"/>
      </w:pPr>
    </w:p>
    <w:p w14:paraId="538879F2">
      <w:pPr>
        <w:pStyle w:val="126"/>
        <w:framePr w:w="9639" w:h="6974" w:hRule="exact" w:wrap="around" w:vAnchor="page" w:hAnchor="page" w:x="1419" w:y="6408" w:anchorLock="1"/>
        <w:textAlignment w:val="bottom"/>
        <w:rPr>
          <w:rFonts w:eastAsia="黑体"/>
          <w:szCs w:val="28"/>
        </w:rPr>
      </w:pPr>
    </w:p>
    <w:p w14:paraId="556AA821">
      <w:pPr>
        <w:framePr w:w="9639" w:h="6974" w:hRule="exact" w:wrap="around" w:vAnchor="page" w:hAnchor="page" w:x="1419" w:y="6408" w:anchorLock="1"/>
        <w:spacing w:line="760" w:lineRule="exact"/>
        <w:ind w:left="-1418"/>
      </w:pPr>
    </w:p>
    <w:p w14:paraId="5A52B2D6">
      <w:pPr>
        <w:pStyle w:val="126"/>
        <w:framePr w:w="9639" w:h="6974" w:hRule="exact" w:wrap="around" w:vAnchor="page" w:hAnchor="page" w:x="1419" w:y="6408" w:anchorLock="1"/>
        <w:textAlignment w:val="bottom"/>
        <w:rPr>
          <w:rFonts w:eastAsia="黑体"/>
          <w:szCs w:val="28"/>
        </w:rPr>
      </w:pPr>
    </w:p>
    <w:p w14:paraId="2D66EB0A">
      <w:pPr>
        <w:pStyle w:val="126"/>
        <w:framePr w:w="9639" w:h="6974" w:hRule="exact" w:wrap="around" w:vAnchor="page" w:hAnchor="page" w:x="1419" w:y="6408" w:anchorLock="1"/>
        <w:spacing w:before="440" w:after="160"/>
        <w:textAlignment w:val="bottom"/>
        <w:rPr>
          <w:sz w:val="24"/>
          <w:szCs w:val="28"/>
        </w:rPr>
      </w:pPr>
      <w:bookmarkStart w:id="8" w:name="下拉1"/>
      <w:r>
        <w:rPr>
          <w:rFonts w:hint="eastAsia" w:cs="Times New Roman"/>
          <w:sz w:val="24"/>
          <w:szCs w:val="28"/>
          <w:lang w:val="en-US" w:eastAsia="zh-CN" w:bidi="ar-SA"/>
        </w:rPr>
        <w:t>征求意见稿</w:t>
      </w:r>
      <w:bookmarkStart w:id="22" w:name="_GoBack"/>
      <w:bookmarkEnd w:id="22"/>
      <w:r>
        <w:rPr>
          <w:rFonts w:ascii="Times New Roman" w:hAnsi="Times New Roman" w:eastAsia="宋体" w:cs="Times New Roman"/>
          <w:sz w:val="24"/>
          <w:szCs w:val="28"/>
          <w:lang w:val="en-US" w:eastAsia="zh-CN" w:bidi="ar-SA"/>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r>
        <w:rPr>
          <w:rFonts w:ascii="Times New Roman" w:hAnsi="Times New Roman" w:eastAsia="宋体" w:cs="Times New Roman"/>
          <w:sz w:val="24"/>
          <w:szCs w:val="28"/>
          <w:lang w:val="en-US" w:eastAsia="zh-CN" w:bidi="ar-SA"/>
        </w:rPr>
        <w:instrText xml:space="preserve">FORMDROPDOWN</w:instrText>
      </w:r>
      <w:r>
        <w:rPr>
          <w:rFonts w:ascii="Times New Roman" w:hAnsi="Times New Roman" w:eastAsia="宋体" w:cs="Times New Roman"/>
          <w:sz w:val="24"/>
          <w:szCs w:val="28"/>
          <w:lang w:val="en-US" w:eastAsia="zh-CN" w:bidi="ar-SA"/>
        </w:rPr>
        <w:fldChar w:fldCharType="separate"/>
      </w:r>
      <w:r>
        <w:rPr>
          <w:rFonts w:ascii="Times New Roman" w:hAnsi="Times New Roman" w:eastAsia="宋体" w:cs="Times New Roman"/>
          <w:sz w:val="24"/>
          <w:szCs w:val="28"/>
          <w:lang w:val="en-US" w:eastAsia="zh-CN" w:bidi="ar-SA"/>
        </w:rPr>
        <w:fldChar w:fldCharType="end"/>
      </w:r>
      <w:bookmarkEnd w:id="8"/>
    </w:p>
    <w:p w14:paraId="1CDB27C2">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9"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9"/>
    </w:p>
    <w:p w14:paraId="44171357">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0" w:name="下拉2"/>
      <w:r>
        <w:rPr>
          <w:b/>
          <w:sz w:val="21"/>
          <w:szCs w:val="28"/>
        </w:rPr>
        <w:instrText xml:space="preserve"> FORMDROPDOWN </w:instrText>
      </w:r>
      <w:r>
        <w:rPr>
          <w:b/>
          <w:sz w:val="21"/>
          <w:szCs w:val="28"/>
        </w:rPr>
        <w:fldChar w:fldCharType="separate"/>
      </w:r>
      <w:r>
        <w:rPr>
          <w:b/>
          <w:sz w:val="21"/>
          <w:szCs w:val="28"/>
        </w:rPr>
        <w:fldChar w:fldCharType="end"/>
      </w:r>
      <w:bookmarkEnd w:id="10"/>
    </w:p>
    <w:p w14:paraId="0FBD1795">
      <w:pPr>
        <w:pStyle w:val="193"/>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rPr>
          <w:rFonts w:hint="eastAsia"/>
        </w:rPr>
        <w:t>发布</w:t>
      </w:r>
    </w:p>
    <w:p w14:paraId="4758E065">
      <w:pPr>
        <w:pStyle w:val="194"/>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实施</w:t>
      </w:r>
    </w:p>
    <w:p w14:paraId="6B42FD1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青海省标准化协会</w:t>
      </w:r>
      <w:r>
        <w:rPr>
          <w:rFonts w:hAnsi="黑体"/>
          <w:w w:val="100"/>
          <w:sz w:val="28"/>
        </w:rPr>
        <w:fldChar w:fldCharType="end"/>
      </w:r>
      <w:bookmarkEnd w:id="17"/>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43B57DA0">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720"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4445" r="0" b="508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szHPvX&#10;AAAADgEAAA8AAAAAAAAAAQAgAAAAIgAAAGRycy9kb3ducmV2LnhtbFBLAQIUABQAAAAIAIdO4kB3&#10;Ymi56AEAALgDAAAOAAAAAAAAAAEAIAAAACYBAABkcnMvZTJvRG9jLnhtbFBLBQYAAAAABgAGAFkB&#10;AACABQAAAAA=&#10;">
                <v:fill on="f" focussize="0,0"/>
                <v:stroke color="#000000" joinstyle="round"/>
                <v:imagedata o:title=""/>
                <o:lock v:ext="edit" aspectratio="f"/>
                <w10:anchorlock/>
              </v:line>
            </w:pict>
          </mc:Fallback>
        </mc:AlternateContent>
      </w:r>
    </w:p>
    <w:p w14:paraId="4E4E8698">
      <w:pPr>
        <w:pStyle w:val="91"/>
        <w:bidi w:val="0"/>
        <w:spacing w:before="560"/>
        <w:rPr>
          <w:rFonts w:hint="eastAsia"/>
          <w:lang w:eastAsia="zh-CN"/>
        </w:rPr>
      </w:pPr>
      <w:bookmarkStart w:id="18" w:name="BookMark2"/>
      <w:r>
        <w:rPr>
          <w:rFonts w:hint="eastAsia"/>
          <w:spacing w:val="320"/>
          <w:lang w:eastAsia="zh-CN"/>
        </w:rPr>
        <w:t>前</w:t>
      </w:r>
      <w:r>
        <w:rPr>
          <w:rFonts w:hint="eastAsia"/>
          <w:lang w:eastAsia="zh-CN"/>
        </w:rPr>
        <w:t>言</w:t>
      </w:r>
    </w:p>
    <w:p w14:paraId="7F13BD29">
      <w:pPr>
        <w:pStyle w:val="58"/>
        <w:bidi w:val="0"/>
        <w:rPr>
          <w:rFonts w:hint="eastAsia"/>
          <w:lang w:eastAsia="zh-CN"/>
        </w:rPr>
      </w:pPr>
      <w:r>
        <w:rPr>
          <w:rFonts w:hint="eastAsia"/>
          <w:lang w:eastAsia="zh-CN"/>
        </w:rPr>
        <w:t>本文件按照GB/T 1.1—2020《标准化工作导则  第1部分：标准化文件的结构和起草规则》的规定起草。</w:t>
      </w:r>
    </w:p>
    <w:p w14:paraId="2690175C">
      <w:pPr>
        <w:pStyle w:val="58"/>
        <w:bidi w:val="0"/>
        <w:rPr>
          <w:rFonts w:hint="eastAsia"/>
          <w:lang w:eastAsia="zh-CN"/>
        </w:rPr>
      </w:pPr>
      <w:r>
        <w:rPr>
          <w:rFonts w:hint="eastAsia"/>
          <w:lang w:eastAsia="zh-CN"/>
        </w:rPr>
        <w:t>请注意本文件的某些内容可能涉及专利。本文件的发布机构不承担识别专利的责任。</w:t>
      </w:r>
    </w:p>
    <w:p w14:paraId="49243013">
      <w:pPr>
        <w:pStyle w:val="58"/>
        <w:bidi w:val="0"/>
        <w:rPr>
          <w:rFonts w:hint="eastAsia"/>
          <w:lang w:eastAsia="zh-CN"/>
        </w:rPr>
      </w:pPr>
      <w:r>
        <w:rPr>
          <w:rFonts w:hint="eastAsia"/>
          <w:lang w:eastAsia="zh-CN"/>
        </w:rPr>
        <w:t>本文件由青海老面坊食品有限公司提出。</w:t>
      </w:r>
    </w:p>
    <w:p w14:paraId="4EEA0D58">
      <w:pPr>
        <w:pStyle w:val="58"/>
        <w:bidi w:val="0"/>
        <w:rPr>
          <w:rFonts w:hint="eastAsia"/>
          <w:lang w:eastAsia="zh-CN"/>
        </w:rPr>
      </w:pPr>
      <w:r>
        <w:rPr>
          <w:rFonts w:hint="eastAsia"/>
          <w:lang w:eastAsia="zh-CN"/>
        </w:rPr>
        <w:t>本文件由青海省标准化协会归口。</w:t>
      </w:r>
    </w:p>
    <w:p w14:paraId="2EB6D124">
      <w:pPr>
        <w:pStyle w:val="58"/>
        <w:bidi w:val="0"/>
        <w:rPr>
          <w:rFonts w:hint="eastAsia"/>
          <w:lang w:eastAsia="zh-CN"/>
        </w:rPr>
      </w:pPr>
      <w:r>
        <w:rPr>
          <w:rFonts w:hint="eastAsia"/>
          <w:lang w:eastAsia="zh-CN"/>
        </w:rPr>
        <w:t>本文件起草单位：青海老面坊食品有限公司、青海省轻工业研究所有限责任公司、马夫子(青海)食品有限公司、青海韵驰检测技术有限公司负责起草。</w:t>
      </w:r>
    </w:p>
    <w:p w14:paraId="5FE6C5DE">
      <w:pPr>
        <w:pStyle w:val="58"/>
        <w:bidi w:val="0"/>
        <w:rPr>
          <w:rFonts w:hint="eastAsia"/>
          <w:lang w:eastAsia="zh-CN"/>
        </w:rPr>
      </w:pPr>
      <w:r>
        <w:rPr>
          <w:rFonts w:hint="eastAsia"/>
          <w:lang w:eastAsia="zh-CN"/>
        </w:rPr>
        <w:t>本文件主要起草人：</w:t>
      </w:r>
    </w:p>
    <w:p w14:paraId="5B5677E2">
      <w:pPr>
        <w:pStyle w:val="58"/>
        <w:bidi w:val="0"/>
        <w:rPr>
          <w:rFonts w:hint="eastAsia"/>
          <w:lang w:eastAsia="zh-CN"/>
        </w:rPr>
      </w:pPr>
    </w:p>
    <w:p w14:paraId="153E11E8">
      <w:pPr>
        <w:pStyle w:val="58"/>
        <w:bidi w:val="0"/>
        <w:rPr>
          <w:rFonts w:hint="eastAsia"/>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720" w:num="1"/>
          <w:formProt w:val="0"/>
          <w:docGrid w:linePitch="312" w:charSpace="0"/>
        </w:sectPr>
      </w:pPr>
    </w:p>
    <w:bookmarkEnd w:id="18"/>
    <w:p w14:paraId="31DF6AF9">
      <w:pPr>
        <w:spacing w:line="20" w:lineRule="exact"/>
        <w:jc w:val="center"/>
        <w:rPr>
          <w:rFonts w:hint="eastAsia" w:ascii="黑体" w:hAnsi="黑体" w:eastAsia="黑体"/>
          <w:sz w:val="32"/>
          <w:szCs w:val="32"/>
        </w:rPr>
      </w:pPr>
      <w:bookmarkStart w:id="19" w:name="BookMark4"/>
    </w:p>
    <w:p w14:paraId="0AF5D042">
      <w:pPr>
        <w:spacing w:line="20" w:lineRule="exact"/>
        <w:jc w:val="center"/>
        <w:rPr>
          <w:rFonts w:hint="eastAsia" w:ascii="黑体" w:hAnsi="黑体" w:eastAsia="黑体"/>
          <w:sz w:val="32"/>
          <w:szCs w:val="32"/>
        </w:rPr>
      </w:pPr>
    </w:p>
    <w:p w14:paraId="24D0F2A5">
      <w:pPr>
        <w:pStyle w:val="178"/>
        <w:rPr>
          <w:rFonts w:hint="eastAsia" w:eastAsia="宋体"/>
          <w:lang w:eastAsia="zh-CN"/>
        </w:rPr>
      </w:pPr>
      <w:bookmarkStart w:id="20" w:name="NEW_STAND_NAME"/>
      <w:r>
        <w:rPr>
          <w:rFonts w:hint="eastAsia"/>
        </w:rPr>
        <w:t>速冻食品  牦牛肉水饺</w:t>
      </w:r>
      <w:bookmarkEnd w:id="20"/>
    </w:p>
    <w:p w14:paraId="0C0033EC">
      <w:pPr>
        <w:pStyle w:val="105"/>
        <w:spacing w:before="240" w:after="240"/>
        <w:rPr>
          <w:rFonts w:hint="eastAsia" w:ascii="宋体" w:hAnsi="宋体" w:eastAsia="宋体" w:cs="Times New Roman"/>
          <w:szCs w:val="21"/>
        </w:rPr>
      </w:pPr>
      <w:r>
        <w:rPr>
          <w:rFonts w:hint="eastAsia" w:ascii="黑体" w:hAnsi="黑体" w:eastAsia="黑体" w:cs="Times New Roman"/>
          <w:b w:val="0"/>
          <w:sz w:val="21"/>
          <w:szCs w:val="21"/>
          <w:lang w:val="en-US" w:eastAsia="zh-CN"/>
        </w:rPr>
        <w:t>范围</w:t>
      </w:r>
    </w:p>
    <w:p w14:paraId="0A9D68F0">
      <w:pPr>
        <w:pStyle w:val="58"/>
        <w:ind w:firstLine="420"/>
        <w:rPr>
          <w:rFonts w:hint="eastAsia"/>
          <w:lang w:val="en-US" w:eastAsia="zh-CN"/>
        </w:rPr>
      </w:pPr>
      <w:r>
        <w:rPr>
          <w:rFonts w:hint="eastAsia"/>
          <w:lang w:val="en-US" w:eastAsia="zh-CN"/>
        </w:rPr>
        <w:t>本文件规定了速冻牦牛肉水饺的术语和定义、产品分类、原料要求、技术要求、生产加工过程卫生要求、检验方法、检验规则、标志、标签、包装、运输、贮存及保质期。</w:t>
      </w:r>
    </w:p>
    <w:p w14:paraId="78E8A618">
      <w:pPr>
        <w:pStyle w:val="58"/>
        <w:ind w:firstLine="420"/>
        <w:rPr>
          <w:rFonts w:hint="eastAsia"/>
          <w:lang w:val="en-US" w:eastAsia="zh-CN"/>
        </w:rPr>
      </w:pPr>
      <w:r>
        <w:rPr>
          <w:rFonts w:hint="eastAsia"/>
          <w:lang w:val="en-US" w:eastAsia="zh-CN"/>
        </w:rPr>
        <w:t>本文件适用于以牦牛肉为主要馅料原料，经包制、速冻、包装制成的速冻牦牛肉水饺。</w:t>
      </w:r>
    </w:p>
    <w:p w14:paraId="695CE430">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规范性引用文件</w:t>
      </w:r>
    </w:p>
    <w:p w14:paraId="05ECDC0A">
      <w:pPr>
        <w:pStyle w:val="58"/>
        <w:ind w:firstLine="420"/>
        <w:rPr>
          <w:rFonts w:hint="eastAsia" w:ascii="Times New Roman" w:hAnsi="Times New Roman" w:eastAsia="宋体" w:cs="Times New Roman"/>
          <w:lang w:val="en-US" w:eastAsia="zh-CN"/>
        </w:rPr>
      </w:pPr>
      <w:r>
        <w:rPr>
          <w:rFonts w:hint="eastAsia" w:ascii="宋体" w:hAnsi="宋体" w:eastAsia="宋体" w:cs="Times New Roman"/>
          <w:szCs w:val="21"/>
        </w:rPr>
        <w:t>下</w:t>
      </w:r>
      <w:r>
        <w:rPr>
          <w:rFonts w:hint="eastAsia" w:ascii="Times New Roman" w:hAnsi="Times New Roman" w:eastAsia="宋体" w:cs="Times New Roman"/>
          <w:lang w:val="en-US" w:eastAsia="zh-CN"/>
        </w:rPr>
        <w:t>列文件中的内容通过文中的规范性引用而构成本文件必不可少的条款。其中注日期的引用文件，仅该日期对应的版本适用于本文件；不注日期的引用文件，其最新版本（包括所有的修改单）适用于本文件。</w:t>
      </w:r>
    </w:p>
    <w:p w14:paraId="64DF764D">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GB/T 1355 小麦粉</w:t>
      </w:r>
    </w:p>
    <w:p w14:paraId="693D408A">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2760 食品安全国家标准 食品添加剂使用标准</w:t>
      </w:r>
    </w:p>
    <w:p w14:paraId="7C38D2F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2762 食品安全国家标准 食品中污染物限量</w:t>
      </w:r>
    </w:p>
    <w:p w14:paraId="65E75A67">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4789.4 食品安全国家标准 沙门氏菌检验</w:t>
      </w:r>
    </w:p>
    <w:p w14:paraId="30A2B44B">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4789.10 食品安全国家标准 金黄色葡萄球菌检验</w:t>
      </w:r>
    </w:p>
    <w:p w14:paraId="5FBEAB0F">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5009.3 食品安全国家标准 食品中水分的测定</w:t>
      </w:r>
    </w:p>
    <w:p w14:paraId="31469FA7">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5009.5 食品安全国家标准 食品中蛋白质的测定</w:t>
      </w:r>
    </w:p>
    <w:p w14:paraId="5ED47B11">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5009.6 食品安全国家标准 食品中脂肪的测定</w:t>
      </w:r>
    </w:p>
    <w:p w14:paraId="7F24FFE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5749 生活饮用水卫生标准</w:t>
      </w:r>
    </w:p>
    <w:p w14:paraId="0FB5268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7718 预包装食品标签通则</w:t>
      </w:r>
    </w:p>
    <w:p w14:paraId="2B571FD3">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19295 食品安全国家标准 速冻面米与调制食品</w:t>
      </w:r>
    </w:p>
    <w:p w14:paraId="275D4D67">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23350 限制商品过度包装要求 食品和化妆品</w:t>
      </w:r>
    </w:p>
    <w:p w14:paraId="60BC3B25">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28050 预包装食品营养标签通则</w:t>
      </w:r>
    </w:p>
    <w:p w14:paraId="6F83DED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GB/T 23786 速冻饺子质量通则</w:t>
      </w:r>
    </w:p>
    <w:p w14:paraId="3EB5A30E">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JJF 1070 定量包装商品净含量计量检验规则</w:t>
      </w:r>
    </w:p>
    <w:p w14:paraId="148D9B5E">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NY/T 3356 牦牛肉</w:t>
      </w:r>
    </w:p>
    <w:p w14:paraId="4907FF92">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术语和定义</w:t>
      </w:r>
    </w:p>
    <w:p w14:paraId="5B67D66D">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下列术语和定义适用于本文件。</w:t>
      </w:r>
    </w:p>
    <w:p w14:paraId="6C9B969B">
      <w:pPr>
        <w:pStyle w:val="106"/>
        <w:bidi w:val="0"/>
        <w:rPr>
          <w:rFonts w:hint="eastAsia"/>
          <w:lang w:val="en-US" w:eastAsia="zh-CN"/>
        </w:rPr>
      </w:pPr>
      <w:r>
        <w:rPr>
          <w:rFonts w:hint="eastAsia"/>
          <w:lang w:val="en-US" w:eastAsia="zh-CN"/>
        </w:rPr>
        <w:t>速冻牦牛肉水饺</w:t>
      </w:r>
    </w:p>
    <w:p w14:paraId="194D9ED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以牦牛肉为主要馅料，以小麦粉为主要原料制皮，搭配合规蔬菜、香辛料等辅料，经调制、包制、速冻至产品中心温度</w:t>
      </w:r>
      <w:r>
        <w:rPr>
          <w:rFonts w:hint="eastAsia" w:ascii="宋体" w:hAnsi="宋体" w:eastAsia="宋体" w:cs="宋体"/>
          <w:lang w:val="en-US" w:eastAsia="zh-CN"/>
        </w:rPr>
        <w:t>≤-18 ℃</w:t>
      </w:r>
      <w:r>
        <w:rPr>
          <w:rFonts w:hint="eastAsia" w:ascii="Times New Roman" w:hAnsi="Times New Roman" w:eastAsia="宋体" w:cs="Times New Roman"/>
          <w:lang w:val="en-US" w:eastAsia="zh-CN"/>
        </w:rPr>
        <w:t>，包装制成的生制非即食速冻食品。</w:t>
      </w:r>
    </w:p>
    <w:p w14:paraId="2094158F">
      <w:pPr>
        <w:pStyle w:val="106"/>
        <w:bidi w:val="0"/>
        <w:rPr>
          <w:rFonts w:hint="eastAsia" w:hAnsi="Times New Roman" w:cs="Times New Roman"/>
          <w:lang w:val="en-US" w:eastAsia="zh-CN"/>
        </w:rPr>
      </w:pPr>
      <w:r>
        <w:rPr>
          <w:rFonts w:hint="eastAsia" w:hAnsi="Times New Roman" w:cs="Times New Roman"/>
          <w:lang w:val="en-US" w:eastAsia="zh-CN"/>
        </w:rPr>
        <w:t>馅料</w:t>
      </w:r>
    </w:p>
    <w:p w14:paraId="3B560AC7">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水饺内部除面皮以外的所有物料总称，理化指标、肉类占比检测对象统一为馅料。</w:t>
      </w:r>
    </w:p>
    <w:p w14:paraId="0797C5C9">
      <w:pPr>
        <w:pStyle w:val="106"/>
        <w:bidi w:val="0"/>
        <w:rPr>
          <w:rFonts w:hint="eastAsia" w:hAnsi="Times New Roman" w:cs="Times New Roman"/>
          <w:lang w:val="en-US" w:eastAsia="zh-CN"/>
        </w:rPr>
      </w:pPr>
      <w:r>
        <w:rPr>
          <w:rFonts w:hint="eastAsia" w:hAnsi="Times New Roman" w:cs="Times New Roman"/>
          <w:lang w:val="en-US" w:eastAsia="zh-CN"/>
        </w:rPr>
        <w:t>牦牛肉占比</w:t>
      </w:r>
    </w:p>
    <w:p w14:paraId="34A26695">
      <w:pPr>
        <w:pStyle w:val="58"/>
        <w:ind w:firstLine="420"/>
        <w:rPr>
          <w:rFonts w:hint="eastAsia"/>
          <w:lang w:val="en-US" w:eastAsia="zh-CN"/>
        </w:rPr>
      </w:pPr>
      <w:r>
        <w:rPr>
          <w:rFonts w:hint="eastAsia" w:ascii="Times New Roman" w:hAnsi="Times New Roman" w:eastAsia="宋体" w:cs="Times New Roman"/>
          <w:lang w:val="en-US" w:eastAsia="zh-CN"/>
        </w:rPr>
        <w:t>馅料中纯牦牛肉质量占馅料总质量的百分比。</w:t>
      </w:r>
    </w:p>
    <w:p w14:paraId="5AE75621">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产品分类与配比要求</w:t>
      </w:r>
    </w:p>
    <w:p w14:paraId="24165384">
      <w:pPr>
        <w:pStyle w:val="106"/>
        <w:bidi w:val="0"/>
        <w:rPr>
          <w:rFonts w:hint="eastAsia" w:hAnsi="Times New Roman" w:cs="Times New Roman"/>
          <w:lang w:val="en-US" w:eastAsia="zh-CN"/>
        </w:rPr>
      </w:pPr>
      <w:r>
        <w:rPr>
          <w:rFonts w:hint="eastAsia" w:hAnsi="Times New Roman" w:cs="Times New Roman"/>
          <w:lang w:val="en-US" w:eastAsia="zh-CN"/>
        </w:rPr>
        <w:t>产品分类</w:t>
      </w:r>
    </w:p>
    <w:p w14:paraId="50FBD886">
      <w:pPr>
        <w:pStyle w:val="58"/>
        <w:ind w:firstLine="420"/>
        <w:rPr>
          <w:rFonts w:hint="eastAsia"/>
          <w:lang w:val="en-US" w:eastAsia="zh-CN"/>
        </w:rPr>
      </w:pPr>
      <w:r>
        <w:rPr>
          <w:rFonts w:hint="eastAsia" w:ascii="Times New Roman" w:hAnsi="Times New Roman" w:eastAsia="宋体" w:cs="Times New Roman"/>
          <w:lang w:val="en-US" w:eastAsia="zh-CN"/>
        </w:rPr>
        <w:t>按馅料组成分为两类：纯牦牛肉水饺、牦牛肉荤素搭配水饺。</w:t>
      </w:r>
    </w:p>
    <w:p w14:paraId="3BC388A0">
      <w:pPr>
        <w:pStyle w:val="106"/>
        <w:bidi w:val="0"/>
        <w:rPr>
          <w:rFonts w:hint="eastAsia" w:hAnsi="Times New Roman" w:cs="Times New Roman"/>
          <w:lang w:val="en-US" w:eastAsia="zh-CN"/>
        </w:rPr>
      </w:pPr>
      <w:r>
        <w:rPr>
          <w:rFonts w:hint="eastAsia" w:hAnsi="Times New Roman" w:cs="Times New Roman"/>
          <w:lang w:val="en-US" w:eastAsia="zh-CN"/>
        </w:rPr>
        <w:t>原料配比强制要求</w:t>
      </w:r>
    </w:p>
    <w:p w14:paraId="0067E3F8">
      <w:pPr>
        <w:pStyle w:val="68"/>
        <w:bidi w:val="0"/>
        <w:rPr>
          <w:rFonts w:hint="eastAsia"/>
          <w:lang w:val="en-US" w:eastAsia="zh-CN"/>
        </w:rPr>
      </w:pPr>
      <w:r>
        <w:rPr>
          <w:rFonts w:hint="eastAsia"/>
          <w:lang w:val="en-US" w:eastAsia="zh-CN"/>
        </w:rPr>
        <w:t>纯牦牛肉水饺</w:t>
      </w:r>
    </w:p>
    <w:p w14:paraId="4138695C">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馅料中牦牛肉占比</w:t>
      </w:r>
      <w:r>
        <w:rPr>
          <w:rFonts w:hint="eastAsia" w:ascii="宋体" w:hAnsi="宋体" w:eastAsia="宋体" w:cs="宋体"/>
          <w:lang w:val="en-US" w:eastAsia="zh-CN"/>
        </w:rPr>
        <w:t>≥85%</w:t>
      </w:r>
      <w:r>
        <w:rPr>
          <w:rFonts w:hint="eastAsia" w:ascii="Times New Roman" w:hAnsi="Times New Roman" w:eastAsia="宋体" w:cs="Times New Roman"/>
          <w:lang w:val="en-US" w:eastAsia="zh-CN"/>
        </w:rPr>
        <w:t>，仅可添加食用盐、香辛料、食用油、调味品，禁止添加蔬菜。</w:t>
      </w:r>
    </w:p>
    <w:p w14:paraId="0A1F1085">
      <w:pPr>
        <w:pStyle w:val="68"/>
        <w:bidi w:val="0"/>
        <w:rPr>
          <w:rFonts w:hint="eastAsia" w:hAnsi="Times New Roman" w:cs="Times New Roman"/>
          <w:lang w:val="en-US" w:eastAsia="zh-CN"/>
        </w:rPr>
      </w:pPr>
      <w:r>
        <w:rPr>
          <w:rFonts w:hint="eastAsia" w:hAnsi="Times New Roman" w:cs="Times New Roman"/>
          <w:lang w:val="en-US" w:eastAsia="zh-CN"/>
        </w:rPr>
        <w:t>牦牛肉荤素搭配水饺</w:t>
      </w:r>
    </w:p>
    <w:p w14:paraId="2BF2569A">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馅料中牦牛肉占比≥50%、允许添加新鲜蔬菜、香辛料、调味品，单一及混合蔬菜总添加量≤馅料质量的45%。</w:t>
      </w:r>
    </w:p>
    <w:p w14:paraId="7F099F65">
      <w:pPr>
        <w:pStyle w:val="106"/>
        <w:bidi w:val="0"/>
        <w:rPr>
          <w:rFonts w:hint="eastAsia" w:hAnsi="Times New Roman" w:cs="Times New Roman"/>
          <w:lang w:val="en-US" w:eastAsia="zh-CN"/>
        </w:rPr>
      </w:pPr>
      <w:r>
        <w:rPr>
          <w:rFonts w:hint="eastAsia" w:hAnsi="Times New Roman" w:cs="Times New Roman"/>
          <w:lang w:val="en-US" w:eastAsia="zh-CN"/>
        </w:rPr>
        <w:t>禁加要求</w:t>
      </w:r>
    </w:p>
    <w:p w14:paraId="18741426">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全品类速冻牦牛肉水饺馅料中严禁添加猪肉、黄牛肉、鸭肉、鸡肉、羊肉等其他畜禽肉类及肉糜、肉粉，严禁使用非牦牛肉原料掺假、以次充好。</w:t>
      </w:r>
    </w:p>
    <w:p w14:paraId="70B1C60E">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原辅料要求</w:t>
      </w:r>
    </w:p>
    <w:p w14:paraId="54F88BBC">
      <w:pPr>
        <w:pStyle w:val="106"/>
        <w:bidi w:val="0"/>
        <w:rPr>
          <w:rFonts w:hint="eastAsia" w:hAnsi="Times New Roman" w:cs="Times New Roman"/>
          <w:lang w:val="en-US" w:eastAsia="zh-CN"/>
        </w:rPr>
      </w:pPr>
      <w:r>
        <w:rPr>
          <w:rFonts w:hint="eastAsia" w:hAnsi="Times New Roman" w:cs="Times New Roman"/>
          <w:lang w:val="en-US" w:eastAsia="zh-CN"/>
        </w:rPr>
        <w:t>牦牛肉</w:t>
      </w:r>
    </w:p>
    <w:p w14:paraId="23C55EBD">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必须选用经检疫合格的健康牦牛胴体分割肉，肉质新鲜、无淤血、无病变、无异味、无变质，严格执行</w:t>
      </w:r>
      <w:r>
        <w:rPr>
          <w:rFonts w:hint="eastAsia" w:ascii="宋体" w:hAnsi="宋体" w:eastAsia="宋体" w:cs="宋体"/>
          <w:lang w:val="en-US" w:eastAsia="zh-CN"/>
        </w:rPr>
        <w:t xml:space="preserve"> NY/T 3356</w:t>
      </w:r>
      <w:r>
        <w:rPr>
          <w:rFonts w:hint="eastAsia" w:ascii="Times New Roman" w:hAnsi="Times New Roman" w:eastAsia="宋体" w:cs="Times New Roman"/>
          <w:lang w:val="en-US" w:eastAsia="zh-CN"/>
        </w:rPr>
        <w:t>《牦牛肉》，不得使用解冻反复、变质、掺假肉类。</w:t>
      </w:r>
    </w:p>
    <w:p w14:paraId="15603CB2">
      <w:pPr>
        <w:pStyle w:val="106"/>
        <w:bidi w:val="0"/>
        <w:rPr>
          <w:rFonts w:hint="eastAsia" w:hAnsi="Times New Roman" w:cs="Times New Roman"/>
          <w:lang w:val="en-US" w:eastAsia="zh-CN"/>
        </w:rPr>
      </w:pPr>
      <w:r>
        <w:rPr>
          <w:rFonts w:hint="eastAsia" w:hAnsi="Times New Roman" w:cs="Times New Roman"/>
          <w:lang w:val="en-US" w:eastAsia="zh-CN"/>
        </w:rPr>
        <w:t>小麦粉</w:t>
      </w:r>
    </w:p>
    <w:p w14:paraId="576FF8ED">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符合</w:t>
      </w:r>
      <w:r>
        <w:rPr>
          <w:rFonts w:hint="eastAsia" w:ascii="宋体" w:hAnsi="宋体" w:eastAsia="宋体" w:cs="宋体"/>
          <w:lang w:val="en-US" w:eastAsia="zh-CN"/>
        </w:rPr>
        <w:t>GB/T 1355</w:t>
      </w:r>
      <w:r>
        <w:rPr>
          <w:rFonts w:hint="eastAsia" w:ascii="Times New Roman" w:hAnsi="Times New Roman" w:eastAsia="宋体" w:cs="Times New Roman"/>
          <w:lang w:val="en-US" w:eastAsia="zh-CN"/>
        </w:rPr>
        <w:t>的规定。</w:t>
      </w:r>
    </w:p>
    <w:p w14:paraId="06FDCC36">
      <w:pPr>
        <w:pStyle w:val="106"/>
        <w:bidi w:val="0"/>
        <w:rPr>
          <w:rFonts w:hint="eastAsia" w:hAnsi="Times New Roman" w:cs="Times New Roman"/>
          <w:lang w:val="en-US" w:eastAsia="zh-CN"/>
        </w:rPr>
      </w:pPr>
      <w:r>
        <w:rPr>
          <w:rFonts w:hint="eastAsia" w:hAnsi="Times New Roman" w:cs="Times New Roman"/>
          <w:lang w:val="en-US" w:eastAsia="zh-CN"/>
        </w:rPr>
        <w:t>蔬菜</w:t>
      </w:r>
    </w:p>
    <w:p w14:paraId="3EA36F1E">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新鲜、无腐烂、无病虫害、无霉变、无泥沙杂质，符合相应食品安全国家标准。</w:t>
      </w:r>
    </w:p>
    <w:p w14:paraId="6D75BB98">
      <w:pPr>
        <w:pStyle w:val="106"/>
        <w:bidi w:val="0"/>
        <w:rPr>
          <w:rFonts w:hint="eastAsia" w:hAnsi="Times New Roman" w:cs="Times New Roman"/>
          <w:lang w:val="en-US" w:eastAsia="zh-CN"/>
        </w:rPr>
      </w:pPr>
      <w:r>
        <w:rPr>
          <w:rFonts w:hint="eastAsia" w:hAnsi="Times New Roman" w:cs="Times New Roman"/>
          <w:lang w:val="en-US" w:eastAsia="zh-CN"/>
        </w:rPr>
        <w:t>调味料、香辛料、食用油</w:t>
      </w:r>
    </w:p>
    <w:p w14:paraId="49FCA227">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均符合相应食品安全国家标准及相关规定。</w:t>
      </w:r>
    </w:p>
    <w:p w14:paraId="7D4D034F">
      <w:pPr>
        <w:pStyle w:val="106"/>
        <w:bidi w:val="0"/>
        <w:rPr>
          <w:rFonts w:hint="eastAsia" w:hAnsi="Times New Roman" w:cs="Times New Roman"/>
          <w:lang w:val="en-US" w:eastAsia="zh-CN"/>
        </w:rPr>
      </w:pPr>
      <w:r>
        <w:rPr>
          <w:rFonts w:hint="eastAsia" w:hAnsi="Times New Roman" w:cs="Times New Roman"/>
          <w:lang w:val="en-US" w:eastAsia="zh-CN"/>
        </w:rPr>
        <w:t>生产用水</w:t>
      </w:r>
    </w:p>
    <w:p w14:paraId="3F59FE9E">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符合</w:t>
      </w:r>
      <w:r>
        <w:rPr>
          <w:rFonts w:hint="eastAsia" w:ascii="宋体" w:hAnsi="宋体" w:eastAsia="宋体" w:cs="宋体"/>
          <w:lang w:val="en-US" w:eastAsia="zh-CN"/>
        </w:rPr>
        <w:t>GB 5749</w:t>
      </w:r>
      <w:r>
        <w:rPr>
          <w:rFonts w:hint="eastAsia" w:ascii="Times New Roman" w:hAnsi="Times New Roman" w:eastAsia="宋体" w:cs="Times New Roman"/>
          <w:lang w:val="en-US" w:eastAsia="zh-CN"/>
        </w:rPr>
        <w:t>的规定，水质清洁无污染。</w:t>
      </w:r>
    </w:p>
    <w:p w14:paraId="21681BAF">
      <w:pPr>
        <w:pStyle w:val="106"/>
        <w:bidi w:val="0"/>
        <w:rPr>
          <w:rFonts w:hint="eastAsia" w:hAnsi="Times New Roman" w:cs="Times New Roman"/>
          <w:lang w:val="en-US" w:eastAsia="zh-CN"/>
        </w:rPr>
      </w:pPr>
      <w:r>
        <w:rPr>
          <w:rFonts w:hint="eastAsia" w:hAnsi="Times New Roman" w:cs="Times New Roman"/>
          <w:lang w:val="en-US" w:eastAsia="zh-CN"/>
        </w:rPr>
        <w:t>食品添加剂</w:t>
      </w:r>
    </w:p>
    <w:p w14:paraId="29F9F745">
      <w:pPr>
        <w:pStyle w:val="58"/>
        <w:ind w:firstLine="420"/>
        <w:rPr>
          <w:rFonts w:hint="eastAsia"/>
          <w:lang w:val="en-US" w:eastAsia="zh-CN"/>
        </w:rPr>
      </w:pPr>
      <w:r>
        <w:rPr>
          <w:rFonts w:hint="eastAsia" w:ascii="Times New Roman" w:hAnsi="Times New Roman" w:eastAsia="宋体" w:cs="Times New Roman"/>
          <w:lang w:val="en-US" w:eastAsia="zh-CN"/>
        </w:rPr>
        <w:t xml:space="preserve">仅限使用 </w:t>
      </w:r>
      <w:r>
        <w:rPr>
          <w:rFonts w:hint="eastAsia" w:ascii="宋体" w:hAnsi="宋体" w:eastAsia="宋体" w:cs="宋体"/>
          <w:lang w:val="en-US" w:eastAsia="zh-CN"/>
        </w:rPr>
        <w:t xml:space="preserve">GB 2760 </w:t>
      </w:r>
      <w:r>
        <w:rPr>
          <w:rFonts w:hint="eastAsia" w:ascii="Times New Roman" w:hAnsi="Times New Roman" w:eastAsia="宋体" w:cs="Times New Roman"/>
          <w:lang w:val="en-US" w:eastAsia="zh-CN"/>
        </w:rPr>
        <w:t>允许用于速冻面米制品的食品添加剂，不得超范围、超限量使用。</w:t>
      </w:r>
    </w:p>
    <w:p w14:paraId="056F4878">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技术要求</w:t>
      </w:r>
    </w:p>
    <w:p w14:paraId="6E94292E">
      <w:pPr>
        <w:pStyle w:val="106"/>
        <w:bidi w:val="0"/>
        <w:rPr>
          <w:rFonts w:hint="eastAsia" w:hAnsi="Times New Roman" w:cs="Times New Roman"/>
          <w:lang w:val="en-US" w:eastAsia="zh-CN"/>
        </w:rPr>
      </w:pPr>
      <w:r>
        <w:rPr>
          <w:rFonts w:hint="eastAsia" w:hAnsi="Times New Roman" w:cs="Times New Roman"/>
          <w:lang w:val="en-US" w:eastAsia="zh-CN"/>
        </w:rPr>
        <w:t>感官要求</w:t>
      </w:r>
    </w:p>
    <w:p w14:paraId="3D9D7257">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感官要求应符合表1的规定。</w:t>
      </w:r>
    </w:p>
    <w:p w14:paraId="0E6956B3">
      <w:pPr>
        <w:pStyle w:val="113"/>
        <w:bidi w:val="0"/>
        <w:rPr>
          <w:rFonts w:hint="eastAsia" w:hAnsi="Times New Roman" w:cs="Times New Roman"/>
          <w:lang w:val="en-US" w:eastAsia="zh-CN"/>
        </w:rPr>
      </w:pPr>
      <w:r>
        <w:rPr>
          <w:rFonts w:hint="eastAsia" w:hAnsi="Times New Roman" w:cs="Times New Roman"/>
          <w:lang w:val="en-US" w:eastAsia="zh-CN"/>
        </w:rPr>
        <w:t>感官要求</w:t>
      </w:r>
    </w:p>
    <w:tbl>
      <w:tblPr>
        <w:tblStyle w:val="27"/>
        <w:tblW w:w="4998"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696"/>
        <w:gridCol w:w="5177"/>
        <w:gridCol w:w="2693"/>
      </w:tblGrid>
      <w:tr w14:paraId="117F5C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86" w:type="pct"/>
            <w:noWrap w:val="0"/>
            <w:vAlign w:val="center"/>
          </w:tcPr>
          <w:p w14:paraId="3924A1E8">
            <w:pPr>
              <w:spacing w:line="240" w:lineRule="auto"/>
              <w:jc w:val="center"/>
              <w:rPr>
                <w:rFonts w:hint="eastAsia" w:ascii="宋体" w:hAnsi="宋体" w:eastAsia="宋体" w:cs="宋体"/>
                <w:b w:val="0"/>
                <w:bCs/>
                <w:kern w:val="0"/>
                <w:sz w:val="18"/>
                <w:szCs w:val="18"/>
                <w:lang w:eastAsia="zh-CN"/>
              </w:rPr>
            </w:pPr>
            <w:r>
              <w:rPr>
                <w:rFonts w:hint="eastAsia" w:ascii="宋体" w:hAnsi="宋体" w:eastAsia="宋体" w:cs="宋体"/>
                <w:b w:val="0"/>
                <w:bCs/>
                <w:kern w:val="0"/>
                <w:sz w:val="18"/>
                <w:szCs w:val="18"/>
                <w:lang w:eastAsia="zh-CN"/>
              </w:rPr>
              <w:t>项目</w:t>
            </w:r>
          </w:p>
        </w:tc>
        <w:tc>
          <w:tcPr>
            <w:tcW w:w="2705" w:type="pct"/>
            <w:noWrap w:val="0"/>
            <w:vAlign w:val="center"/>
          </w:tcPr>
          <w:p w14:paraId="597F899C">
            <w:pPr>
              <w:spacing w:line="240" w:lineRule="auto"/>
              <w:jc w:val="center"/>
              <w:rPr>
                <w:rFonts w:hint="eastAsia" w:ascii="宋体" w:hAnsi="宋体" w:eastAsia="宋体" w:cs="宋体"/>
                <w:b w:val="0"/>
                <w:bCs/>
                <w:kern w:val="0"/>
                <w:sz w:val="18"/>
                <w:szCs w:val="18"/>
                <w:lang w:eastAsia="zh-CN"/>
              </w:rPr>
            </w:pPr>
            <w:r>
              <w:rPr>
                <w:rFonts w:hint="eastAsia" w:ascii="宋体" w:hAnsi="宋体" w:eastAsia="宋体" w:cs="宋体"/>
                <w:b w:val="0"/>
                <w:bCs/>
                <w:kern w:val="0"/>
                <w:sz w:val="18"/>
                <w:szCs w:val="18"/>
                <w:lang w:eastAsia="zh-CN"/>
              </w:rPr>
              <w:t>要求</w:t>
            </w:r>
          </w:p>
        </w:tc>
        <w:tc>
          <w:tcPr>
            <w:tcW w:w="1407" w:type="pct"/>
            <w:noWrap w:val="0"/>
            <w:vAlign w:val="center"/>
          </w:tcPr>
          <w:p w14:paraId="2D0F6883">
            <w:pPr>
              <w:spacing w:line="240" w:lineRule="auto"/>
              <w:jc w:val="center"/>
              <w:rPr>
                <w:rFonts w:hint="eastAsia" w:ascii="宋体" w:hAnsi="宋体" w:eastAsia="宋体" w:cs="宋体"/>
                <w:b w:val="0"/>
                <w:bCs/>
                <w:kern w:val="0"/>
                <w:sz w:val="18"/>
                <w:szCs w:val="18"/>
                <w:lang w:eastAsia="zh-CN"/>
              </w:rPr>
            </w:pPr>
            <w:r>
              <w:rPr>
                <w:rFonts w:hint="eastAsia" w:ascii="宋体" w:hAnsi="宋体" w:eastAsia="宋体" w:cs="宋体"/>
                <w:b w:val="0"/>
                <w:bCs/>
                <w:kern w:val="0"/>
                <w:sz w:val="18"/>
                <w:szCs w:val="18"/>
                <w:lang w:eastAsia="zh-CN"/>
              </w:rPr>
              <w:t>检测方法</w:t>
            </w:r>
          </w:p>
        </w:tc>
      </w:tr>
      <w:tr w14:paraId="7F433B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886" w:type="pct"/>
            <w:noWrap w:val="0"/>
            <w:vAlign w:val="top"/>
          </w:tcPr>
          <w:p w14:paraId="7BE518D4">
            <w:pPr>
              <w:pStyle w:val="13"/>
              <w:tabs>
                <w:tab w:val="left" w:pos="578"/>
              </w:tabs>
              <w:spacing w:before="70" w:line="360" w:lineRule="auto"/>
              <w:ind w:right="177"/>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色泽</w:t>
            </w:r>
          </w:p>
        </w:tc>
        <w:tc>
          <w:tcPr>
            <w:tcW w:w="2705" w:type="pct"/>
            <w:noWrap w:val="0"/>
            <w:vAlign w:val="center"/>
          </w:tcPr>
          <w:p w14:paraId="227188DA">
            <w:pPr>
              <w:pStyle w:val="13"/>
              <w:tabs>
                <w:tab w:val="left" w:pos="578"/>
              </w:tabs>
              <w:spacing w:before="70" w:line="360" w:lineRule="auto"/>
              <w:ind w:right="177"/>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饺皮乳白色或微黄色、均匀有光泽；馅料呈牦牛肉自然色泽</w:t>
            </w:r>
          </w:p>
        </w:tc>
        <w:tc>
          <w:tcPr>
            <w:tcW w:w="1407" w:type="pct"/>
            <w:vMerge w:val="restart"/>
            <w:noWrap w:val="0"/>
            <w:vAlign w:val="center"/>
          </w:tcPr>
          <w:p w14:paraId="2068E746">
            <w:pPr>
              <w:pStyle w:val="13"/>
              <w:tabs>
                <w:tab w:val="left" w:pos="578"/>
              </w:tabs>
              <w:spacing w:before="70" w:line="360" w:lineRule="auto"/>
              <w:ind w:right="177"/>
              <w:jc w:val="center"/>
              <w:rPr>
                <w:rFonts w:hint="eastAsia" w:ascii="宋体" w:hAnsi="宋体" w:eastAsia="宋体" w:cs="宋体"/>
                <w:b w:val="0"/>
                <w:bCs/>
                <w:sz w:val="18"/>
                <w:szCs w:val="18"/>
                <w:lang w:eastAsia="zh-CN"/>
              </w:rPr>
            </w:pPr>
            <w:r>
              <w:rPr>
                <w:rFonts w:hint="default" w:ascii="宋体" w:hAnsi="宋体" w:eastAsia="宋体" w:cs="宋体"/>
                <w:b w:val="0"/>
                <w:bCs/>
                <w:kern w:val="0"/>
                <w:sz w:val="18"/>
                <w:szCs w:val="18"/>
                <w:lang w:val="en-US" w:eastAsia="zh-CN" w:bidi="ar-SA"/>
              </w:rPr>
              <w:t>取出样品一袋,置于清洁的白瓷盘中,通过目测检查外观、色泽、杂质,然后按包装上标注的食用方法熟制后,通过口尝、鼻嗅和目测检查其感官要求</w:t>
            </w:r>
            <w:r>
              <w:rPr>
                <w:rFonts w:hint="eastAsia" w:ascii="宋体" w:hAnsi="宋体" w:eastAsia="宋体" w:cs="宋体"/>
                <w:b w:val="0"/>
                <w:bCs/>
                <w:kern w:val="0"/>
                <w:sz w:val="18"/>
                <w:szCs w:val="18"/>
                <w:lang w:val="en-US" w:eastAsia="zh-CN" w:bidi="ar-SA"/>
              </w:rPr>
              <w:t>。</w:t>
            </w:r>
          </w:p>
        </w:tc>
      </w:tr>
      <w:tr w14:paraId="1DB340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886" w:type="pct"/>
            <w:noWrap w:val="0"/>
            <w:vAlign w:val="top"/>
          </w:tcPr>
          <w:p w14:paraId="3A393905">
            <w:pPr>
              <w:pStyle w:val="13"/>
              <w:tabs>
                <w:tab w:val="left" w:pos="578"/>
              </w:tabs>
              <w:spacing w:before="70" w:line="360" w:lineRule="auto"/>
              <w:ind w:right="177"/>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滋味、气味</w:t>
            </w:r>
          </w:p>
        </w:tc>
        <w:tc>
          <w:tcPr>
            <w:tcW w:w="2705" w:type="pct"/>
            <w:noWrap w:val="0"/>
            <w:vAlign w:val="center"/>
          </w:tcPr>
          <w:p w14:paraId="3F2BC695">
            <w:pPr>
              <w:spacing w:line="36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具有牦牛肉特有香味，调味协调，无酸败、无异味、无哈喇味</w:t>
            </w:r>
          </w:p>
        </w:tc>
        <w:tc>
          <w:tcPr>
            <w:tcW w:w="1407" w:type="pct"/>
            <w:vMerge w:val="continue"/>
            <w:noWrap w:val="0"/>
            <w:vAlign w:val="center"/>
          </w:tcPr>
          <w:p w14:paraId="72E20B93">
            <w:pPr>
              <w:spacing w:line="360" w:lineRule="auto"/>
              <w:jc w:val="center"/>
              <w:rPr>
                <w:rFonts w:hint="eastAsia" w:ascii="宋体" w:hAnsi="宋体" w:eastAsia="宋体" w:cs="宋体"/>
                <w:b w:val="0"/>
                <w:bCs/>
                <w:kern w:val="0"/>
                <w:sz w:val="18"/>
                <w:szCs w:val="18"/>
                <w:lang w:val="en-US" w:eastAsia="zh-CN" w:bidi="ar-SA"/>
              </w:rPr>
            </w:pPr>
          </w:p>
        </w:tc>
      </w:tr>
      <w:tr w14:paraId="28E029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886" w:type="pct"/>
            <w:noWrap w:val="0"/>
            <w:vAlign w:val="center"/>
          </w:tcPr>
          <w:p w14:paraId="590D7395">
            <w:pPr>
              <w:spacing w:line="36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形态</w:t>
            </w:r>
          </w:p>
        </w:tc>
        <w:tc>
          <w:tcPr>
            <w:tcW w:w="2705" w:type="pct"/>
            <w:noWrap w:val="0"/>
            <w:vAlign w:val="center"/>
          </w:tcPr>
          <w:p w14:paraId="125489F9">
            <w:pPr>
              <w:spacing w:line="36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外形完整、大小均匀；无破裂、无漏馅、封口紧密</w:t>
            </w:r>
          </w:p>
        </w:tc>
        <w:tc>
          <w:tcPr>
            <w:tcW w:w="1407" w:type="pct"/>
            <w:vMerge w:val="continue"/>
            <w:noWrap w:val="0"/>
            <w:vAlign w:val="center"/>
          </w:tcPr>
          <w:p w14:paraId="48587910">
            <w:pPr>
              <w:spacing w:line="360" w:lineRule="auto"/>
              <w:jc w:val="center"/>
              <w:rPr>
                <w:rFonts w:hint="eastAsia" w:ascii="宋体" w:hAnsi="宋体" w:eastAsia="宋体" w:cs="宋体"/>
                <w:b w:val="0"/>
                <w:bCs/>
                <w:kern w:val="0"/>
                <w:sz w:val="18"/>
                <w:szCs w:val="18"/>
                <w:lang w:val="en-US" w:eastAsia="zh-CN" w:bidi="ar-SA"/>
              </w:rPr>
            </w:pPr>
          </w:p>
        </w:tc>
      </w:tr>
      <w:tr w14:paraId="2E7FC9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886" w:type="pct"/>
            <w:noWrap w:val="0"/>
            <w:vAlign w:val="top"/>
          </w:tcPr>
          <w:p w14:paraId="783A6FF5">
            <w:pPr>
              <w:pStyle w:val="13"/>
              <w:tabs>
                <w:tab w:val="left" w:pos="578"/>
              </w:tabs>
              <w:spacing w:before="70" w:line="360" w:lineRule="auto"/>
              <w:ind w:right="177"/>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杂质</w:t>
            </w:r>
          </w:p>
        </w:tc>
        <w:tc>
          <w:tcPr>
            <w:tcW w:w="2705" w:type="pct"/>
            <w:noWrap w:val="0"/>
            <w:vAlign w:val="top"/>
          </w:tcPr>
          <w:p w14:paraId="6B4CB784">
            <w:pPr>
              <w:spacing w:line="36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无肉眼可见杂质</w:t>
            </w:r>
          </w:p>
        </w:tc>
        <w:tc>
          <w:tcPr>
            <w:tcW w:w="1407" w:type="pct"/>
            <w:vMerge w:val="continue"/>
            <w:noWrap w:val="0"/>
            <w:vAlign w:val="top"/>
          </w:tcPr>
          <w:p w14:paraId="10B9A718">
            <w:pPr>
              <w:spacing w:line="360" w:lineRule="auto"/>
              <w:jc w:val="center"/>
              <w:rPr>
                <w:rFonts w:hint="eastAsia" w:ascii="宋体" w:hAnsi="宋体" w:eastAsia="宋体" w:cs="宋体"/>
                <w:b w:val="0"/>
                <w:bCs/>
                <w:kern w:val="0"/>
                <w:sz w:val="18"/>
                <w:szCs w:val="18"/>
                <w:lang w:val="en-US" w:eastAsia="zh-CN" w:bidi="ar-SA"/>
              </w:rPr>
            </w:pPr>
          </w:p>
        </w:tc>
      </w:tr>
    </w:tbl>
    <w:p w14:paraId="125A2541">
      <w:pPr>
        <w:pStyle w:val="106"/>
        <w:bidi w:val="0"/>
        <w:rPr>
          <w:rFonts w:hint="eastAsia" w:hAnsi="Times New Roman" w:cs="Times New Roman"/>
          <w:lang w:val="en-US" w:eastAsia="zh-CN"/>
        </w:rPr>
      </w:pPr>
      <w:r>
        <w:rPr>
          <w:rFonts w:hint="eastAsia" w:hAnsi="Times New Roman" w:cs="Times New Roman"/>
          <w:lang w:val="en-US" w:eastAsia="zh-CN"/>
        </w:rPr>
        <w:t>理化指标</w:t>
      </w:r>
    </w:p>
    <w:p w14:paraId="2FC2CA56">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理化指标应符合表2的规定。</w:t>
      </w:r>
    </w:p>
    <w:p w14:paraId="298CC8C6">
      <w:pPr>
        <w:pStyle w:val="113"/>
        <w:bidi w:val="0"/>
        <w:rPr>
          <w:rFonts w:hint="default" w:hAnsi="Times New Roman" w:cs="Times New Roman"/>
          <w:lang w:val="en-US" w:eastAsia="zh-CN"/>
        </w:rPr>
      </w:pPr>
      <w:r>
        <w:rPr>
          <w:rFonts w:hint="eastAsia" w:hAnsi="Times New Roman" w:cs="Times New Roman"/>
          <w:lang w:val="en-US" w:eastAsia="zh-CN"/>
        </w:rPr>
        <w:t>理化指标</w:t>
      </w:r>
    </w:p>
    <w:tbl>
      <w:tblPr>
        <w:tblStyle w:val="27"/>
        <w:tblW w:w="843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815"/>
        <w:gridCol w:w="1633"/>
        <w:gridCol w:w="1643"/>
        <w:gridCol w:w="2347"/>
      </w:tblGrid>
      <w:tr w14:paraId="1E7D77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1" w:hRule="atLeast"/>
          <w:tblHeader/>
          <w:jc w:val="center"/>
        </w:trPr>
        <w:tc>
          <w:tcPr>
            <w:tcW w:w="2815" w:type="dxa"/>
            <w:vMerge w:val="restart"/>
            <w:noWrap w:val="0"/>
            <w:vAlign w:val="center"/>
          </w:tcPr>
          <w:p w14:paraId="3F108F25">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rPr>
              <w:t>项目</w:t>
            </w:r>
          </w:p>
        </w:tc>
        <w:tc>
          <w:tcPr>
            <w:tcW w:w="3276" w:type="dxa"/>
            <w:gridSpan w:val="2"/>
            <w:noWrap w:val="0"/>
            <w:vAlign w:val="center"/>
          </w:tcPr>
          <w:p w14:paraId="579F8126">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rPr>
              <w:t>指标</w:t>
            </w:r>
          </w:p>
        </w:tc>
        <w:tc>
          <w:tcPr>
            <w:tcW w:w="2347" w:type="dxa"/>
            <w:vMerge w:val="restart"/>
            <w:noWrap w:val="0"/>
            <w:vAlign w:val="top"/>
          </w:tcPr>
          <w:p w14:paraId="62211C2F">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rPr>
              <w:t>检验方法</w:t>
            </w:r>
          </w:p>
        </w:tc>
      </w:tr>
      <w:tr w14:paraId="5CE572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1" w:hRule="atLeast"/>
          <w:tblHeader/>
          <w:jc w:val="center"/>
        </w:trPr>
        <w:tc>
          <w:tcPr>
            <w:tcW w:w="2815" w:type="dxa"/>
            <w:vMerge w:val="continue"/>
            <w:noWrap w:val="0"/>
            <w:vAlign w:val="center"/>
          </w:tcPr>
          <w:p w14:paraId="72D2E5E2">
            <w:pPr>
              <w:spacing w:line="360" w:lineRule="auto"/>
              <w:jc w:val="center"/>
              <w:rPr>
                <w:rFonts w:hint="eastAsia" w:ascii="宋体" w:hAnsi="宋体" w:eastAsia="宋体" w:cs="宋体"/>
                <w:b w:val="0"/>
                <w:bCs/>
                <w:kern w:val="0"/>
                <w:sz w:val="18"/>
                <w:szCs w:val="18"/>
              </w:rPr>
            </w:pPr>
          </w:p>
        </w:tc>
        <w:tc>
          <w:tcPr>
            <w:tcW w:w="1633" w:type="dxa"/>
            <w:noWrap w:val="0"/>
            <w:vAlign w:val="center"/>
          </w:tcPr>
          <w:p w14:paraId="04D23DE2">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val="en-US" w:eastAsia="zh-CN"/>
              </w:rPr>
              <w:t>纯肉馅</w:t>
            </w:r>
          </w:p>
        </w:tc>
        <w:tc>
          <w:tcPr>
            <w:tcW w:w="1643" w:type="dxa"/>
            <w:noWrap w:val="0"/>
            <w:vAlign w:val="top"/>
          </w:tcPr>
          <w:p w14:paraId="6BB3E2BD">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val="en-US" w:eastAsia="zh-CN"/>
              </w:rPr>
              <w:t>荤素搭配</w:t>
            </w:r>
          </w:p>
        </w:tc>
        <w:tc>
          <w:tcPr>
            <w:tcW w:w="2347" w:type="dxa"/>
            <w:vMerge w:val="continue"/>
            <w:noWrap w:val="0"/>
            <w:vAlign w:val="top"/>
          </w:tcPr>
          <w:p w14:paraId="7877F3B0">
            <w:pPr>
              <w:spacing w:line="360" w:lineRule="auto"/>
              <w:jc w:val="center"/>
              <w:rPr>
                <w:rFonts w:hint="eastAsia" w:ascii="宋体" w:hAnsi="宋体" w:eastAsia="宋体" w:cs="宋体"/>
                <w:b w:val="0"/>
                <w:bCs/>
                <w:kern w:val="0"/>
                <w:sz w:val="18"/>
                <w:szCs w:val="18"/>
              </w:rPr>
            </w:pPr>
          </w:p>
        </w:tc>
      </w:tr>
      <w:tr w14:paraId="76BE6E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2815" w:type="dxa"/>
            <w:noWrap w:val="0"/>
            <w:vAlign w:val="center"/>
          </w:tcPr>
          <w:p w14:paraId="696A737B">
            <w:pPr>
              <w:spacing w:line="36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rPr>
              <w:t xml:space="preserve">馅料含量 </w:t>
            </w:r>
            <w:r>
              <w:rPr>
                <w:rFonts w:hint="eastAsia" w:ascii="宋体" w:hAnsi="宋体" w:eastAsia="宋体" w:cs="宋体"/>
                <w:b w:val="0"/>
                <w:bCs/>
                <w:kern w:val="0"/>
                <w:sz w:val="18"/>
                <w:szCs w:val="18"/>
                <w:lang w:val="en-US" w:eastAsia="zh-CN" w:bidi="ar-SA"/>
              </w:rPr>
              <w:t>/ %</w:t>
            </w:r>
          </w:p>
        </w:tc>
        <w:tc>
          <w:tcPr>
            <w:tcW w:w="3276" w:type="dxa"/>
            <w:gridSpan w:val="2"/>
            <w:noWrap w:val="0"/>
            <w:vAlign w:val="center"/>
          </w:tcPr>
          <w:p w14:paraId="2A3AE8B2">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val="en-US" w:eastAsia="zh-CN" w:bidi="ar-SA"/>
              </w:rPr>
              <w:t>≥40</w:t>
            </w:r>
          </w:p>
        </w:tc>
        <w:tc>
          <w:tcPr>
            <w:tcW w:w="2347" w:type="dxa"/>
            <w:noWrap w:val="0"/>
            <w:vAlign w:val="center"/>
          </w:tcPr>
          <w:p w14:paraId="5ADF2FEF">
            <w:pPr>
              <w:spacing w:line="36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bidi="ar-SA"/>
              </w:rPr>
              <w:t>GB/T 23786</w:t>
            </w:r>
          </w:p>
        </w:tc>
      </w:tr>
      <w:tr w14:paraId="37982D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2815" w:type="dxa"/>
            <w:noWrap w:val="0"/>
            <w:vAlign w:val="center"/>
          </w:tcPr>
          <w:p w14:paraId="2F212E6A">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eastAsia="zh-CN"/>
              </w:rPr>
              <w:t>水分</w:t>
            </w:r>
            <w:r>
              <w:rPr>
                <w:rFonts w:hint="eastAsia" w:ascii="宋体" w:hAnsi="宋体" w:eastAsia="宋体" w:cs="宋体"/>
                <w:b w:val="0"/>
                <w:bCs/>
                <w:kern w:val="0"/>
                <w:sz w:val="18"/>
                <w:szCs w:val="18"/>
              </w:rPr>
              <w:t xml:space="preserve">/（g/100g）     </w:t>
            </w:r>
            <w:r>
              <w:rPr>
                <w:rFonts w:hint="eastAsia" w:ascii="宋体" w:hAnsi="宋体" w:eastAsia="宋体" w:cs="宋体"/>
                <w:b w:val="0"/>
                <w:bCs/>
                <w:kern w:val="0"/>
                <w:sz w:val="18"/>
                <w:szCs w:val="18"/>
                <w:lang w:val="en-US" w:eastAsia="zh-CN"/>
              </w:rPr>
              <w:t xml:space="preserve"> </w:t>
            </w:r>
            <w:r>
              <w:rPr>
                <w:rFonts w:hint="eastAsia" w:ascii="宋体" w:hAnsi="宋体" w:eastAsia="宋体" w:cs="宋体"/>
                <w:b w:val="0"/>
                <w:bCs/>
                <w:kern w:val="0"/>
                <w:sz w:val="18"/>
                <w:szCs w:val="18"/>
              </w:rPr>
              <w:t xml:space="preserve">     </w:t>
            </w:r>
          </w:p>
        </w:tc>
        <w:tc>
          <w:tcPr>
            <w:tcW w:w="3276" w:type="dxa"/>
            <w:gridSpan w:val="2"/>
            <w:noWrap w:val="0"/>
            <w:vAlign w:val="center"/>
          </w:tcPr>
          <w:p w14:paraId="2E28A766">
            <w:pPr>
              <w:spacing w:line="36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bidi="ar-SA"/>
              </w:rPr>
              <w:t>≤65</w:t>
            </w:r>
          </w:p>
        </w:tc>
        <w:tc>
          <w:tcPr>
            <w:tcW w:w="2347" w:type="dxa"/>
            <w:noWrap w:val="0"/>
            <w:vAlign w:val="center"/>
          </w:tcPr>
          <w:p w14:paraId="4D986B7E">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val="en-US" w:eastAsia="zh-CN" w:bidi="ar-SA"/>
              </w:rPr>
              <w:t xml:space="preserve"> GB 5009.3</w:t>
            </w:r>
          </w:p>
        </w:tc>
      </w:tr>
      <w:tr w14:paraId="33B0C5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2815" w:type="dxa"/>
            <w:noWrap w:val="0"/>
            <w:vAlign w:val="center"/>
          </w:tcPr>
          <w:p w14:paraId="547AEE9E">
            <w:pPr>
              <w:spacing w:line="360" w:lineRule="auto"/>
              <w:jc w:val="center"/>
              <w:rPr>
                <w:rFonts w:hint="eastAsia" w:ascii="宋体" w:hAnsi="宋体" w:eastAsia="宋体" w:cs="宋体"/>
                <w:b w:val="0"/>
                <w:bCs/>
                <w:kern w:val="0"/>
                <w:sz w:val="18"/>
                <w:szCs w:val="18"/>
                <w:lang w:eastAsia="zh-CN"/>
              </w:rPr>
            </w:pPr>
            <w:r>
              <w:rPr>
                <w:rFonts w:hint="eastAsia" w:ascii="宋体" w:hAnsi="宋体" w:eastAsia="宋体" w:cs="宋体"/>
                <w:b w:val="0"/>
                <w:bCs/>
                <w:kern w:val="0"/>
                <w:sz w:val="18"/>
                <w:szCs w:val="18"/>
              </w:rPr>
              <w:t>蛋白质</w:t>
            </w:r>
            <w:r>
              <w:rPr>
                <w:rFonts w:hint="eastAsia" w:ascii="宋体" w:hAnsi="宋体" w:eastAsia="宋体" w:cs="宋体"/>
                <w:b w:val="0"/>
                <w:bCs/>
                <w:kern w:val="0"/>
                <w:sz w:val="18"/>
                <w:szCs w:val="18"/>
                <w:vertAlign w:val="superscript"/>
                <w:lang w:val="en-US" w:eastAsia="zh-CN"/>
              </w:rPr>
              <w:t>a</w:t>
            </w:r>
            <w:r>
              <w:rPr>
                <w:rFonts w:hint="eastAsia" w:ascii="宋体" w:hAnsi="宋体" w:eastAsia="宋体" w:cs="宋体"/>
                <w:b w:val="0"/>
                <w:bCs/>
                <w:kern w:val="0"/>
                <w:sz w:val="18"/>
                <w:szCs w:val="18"/>
                <w:lang w:val="en-US" w:eastAsia="zh-CN"/>
              </w:rPr>
              <w:t>/</w:t>
            </w:r>
            <w:r>
              <w:rPr>
                <w:rFonts w:hint="eastAsia" w:ascii="宋体" w:hAnsi="宋体" w:eastAsia="宋体" w:cs="宋体"/>
                <w:b w:val="0"/>
                <w:bCs/>
                <w:kern w:val="0"/>
                <w:sz w:val="18"/>
                <w:szCs w:val="18"/>
              </w:rPr>
              <w:t xml:space="preserve">（g/100g） </w:t>
            </w:r>
          </w:p>
        </w:tc>
        <w:tc>
          <w:tcPr>
            <w:tcW w:w="1633" w:type="dxa"/>
            <w:noWrap w:val="0"/>
            <w:vAlign w:val="center"/>
          </w:tcPr>
          <w:p w14:paraId="7568D7F3">
            <w:pPr>
              <w:spacing w:line="36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bidi="ar-SA"/>
              </w:rPr>
              <w:t>≥6.0</w:t>
            </w:r>
          </w:p>
        </w:tc>
        <w:tc>
          <w:tcPr>
            <w:tcW w:w="1643" w:type="dxa"/>
            <w:noWrap w:val="0"/>
            <w:vAlign w:val="center"/>
          </w:tcPr>
          <w:p w14:paraId="74C5FAF1">
            <w:pPr>
              <w:spacing w:line="36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bidi="ar-SA"/>
              </w:rPr>
              <w:t>≥3.0</w:t>
            </w:r>
          </w:p>
        </w:tc>
        <w:tc>
          <w:tcPr>
            <w:tcW w:w="2347" w:type="dxa"/>
            <w:noWrap w:val="0"/>
            <w:vAlign w:val="center"/>
          </w:tcPr>
          <w:p w14:paraId="3F75F96A">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val="en-US" w:eastAsia="zh-CN" w:bidi="ar-SA"/>
              </w:rPr>
              <w:t>GB 5009.5</w:t>
            </w:r>
          </w:p>
        </w:tc>
      </w:tr>
      <w:tr w14:paraId="6FDA6D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2815" w:type="dxa"/>
            <w:noWrap w:val="0"/>
            <w:vAlign w:val="center"/>
          </w:tcPr>
          <w:p w14:paraId="21A71F1A">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eastAsia="zh-CN"/>
              </w:rPr>
              <w:t>脂肪</w:t>
            </w:r>
            <w:r>
              <w:rPr>
                <w:rFonts w:hint="eastAsia" w:ascii="宋体" w:hAnsi="宋体" w:eastAsia="宋体" w:cs="宋体"/>
                <w:b w:val="0"/>
                <w:bCs/>
                <w:kern w:val="0"/>
                <w:sz w:val="18"/>
                <w:szCs w:val="18"/>
              </w:rPr>
              <w:t>（g/100g）</w:t>
            </w:r>
          </w:p>
        </w:tc>
        <w:tc>
          <w:tcPr>
            <w:tcW w:w="1633" w:type="dxa"/>
            <w:noWrap w:val="0"/>
            <w:vAlign w:val="center"/>
          </w:tcPr>
          <w:p w14:paraId="2B924F86">
            <w:pPr>
              <w:spacing w:line="36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bidi="ar-SA"/>
              </w:rPr>
              <w:t>≤2</w:t>
            </w:r>
          </w:p>
        </w:tc>
        <w:tc>
          <w:tcPr>
            <w:tcW w:w="1643" w:type="dxa"/>
            <w:noWrap w:val="0"/>
            <w:vAlign w:val="center"/>
          </w:tcPr>
          <w:p w14:paraId="78007D74">
            <w:pPr>
              <w:spacing w:line="36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bidi="ar-SA"/>
              </w:rPr>
              <w:t>≤3</w:t>
            </w:r>
          </w:p>
        </w:tc>
        <w:tc>
          <w:tcPr>
            <w:tcW w:w="2347" w:type="dxa"/>
            <w:noWrap w:val="0"/>
            <w:vAlign w:val="center"/>
          </w:tcPr>
          <w:p w14:paraId="64295605">
            <w:pPr>
              <w:spacing w:line="360" w:lineRule="auto"/>
              <w:jc w:val="center"/>
              <w:rPr>
                <w:rFonts w:hint="eastAsia" w:ascii="宋体" w:hAnsi="宋体" w:eastAsia="宋体" w:cs="宋体"/>
                <w:b w:val="0"/>
                <w:bCs/>
                <w:kern w:val="0"/>
                <w:sz w:val="18"/>
                <w:szCs w:val="18"/>
              </w:rPr>
            </w:pPr>
            <w:r>
              <w:rPr>
                <w:rFonts w:hint="eastAsia" w:ascii="宋体" w:hAnsi="宋体" w:eastAsia="宋体" w:cs="宋体"/>
                <w:b w:val="0"/>
                <w:bCs/>
                <w:kern w:val="0"/>
                <w:sz w:val="18"/>
                <w:szCs w:val="18"/>
                <w:lang w:val="en-US" w:eastAsia="zh-CN" w:bidi="ar-SA"/>
              </w:rPr>
              <w:t>GB 5009.6</w:t>
            </w:r>
          </w:p>
        </w:tc>
      </w:tr>
      <w:tr w14:paraId="737E59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8438" w:type="dxa"/>
            <w:gridSpan w:val="4"/>
            <w:noWrap w:val="0"/>
            <w:vAlign w:val="center"/>
          </w:tcPr>
          <w:p w14:paraId="79AD6F81">
            <w:pPr>
              <w:spacing w:line="360" w:lineRule="auto"/>
              <w:ind w:firstLine="360" w:firstLineChars="200"/>
              <w:jc w:val="both"/>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vertAlign w:val="superscript"/>
                <w:lang w:val="en-US" w:eastAsia="zh-CN"/>
              </w:rPr>
              <w:t xml:space="preserve"> a  </w:t>
            </w:r>
            <w:r>
              <w:rPr>
                <w:rFonts w:hint="eastAsia" w:ascii="宋体" w:hAnsi="宋体" w:eastAsia="宋体" w:cs="宋体"/>
                <w:b w:val="0"/>
                <w:bCs/>
                <w:kern w:val="0"/>
                <w:sz w:val="18"/>
                <w:szCs w:val="18"/>
                <w:lang w:val="en-US" w:eastAsia="zh-CN"/>
              </w:rPr>
              <w:t>以馅料为检测样本。</w:t>
            </w:r>
          </w:p>
        </w:tc>
      </w:tr>
    </w:tbl>
    <w:p w14:paraId="02E041DD">
      <w:pPr>
        <w:pStyle w:val="106"/>
        <w:bidi w:val="0"/>
        <w:rPr>
          <w:rFonts w:hint="eastAsia" w:hAnsi="Times New Roman" w:cs="Times New Roman"/>
          <w:lang w:val="en-US" w:eastAsia="zh-CN"/>
        </w:rPr>
      </w:pPr>
      <w:r>
        <w:rPr>
          <w:rFonts w:hint="eastAsia" w:hAnsi="Times New Roman" w:cs="Times New Roman"/>
          <w:lang w:val="en-US" w:eastAsia="zh-CN"/>
        </w:rPr>
        <w:t>微生物指标</w:t>
      </w:r>
    </w:p>
    <w:p w14:paraId="1165C326">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速冻食品牦牛肉水饺微生物限量应执行</w:t>
      </w:r>
      <w:r>
        <w:rPr>
          <w:rFonts w:hint="eastAsia" w:ascii="宋体" w:hAnsi="宋体" w:eastAsia="宋体" w:cs="宋体"/>
          <w:lang w:val="en-US" w:eastAsia="zh-CN"/>
        </w:rPr>
        <w:t>GB 19295</w:t>
      </w:r>
      <w:r>
        <w:rPr>
          <w:rFonts w:hint="eastAsia" w:ascii="Times New Roman" w:hAnsi="Times New Roman" w:eastAsia="宋体" w:cs="Times New Roman"/>
          <w:lang w:val="en-US" w:eastAsia="zh-CN"/>
        </w:rPr>
        <w:t>的规定。</w:t>
      </w:r>
    </w:p>
    <w:p w14:paraId="7EC3352A">
      <w:pPr>
        <w:pStyle w:val="113"/>
        <w:bidi w:val="0"/>
        <w:rPr>
          <w:rFonts w:hint="eastAsia" w:hAnsi="Times New Roman" w:cs="Times New Roman"/>
          <w:lang w:val="en-US" w:eastAsia="zh-CN"/>
        </w:rPr>
      </w:pPr>
      <w:r>
        <w:rPr>
          <w:rFonts w:hint="eastAsia" w:hAnsi="Times New Roman" w:cs="Times New Roman"/>
          <w:lang w:val="en-US" w:eastAsia="zh-CN"/>
        </w:rPr>
        <w:t>微生物限量</w:t>
      </w:r>
    </w:p>
    <w:tbl>
      <w:tblPr>
        <w:tblStyle w:val="26"/>
        <w:tblW w:w="8319"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0" w:type="dxa"/>
          <w:bottom w:w="0" w:type="dxa"/>
          <w:right w:w="100" w:type="dxa"/>
        </w:tblCellMar>
      </w:tblPr>
      <w:tblGrid>
        <w:gridCol w:w="2528"/>
        <w:gridCol w:w="2910"/>
        <w:gridCol w:w="2881"/>
      </w:tblGrid>
      <w:tr w14:paraId="5A212DB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0" w:type="dxa"/>
            <w:bottom w:w="0" w:type="dxa"/>
            <w:right w:w="100" w:type="dxa"/>
          </w:tblCellMar>
        </w:tblPrEx>
        <w:trPr>
          <w:trHeight w:val="404" w:hRule="atLeast"/>
          <w:jc w:val="center"/>
        </w:trPr>
        <w:tc>
          <w:tcPr>
            <w:tcW w:w="2528" w:type="dxa"/>
            <w:tcBorders>
              <w:bottom w:val="single" w:color="000000" w:sz="8" w:space="0"/>
              <w:tl2br w:val="nil"/>
              <w:tr2bl w:val="nil"/>
            </w:tcBorders>
            <w:noWrap w:val="0"/>
            <w:vAlign w:val="center"/>
          </w:tcPr>
          <w:p w14:paraId="553261F4">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rPr>
              <w:t>项目</w:t>
            </w:r>
          </w:p>
        </w:tc>
        <w:tc>
          <w:tcPr>
            <w:tcW w:w="2910" w:type="dxa"/>
            <w:tcBorders>
              <w:bottom w:val="single" w:color="000000" w:sz="8" w:space="0"/>
              <w:tl2br w:val="nil"/>
              <w:tr2bl w:val="nil"/>
            </w:tcBorders>
            <w:noWrap w:val="0"/>
            <w:vAlign w:val="center"/>
          </w:tcPr>
          <w:p w14:paraId="31B7B3FF">
            <w:pPr>
              <w:spacing w:line="240" w:lineRule="auto"/>
              <w:jc w:val="center"/>
              <w:rPr>
                <w:rFonts w:hint="eastAsia" w:ascii="宋体" w:hAnsi="宋体" w:eastAsia="宋体" w:cs="宋体"/>
                <w:b w:val="0"/>
                <w:bCs/>
                <w:kern w:val="0"/>
                <w:sz w:val="18"/>
                <w:szCs w:val="18"/>
                <w:lang w:val="en-US" w:eastAsia="zh-CN"/>
              </w:rPr>
            </w:pPr>
            <w:r>
              <w:rPr>
                <w:rFonts w:hint="eastAsia" w:ascii="宋体" w:hAnsi="宋体" w:eastAsia="宋体" w:cs="宋体"/>
                <w:b w:val="0"/>
                <w:bCs/>
                <w:kern w:val="0"/>
                <w:sz w:val="18"/>
                <w:szCs w:val="18"/>
                <w:lang w:val="en-US" w:eastAsia="zh-CN"/>
              </w:rPr>
              <w:t>限量</w:t>
            </w:r>
          </w:p>
        </w:tc>
        <w:tc>
          <w:tcPr>
            <w:tcW w:w="2881" w:type="dxa"/>
            <w:tcBorders>
              <w:bottom w:val="single" w:color="000000" w:sz="8" w:space="0"/>
              <w:tl2br w:val="nil"/>
              <w:tr2bl w:val="nil"/>
            </w:tcBorders>
            <w:noWrap w:val="0"/>
            <w:vAlign w:val="top"/>
          </w:tcPr>
          <w:p w14:paraId="20DABC67">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rPr>
              <w:t>检验方法</w:t>
            </w:r>
          </w:p>
        </w:tc>
      </w:tr>
      <w:tr w14:paraId="6282C49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0" w:type="dxa"/>
            <w:bottom w:w="0" w:type="dxa"/>
            <w:right w:w="100" w:type="dxa"/>
          </w:tblCellMar>
        </w:tblPrEx>
        <w:trPr>
          <w:trHeight w:val="489" w:hRule="atLeast"/>
          <w:jc w:val="center"/>
        </w:trPr>
        <w:tc>
          <w:tcPr>
            <w:tcW w:w="2528" w:type="dxa"/>
            <w:tcBorders>
              <w:top w:val="single" w:color="000000" w:sz="8" w:space="0"/>
              <w:tl2br w:val="nil"/>
              <w:tr2bl w:val="nil"/>
            </w:tcBorders>
            <w:noWrap w:val="0"/>
            <w:vAlign w:val="center"/>
          </w:tcPr>
          <w:p w14:paraId="5E1B5E42">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沙门氏菌/（CFU/g）</w:t>
            </w:r>
          </w:p>
        </w:tc>
        <w:tc>
          <w:tcPr>
            <w:tcW w:w="2910" w:type="dxa"/>
            <w:tcBorders>
              <w:top w:val="single" w:color="000000" w:sz="8" w:space="0"/>
              <w:tl2br w:val="nil"/>
              <w:tr2bl w:val="nil"/>
            </w:tcBorders>
            <w:noWrap w:val="0"/>
            <w:vAlign w:val="center"/>
          </w:tcPr>
          <w:p w14:paraId="6E139CF1">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rPr>
              <w:t>不得检出</w:t>
            </w:r>
          </w:p>
        </w:tc>
        <w:tc>
          <w:tcPr>
            <w:tcW w:w="2881" w:type="dxa"/>
            <w:tcBorders>
              <w:top w:val="single" w:color="000000" w:sz="8" w:space="0"/>
              <w:tl2br w:val="nil"/>
              <w:tr2bl w:val="nil"/>
            </w:tcBorders>
            <w:noWrap w:val="0"/>
            <w:vAlign w:val="center"/>
          </w:tcPr>
          <w:p w14:paraId="114036E1">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rPr>
              <w:t>GB 4789.4</w:t>
            </w:r>
          </w:p>
        </w:tc>
      </w:tr>
      <w:tr w14:paraId="185A20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0" w:type="dxa"/>
            <w:bottom w:w="0" w:type="dxa"/>
            <w:right w:w="100" w:type="dxa"/>
          </w:tblCellMar>
        </w:tblPrEx>
        <w:trPr>
          <w:trHeight w:val="489" w:hRule="atLeast"/>
          <w:jc w:val="center"/>
        </w:trPr>
        <w:tc>
          <w:tcPr>
            <w:tcW w:w="2528" w:type="dxa"/>
            <w:tcBorders>
              <w:tl2br w:val="nil"/>
              <w:tr2bl w:val="nil"/>
            </w:tcBorders>
            <w:noWrap w:val="0"/>
            <w:vAlign w:val="center"/>
          </w:tcPr>
          <w:p w14:paraId="50AC842D">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bidi="ar-SA"/>
              </w:rPr>
              <w:t>金黄色葡萄球菌/（CFU/g）</w:t>
            </w:r>
          </w:p>
        </w:tc>
        <w:tc>
          <w:tcPr>
            <w:tcW w:w="2910" w:type="dxa"/>
            <w:tcBorders>
              <w:tl2br w:val="nil"/>
              <w:tr2bl w:val="nil"/>
            </w:tcBorders>
            <w:noWrap w:val="0"/>
            <w:vAlign w:val="center"/>
          </w:tcPr>
          <w:p w14:paraId="11C1AE68">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lang w:val="en-US" w:eastAsia="zh-CN"/>
              </w:rPr>
              <w:t>不得检出</w:t>
            </w:r>
          </w:p>
        </w:tc>
        <w:tc>
          <w:tcPr>
            <w:tcW w:w="2881" w:type="dxa"/>
            <w:tcBorders>
              <w:tl2br w:val="nil"/>
              <w:tr2bl w:val="nil"/>
            </w:tcBorders>
            <w:noWrap w:val="0"/>
            <w:vAlign w:val="center"/>
          </w:tcPr>
          <w:p w14:paraId="542D8525">
            <w:pPr>
              <w:spacing w:line="240" w:lineRule="auto"/>
              <w:jc w:val="center"/>
              <w:rPr>
                <w:rFonts w:hint="eastAsia" w:ascii="宋体" w:hAnsi="宋体" w:eastAsia="宋体" w:cs="宋体"/>
                <w:b w:val="0"/>
                <w:bCs/>
                <w:kern w:val="0"/>
                <w:sz w:val="18"/>
                <w:szCs w:val="18"/>
                <w:lang w:val="en-US" w:eastAsia="zh-CN" w:bidi="ar-SA"/>
              </w:rPr>
            </w:pPr>
            <w:r>
              <w:rPr>
                <w:rFonts w:hint="eastAsia" w:ascii="宋体" w:hAnsi="宋体" w:eastAsia="宋体" w:cs="宋体"/>
                <w:b w:val="0"/>
                <w:bCs/>
                <w:kern w:val="0"/>
                <w:sz w:val="18"/>
                <w:szCs w:val="18"/>
              </w:rPr>
              <w:t>GB 4789.</w:t>
            </w:r>
            <w:r>
              <w:rPr>
                <w:rFonts w:hint="eastAsia" w:ascii="宋体" w:hAnsi="宋体" w:eastAsia="宋体" w:cs="宋体"/>
                <w:b w:val="0"/>
                <w:bCs/>
                <w:kern w:val="0"/>
                <w:sz w:val="18"/>
                <w:szCs w:val="18"/>
                <w:lang w:val="en-US" w:eastAsia="zh-CN"/>
              </w:rPr>
              <w:t>10</w:t>
            </w:r>
          </w:p>
        </w:tc>
      </w:tr>
    </w:tbl>
    <w:p w14:paraId="6C17F4A0">
      <w:pPr>
        <w:pStyle w:val="106"/>
        <w:bidi w:val="0"/>
        <w:rPr>
          <w:rFonts w:hint="eastAsia" w:hAnsi="Times New Roman" w:cs="Times New Roman"/>
          <w:lang w:val="en-US" w:eastAsia="zh-CN"/>
        </w:rPr>
      </w:pPr>
      <w:r>
        <w:rPr>
          <w:rFonts w:hint="eastAsia" w:hAnsi="Times New Roman" w:cs="Times New Roman"/>
          <w:lang w:val="en-US" w:eastAsia="zh-CN"/>
        </w:rPr>
        <w:t>污染物限量</w:t>
      </w:r>
    </w:p>
    <w:p w14:paraId="2C45ACD4">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符合</w:t>
      </w:r>
      <w:r>
        <w:rPr>
          <w:rFonts w:hint="eastAsia" w:ascii="宋体" w:hAnsi="宋体" w:eastAsia="宋体" w:cs="宋体"/>
          <w:lang w:val="en-US" w:eastAsia="zh-CN"/>
        </w:rPr>
        <w:t>GB 2762</w:t>
      </w:r>
      <w:r>
        <w:rPr>
          <w:rFonts w:hint="eastAsia" w:ascii="Times New Roman" w:hAnsi="Times New Roman" w:eastAsia="宋体" w:cs="Times New Roman"/>
          <w:lang w:val="en-US" w:eastAsia="zh-CN"/>
        </w:rPr>
        <w:t>规定。</w:t>
      </w:r>
    </w:p>
    <w:p w14:paraId="3ACFE23D">
      <w:pPr>
        <w:pStyle w:val="106"/>
        <w:bidi w:val="0"/>
        <w:rPr>
          <w:rFonts w:hint="eastAsia" w:hAnsi="Times New Roman" w:cs="Times New Roman"/>
          <w:lang w:val="en-US" w:eastAsia="zh-CN"/>
        </w:rPr>
      </w:pPr>
      <w:r>
        <w:rPr>
          <w:rFonts w:hint="eastAsia" w:hAnsi="Times New Roman" w:cs="Times New Roman"/>
          <w:lang w:val="en-US" w:eastAsia="zh-CN"/>
        </w:rPr>
        <w:t>食品添加剂与营养强化剂</w:t>
      </w:r>
    </w:p>
    <w:p w14:paraId="2426C3B2">
      <w:pPr>
        <w:pStyle w:val="166"/>
        <w:bidi w:val="0"/>
        <w:rPr>
          <w:rFonts w:hint="eastAsia" w:ascii="黑体" w:hAnsi="黑体" w:eastAsia="黑体" w:cs="Times New Roman"/>
          <w:kern w:val="0"/>
          <w:sz w:val="21"/>
          <w:szCs w:val="24"/>
          <w:lang w:val="en-US" w:eastAsia="zh-CN" w:bidi="ar-SA"/>
        </w:rPr>
      </w:pPr>
      <w:r>
        <w:rPr>
          <w:rFonts w:hint="eastAsia" w:ascii="宋体" w:hAnsi="宋体" w:eastAsia="宋体" w:cs="Times New Roman"/>
          <w:szCs w:val="21"/>
          <w:lang w:val="en-US" w:eastAsia="zh-CN"/>
        </w:rPr>
        <w:t>食品添加剂使用符合</w:t>
      </w:r>
      <w:r>
        <w:rPr>
          <w:rFonts w:hint="eastAsia" w:ascii="宋体" w:hAnsi="宋体" w:eastAsia="宋体" w:cs="宋体"/>
          <w:sz w:val="21"/>
          <w:lang w:val="en-US" w:eastAsia="zh-CN" w:bidi="ar-SA"/>
        </w:rPr>
        <w:t>GB 2760</w:t>
      </w:r>
      <w:r>
        <w:rPr>
          <w:rFonts w:hint="eastAsia" w:ascii="宋体" w:hAnsi="宋体" w:eastAsia="宋体" w:cs="Times New Roman"/>
          <w:szCs w:val="21"/>
          <w:lang w:val="en-US" w:eastAsia="zh-CN"/>
        </w:rPr>
        <w:t>规定。</w:t>
      </w:r>
    </w:p>
    <w:p w14:paraId="24DE6726">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食品营养强化剂使用符合相应国家标准规定。</w:t>
      </w:r>
    </w:p>
    <w:p w14:paraId="48007098">
      <w:pPr>
        <w:pStyle w:val="106"/>
        <w:bidi w:val="0"/>
        <w:rPr>
          <w:rFonts w:hint="eastAsia" w:hAnsi="Times New Roman" w:cs="Times New Roman"/>
          <w:lang w:val="en-US" w:eastAsia="zh-CN"/>
        </w:rPr>
      </w:pPr>
      <w:r>
        <w:rPr>
          <w:rFonts w:hint="eastAsia" w:hAnsi="Times New Roman" w:cs="Times New Roman"/>
          <w:lang w:val="en-US" w:eastAsia="zh-CN"/>
        </w:rPr>
        <w:t>净含量</w:t>
      </w:r>
    </w:p>
    <w:p w14:paraId="68B48BAF">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应符合国家市场监督管理总局令第</w:t>
      </w:r>
      <w:r>
        <w:rPr>
          <w:rFonts w:hint="eastAsia" w:ascii="宋体" w:hAnsi="宋体" w:eastAsia="宋体" w:cs="宋体"/>
          <w:lang w:val="en-US" w:eastAsia="zh-CN"/>
        </w:rPr>
        <w:t>70</w:t>
      </w:r>
      <w:r>
        <w:rPr>
          <w:rFonts w:hint="eastAsia" w:ascii="Times New Roman" w:hAnsi="Times New Roman" w:eastAsia="宋体" w:cs="Times New Roman"/>
          <w:lang w:val="en-US" w:eastAsia="zh-CN"/>
        </w:rPr>
        <w:t>号的规定，按</w:t>
      </w:r>
      <w:r>
        <w:rPr>
          <w:rFonts w:hint="eastAsia" w:ascii="宋体" w:hAnsi="宋体" w:eastAsia="宋体" w:cs="宋体"/>
          <w:lang w:val="en-US" w:eastAsia="zh-CN"/>
        </w:rPr>
        <w:t>JJF 1070</w:t>
      </w:r>
      <w:r>
        <w:rPr>
          <w:rFonts w:hint="eastAsia" w:ascii="Times New Roman" w:hAnsi="Times New Roman" w:eastAsia="宋体" w:cs="Times New Roman"/>
          <w:lang w:val="en-US" w:eastAsia="zh-CN"/>
        </w:rPr>
        <w:t>规定的方法检验。</w:t>
      </w:r>
    </w:p>
    <w:p w14:paraId="38B7F2F6">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检验方法</w:t>
      </w:r>
    </w:p>
    <w:p w14:paraId="322DBCD9">
      <w:pPr>
        <w:pStyle w:val="163"/>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感官检验：按表1规定方法执行。</w:t>
      </w:r>
    </w:p>
    <w:p w14:paraId="1133CD8C">
      <w:pPr>
        <w:pStyle w:val="163"/>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理化检验：按表</w:t>
      </w:r>
      <w:r>
        <w:rPr>
          <w:rFonts w:hint="eastAsia" w:ascii="宋体" w:hAnsi="宋体" w:eastAsia="宋体" w:cs="宋体"/>
          <w:sz w:val="21"/>
          <w:lang w:val="en-US" w:eastAsia="zh-CN" w:bidi="ar-SA"/>
        </w:rPr>
        <w:t>2</w:t>
      </w:r>
      <w:r>
        <w:rPr>
          <w:rFonts w:hint="eastAsia" w:ascii="宋体" w:hAnsi="宋体" w:eastAsia="宋体" w:cs="Times New Roman"/>
          <w:szCs w:val="21"/>
          <w:lang w:val="en-US" w:eastAsia="zh-CN"/>
        </w:rPr>
        <w:t>规定方法执行。</w:t>
      </w:r>
    </w:p>
    <w:p w14:paraId="13C6D073">
      <w:pPr>
        <w:pStyle w:val="163"/>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微生物检验：按表</w:t>
      </w:r>
      <w:r>
        <w:rPr>
          <w:rFonts w:hint="eastAsia" w:ascii="宋体" w:hAnsi="宋体" w:eastAsia="宋体" w:cs="宋体"/>
          <w:sz w:val="21"/>
          <w:lang w:val="en-US" w:eastAsia="zh-CN" w:bidi="ar-SA"/>
        </w:rPr>
        <w:t>3</w:t>
      </w:r>
      <w:r>
        <w:rPr>
          <w:rFonts w:hint="eastAsia" w:ascii="宋体" w:hAnsi="宋体" w:eastAsia="宋体" w:cs="Times New Roman"/>
          <w:szCs w:val="21"/>
          <w:lang w:val="en-US" w:eastAsia="zh-CN"/>
        </w:rPr>
        <w:t>规定方法执行。</w:t>
      </w:r>
    </w:p>
    <w:p w14:paraId="32FA8FED">
      <w:pPr>
        <w:pStyle w:val="163"/>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净含量检验：按</w:t>
      </w:r>
      <w:r>
        <w:rPr>
          <w:rFonts w:hint="eastAsia" w:ascii="宋体" w:hAnsi="宋体" w:eastAsia="宋体" w:cs="宋体"/>
          <w:sz w:val="21"/>
          <w:lang w:val="en-US" w:eastAsia="zh-CN" w:bidi="ar-SA"/>
        </w:rPr>
        <w:t>JJF 1070</w:t>
      </w:r>
      <w:r>
        <w:rPr>
          <w:rFonts w:hint="eastAsia" w:ascii="宋体" w:hAnsi="宋体" w:eastAsia="宋体" w:cs="Times New Roman"/>
          <w:szCs w:val="21"/>
          <w:lang w:val="en-US" w:eastAsia="zh-CN"/>
        </w:rPr>
        <w:t>规定执行。</w:t>
      </w:r>
    </w:p>
    <w:p w14:paraId="057EDBF8">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检验规则</w:t>
      </w:r>
    </w:p>
    <w:p w14:paraId="4EB927AD">
      <w:pPr>
        <w:pStyle w:val="106"/>
        <w:bidi w:val="0"/>
        <w:rPr>
          <w:rFonts w:hint="eastAsia" w:hAnsi="Times New Roman" w:cs="Times New Roman"/>
          <w:lang w:val="en-US" w:eastAsia="zh-CN"/>
        </w:rPr>
      </w:pPr>
      <w:r>
        <w:rPr>
          <w:rFonts w:hint="eastAsia" w:hAnsi="Times New Roman" w:cs="Times New Roman"/>
          <w:lang w:val="en-US" w:eastAsia="zh-CN"/>
        </w:rPr>
        <w:t>组批</w:t>
      </w:r>
    </w:p>
    <w:p w14:paraId="7DB810DF">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同一原料、同一班次、同一生产线、同一品种规格的产品为一批。</w:t>
      </w:r>
    </w:p>
    <w:p w14:paraId="0D4E7C92">
      <w:pPr>
        <w:pStyle w:val="106"/>
        <w:bidi w:val="0"/>
        <w:rPr>
          <w:rFonts w:hint="eastAsia" w:hAnsi="Times New Roman" w:cs="Times New Roman"/>
          <w:lang w:val="en-US" w:eastAsia="zh-CN"/>
        </w:rPr>
      </w:pPr>
      <w:r>
        <w:rPr>
          <w:rFonts w:hint="eastAsia" w:hAnsi="Times New Roman" w:cs="Times New Roman"/>
          <w:lang w:val="en-US" w:eastAsia="zh-CN"/>
        </w:rPr>
        <w:t>抽样</w:t>
      </w:r>
    </w:p>
    <w:p w14:paraId="310C0972">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每批随机抽样，满足检验与留样需求。</w:t>
      </w:r>
    </w:p>
    <w:p w14:paraId="7DEF0452">
      <w:pPr>
        <w:pStyle w:val="106"/>
        <w:bidi w:val="0"/>
        <w:rPr>
          <w:rFonts w:hint="eastAsia" w:hAnsi="Times New Roman" w:cs="Times New Roman"/>
          <w:lang w:val="en-US" w:eastAsia="zh-CN"/>
        </w:rPr>
      </w:pPr>
      <w:r>
        <w:rPr>
          <w:rFonts w:hint="eastAsia" w:hAnsi="Times New Roman" w:cs="Times New Roman"/>
          <w:lang w:val="en-US" w:eastAsia="zh-CN"/>
        </w:rPr>
        <w:t>出厂检验</w:t>
      </w:r>
    </w:p>
    <w:p w14:paraId="586CF20D">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每批出厂前检验，项目：感官要求、馅料含量、净含量。</w:t>
      </w:r>
    </w:p>
    <w:p w14:paraId="52C2100F">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检验合格并附合格证方可出厂。</w:t>
      </w:r>
    </w:p>
    <w:p w14:paraId="4608515B">
      <w:pPr>
        <w:pStyle w:val="106"/>
        <w:bidi w:val="0"/>
        <w:rPr>
          <w:rFonts w:hint="eastAsia" w:hAnsi="Times New Roman" w:cs="Times New Roman"/>
          <w:lang w:val="en-US" w:eastAsia="zh-CN"/>
        </w:rPr>
      </w:pPr>
      <w:r>
        <w:rPr>
          <w:rFonts w:hint="eastAsia" w:hAnsi="Times New Roman" w:cs="Times New Roman"/>
          <w:lang w:val="en-US" w:eastAsia="zh-CN"/>
        </w:rPr>
        <w:t>型式检验</w:t>
      </w:r>
    </w:p>
    <w:p w14:paraId="51494F0E">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出现下列情况之一，应开展型式检验：</w:t>
      </w:r>
    </w:p>
    <w:p w14:paraId="301B588D">
      <w:pPr>
        <w:pStyle w:val="58"/>
        <w:ind w:firstLine="420"/>
        <w:rPr>
          <w:rFonts w:hint="eastAsia" w:ascii="Times New Roman" w:hAnsi="Times New Roman" w:eastAsia="宋体" w:cs="Times New Roman"/>
          <w:lang w:val="en-US" w:eastAsia="zh-CN"/>
        </w:rPr>
      </w:pPr>
      <w:r>
        <w:rPr>
          <w:rFonts w:hint="eastAsia" w:ascii="宋体" w:hAnsi="宋体" w:eastAsia="宋体" w:cs="宋体"/>
          <w:lang w:val="en-US" w:eastAsia="zh-CN"/>
        </w:rPr>
        <w:t>a)</w:t>
      </w:r>
      <w:r>
        <w:rPr>
          <w:rFonts w:hint="eastAsia" w:ascii="Times New Roman" w:hAnsi="Times New Roman" w:eastAsia="宋体" w:cs="Times New Roman"/>
          <w:lang w:val="en-US" w:eastAsia="zh-CN"/>
        </w:rPr>
        <w:t xml:space="preserve"> 新产品投产、产品配方/分类调整；</w:t>
      </w:r>
    </w:p>
    <w:p w14:paraId="1228032E">
      <w:pPr>
        <w:pStyle w:val="58"/>
        <w:ind w:firstLine="420"/>
        <w:rPr>
          <w:rFonts w:hint="eastAsia" w:ascii="Times New Roman" w:hAnsi="Times New Roman" w:eastAsia="宋体" w:cs="Times New Roman"/>
          <w:lang w:val="en-US" w:eastAsia="zh-CN"/>
        </w:rPr>
      </w:pPr>
      <w:r>
        <w:rPr>
          <w:rFonts w:hint="eastAsia" w:ascii="宋体" w:hAnsi="宋体" w:eastAsia="宋体" w:cs="宋体"/>
          <w:lang w:val="en-US" w:eastAsia="zh-CN"/>
        </w:rPr>
        <w:t xml:space="preserve">b) </w:t>
      </w:r>
      <w:r>
        <w:rPr>
          <w:rFonts w:hint="eastAsia" w:ascii="Times New Roman" w:hAnsi="Times New Roman" w:eastAsia="宋体" w:cs="Times New Roman"/>
          <w:lang w:val="en-US" w:eastAsia="zh-CN"/>
        </w:rPr>
        <w:t>原料、生产工艺、关键生产设备发生重大变更，可能影响产品质量；</w:t>
      </w:r>
    </w:p>
    <w:p w14:paraId="2E73506D">
      <w:pPr>
        <w:pStyle w:val="58"/>
        <w:ind w:firstLine="420"/>
        <w:rPr>
          <w:rFonts w:hint="eastAsia" w:ascii="Times New Roman" w:hAnsi="Times New Roman" w:eastAsia="宋体" w:cs="Times New Roman"/>
          <w:lang w:val="en-US" w:eastAsia="zh-CN"/>
        </w:rPr>
      </w:pPr>
      <w:r>
        <w:rPr>
          <w:rFonts w:hint="eastAsia" w:ascii="宋体" w:hAnsi="宋体" w:eastAsia="宋体" w:cs="宋体"/>
          <w:lang w:val="en-US" w:eastAsia="zh-CN"/>
        </w:rPr>
        <w:t xml:space="preserve">c) </w:t>
      </w:r>
      <w:r>
        <w:rPr>
          <w:rFonts w:hint="eastAsia" w:ascii="Times New Roman" w:hAnsi="Times New Roman" w:eastAsia="宋体" w:cs="Times New Roman"/>
          <w:lang w:val="en-US" w:eastAsia="zh-CN"/>
        </w:rPr>
        <w:t>产品停产半年及以上，恢复生产时；</w:t>
      </w:r>
    </w:p>
    <w:p w14:paraId="5A48BC91">
      <w:pPr>
        <w:pStyle w:val="58"/>
        <w:ind w:firstLine="420"/>
        <w:rPr>
          <w:rFonts w:hint="eastAsia" w:ascii="Times New Roman" w:hAnsi="Times New Roman" w:eastAsia="宋体" w:cs="Times New Roman"/>
          <w:lang w:val="en-US" w:eastAsia="zh-CN"/>
        </w:rPr>
      </w:pPr>
      <w:r>
        <w:rPr>
          <w:rFonts w:hint="eastAsia" w:ascii="宋体" w:hAnsi="宋体" w:eastAsia="宋体" w:cs="宋体"/>
          <w:lang w:val="en-US" w:eastAsia="zh-CN"/>
        </w:rPr>
        <w:t>d)</w:t>
      </w:r>
      <w:r>
        <w:rPr>
          <w:rFonts w:hint="eastAsia" w:ascii="Times New Roman" w:hAnsi="Times New Roman" w:eastAsia="宋体" w:cs="Times New Roman"/>
          <w:lang w:val="en-US" w:eastAsia="zh-CN"/>
        </w:rPr>
        <w:t xml:space="preserve"> 出厂检验结果与上次型式检验结果差异较大；</w:t>
      </w:r>
    </w:p>
    <w:p w14:paraId="14BD5EAA">
      <w:pPr>
        <w:pStyle w:val="58"/>
        <w:ind w:firstLine="420"/>
        <w:rPr>
          <w:rFonts w:hint="eastAsia" w:ascii="Times New Roman" w:hAnsi="Times New Roman" w:eastAsia="宋体" w:cs="Times New Roman"/>
          <w:lang w:val="en-US" w:eastAsia="zh-CN"/>
        </w:rPr>
      </w:pPr>
      <w:r>
        <w:rPr>
          <w:rFonts w:hint="eastAsia" w:ascii="宋体" w:hAnsi="宋体" w:eastAsia="宋体" w:cs="宋体"/>
          <w:lang w:val="en-US" w:eastAsia="zh-CN"/>
        </w:rPr>
        <w:t xml:space="preserve">e) </w:t>
      </w:r>
      <w:r>
        <w:rPr>
          <w:rFonts w:hint="eastAsia" w:ascii="Times New Roman" w:hAnsi="Times New Roman" w:eastAsia="宋体" w:cs="Times New Roman"/>
          <w:lang w:val="en-US" w:eastAsia="zh-CN"/>
        </w:rPr>
        <w:t>市场监管部门、标准归口单位提出型式检验要求。</w:t>
      </w:r>
    </w:p>
    <w:p w14:paraId="60D9EFED">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型式检验项目：本文件第6章全部技术要求项目。</w:t>
      </w:r>
    </w:p>
    <w:p w14:paraId="47E94BBF">
      <w:pPr>
        <w:pStyle w:val="106"/>
        <w:bidi w:val="0"/>
        <w:rPr>
          <w:rFonts w:hint="eastAsia" w:hAnsi="Times New Roman" w:cs="Times New Roman"/>
          <w:lang w:val="en-US" w:eastAsia="zh-CN"/>
        </w:rPr>
      </w:pPr>
      <w:r>
        <w:rPr>
          <w:rFonts w:hint="eastAsia" w:hAnsi="Times New Roman" w:cs="Times New Roman"/>
          <w:lang w:val="en-US" w:eastAsia="zh-CN"/>
        </w:rPr>
        <w:t>判定规则</w:t>
      </w:r>
    </w:p>
    <w:p w14:paraId="069EC36B">
      <w:pPr>
        <w:pStyle w:val="68"/>
        <w:bidi w:val="0"/>
        <w:rPr>
          <w:rFonts w:hint="eastAsia"/>
          <w:lang w:val="en-US" w:eastAsia="zh-CN"/>
        </w:rPr>
      </w:pPr>
      <w:r>
        <w:rPr>
          <w:rFonts w:hint="eastAsia"/>
          <w:lang w:val="en-US" w:eastAsia="zh-CN"/>
        </w:rPr>
        <w:t>出厂检验判定</w:t>
      </w:r>
    </w:p>
    <w:p w14:paraId="499EC64F">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出厂检验项目全部符合本文件，判定该批产品符合本文件要求。出厂检验如有不合格项目，可以再次抽样复验，复验后仍不合格的，判定该批产品不符合本文件要求。</w:t>
      </w:r>
    </w:p>
    <w:p w14:paraId="406A20B5">
      <w:pPr>
        <w:pStyle w:val="68"/>
        <w:bidi w:val="0"/>
        <w:rPr>
          <w:rFonts w:hint="eastAsia" w:hAnsi="Times New Roman" w:cs="Times New Roman"/>
          <w:lang w:val="en-US" w:eastAsia="zh-CN"/>
        </w:rPr>
      </w:pPr>
      <w:r>
        <w:rPr>
          <w:rFonts w:hint="eastAsia" w:hAnsi="Times New Roman" w:cs="Times New Roman"/>
          <w:lang w:val="en-US" w:eastAsia="zh-CN"/>
        </w:rPr>
        <w:t>型式检验判定</w:t>
      </w:r>
    </w:p>
    <w:p w14:paraId="1800828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型式检验项目全部符合本文件，判定该批产品符合本文件要求。型式检验如有不合格项目，可以再次抽样复验，复验后仍不合格的，判定该批产品不符合本文件要求。</w:t>
      </w:r>
    </w:p>
    <w:p w14:paraId="7C76D800">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标志、标签、包装</w:t>
      </w:r>
    </w:p>
    <w:p w14:paraId="6CEFDD53">
      <w:pPr>
        <w:pStyle w:val="106"/>
        <w:bidi w:val="0"/>
        <w:rPr>
          <w:rFonts w:hint="eastAsia" w:hAnsi="Times New Roman" w:cs="Times New Roman"/>
          <w:lang w:val="en-US" w:eastAsia="zh-CN"/>
        </w:rPr>
      </w:pPr>
      <w:r>
        <w:rPr>
          <w:rFonts w:hint="eastAsia" w:hAnsi="Times New Roman" w:cs="Times New Roman"/>
          <w:lang w:val="en-US" w:eastAsia="zh-CN"/>
        </w:rPr>
        <w:t>标志与标签</w:t>
      </w:r>
    </w:p>
    <w:p w14:paraId="54EA3E9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符合</w:t>
      </w:r>
      <w:r>
        <w:rPr>
          <w:rFonts w:hint="eastAsia" w:ascii="宋体" w:hAnsi="宋体" w:eastAsia="宋体" w:cs="宋体"/>
          <w:lang w:val="en-US" w:eastAsia="zh-CN"/>
        </w:rPr>
        <w:t>GB 7718、GB 28050</w:t>
      </w:r>
      <w:r>
        <w:rPr>
          <w:rFonts w:hint="eastAsia" w:ascii="Times New Roman" w:hAnsi="Times New Roman" w:eastAsia="宋体" w:cs="Times New Roman"/>
          <w:lang w:val="en-US" w:eastAsia="zh-CN"/>
        </w:rPr>
        <w:t>规定，清晰标注产品名称、配料表、净含量、生产日期、保质期、贮存条件、生产者名称、地址、联系方式、食品生产许可证号。</w:t>
      </w:r>
    </w:p>
    <w:p w14:paraId="034D309B">
      <w:pPr>
        <w:pStyle w:val="106"/>
        <w:bidi w:val="0"/>
        <w:rPr>
          <w:rFonts w:hint="eastAsia" w:hAnsi="Times New Roman" w:cs="Times New Roman"/>
          <w:lang w:val="en-US" w:eastAsia="zh-CN"/>
        </w:rPr>
      </w:pPr>
      <w:r>
        <w:rPr>
          <w:rFonts w:hint="eastAsia" w:hAnsi="Times New Roman" w:cs="Times New Roman"/>
          <w:lang w:val="en-US" w:eastAsia="zh-CN"/>
        </w:rPr>
        <w:t>包装</w:t>
      </w:r>
    </w:p>
    <w:p w14:paraId="25635B5F">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包装材料应符合相关国家标准、</w:t>
      </w:r>
      <w:r>
        <w:rPr>
          <w:rFonts w:hint="default" w:ascii="宋体" w:hAnsi="宋体" w:eastAsia="宋体" w:cs="Times New Roman"/>
          <w:szCs w:val="21"/>
          <w:lang w:val="en-US" w:eastAsia="zh-CN"/>
        </w:rPr>
        <w:t>行业标准的有关规定。</w:t>
      </w:r>
    </w:p>
    <w:p w14:paraId="4DEB0FC4">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产品包装应严密、捆扎结实、无破损和污染现象。</w:t>
      </w:r>
    </w:p>
    <w:p w14:paraId="2976A154">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包装应符合</w:t>
      </w:r>
      <w:r>
        <w:rPr>
          <w:rFonts w:hint="eastAsia" w:ascii="宋体" w:hAnsi="宋体" w:eastAsia="宋体" w:cs="宋体"/>
          <w:szCs w:val="21"/>
          <w:lang w:val="en-US" w:eastAsia="zh-CN"/>
        </w:rPr>
        <w:t xml:space="preserve"> </w:t>
      </w:r>
      <w:r>
        <w:rPr>
          <w:rFonts w:hint="eastAsia" w:ascii="宋体" w:hAnsi="宋体" w:eastAsia="宋体" w:cs="宋体"/>
          <w:sz w:val="21"/>
          <w:lang w:val="en-US" w:eastAsia="zh-CN" w:bidi="ar-SA"/>
        </w:rPr>
        <w:t>GB23350</w:t>
      </w:r>
      <w:r>
        <w:rPr>
          <w:rFonts w:hint="eastAsia" w:ascii="宋体" w:hAnsi="宋体" w:eastAsia="宋体" w:cs="Times New Roman"/>
          <w:szCs w:val="21"/>
          <w:lang w:val="en-US" w:eastAsia="zh-CN"/>
        </w:rPr>
        <w:t>的规定要求。</w:t>
      </w:r>
    </w:p>
    <w:p w14:paraId="52EFA9D3">
      <w:pPr>
        <w:pStyle w:val="105"/>
        <w:spacing w:before="240" w:after="240"/>
        <w:rPr>
          <w:rFonts w:hint="eastAsia" w:ascii="黑体" w:hAnsi="黑体" w:eastAsia="黑体" w:cs="Times New Roman"/>
          <w:b w:val="0"/>
          <w:sz w:val="21"/>
          <w:szCs w:val="21"/>
          <w:lang w:val="en-US" w:eastAsia="zh-CN"/>
        </w:rPr>
      </w:pPr>
      <w:r>
        <w:rPr>
          <w:rFonts w:hint="eastAsia" w:ascii="黑体" w:hAnsi="黑体" w:eastAsia="黑体" w:cs="Times New Roman"/>
          <w:b w:val="0"/>
          <w:sz w:val="21"/>
          <w:szCs w:val="21"/>
          <w:lang w:val="en-US" w:eastAsia="zh-CN"/>
        </w:rPr>
        <w:t>运输、贮存、保质期</w:t>
      </w:r>
    </w:p>
    <w:p w14:paraId="02BBE9FD">
      <w:pPr>
        <w:pStyle w:val="106"/>
        <w:bidi w:val="0"/>
        <w:rPr>
          <w:rFonts w:hint="eastAsia" w:hAnsi="Times New Roman" w:cs="Times New Roman"/>
          <w:lang w:val="en-US" w:eastAsia="zh-CN"/>
        </w:rPr>
      </w:pPr>
      <w:r>
        <w:rPr>
          <w:rFonts w:hint="eastAsia" w:hAnsi="Times New Roman" w:cs="Times New Roman"/>
          <w:lang w:val="en-US" w:eastAsia="zh-CN"/>
        </w:rPr>
        <w:t>运输</w:t>
      </w:r>
    </w:p>
    <w:p w14:paraId="5080BDAF">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运输工具清洁卫生，全程温度</w:t>
      </w:r>
      <w:r>
        <w:rPr>
          <w:rFonts w:hint="eastAsia" w:ascii="宋体" w:hAnsi="宋体" w:eastAsia="宋体" w:cs="宋体"/>
          <w:lang w:val="en-US" w:eastAsia="zh-CN"/>
        </w:rPr>
        <w:t>≤-18 ℃</w:t>
      </w:r>
      <w:r>
        <w:rPr>
          <w:rFonts w:hint="eastAsia" w:ascii="Times New Roman" w:hAnsi="Times New Roman" w:eastAsia="宋体" w:cs="Times New Roman"/>
          <w:lang w:val="en-US" w:eastAsia="zh-CN"/>
        </w:rPr>
        <w:t>，防雨防晒，不与有毒有害物品混运，轻拿轻放。</w:t>
      </w:r>
    </w:p>
    <w:p w14:paraId="1C02CE12">
      <w:pPr>
        <w:pStyle w:val="106"/>
        <w:bidi w:val="0"/>
        <w:rPr>
          <w:rFonts w:hint="eastAsia" w:hAnsi="Times New Roman" w:cs="Times New Roman"/>
          <w:lang w:val="en-US" w:eastAsia="zh-CN"/>
        </w:rPr>
      </w:pPr>
      <w:r>
        <w:rPr>
          <w:rFonts w:hint="eastAsia" w:hAnsi="Times New Roman" w:cs="Times New Roman"/>
          <w:lang w:val="en-US" w:eastAsia="zh-CN"/>
        </w:rPr>
        <w:t>贮存</w:t>
      </w:r>
    </w:p>
    <w:p w14:paraId="75D10C07">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贮存在≤-18 ℃冷库，清洁干燥通风，有防鼠防虫设施；离地离墙存放，不与有毒有害物品同库。</w:t>
      </w:r>
    </w:p>
    <w:p w14:paraId="49140281">
      <w:pPr>
        <w:pStyle w:val="166"/>
        <w:bidi w:val="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产品贮存应离地、离墙保持不少于</w:t>
      </w:r>
      <w:r>
        <w:rPr>
          <w:rFonts w:hint="eastAsia" w:ascii="宋体" w:hAnsi="宋体" w:eastAsia="宋体" w:cs="宋体"/>
          <w:sz w:val="21"/>
          <w:lang w:val="en-US" w:eastAsia="zh-CN" w:bidi="ar-SA"/>
        </w:rPr>
        <w:t>10cm</w:t>
      </w:r>
      <w:r>
        <w:rPr>
          <w:rFonts w:hint="eastAsia" w:ascii="宋体" w:hAnsi="宋体" w:eastAsia="宋体" w:cs="Times New Roman"/>
          <w:szCs w:val="21"/>
          <w:lang w:val="en-US" w:eastAsia="zh-CN"/>
        </w:rPr>
        <w:t>。</w:t>
      </w:r>
    </w:p>
    <w:p w14:paraId="6F71DD4E">
      <w:pPr>
        <w:pStyle w:val="106"/>
        <w:bidi w:val="0"/>
        <w:rPr>
          <w:rFonts w:hint="eastAsia" w:hAnsi="Times New Roman" w:cs="Times New Roman"/>
          <w:lang w:val="en-US" w:eastAsia="zh-CN"/>
        </w:rPr>
      </w:pPr>
      <w:r>
        <w:rPr>
          <w:rFonts w:hint="eastAsia" w:hAnsi="Times New Roman" w:cs="Times New Roman"/>
          <w:lang w:val="en-US" w:eastAsia="zh-CN"/>
        </w:rPr>
        <w:t>保质期</w:t>
      </w:r>
    </w:p>
    <w:p w14:paraId="706D47B0">
      <w:pPr>
        <w:pStyle w:val="58"/>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在符合本文件规定的贮运条件下，保质期为</w:t>
      </w:r>
      <w:r>
        <w:rPr>
          <w:rFonts w:hint="eastAsia" w:ascii="宋体" w:hAnsi="宋体" w:eastAsia="宋体" w:cs="宋体"/>
          <w:lang w:val="en-US" w:eastAsia="zh-CN"/>
        </w:rPr>
        <w:t>12</w:t>
      </w:r>
      <w:r>
        <w:rPr>
          <w:rFonts w:hint="eastAsia" w:ascii="Times New Roman" w:hAnsi="Times New Roman" w:eastAsia="宋体" w:cs="Times New Roman"/>
          <w:lang w:val="en-US" w:eastAsia="zh-CN"/>
        </w:rPr>
        <w:t>个月。</w:t>
      </w:r>
    </w:p>
    <w:bookmarkEnd w:id="19"/>
    <w:p w14:paraId="7160E9C2">
      <w:pPr>
        <w:pStyle w:val="58"/>
        <w:ind w:firstLine="0" w:firstLineChars="0"/>
        <w:jc w:val="center"/>
        <w:rPr>
          <w:rFonts w:hint="eastAsia" w:ascii="Times New Roman" w:hAnsi="Times New Roman" w:eastAsia="宋体" w:cs="Times New Roman"/>
          <w:lang w:val="en-US" w:eastAsia="zh-CN"/>
        </w:rPr>
      </w:pPr>
      <w:bookmarkStart w:id="21" w:name="BookMark8"/>
      <w:r>
        <w:rPr>
          <w:rFonts w:hint="eastAsia" w:ascii="Times New Roman" w:hAnsi="Times New Roman" w:eastAsia="宋体" w:cs="Times New Roman"/>
          <w:lang w:val="en-US" w:eastAsia="zh-CN"/>
        </w:rPr>
        <w:drawing>
          <wp:inline distT="0" distB="0" distL="114300" distR="114300">
            <wp:extent cx="1485900" cy="317500"/>
            <wp:effectExtent l="0" t="0" r="0" b="6350"/>
            <wp:docPr id="3" name="图片 3" descr="1"/>
            <wp:cNvGraphicFramePr/>
            <a:graphic xmlns:a="http://schemas.openxmlformats.org/drawingml/2006/main">
              <a:graphicData uri="http://schemas.openxmlformats.org/drawingml/2006/picture">
                <pic:pic xmlns:pic="http://schemas.openxmlformats.org/drawingml/2006/picture">
                  <pic:nvPicPr>
                    <pic:cNvPr id="3" name="图片 3" descr="1"/>
                    <pic:cNvPicPr/>
                  </pic:nvPicPr>
                  <pic:blipFill>
                    <a:blip r:embed="rId15"/>
                    <a:stretch>
                      <a:fillRect/>
                    </a:stretch>
                  </pic:blipFill>
                  <pic:spPr>
                    <a:xfrm>
                      <a:off x="0" y="0"/>
                      <a:ext cx="1485900" cy="317500"/>
                    </a:xfrm>
                    <a:prstGeom prst="rect">
                      <a:avLst/>
                    </a:prstGeom>
                  </pic:spPr>
                </pic:pic>
              </a:graphicData>
            </a:graphic>
          </wp:inline>
        </w:drawing>
      </w:r>
      <w:bookmarkEnd w:id="21"/>
    </w:p>
    <w:sectPr>
      <w:pgSz w:w="11906" w:h="16838"/>
      <w:pgMar w:top="1928" w:right="1134" w:bottom="1134" w:left="1134" w:header="1418" w:footer="1134" w:gutter="284"/>
      <w:pgNumType w:start="1"/>
      <w:cols w:space="720"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7EDF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0A293">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BFF31">
    <w:pPr>
      <w:pStyle w:val="54"/>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56B54">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E819E">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42F89">
    <w:pPr>
      <w:pStyle w:val="64"/>
      <w:rPr>
        <w:rFonts w:hint="eastAsia"/>
      </w:rPr>
    </w:pPr>
    <w:r>
      <w:fldChar w:fldCharType="begin"/>
    </w:r>
    <w:r>
      <w:instrText xml:space="preserve"> STYLEREF  标准文件_文件编号  \* MERGEFORMAT </w:instrText>
    </w:r>
    <w:r>
      <w:fldChar w:fldCharType="separate"/>
    </w:r>
    <w:r>
      <w:t>T/QAS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13C4A">
    <w:pPr>
      <w:pStyle w:val="18"/>
      <w:jc w:val="right"/>
    </w:pPr>
    <w:r>
      <w:fldChar w:fldCharType="begin"/>
    </w:r>
    <w:r>
      <w:instrText xml:space="preserve"> STYLEREF  标准文件_文件编号  \* MERGEFORMAT </w:instrText>
    </w:r>
    <w:r>
      <w:fldChar w:fldCharType="separate"/>
    </w:r>
    <w:r>
      <w:t>T/QAS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1"/>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hAnsi="等线" w:eastAsia="黑体"/>
        <w:b w:val="0"/>
        <w:i w:val="0"/>
        <w:sz w:val="21"/>
      </w:rPr>
    </w:lvl>
    <w:lvl w:ilvl="2" w:tentative="0">
      <w:start w:val="1"/>
      <w:numFmt w:val="decimal"/>
      <w:pStyle w:val="201"/>
      <w:suff w:val="nothing"/>
      <w:lvlText w:val="%10.%2.%3 "/>
      <w:lvlJc w:val="left"/>
      <w:pPr>
        <w:ind w:left="0" w:firstLine="0"/>
      </w:pPr>
      <w:rPr>
        <w:rFonts w:hint="eastAsia" w:ascii="黑体" w:hAnsi="等线" w:eastAsia="黑体"/>
        <w:b w:val="0"/>
        <w:i w:val="0"/>
        <w:sz w:val="21"/>
      </w:rPr>
    </w:lvl>
    <w:lvl w:ilvl="3" w:tentative="0">
      <w:start w:val="1"/>
      <w:numFmt w:val="decimal"/>
      <w:pStyle w:val="202"/>
      <w:suff w:val="nothing"/>
      <w:lvlText w:val="%10.%2.%3.%4 "/>
      <w:lvlJc w:val="left"/>
      <w:pPr>
        <w:ind w:left="0" w:firstLine="0"/>
      </w:pPr>
      <w:rPr>
        <w:rFonts w:hint="eastAsia" w:ascii="黑体" w:hAnsi="等线" w:eastAsia="黑体"/>
        <w:b w:val="0"/>
        <w:i w:val="0"/>
        <w:sz w:val="21"/>
      </w:rPr>
    </w:lvl>
    <w:lvl w:ilvl="4" w:tentative="0">
      <w:start w:val="1"/>
      <w:numFmt w:val="decimal"/>
      <w:pStyle w:val="203"/>
      <w:suff w:val="nothing"/>
      <w:lvlText w:val="%10.%2.%3.%4.%5 "/>
      <w:lvlJc w:val="left"/>
      <w:pPr>
        <w:ind w:left="0" w:firstLine="0"/>
      </w:pPr>
      <w:rPr>
        <w:rFonts w:hint="eastAsia" w:ascii="黑体" w:hAnsi="等线" w:eastAsia="黑体"/>
        <w:b w:val="0"/>
        <w:i w:val="0"/>
        <w:sz w:val="21"/>
      </w:rPr>
    </w:lvl>
    <w:lvl w:ilvl="5" w:tentative="0">
      <w:start w:val="1"/>
      <w:numFmt w:val="decimal"/>
      <w:pStyle w:val="204"/>
      <w:suff w:val="nothing"/>
      <w:lvlText w:val="%10.%2.%3.%4.%5.%6 "/>
      <w:lvlJc w:val="left"/>
      <w:pPr>
        <w:ind w:left="0" w:firstLine="0"/>
      </w:pPr>
      <w:rPr>
        <w:rFonts w:hint="eastAsia"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4"/>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6"/>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5"/>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80"/>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hAnsi="等线 Light" w:eastAsia="宋体"/>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9"/>
      <w:suff w:val="nothing"/>
      <w:lvlText w:val="附录%1"/>
      <w:lvlJc w:val="left"/>
      <w:pPr>
        <w:ind w:left="0" w:firstLine="0"/>
      </w:pPr>
      <w:rPr>
        <w:rFonts w:hint="eastAsia"/>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9"/>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pStyle w:val="96"/>
      <w:suff w:val="nothing"/>
      <w:lvlText w:val="%1%2.%3.%4.%5　"/>
      <w:lvlJc w:val="left"/>
      <w:pPr>
        <w:ind w:left="0" w:firstLine="0"/>
      </w:pPr>
      <w:rPr>
        <w:rFonts w:hint="eastAsia" w:ascii="黑体" w:eastAsia="黑体"/>
        <w:b w:val="0"/>
        <w:i w:val="0"/>
        <w:sz w:val="21"/>
      </w:rPr>
    </w:lvl>
    <w:lvl w:ilvl="5" w:tentative="0">
      <w:start w:val="1"/>
      <w:numFmt w:val="decimal"/>
      <w:pStyle w:val="100"/>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linkStyles/>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5700779"/>
    <w:rsid w:val="0F5E6D36"/>
    <w:rsid w:val="0F702F52"/>
    <w:rsid w:val="12A46A61"/>
    <w:rsid w:val="141375F3"/>
    <w:rsid w:val="14475F14"/>
    <w:rsid w:val="16A6331D"/>
    <w:rsid w:val="18E80CA3"/>
    <w:rsid w:val="191B439A"/>
    <w:rsid w:val="1B1D2605"/>
    <w:rsid w:val="1E8C1389"/>
    <w:rsid w:val="24011E28"/>
    <w:rsid w:val="2A252AF8"/>
    <w:rsid w:val="2E047A43"/>
    <w:rsid w:val="33016126"/>
    <w:rsid w:val="3BA549D8"/>
    <w:rsid w:val="3C9A6D9F"/>
    <w:rsid w:val="3F8D5D83"/>
    <w:rsid w:val="44E8227A"/>
    <w:rsid w:val="474E6020"/>
    <w:rsid w:val="47EE4F20"/>
    <w:rsid w:val="4B383175"/>
    <w:rsid w:val="58A41C96"/>
    <w:rsid w:val="5BFA5697"/>
    <w:rsid w:val="60EA55D4"/>
    <w:rsid w:val="611B55B5"/>
    <w:rsid w:val="62765B07"/>
    <w:rsid w:val="69DB7A96"/>
    <w:rsid w:val="73C23B83"/>
    <w:rsid w:val="74CA331E"/>
    <w:rsid w:val="75073811"/>
    <w:rsid w:val="77406670"/>
    <w:rsid w:val="77AA1D1F"/>
    <w:rsid w:val="79171739"/>
    <w:rsid w:val="7D1B2E62"/>
    <w:rsid w:val="7DB62A4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qFormat="1" w:unhideWhenUsed="0" w:uiPriority="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semiHidden="0" w:name="Balloon Text"/>
    <w:lsdException w:qFormat="1" w:unhideWhenUsed="0" w:uiPriority="39" w:semiHidden="0" w:name="Table Grid"/>
    <w:lsdException w:unhideWhenUsed="0" w:uiPriority="0" w:semiHidden="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qFormat/>
    <w:uiPriority w:val="0"/>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43"/>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4"/>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6"/>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47"/>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sz w:val="32"/>
      <w:szCs w:val="32"/>
    </w:rPr>
  </w:style>
  <w:style w:type="character" w:customStyle="1" w:styleId="36">
    <w:name w:val="标题 3 字符"/>
    <w:link w:val="4"/>
    <w:qFormat/>
    <w:uiPriority w:val="0"/>
    <w:rPr>
      <w:b/>
      <w:bCs/>
      <w:sz w:val="32"/>
      <w:szCs w:val="32"/>
    </w:rPr>
  </w:style>
  <w:style w:type="character" w:customStyle="1" w:styleId="37">
    <w:name w:val="标题 4 字符"/>
    <w:link w:val="5"/>
    <w:qFormat/>
    <w:uiPriority w:val="0"/>
    <w:rPr>
      <w:rFonts w:ascii="Arial" w:hAnsi="Arial" w:eastAsia="黑体"/>
      <w:b/>
      <w:bCs/>
      <w:sz w:val="28"/>
      <w:szCs w:val="28"/>
    </w:rPr>
  </w:style>
  <w:style w:type="character" w:customStyle="1" w:styleId="38">
    <w:name w:val="标题 5 字符"/>
    <w:link w:val="6"/>
    <w:qFormat/>
    <w:uiPriority w:val="0"/>
    <w:rPr>
      <w:b/>
      <w:bCs/>
      <w:sz w:val="28"/>
      <w:szCs w:val="28"/>
    </w:rPr>
  </w:style>
  <w:style w:type="character" w:customStyle="1" w:styleId="39">
    <w:name w:val="标题 6 字符"/>
    <w:link w:val="7"/>
    <w:qFormat/>
    <w:uiPriority w:val="0"/>
    <w:rPr>
      <w:rFonts w:ascii="Arial" w:hAnsi="Arial" w:eastAsia="黑体"/>
      <w:b/>
      <w:bCs/>
      <w:sz w:val="24"/>
      <w:szCs w:val="24"/>
    </w:rPr>
  </w:style>
  <w:style w:type="character" w:customStyle="1" w:styleId="40">
    <w:name w:val="标题 7 字符"/>
    <w:link w:val="8"/>
    <w:qFormat/>
    <w:uiPriority w:val="0"/>
    <w:rPr>
      <w:b/>
      <w:bCs/>
      <w:sz w:val="24"/>
      <w:szCs w:val="24"/>
    </w:rPr>
  </w:style>
  <w:style w:type="character" w:customStyle="1" w:styleId="41">
    <w:name w:val="标题 8 字符"/>
    <w:link w:val="9"/>
    <w:qFormat/>
    <w:uiPriority w:val="0"/>
    <w:rPr>
      <w:rFonts w:ascii="Arial" w:hAnsi="Arial" w:eastAsia="黑体"/>
      <w:sz w:val="24"/>
      <w:szCs w:val="24"/>
    </w:rPr>
  </w:style>
  <w:style w:type="character" w:customStyle="1" w:styleId="42">
    <w:name w:val="标题 9 字符"/>
    <w:link w:val="10"/>
    <w:qFormat/>
    <w:uiPriority w:val="0"/>
    <w:rPr>
      <w:rFonts w:ascii="Arial" w:hAnsi="Arial" w:eastAsia="黑体"/>
    </w:rPr>
  </w:style>
  <w:style w:type="character" w:customStyle="1" w:styleId="43">
    <w:name w:val="正文文本 字符"/>
    <w:link w:val="13"/>
    <w:qFormat/>
    <w:uiPriority w:val="0"/>
  </w:style>
  <w:style w:type="character" w:customStyle="1" w:styleId="44">
    <w:name w:val="批注框文本 字符"/>
    <w:link w:val="16"/>
    <w:semiHidden/>
    <w:qFormat/>
    <w:uiPriority w:val="99"/>
    <w:rPr>
      <w:sz w:val="18"/>
      <w:szCs w:val="18"/>
    </w:rPr>
  </w:style>
  <w:style w:type="character" w:customStyle="1" w:styleId="45">
    <w:name w:val="页脚 字符"/>
    <w:link w:val="17"/>
    <w:qFormat/>
    <w:uiPriority w:val="99"/>
    <w:rPr>
      <w:rFonts w:ascii="宋体"/>
      <w:sz w:val="18"/>
      <w:szCs w:val="18"/>
    </w:rPr>
  </w:style>
  <w:style w:type="character" w:customStyle="1" w:styleId="46">
    <w:name w:val="页眉 字符"/>
    <w:link w:val="18"/>
    <w:qFormat/>
    <w:uiPriority w:val="99"/>
    <w:rPr>
      <w:sz w:val="18"/>
      <w:szCs w:val="18"/>
    </w:rPr>
  </w:style>
  <w:style w:type="character" w:customStyle="1" w:styleId="47">
    <w:name w:val="脚注文本 字符"/>
    <w:link w:val="21"/>
    <w:semiHidden/>
    <w:qFormat/>
    <w:uiPriority w:val="0"/>
    <w:rPr>
      <w:rFonts w:ascii="宋体"/>
      <w:sz w:val="18"/>
      <w:szCs w:val="18"/>
    </w:rPr>
  </w:style>
  <w:style w:type="character" w:customStyle="1" w:styleId="48">
    <w:name w:val="标题 字符"/>
    <w:link w:val="25"/>
    <w:qFormat/>
    <w:uiPriority w:val="0"/>
    <w:rPr>
      <w:rFonts w:ascii="Arial" w:hAnsi="Arial" w:cs="Arial"/>
      <w:b/>
      <w:bCs/>
      <w:sz w:val="32"/>
      <w:szCs w:val="32"/>
    </w:rPr>
  </w:style>
  <w:style w:type="paragraph" w:styleId="49">
    <w:name w:val="Quote"/>
    <w:basedOn w:val="1"/>
    <w:next w:val="1"/>
    <w:link w:val="50"/>
    <w:qFormat/>
    <w:uiPriority w:val="29"/>
    <w:rPr>
      <w:i/>
      <w:iCs/>
      <w:color w:val="000000"/>
    </w:rPr>
  </w:style>
  <w:style w:type="character" w:customStyle="1" w:styleId="50">
    <w:name w:val="引用 字符"/>
    <w:link w:val="49"/>
    <w:qFormat/>
    <w:uiPriority w:val="29"/>
    <w:rPr>
      <w:i/>
      <w:iCs/>
      <w:color w:val="000000"/>
    </w:rPr>
  </w:style>
  <w:style w:type="paragraph" w:customStyle="1" w:styleId="51">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2">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3">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4">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5">
    <w:name w:val="标准书眉一"/>
    <w:qFormat/>
    <w:uiPriority w:val="0"/>
    <w:pPr>
      <w:jc w:val="both"/>
    </w:pPr>
    <w:rPr>
      <w:rFonts w:ascii="Times New Roman" w:hAnsi="Times New Roman" w:eastAsia="宋体" w:cs="Times New Roman"/>
      <w:lang w:val="en-US" w:eastAsia="zh-CN" w:bidi="ar-SA"/>
    </w:rPr>
  </w:style>
  <w:style w:type="paragraph" w:customStyle="1" w:styleId="56">
    <w:name w:val="标准文件_ICS"/>
    <w:basedOn w:val="1"/>
    <w:qFormat/>
    <w:uiPriority w:val="0"/>
    <w:pPr>
      <w:spacing w:line="0" w:lineRule="atLeast"/>
    </w:pPr>
    <w:rPr>
      <w:rFonts w:ascii="黑体" w:hAnsi="宋体" w:eastAsia="黑体"/>
    </w:rPr>
  </w:style>
  <w:style w:type="paragraph" w:customStyle="1" w:styleId="57">
    <w:name w:val="标准文件_标准正文"/>
    <w:basedOn w:val="1"/>
    <w:next w:val="58"/>
    <w:qFormat/>
    <w:uiPriority w:val="0"/>
    <w:pPr>
      <w:snapToGrid w:val="0"/>
      <w:ind w:firstLine="200" w:firstLineChars="200"/>
    </w:pPr>
    <w:rPr>
      <w:kern w:val="0"/>
    </w:rPr>
  </w:style>
  <w:style w:type="paragraph" w:customStyle="1" w:styleId="58">
    <w:name w:val="标准文件_段"/>
    <w:link w:val="59"/>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character" w:customStyle="1" w:styleId="59">
    <w:name w:val="标准文件_段 Char"/>
    <w:link w:val="58"/>
    <w:qFormat/>
    <w:uiPriority w:val="0"/>
    <w:rPr>
      <w:rFonts w:ascii="Times New Roman" w:hAnsi="Times New Roman" w:eastAsia="宋体" w:cs="Times New Roman"/>
      <w:sz w:val="21"/>
      <w:lang w:val="en-US" w:eastAsia="zh-CN" w:bidi="ar-SA"/>
    </w:rPr>
  </w:style>
  <w:style w:type="paragraph" w:customStyle="1" w:styleId="60">
    <w:name w:val="标准文件_版本"/>
    <w:basedOn w:val="57"/>
    <w:qFormat/>
    <w:uiPriority w:val="0"/>
    <w:pPr>
      <w:adjustRightInd/>
      <w:snapToGrid/>
      <w:ind w:firstLine="0" w:firstLineChars="0"/>
    </w:pPr>
    <w:rPr>
      <w:rFonts w:ascii="宋体" w:hAnsi="宋体"/>
      <w:kern w:val="2"/>
    </w:rPr>
  </w:style>
  <w:style w:type="paragraph" w:customStyle="1" w:styleId="61">
    <w:name w:val="标准文件_标准部门"/>
    <w:basedOn w:val="1"/>
    <w:qFormat/>
    <w:uiPriority w:val="0"/>
    <w:pPr>
      <w:jc w:val="center"/>
    </w:pPr>
    <w:rPr>
      <w:rFonts w:ascii="黑体" w:eastAsia="黑体"/>
      <w:kern w:val="0"/>
      <w:sz w:val="44"/>
    </w:rPr>
  </w:style>
  <w:style w:type="paragraph" w:customStyle="1" w:styleId="62">
    <w:name w:val="标准文件_标准代替"/>
    <w:basedOn w:val="1"/>
    <w:next w:val="1"/>
    <w:qFormat/>
    <w:uiPriority w:val="0"/>
    <w:pPr>
      <w:spacing w:line="310" w:lineRule="exact"/>
      <w:jc w:val="right"/>
    </w:pPr>
    <w:rPr>
      <w:rFonts w:ascii="宋体" w:hAnsi="宋体"/>
      <w:kern w:val="0"/>
    </w:rPr>
  </w:style>
  <w:style w:type="paragraph" w:customStyle="1" w:styleId="63">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8"/>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qFormat/>
    <w:uiPriority w:val="0"/>
    <w:rPr>
      <w:rFonts w:ascii="黑体" w:eastAsia="黑体"/>
      <w:spacing w:val="0"/>
      <w:w w:val="100"/>
      <w:position w:val="3"/>
      <w:sz w:val="28"/>
    </w:rPr>
  </w:style>
  <w:style w:type="paragraph" w:customStyle="1" w:styleId="70">
    <w:name w:val="标准文件_方框数字列项"/>
    <w:basedOn w:val="58"/>
    <w:qFormat/>
    <w:uiPriority w:val="0"/>
    <w:pPr>
      <w:numPr>
        <w:ilvl w:val="0"/>
        <w:numId w:val="3"/>
      </w:numPr>
      <w:ind w:firstLine="0" w:firstLineChars="0"/>
    </w:pPr>
  </w:style>
  <w:style w:type="paragraph" w:customStyle="1" w:styleId="71">
    <w:name w:val="标准文件_封面标准编号"/>
    <w:basedOn w:val="1"/>
    <w:next w:val="62"/>
    <w:qFormat/>
    <w:uiPriority w:val="0"/>
    <w:pPr>
      <w:spacing w:line="310" w:lineRule="exact"/>
      <w:jc w:val="right"/>
    </w:pPr>
    <w:rPr>
      <w:rFonts w:ascii="黑体" w:eastAsia="黑体"/>
      <w:kern w:val="0"/>
      <w:sz w:val="28"/>
    </w:rPr>
  </w:style>
  <w:style w:type="paragraph" w:customStyle="1" w:styleId="72">
    <w:name w:val="标准文件_封面标准分类号"/>
    <w:basedOn w:val="1"/>
    <w:qFormat/>
    <w:uiPriority w:val="0"/>
    <w:rPr>
      <w:rFonts w:ascii="黑体" w:eastAsia="黑体"/>
      <w:b/>
      <w:kern w:val="0"/>
      <w:sz w:val="28"/>
    </w:rPr>
  </w:style>
  <w:style w:type="paragraph" w:customStyle="1" w:styleId="73">
    <w:name w:val="标准文件_封面标准名称"/>
    <w:basedOn w:val="1"/>
    <w:qFormat/>
    <w:uiPriority w:val="0"/>
    <w:pPr>
      <w:spacing w:line="240" w:lineRule="auto"/>
      <w:jc w:val="center"/>
    </w:pPr>
    <w:rPr>
      <w:rFonts w:ascii="黑体" w:eastAsia="黑体"/>
      <w:kern w:val="0"/>
      <w:sz w:val="52"/>
    </w:rPr>
  </w:style>
  <w:style w:type="paragraph" w:customStyle="1" w:styleId="74">
    <w:name w:val="标准文件_封面标准英文名称"/>
    <w:basedOn w:val="1"/>
    <w:qFormat/>
    <w:uiPriority w:val="0"/>
    <w:pPr>
      <w:spacing w:line="240" w:lineRule="auto"/>
      <w:jc w:val="center"/>
    </w:pPr>
    <w:rPr>
      <w:rFonts w:ascii="黑体" w:eastAsia="黑体"/>
      <w:b/>
      <w:sz w:val="28"/>
    </w:rPr>
  </w:style>
  <w:style w:type="paragraph" w:customStyle="1" w:styleId="75">
    <w:name w:val="标准文件_封面发布日期"/>
    <w:basedOn w:val="1"/>
    <w:qFormat/>
    <w:uiPriority w:val="0"/>
    <w:pPr>
      <w:spacing w:line="310" w:lineRule="exact"/>
    </w:pPr>
    <w:rPr>
      <w:rFonts w:ascii="黑体" w:eastAsia="黑体"/>
      <w:kern w:val="0"/>
      <w:sz w:val="28"/>
    </w:rPr>
  </w:style>
  <w:style w:type="paragraph" w:customStyle="1" w:styleId="76">
    <w:name w:val="标准文件_封面密级"/>
    <w:basedOn w:val="1"/>
    <w:qFormat/>
    <w:uiPriority w:val="0"/>
    <w:rPr>
      <w:rFonts w:eastAsia="黑体"/>
      <w:sz w:val="32"/>
    </w:rPr>
  </w:style>
  <w:style w:type="paragraph" w:customStyle="1" w:styleId="77">
    <w:name w:val="标准文件_封面实施日期"/>
    <w:basedOn w:val="1"/>
    <w:qFormat/>
    <w:uiPriority w:val="0"/>
    <w:pPr>
      <w:spacing w:line="310" w:lineRule="exact"/>
      <w:jc w:val="right"/>
    </w:pPr>
    <w:rPr>
      <w:rFonts w:ascii="黑体" w:eastAsia="黑体"/>
      <w:sz w:val="28"/>
    </w:rPr>
  </w:style>
  <w:style w:type="paragraph" w:customStyle="1" w:styleId="78">
    <w:name w:val="标准文件_封面抬头"/>
    <w:basedOn w:val="58"/>
    <w:qFormat/>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8"/>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8"/>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8"/>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8"/>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7"/>
    <w:next w:val="57"/>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8"/>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8"/>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8"/>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8"/>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paragraph" w:customStyle="1" w:styleId="89">
    <w:name w:val="标准文件_附录章标题"/>
    <w:next w:val="58"/>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0">
    <w:name w:val="标准文件_公式后的破折号"/>
    <w:basedOn w:val="58"/>
    <w:next w:val="58"/>
    <w:qFormat/>
    <w:uiPriority w:val="0"/>
    <w:pPr>
      <w:ind w:left="488" w:leftChars="200" w:hanging="289" w:hangingChars="290"/>
    </w:pPr>
  </w:style>
  <w:style w:type="paragraph" w:customStyle="1" w:styleId="91">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2">
    <w:name w:val="标准文件_目次、标准名称标题"/>
    <w:basedOn w:val="91"/>
    <w:next w:val="58"/>
    <w:qFormat/>
    <w:uiPriority w:val="0"/>
    <w:pPr>
      <w:spacing w:line="460" w:lineRule="exact"/>
      <w:ind w:left="0" w:firstLine="0"/>
    </w:pPr>
  </w:style>
  <w:style w:type="paragraph" w:customStyle="1" w:styleId="93">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4">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5">
    <w:name w:val="标准文件_破折号列项（二级）"/>
    <w:basedOn w:val="94"/>
    <w:qFormat/>
    <w:uiPriority w:val="0"/>
    <w:pPr>
      <w:numPr>
        <w:numId w:val="10"/>
      </w:numPr>
    </w:pPr>
  </w:style>
  <w:style w:type="paragraph" w:customStyle="1" w:styleId="96">
    <w:name w:val="标准文件_三级条标题"/>
    <w:basedOn w:val="68"/>
    <w:next w:val="58"/>
    <w:qFormat/>
    <w:uiPriority w:val="0"/>
    <w:pPr>
      <w:widowControl/>
      <w:numPr>
        <w:ilvl w:val="4"/>
      </w:numPr>
      <w:outlineLvl w:val="3"/>
    </w:pPr>
  </w:style>
  <w:style w:type="character" w:customStyle="1" w:styleId="97">
    <w:name w:val="Subtle Reference"/>
    <w:qFormat/>
    <w:uiPriority w:val="31"/>
    <w:rPr>
      <w:smallCaps/>
      <w:color w:val="C0504D"/>
      <w:u w:val="single"/>
    </w:rPr>
  </w:style>
  <w:style w:type="paragraph" w:customStyle="1" w:styleId="98">
    <w:name w:val="标准文件_示例后续"/>
    <w:basedOn w:val="1"/>
    <w:qFormat/>
    <w:uiPriority w:val="0"/>
    <w:pPr>
      <w:adjustRightInd/>
      <w:spacing w:line="240" w:lineRule="auto"/>
      <w:ind w:firstLine="200" w:firstLineChars="200"/>
    </w:pPr>
    <w:rPr>
      <w:sz w:val="18"/>
      <w:szCs w:val="24"/>
    </w:rPr>
  </w:style>
  <w:style w:type="paragraph" w:customStyle="1" w:styleId="99">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0">
    <w:name w:val="标准文件_四级条标题"/>
    <w:next w:val="58"/>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8"/>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8"/>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8"/>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8"/>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7"/>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8"/>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8"/>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7"/>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8"/>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8"/>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8"/>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8"/>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8"/>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8"/>
    <w:qFormat/>
    <w:uiPriority w:val="0"/>
    <w:pPr>
      <w:outlineLvl w:val="4"/>
    </w:pPr>
  </w:style>
  <w:style w:type="paragraph" w:customStyle="1" w:styleId="131">
    <w:name w:val="附录四级无标题条"/>
    <w:basedOn w:val="130"/>
    <w:next w:val="58"/>
    <w:qFormat/>
    <w:uiPriority w:val="0"/>
    <w:pPr>
      <w:outlineLvl w:val="5"/>
    </w:pPr>
  </w:style>
  <w:style w:type="paragraph" w:customStyle="1" w:styleId="132">
    <w:name w:val="附录图"/>
    <w:next w:val="58"/>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8"/>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9"/>
    <w:next w:val="58"/>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8"/>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8"/>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6"/>
    <w:qFormat/>
    <w:uiPriority w:val="0"/>
    <w:pPr>
      <w:spacing w:before="0" w:beforeLines="0" w:after="0" w:afterLines="0"/>
      <w:outlineLvl w:val="9"/>
    </w:pPr>
    <w:rPr>
      <w:rFonts w:ascii="宋体" w:eastAsia="宋体"/>
    </w:rPr>
  </w:style>
  <w:style w:type="paragraph" w:customStyle="1" w:styleId="166">
    <w:name w:val="标准文件_二级无标题"/>
    <w:basedOn w:val="68"/>
    <w:qFormat/>
    <w:uiPriority w:val="0"/>
    <w:pPr>
      <w:spacing w:before="0" w:beforeLines="0" w:after="0" w:afterLines="0"/>
      <w:outlineLvl w:val="9"/>
    </w:pPr>
    <w:rPr>
      <w:rFonts w:ascii="宋体" w:eastAsia="宋体"/>
    </w:rPr>
  </w:style>
  <w:style w:type="paragraph" w:customStyle="1" w:styleId="167">
    <w:name w:val="标准_四级无标题"/>
    <w:basedOn w:val="100"/>
    <w:next w:val="58"/>
    <w:qFormat/>
    <w:uiPriority w:val="0"/>
    <w:rPr>
      <w:rFonts w:eastAsia="宋体"/>
    </w:rPr>
  </w:style>
  <w:style w:type="paragraph" w:customStyle="1" w:styleId="168">
    <w:name w:val="标准文件_四级无标题"/>
    <w:basedOn w:val="100"/>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8"/>
    <w:qFormat/>
    <w:uiPriority w:val="0"/>
    <w:pPr>
      <w:numPr>
        <w:ilvl w:val="0"/>
        <w:numId w:val="23"/>
      </w:numPr>
      <w:ind w:firstLine="0" w:firstLineChars="0"/>
    </w:pPr>
    <w:rPr>
      <w:rFonts w:cs="Arial"/>
      <w:szCs w:val="28"/>
    </w:rPr>
  </w:style>
  <w:style w:type="paragraph" w:customStyle="1" w:styleId="170">
    <w:name w:val="标准文件_小写罗马数字编号列项"/>
    <w:basedOn w:val="58"/>
    <w:qFormat/>
    <w:uiPriority w:val="0"/>
    <w:pPr>
      <w:numPr>
        <w:ilvl w:val="0"/>
        <w:numId w:val="24"/>
      </w:numPr>
      <w:ind w:firstLine="0" w:firstLineChars="0"/>
    </w:pPr>
    <w:rPr>
      <w:rFonts w:cs="Arial"/>
      <w:szCs w:val="28"/>
    </w:rPr>
  </w:style>
  <w:style w:type="paragraph" w:customStyle="1" w:styleId="171">
    <w:name w:val="标准文件_附录标题"/>
    <w:basedOn w:val="79"/>
    <w:qFormat/>
    <w:uiPriority w:val="0"/>
    <w:pPr>
      <w:numPr>
        <w:ilvl w:val="0"/>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300" w:lineRule="exact"/>
    </w:pPr>
    <w:rPr>
      <w:rFonts w:ascii="Times New Roman" w:hAnsi="Times New Roman"/>
    </w:rPr>
  </w:style>
  <w:style w:type="paragraph" w:customStyle="1" w:styleId="174">
    <w:name w:val="图表脚注说明"/>
    <w:basedOn w:val="1"/>
    <w:next w:val="58"/>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8"/>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8"/>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8"/>
    <w:qFormat/>
    <w:uiPriority w:val="0"/>
    <w:pPr>
      <w:ind w:firstLine="0" w:firstLineChars="0"/>
      <w:jc w:val="center"/>
    </w:pPr>
    <w:rPr>
      <w:sz w:val="18"/>
    </w:rPr>
  </w:style>
  <w:style w:type="paragraph" w:customStyle="1" w:styleId="180">
    <w:name w:val="标准文件_注："/>
    <w:next w:val="58"/>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8"/>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paragraph" w:customStyle="1" w:styleId="185">
    <w:name w:val="标准文件_表格续"/>
    <w:basedOn w:val="58"/>
    <w:next w:val="58"/>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8"/>
    <w:qFormat/>
    <w:uiPriority w:val="0"/>
    <w:pPr>
      <w:numPr>
        <w:ilvl w:val="1"/>
        <w:numId w:val="21"/>
      </w:numPr>
      <w:ind w:firstLine="0" w:firstLineChars="0"/>
    </w:pPr>
  </w:style>
  <w:style w:type="paragraph" w:customStyle="1" w:styleId="188">
    <w:name w:val="标准文件_三级项2"/>
    <w:basedOn w:val="58"/>
    <w:qFormat/>
    <w:uiPriority w:val="0"/>
    <w:pPr>
      <w:numPr>
        <w:ilvl w:val="0"/>
        <w:numId w:val="30"/>
      </w:numPr>
      <w:spacing w:line="300" w:lineRule="exact"/>
      <w:ind w:firstLineChars="0"/>
    </w:pPr>
  </w:style>
  <w:style w:type="paragraph" w:customStyle="1" w:styleId="189">
    <w:name w:val="标准文件_一级项2"/>
    <w:basedOn w:val="58"/>
    <w:qFormat/>
    <w:uiPriority w:val="0"/>
    <w:pPr>
      <w:numPr>
        <w:ilvl w:val="0"/>
        <w:numId w:val="31"/>
      </w:numPr>
      <w:spacing w:line="300" w:lineRule="exact"/>
      <w:ind w:firstLineChars="0"/>
    </w:pPr>
  </w:style>
  <w:style w:type="paragraph" w:customStyle="1" w:styleId="190">
    <w:name w:val="标准文件_提示"/>
    <w:basedOn w:val="58"/>
    <w:next w:val="58"/>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1"/>
    <w:qFormat/>
    <w:uiPriority w:val="0"/>
    <w:pPr>
      <w:framePr w:w="3997" w:h="471" w:hRule="exact" w:hSpace="0" w:vSpace="181" w:wrap="around" w:vAnchor="page" w:hAnchor="page" w:x="1419" w:y="14097"/>
    </w:pPr>
  </w:style>
  <w:style w:type="paragraph" w:customStyle="1" w:styleId="194">
    <w:name w:val="其他实施日期"/>
    <w:basedOn w:val="155"/>
    <w:qFormat/>
    <w:uiPriority w:val="0"/>
    <w:pPr>
      <w:framePr w:w="3997" w:h="471" w:hRule="exact" w:vSpace="181" w:wrap="around" w:vAnchor="page" w:hAnchor="page" w:x="7089" w:y="14097"/>
    </w:pPr>
  </w:style>
  <w:style w:type="paragraph" w:customStyle="1" w:styleId="195">
    <w:name w:val="标准文件_文件编号"/>
    <w:basedOn w:val="58"/>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8"/>
    <w:next w:val="58"/>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8"/>
    <w:next w:val="58"/>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8"/>
    <w:next w:val="58"/>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8"/>
    <w:next w:val="58"/>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8"/>
    <w:next w:val="58"/>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8"/>
    <w:next w:val="58"/>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8"/>
    <w:next w:val="58"/>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8"/>
    <w:next w:val="58"/>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8"/>
    <w:qFormat/>
    <w:uiPriority w:val="0"/>
    <w:pPr>
      <w:ind w:left="811" w:firstLine="0" w:firstLineChars="0"/>
    </w:pPr>
    <w:rPr>
      <w:sz w:val="18"/>
    </w:rPr>
  </w:style>
  <w:style w:type="paragraph" w:customStyle="1" w:styleId="206">
    <w:name w:val="标准文件_注X后"/>
    <w:basedOn w:val="58"/>
    <w:qFormat/>
    <w:uiPriority w:val="0"/>
    <w:pPr>
      <w:ind w:left="811" w:firstLine="0" w:firstLineChars="0"/>
    </w:pPr>
    <w:rPr>
      <w:sz w:val="18"/>
    </w:rPr>
  </w:style>
  <w:style w:type="paragraph" w:customStyle="1" w:styleId="207">
    <w:name w:val="标准文件_示例后"/>
    <w:basedOn w:val="58"/>
    <w:qFormat/>
    <w:uiPriority w:val="0"/>
    <w:pPr>
      <w:ind w:left="964" w:firstLine="0" w:firstLineChars="0"/>
    </w:pPr>
    <w:rPr>
      <w:sz w:val="18"/>
    </w:rPr>
  </w:style>
  <w:style w:type="paragraph" w:customStyle="1" w:styleId="208">
    <w:name w:val="标准文件_示例X后"/>
    <w:basedOn w:val="58"/>
    <w:link w:val="209"/>
    <w:qFormat/>
    <w:uiPriority w:val="0"/>
    <w:pPr>
      <w:ind w:left="1049" w:firstLine="0" w:firstLineChars="0"/>
    </w:pPr>
    <w:rPr>
      <w:sz w:val="18"/>
    </w:rPr>
  </w:style>
  <w:style w:type="character" w:customStyle="1" w:styleId="209">
    <w:name w:val="标准文件_示例X后 字符"/>
    <w:basedOn w:val="59"/>
    <w:link w:val="208"/>
    <w:qFormat/>
    <w:uiPriority w:val="0"/>
    <w:rPr>
      <w:sz w:val="18"/>
    </w:rPr>
  </w:style>
  <w:style w:type="paragraph" w:customStyle="1" w:styleId="210">
    <w:name w:val="标准文件_索引项"/>
    <w:basedOn w:val="58"/>
    <w:next w:val="58"/>
    <w:qFormat/>
    <w:uiPriority w:val="0"/>
    <w:pPr>
      <w:tabs>
        <w:tab w:val="right" w:leader="dot" w:pos="9356"/>
      </w:tabs>
      <w:ind w:left="210" w:hanging="210" w:firstLineChars="0"/>
      <w:jc w:val="left"/>
    </w:pPr>
  </w:style>
  <w:style w:type="paragraph" w:customStyle="1" w:styleId="211">
    <w:name w:val="标准文件_附录一级无标题"/>
    <w:basedOn w:val="81"/>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82"/>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4"/>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5"/>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7"/>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8"/>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8"/>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8"/>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8"/>
    <w:qFormat/>
    <w:uiPriority w:val="0"/>
    <w:pPr>
      <w:spacing w:before="0" w:beforeLines="0" w:after="0" w:afterLines="0" w:line="276" w:lineRule="auto"/>
    </w:pPr>
    <w:rPr>
      <w:rFonts w:ascii="宋体" w:eastAsia="宋体"/>
    </w:rPr>
  </w:style>
  <w:style w:type="paragraph" w:customStyle="1" w:styleId="221">
    <w:name w:val="标准文件_索引标题"/>
    <w:basedOn w:val="66"/>
    <w:next w:val="58"/>
    <w:qFormat/>
    <w:uiPriority w:val="0"/>
    <w:rPr>
      <w:rFonts w:hAnsi="黑体"/>
    </w:rPr>
  </w:style>
  <w:style w:type="paragraph" w:customStyle="1" w:styleId="222">
    <w:name w:val="标准文件_脚注内容"/>
    <w:basedOn w:val="58"/>
    <w:qFormat/>
    <w:uiPriority w:val="0"/>
    <w:pPr>
      <w:ind w:left="400" w:leftChars="200" w:hanging="200" w:hangingChars="200"/>
    </w:pPr>
    <w:rPr>
      <w:sz w:val="15"/>
    </w:rPr>
  </w:style>
  <w:style w:type="paragraph" w:customStyle="1" w:styleId="223">
    <w:name w:val="标准文件_术语条一"/>
    <w:basedOn w:val="163"/>
    <w:next w:val="58"/>
    <w:qFormat/>
    <w:uiPriority w:val="0"/>
  </w:style>
  <w:style w:type="paragraph" w:customStyle="1" w:styleId="224">
    <w:name w:val="标准文件_术语条二"/>
    <w:basedOn w:val="166"/>
    <w:next w:val="58"/>
    <w:qFormat/>
    <w:uiPriority w:val="0"/>
  </w:style>
  <w:style w:type="paragraph" w:customStyle="1" w:styleId="225">
    <w:name w:val="标准文件_术语条三"/>
    <w:basedOn w:val="165"/>
    <w:next w:val="58"/>
    <w:qFormat/>
    <w:uiPriority w:val="0"/>
  </w:style>
  <w:style w:type="paragraph" w:customStyle="1" w:styleId="226">
    <w:name w:val="标准文件_术语条四"/>
    <w:basedOn w:val="168"/>
    <w:next w:val="58"/>
    <w:qFormat/>
    <w:uiPriority w:val="0"/>
  </w:style>
  <w:style w:type="paragraph" w:customStyle="1" w:styleId="227">
    <w:name w:val="标准文件_术语条五"/>
    <w:basedOn w:val="164"/>
    <w:next w:val="58"/>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character" w:customStyle="1" w:styleId="230">
    <w:name w:val="font21"/>
    <w:basedOn w:val="28"/>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团体标准.dotx</Template>
  <Pages>7</Pages>
  <Words>2485</Words>
  <Characters>2768</Characters>
  <Lines>4</Lines>
  <Paragraphs>1</Paragraphs>
  <TotalTime>1</TotalTime>
  <ScaleCrop>false</ScaleCrop>
  <LinksUpToDate>false</LinksUpToDate>
  <CharactersWithSpaces>2879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2026-05-08T06:56:00Z</dcterms:created>
  <dc:creator>。</dc:creator>
  <cp:lastModifiedBy>。</cp:lastModifiedBy>
  <dcterms:modified xsi:type="dcterms:W3CDTF">2026-06-16T09:18:37Z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87BF420A5BCB4DE79A06FAB2E20B7F65_13</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2052-12.1.0.26895</vt:lpwstr>
  </property>
</Properties>
</file>