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E4D54D">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6D7A9EA">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6</w:t>
            </w:r>
            <w:r>
              <w:rPr>
                <w:rFonts w:hint="eastAsia" w:ascii="黑体" w:hAnsi="黑体" w:eastAsia="黑体"/>
                <w:sz w:val="21"/>
                <w:szCs w:val="21"/>
                <w:lang w:val="en-US" w:eastAsia="zh-CN"/>
              </w:rPr>
              <w:t>7.120.10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1921AE0">
                  <w:pPr>
                    <w:pStyle w:val="50"/>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lang w:eastAsia="zh-CN"/>
                    </w:rPr>
                    <w:t>Q</w:t>
                  </w:r>
                  <w:r>
                    <w:rPr>
                      <w:rFonts w:hint="eastAsia"/>
                      <w:lang w:val="en-US" w:eastAsia="zh-CN"/>
                    </w:rPr>
                    <w:t>AS</w:t>
                  </w:r>
                  <w:r>
                    <w:fldChar w:fldCharType="end"/>
                  </w:r>
                  <w:bookmarkEnd w:id="1"/>
                </w:p>
              </w:tc>
            </w:tr>
          </w:tbl>
          <w:p w14:paraId="559E162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X</w:t>
            </w:r>
            <w:r>
              <w:rPr>
                <w:rFonts w:hint="eastAsia" w:ascii="黑体" w:hAnsi="黑体" w:eastAsia="黑体"/>
                <w:sz w:val="21"/>
                <w:szCs w:val="21"/>
                <w:lang w:val="en-US" w:eastAsia="zh-CN"/>
              </w:rPr>
              <w:t xml:space="preserve"> 22</w:t>
            </w:r>
            <w:r>
              <w:rPr>
                <w:rFonts w:ascii="黑体" w:hAnsi="黑体" w:eastAsia="黑体"/>
                <w:sz w:val="21"/>
                <w:szCs w:val="21"/>
              </w:rPr>
              <w:fldChar w:fldCharType="end"/>
            </w:r>
            <w:bookmarkEnd w:id="2"/>
          </w:p>
        </w:tc>
      </w:tr>
    </w:tbl>
    <w:p w14:paraId="161BCF4A">
      <w:pPr>
        <w:pStyle w:val="51"/>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3EC1316">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lang w:eastAsia="zh-CN"/>
        </w:rPr>
        <w:t>Q</w:t>
      </w:r>
      <w:r>
        <w:rPr>
          <w:rFonts w:hint="eastAsia"/>
          <w:lang w:val="en-US" w:eastAsia="zh-CN"/>
        </w:rPr>
        <w:t>AS</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52A51E97">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1"/>
        <w:framePr w:w="9639" w:h="6976" w:hRule="exact" w:hSpace="0" w:vSpace="0" w:wrap="around" w:hAnchor="page" w:y="6408"/>
        <w:jc w:val="center"/>
        <w:rPr>
          <w:rFonts w:hint="eastAsia" w:ascii="黑体" w:hAnsi="黑体" w:eastAsia="黑体"/>
          <w:b w:val="0"/>
          <w:bCs w:val="0"/>
          <w:w w:val="100"/>
        </w:rPr>
      </w:pPr>
    </w:p>
    <w:p w14:paraId="02A223D2">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冷冻调理牦牛肉制品加工技术规范</w:t>
      </w:r>
      <w:r>
        <w:fldChar w:fldCharType="end"/>
      </w:r>
      <w:bookmarkEnd w:id="9"/>
    </w:p>
    <w:p w14:paraId="2144DE0C">
      <w:pPr>
        <w:framePr w:w="9639" w:h="6974" w:hRule="exact" w:wrap="around" w:vAnchor="page" w:hAnchor="page" w:x="1419" w:y="6408" w:anchorLock="1"/>
        <w:ind w:left="-1418"/>
      </w:pPr>
    </w:p>
    <w:p w14:paraId="6A073306">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lang w:eastAsia="zh-CN"/>
        </w:rPr>
        <w:t xml:space="preserve"> </w:t>
      </w:r>
      <w:r>
        <w:rPr>
          <w:rFonts w:eastAsia="黑体"/>
          <w:szCs w:val="28"/>
        </w:rPr>
        <w:fldChar w:fldCharType="end"/>
      </w:r>
      <w:bookmarkEnd w:id="10"/>
    </w:p>
    <w:p w14:paraId="313D54A8">
      <w:pPr>
        <w:framePr w:w="9639" w:h="6974" w:hRule="exact" w:wrap="around" w:vAnchor="page" w:hAnchor="page" w:x="1419" w:y="6408" w:anchorLock="1"/>
        <w:spacing w:line="760" w:lineRule="exact"/>
        <w:ind w:left="-1418"/>
      </w:pPr>
    </w:p>
    <w:p w14:paraId="18E584F4">
      <w:pPr>
        <w:pStyle w:val="126"/>
        <w:framePr w:w="9639" w:h="6974" w:hRule="exact" w:wrap="around" w:vAnchor="page" w:hAnchor="page" w:x="1419" w:y="6408" w:anchorLock="1"/>
        <w:textAlignment w:val="bottom"/>
        <w:rPr>
          <w:rFonts w:eastAsia="黑体"/>
          <w:szCs w:val="28"/>
        </w:rPr>
      </w:pPr>
    </w:p>
    <w:p w14:paraId="382A48E7">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493B8B9A">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（本草案完成时间：</w:t>
      </w:r>
      <w:bookmarkStart w:id="45" w:name="_GoBack"/>
      <w:bookmarkEnd w:id="45"/>
      <w:r>
        <w:rPr>
          <w:sz w:val="21"/>
          <w:szCs w:val="28"/>
        </w:rPr>
        <w:t>）</w:t>
      </w:r>
      <w:r>
        <w:rPr>
          <w:sz w:val="21"/>
          <w:szCs w:val="28"/>
        </w:rPr>
        <w:fldChar w:fldCharType="end"/>
      </w:r>
      <w:bookmarkEnd w:id="12"/>
    </w:p>
    <w:p w14:paraId="0C6769F1">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7657F19A">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6DCA3D9">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9867BE4">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lang w:eastAsia="zh-CN"/>
        </w:rPr>
        <w:t>青海省标准化协会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374BE5A5">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90"/>
        <w:bidi w:val="0"/>
        <w:spacing w:before="560"/>
        <w:rPr>
          <w:rFonts w:hint="eastAsia"/>
          <w:lang w:eastAsia="zh-CN"/>
        </w:rPr>
      </w:pPr>
      <w:bookmarkStart w:id="21" w:name="BookMark2"/>
      <w:r>
        <w:rPr>
          <w:rFonts w:hint="eastAsia"/>
          <w:spacing w:val="320"/>
          <w:lang w:eastAsia="zh-CN"/>
        </w:rPr>
        <w:t>前</w:t>
      </w:r>
      <w:r>
        <w:rPr>
          <w:rFonts w:hint="eastAsia"/>
          <w:lang w:eastAsia="zh-CN"/>
        </w:rPr>
        <w:t>言</w:t>
      </w:r>
    </w:p>
    <w:p w14:paraId="268A9BE5">
      <w:pPr>
        <w:pStyle w:val="57"/>
        <w:bidi w:val="0"/>
        <w:rPr>
          <w:rFonts w:hint="eastAsia"/>
          <w:lang w:eastAsia="zh-CN"/>
        </w:rPr>
      </w:pPr>
      <w:r>
        <w:rPr>
          <w:rFonts w:hint="eastAsia"/>
          <w:lang w:eastAsia="zh-CN"/>
        </w:rPr>
        <w:t>本文件按照GB/T 1.1—2020《标准化工作导则  第1部分：标准化文件的结构和起草规则》的规定起草。</w:t>
      </w:r>
    </w:p>
    <w:p w14:paraId="7077BD2F">
      <w:pPr>
        <w:pStyle w:val="57"/>
        <w:bidi w:val="0"/>
        <w:rPr>
          <w:rFonts w:hint="eastAsia"/>
          <w:lang w:eastAsia="zh-CN"/>
        </w:rPr>
      </w:pPr>
      <w:r>
        <w:rPr>
          <w:rFonts w:hint="eastAsia"/>
          <w:lang w:eastAsia="zh-CN"/>
        </w:rPr>
        <w:t>请注意本文件的某些内容可能涉及专利。本文件的发布机构不承担识别专利的责任。</w:t>
      </w:r>
    </w:p>
    <w:p w14:paraId="6671A541">
      <w:pPr>
        <w:pStyle w:val="57"/>
        <w:bidi w:val="0"/>
        <w:rPr>
          <w:rFonts w:hint="eastAsia"/>
          <w:lang w:eastAsia="zh-CN"/>
        </w:rPr>
      </w:pPr>
      <w:r>
        <w:rPr>
          <w:rFonts w:hint="eastAsia"/>
          <w:lang w:eastAsia="zh-CN"/>
        </w:rPr>
        <w:t>本文件由青海海沃商贸有限公司提出。</w:t>
      </w:r>
    </w:p>
    <w:p w14:paraId="7BED7250">
      <w:pPr>
        <w:pStyle w:val="57"/>
        <w:bidi w:val="0"/>
        <w:rPr>
          <w:rFonts w:hint="eastAsia"/>
          <w:lang w:eastAsia="zh-CN"/>
        </w:rPr>
      </w:pPr>
      <w:r>
        <w:rPr>
          <w:rFonts w:hint="eastAsia"/>
          <w:lang w:eastAsia="zh-CN"/>
        </w:rPr>
        <w:t>本文件由</w:t>
      </w:r>
      <w:r>
        <w:rPr>
          <w:rFonts w:hint="eastAsia"/>
          <w:lang w:val="en-US" w:eastAsia="zh-CN"/>
        </w:rPr>
        <w:t>青海省标准化协会</w:t>
      </w:r>
      <w:r>
        <w:rPr>
          <w:rFonts w:hint="eastAsia"/>
          <w:lang w:eastAsia="zh-CN"/>
        </w:rPr>
        <w:t>归口。</w:t>
      </w:r>
    </w:p>
    <w:p w14:paraId="116A6AE6">
      <w:pPr>
        <w:pStyle w:val="57"/>
        <w:bidi w:val="0"/>
        <w:rPr>
          <w:rFonts w:hint="eastAsia"/>
          <w:lang w:eastAsia="zh-CN"/>
        </w:rPr>
      </w:pPr>
      <w:r>
        <w:rPr>
          <w:rFonts w:hint="eastAsia"/>
          <w:lang w:eastAsia="zh-CN"/>
        </w:rPr>
        <w:t>本文件起草单位：</w:t>
      </w:r>
      <w:r>
        <w:rPr>
          <w:rFonts w:hint="eastAsia"/>
          <w:lang w:val="en-US" w:eastAsia="zh-CN"/>
        </w:rPr>
        <w:t>青海海沃食品有限公司、</w:t>
      </w:r>
      <w:r>
        <w:rPr>
          <w:rFonts w:hint="eastAsia"/>
          <w:lang w:eastAsia="zh-CN"/>
        </w:rPr>
        <w:t>青海海沃商贸有限公司、</w:t>
      </w:r>
      <w:r>
        <w:rPr>
          <w:rFonts w:hint="eastAsia"/>
          <w:lang w:val="en-US" w:eastAsia="zh-CN"/>
        </w:rPr>
        <w:t>青海海沃农畜产品有限公司。</w:t>
      </w:r>
    </w:p>
    <w:p w14:paraId="42DF5DF4">
      <w:pPr>
        <w:pStyle w:val="57"/>
        <w:bidi w:val="0"/>
        <w:rPr>
          <w:rFonts w:hint="eastAsia"/>
          <w:lang w:eastAsia="zh-CN"/>
        </w:rPr>
      </w:pPr>
      <w:r>
        <w:rPr>
          <w:rFonts w:hint="eastAsia"/>
          <w:lang w:eastAsia="zh-CN"/>
        </w:rPr>
        <w:t>本文件主要起草人：米存民、严永桂、张广倩、杜永莲、桓芝仁、米存霞、张红霞。</w:t>
      </w:r>
    </w:p>
    <w:p w14:paraId="3CF3F9A9">
      <w:pPr>
        <w:pStyle w:val="57"/>
        <w:bidi w:val="0"/>
        <w:rPr>
          <w:rFonts w:hint="eastAsia"/>
          <w:lang w:eastAsia="zh-CN"/>
        </w:rPr>
      </w:pPr>
    </w:p>
    <w:p w14:paraId="74B9566F">
      <w:pPr>
        <w:pStyle w:val="57"/>
        <w:bidi w:val="0"/>
        <w:rPr>
          <w:rFonts w:hint="eastAsia"/>
          <w:lang w:eastAsia="zh-CN"/>
        </w:rPr>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103DC857">
      <w:pPr>
        <w:spacing w:line="20" w:lineRule="exact"/>
        <w:jc w:val="center"/>
        <w:rPr>
          <w:rFonts w:hint="eastAsia" w:ascii="黑体" w:hAnsi="黑体" w:eastAsia="黑体"/>
          <w:sz w:val="32"/>
          <w:szCs w:val="32"/>
        </w:rPr>
      </w:pPr>
      <w:bookmarkStart w:id="22"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8"/>
            <w:bidi w:val="0"/>
            <w:spacing w:before="313" w:beforeLines="100" w:after="687" w:afterLines="220"/>
            <w:rPr>
              <w:rFonts w:hint="eastAsia"/>
            </w:rPr>
          </w:pPr>
          <w:bookmarkStart w:id="23" w:name="NEW_STAND_NAME"/>
          <w:r>
            <w:rPr>
              <w:rFonts w:hint="eastAsia"/>
              <w:lang w:eastAsia="zh-CN"/>
            </w:rPr>
            <w:t>冷冻调理牦牛肉制品加工技术规范</w:t>
          </w:r>
        </w:p>
      </w:sdtContent>
    </w:sdt>
    <w:bookmarkEnd w:id="23"/>
    <w:p w14:paraId="58FB4D92">
      <w:pPr>
        <w:pStyle w:val="105"/>
        <w:spacing w:before="240" w:after="240"/>
      </w:pPr>
      <w:bookmarkStart w:id="24" w:name="_Toc24884211"/>
      <w:bookmarkStart w:id="25" w:name="_Toc24884218"/>
      <w:bookmarkStart w:id="26" w:name="_Toc97192964"/>
      <w:bookmarkStart w:id="27" w:name="_Toc17233333"/>
      <w:bookmarkStart w:id="28" w:name="_Toc26986530"/>
      <w:bookmarkStart w:id="29" w:name="_Toc26986771"/>
      <w:bookmarkStart w:id="30" w:name="_Toc17233325"/>
      <w:bookmarkStart w:id="31" w:name="_Toc26718930"/>
      <w:bookmarkStart w:id="32" w:name="_Toc26648465"/>
      <w:r>
        <w:rPr>
          <w:rFonts w:hint="eastAsia"/>
        </w:rPr>
        <w:t>范围</w:t>
      </w:r>
      <w:bookmarkEnd w:id="24"/>
      <w:bookmarkEnd w:id="25"/>
      <w:bookmarkEnd w:id="26"/>
      <w:bookmarkEnd w:id="27"/>
      <w:bookmarkEnd w:id="28"/>
      <w:bookmarkEnd w:id="29"/>
      <w:bookmarkEnd w:id="30"/>
      <w:bookmarkEnd w:id="31"/>
      <w:bookmarkEnd w:id="32"/>
    </w:p>
    <w:p w14:paraId="5538DC3C">
      <w:pPr>
        <w:pStyle w:val="57"/>
        <w:ind w:firstLine="420"/>
        <w:rPr>
          <w:rFonts w:hint="eastAsia" w:eastAsia="宋体"/>
          <w:lang w:eastAsia="zh-CN"/>
        </w:rPr>
      </w:pPr>
      <w:bookmarkStart w:id="33" w:name="_Toc17233326"/>
      <w:bookmarkStart w:id="34" w:name="_Toc26648466"/>
      <w:bookmarkStart w:id="35" w:name="_Toc24884219"/>
      <w:bookmarkStart w:id="36" w:name="_Toc24884212"/>
      <w:bookmarkStart w:id="37" w:name="_Toc17233334"/>
      <w:r>
        <w:rPr>
          <w:rFonts w:hint="eastAsia" w:eastAsia="宋体"/>
          <w:lang w:eastAsia="zh-CN"/>
        </w:rPr>
        <w:t>本文件规定了冷冻调理牦牛肉制品的术语和定义、原辅料要求、</w:t>
      </w:r>
      <w:r>
        <w:rPr>
          <w:rFonts w:hint="eastAsia"/>
          <w:lang w:val="en-US" w:eastAsia="zh-CN"/>
        </w:rPr>
        <w:t>生产加工条件、</w:t>
      </w:r>
      <w:r>
        <w:rPr>
          <w:rFonts w:hint="eastAsia" w:eastAsia="宋体"/>
          <w:lang w:eastAsia="zh-CN"/>
        </w:rPr>
        <w:t>加工技术要求、</w:t>
      </w:r>
      <w:r>
        <w:rPr>
          <w:rFonts w:hint="eastAsia"/>
          <w:lang w:val="en-US" w:eastAsia="zh-CN"/>
        </w:rPr>
        <w:t>质量管理</w:t>
      </w:r>
      <w:r>
        <w:rPr>
          <w:rFonts w:hint="eastAsia" w:eastAsia="宋体"/>
          <w:lang w:eastAsia="zh-CN"/>
        </w:rPr>
        <w:t>、标志、标签、包装、运输</w:t>
      </w:r>
      <w:r>
        <w:rPr>
          <w:rFonts w:hint="eastAsia"/>
          <w:lang w:val="en-US" w:eastAsia="zh-CN"/>
        </w:rPr>
        <w:t>和</w:t>
      </w:r>
      <w:r>
        <w:rPr>
          <w:rFonts w:hint="eastAsia" w:eastAsia="宋体"/>
          <w:lang w:eastAsia="zh-CN"/>
        </w:rPr>
        <w:t>贮存。</w:t>
      </w:r>
    </w:p>
    <w:p w14:paraId="3BDBB36E">
      <w:pPr>
        <w:pStyle w:val="57"/>
        <w:ind w:firstLine="420"/>
        <w:rPr>
          <w:rFonts w:hint="eastAsia" w:eastAsia="宋体"/>
          <w:lang w:eastAsia="zh-CN"/>
        </w:rPr>
      </w:pPr>
      <w:r>
        <w:rPr>
          <w:rFonts w:hint="eastAsia" w:eastAsia="宋体"/>
          <w:lang w:eastAsia="zh-CN"/>
        </w:rPr>
        <w:t>本文件适用于以牦牛肉为主要原料，经解冻、修割、配料、滚揉腌制、装模成型、速冻等工序加工制成的冷冻调理牦牛肉制品的生产。</w:t>
      </w:r>
    </w:p>
    <w:p w14:paraId="767F512F">
      <w:pPr>
        <w:pStyle w:val="105"/>
        <w:spacing w:before="240" w:after="240"/>
      </w:pPr>
      <w:bookmarkStart w:id="38" w:name="_Toc26986531"/>
      <w:bookmarkStart w:id="39" w:name="_Toc26718931"/>
      <w:bookmarkStart w:id="40" w:name="_Toc97192965"/>
      <w:bookmarkStart w:id="41" w:name="_Toc26986772"/>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5A6A32">
          <w:pPr>
            <w:pStyle w:val="5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32734C9">
      <w:pPr>
        <w:pStyle w:val="57"/>
        <w:ind w:firstLine="420"/>
        <w:rPr>
          <w:rFonts w:hint="eastAsia" w:eastAsia="宋体"/>
          <w:highlight w:val="none"/>
          <w:lang w:eastAsia="zh-CN"/>
        </w:rPr>
      </w:pPr>
      <w:r>
        <w:rPr>
          <w:rFonts w:hint="eastAsia" w:eastAsia="宋体"/>
          <w:highlight w:val="none"/>
          <w:lang w:eastAsia="zh-CN"/>
        </w:rPr>
        <w:t xml:space="preserve">GB/T 191 </w:t>
      </w:r>
      <w:r>
        <w:rPr>
          <w:rFonts w:hint="eastAsia"/>
          <w:highlight w:val="none"/>
          <w:lang w:val="en-US" w:eastAsia="zh-CN"/>
        </w:rPr>
        <w:t xml:space="preserve"> </w:t>
      </w:r>
      <w:r>
        <w:rPr>
          <w:rFonts w:hint="eastAsia" w:eastAsia="宋体"/>
          <w:highlight w:val="none"/>
          <w:lang w:eastAsia="zh-CN"/>
        </w:rPr>
        <w:t>包装储运图示标志</w:t>
      </w:r>
    </w:p>
    <w:p w14:paraId="0B225440">
      <w:pPr>
        <w:pStyle w:val="57"/>
        <w:ind w:firstLine="420"/>
        <w:rPr>
          <w:rFonts w:hint="eastAsia" w:eastAsia="宋体"/>
          <w:highlight w:val="none"/>
          <w:lang w:eastAsia="zh-CN"/>
        </w:rPr>
      </w:pPr>
      <w:r>
        <w:rPr>
          <w:rFonts w:hint="eastAsia" w:eastAsia="宋体"/>
          <w:highlight w:val="none"/>
          <w:lang w:eastAsia="zh-CN"/>
        </w:rPr>
        <w:t xml:space="preserve">GB 2707 </w:t>
      </w:r>
      <w:r>
        <w:rPr>
          <w:rFonts w:hint="eastAsia"/>
          <w:highlight w:val="none"/>
          <w:lang w:val="en-US" w:eastAsia="zh-CN"/>
        </w:rPr>
        <w:t xml:space="preserve"> </w:t>
      </w:r>
      <w:r>
        <w:rPr>
          <w:rFonts w:hint="eastAsia" w:eastAsia="宋体"/>
          <w:highlight w:val="none"/>
          <w:lang w:eastAsia="zh-CN"/>
        </w:rPr>
        <w:t>食品安全国家标准 鲜（冻）畜、禽产品</w:t>
      </w:r>
    </w:p>
    <w:p w14:paraId="7F4F01FF">
      <w:pPr>
        <w:pStyle w:val="57"/>
        <w:ind w:firstLine="420"/>
        <w:rPr>
          <w:rFonts w:hint="eastAsia" w:eastAsia="宋体"/>
          <w:highlight w:val="none"/>
          <w:lang w:eastAsia="zh-CN"/>
        </w:rPr>
      </w:pPr>
      <w:r>
        <w:rPr>
          <w:rFonts w:hint="eastAsia" w:eastAsia="宋体"/>
          <w:highlight w:val="none"/>
          <w:lang w:eastAsia="zh-CN"/>
        </w:rPr>
        <w:t xml:space="preserve">GB 2760 </w:t>
      </w:r>
      <w:r>
        <w:rPr>
          <w:rFonts w:hint="eastAsia"/>
          <w:highlight w:val="none"/>
          <w:lang w:val="en-US" w:eastAsia="zh-CN"/>
        </w:rPr>
        <w:t xml:space="preserve"> </w:t>
      </w:r>
      <w:r>
        <w:rPr>
          <w:rFonts w:hint="eastAsia" w:eastAsia="宋体"/>
          <w:highlight w:val="none"/>
          <w:lang w:eastAsia="zh-CN"/>
        </w:rPr>
        <w:t>食品安全国家标准 食品添加剂使用标准</w:t>
      </w:r>
    </w:p>
    <w:p w14:paraId="2EB29375">
      <w:pPr>
        <w:pStyle w:val="57"/>
        <w:ind w:firstLine="420"/>
        <w:rPr>
          <w:rFonts w:hint="eastAsia" w:eastAsia="宋体"/>
          <w:highlight w:val="none"/>
          <w:lang w:eastAsia="zh-CN"/>
        </w:rPr>
      </w:pPr>
      <w:r>
        <w:rPr>
          <w:rFonts w:hint="eastAsia" w:eastAsia="宋体"/>
          <w:highlight w:val="none"/>
          <w:lang w:eastAsia="zh-CN"/>
        </w:rPr>
        <w:t xml:space="preserve">GB 2762 </w:t>
      </w:r>
      <w:r>
        <w:rPr>
          <w:rFonts w:hint="eastAsia"/>
          <w:highlight w:val="none"/>
          <w:lang w:val="en-US" w:eastAsia="zh-CN"/>
        </w:rPr>
        <w:t xml:space="preserve"> </w:t>
      </w:r>
      <w:r>
        <w:rPr>
          <w:rFonts w:hint="eastAsia" w:eastAsia="宋体"/>
          <w:highlight w:val="none"/>
          <w:lang w:eastAsia="zh-CN"/>
        </w:rPr>
        <w:t>食品安全国家标准 食品中污染物限量</w:t>
      </w:r>
    </w:p>
    <w:p w14:paraId="3F123AF2">
      <w:pPr>
        <w:pStyle w:val="57"/>
        <w:rPr>
          <w:rFonts w:hint="default" w:eastAsia="宋体"/>
          <w:highlight w:val="none"/>
          <w:lang w:val="en-US" w:eastAsia="zh-CN"/>
        </w:rPr>
      </w:pPr>
      <w:r>
        <w:rPr>
          <w:rFonts w:hint="eastAsia"/>
          <w:highlight w:val="none"/>
          <w:lang w:eastAsia="zh-CN"/>
        </w:rPr>
        <w:t>GB 4806.</w:t>
      </w:r>
      <w:r>
        <w:rPr>
          <w:rFonts w:hint="eastAsia"/>
          <w:highlight w:val="none"/>
          <w:lang w:val="en-US" w:eastAsia="zh-CN"/>
        </w:rPr>
        <w:t>1  食品安全国家标准 食品接触材料及制品通用安全要求</w:t>
      </w:r>
    </w:p>
    <w:p w14:paraId="4D8DFA40">
      <w:pPr>
        <w:pStyle w:val="57"/>
        <w:ind w:firstLine="420"/>
        <w:rPr>
          <w:rFonts w:hint="eastAsia" w:eastAsia="宋体"/>
          <w:highlight w:val="none"/>
          <w:lang w:eastAsia="zh-CN"/>
        </w:rPr>
      </w:pPr>
      <w:r>
        <w:rPr>
          <w:rFonts w:hint="eastAsia" w:eastAsia="宋体"/>
          <w:highlight w:val="none"/>
          <w:lang w:eastAsia="zh-CN"/>
        </w:rPr>
        <w:t xml:space="preserve">GB 5749 </w:t>
      </w:r>
      <w:r>
        <w:rPr>
          <w:rFonts w:hint="eastAsia"/>
          <w:highlight w:val="none"/>
          <w:lang w:val="en-US" w:eastAsia="zh-CN"/>
        </w:rPr>
        <w:t xml:space="preserve"> </w:t>
      </w:r>
      <w:r>
        <w:rPr>
          <w:rFonts w:hint="eastAsia" w:eastAsia="宋体"/>
          <w:highlight w:val="none"/>
          <w:lang w:eastAsia="zh-CN"/>
        </w:rPr>
        <w:t>生活饮用水卫生标准</w:t>
      </w:r>
    </w:p>
    <w:p w14:paraId="098DBC51">
      <w:pPr>
        <w:pStyle w:val="57"/>
        <w:ind w:firstLine="420"/>
        <w:rPr>
          <w:rFonts w:hint="eastAsia" w:eastAsia="宋体"/>
          <w:highlight w:val="none"/>
          <w:lang w:eastAsia="zh-CN"/>
        </w:rPr>
      </w:pPr>
      <w:r>
        <w:rPr>
          <w:rFonts w:hint="eastAsia" w:eastAsia="宋体"/>
          <w:highlight w:val="none"/>
          <w:lang w:eastAsia="zh-CN"/>
        </w:rPr>
        <w:t xml:space="preserve">GB 7718 </w:t>
      </w:r>
      <w:r>
        <w:rPr>
          <w:rFonts w:hint="eastAsia"/>
          <w:highlight w:val="none"/>
          <w:lang w:val="en-US" w:eastAsia="zh-CN"/>
        </w:rPr>
        <w:t xml:space="preserve"> </w:t>
      </w:r>
      <w:r>
        <w:rPr>
          <w:rFonts w:hint="eastAsia" w:eastAsia="宋体"/>
          <w:highlight w:val="none"/>
          <w:lang w:eastAsia="zh-CN"/>
        </w:rPr>
        <w:t>食品安全国家标准 预包装食品标签通则</w:t>
      </w:r>
    </w:p>
    <w:p w14:paraId="354EE84B">
      <w:pPr>
        <w:pStyle w:val="57"/>
        <w:ind w:firstLine="420"/>
        <w:rPr>
          <w:rFonts w:hint="eastAsia" w:eastAsia="宋体"/>
          <w:highlight w:val="none"/>
          <w:lang w:eastAsia="zh-CN"/>
        </w:rPr>
      </w:pPr>
      <w:r>
        <w:rPr>
          <w:rFonts w:hint="eastAsia" w:eastAsia="宋体"/>
          <w:highlight w:val="none"/>
          <w:lang w:eastAsia="zh-CN"/>
        </w:rPr>
        <w:t xml:space="preserve">GB 9685 </w:t>
      </w:r>
      <w:r>
        <w:rPr>
          <w:rFonts w:hint="eastAsia"/>
          <w:highlight w:val="none"/>
          <w:lang w:val="en-US" w:eastAsia="zh-CN"/>
        </w:rPr>
        <w:t xml:space="preserve"> </w:t>
      </w:r>
      <w:r>
        <w:rPr>
          <w:rFonts w:hint="eastAsia" w:eastAsia="宋体"/>
          <w:highlight w:val="none"/>
          <w:lang w:eastAsia="zh-CN"/>
        </w:rPr>
        <w:t>食品安全国家标准 食品接触材料及制品用添加剂使用标准</w:t>
      </w:r>
    </w:p>
    <w:p w14:paraId="6DBFD18B">
      <w:pPr>
        <w:pStyle w:val="57"/>
        <w:ind w:firstLine="420"/>
        <w:rPr>
          <w:rFonts w:hint="eastAsia" w:eastAsia="宋体"/>
          <w:highlight w:val="none"/>
          <w:lang w:eastAsia="zh-CN"/>
        </w:rPr>
      </w:pPr>
      <w:r>
        <w:rPr>
          <w:rFonts w:hint="eastAsia" w:eastAsia="宋体"/>
          <w:highlight w:val="none"/>
          <w:lang w:eastAsia="zh-CN"/>
        </w:rPr>
        <w:t xml:space="preserve">GB 14881 </w:t>
      </w:r>
      <w:r>
        <w:rPr>
          <w:rFonts w:hint="eastAsia"/>
          <w:highlight w:val="none"/>
          <w:lang w:val="en-US" w:eastAsia="zh-CN"/>
        </w:rPr>
        <w:t xml:space="preserve"> </w:t>
      </w:r>
      <w:r>
        <w:rPr>
          <w:rFonts w:hint="eastAsia" w:eastAsia="宋体"/>
          <w:highlight w:val="none"/>
          <w:lang w:eastAsia="zh-CN"/>
        </w:rPr>
        <w:t>食品安全国家标准 食品生产通用卫生规范</w:t>
      </w:r>
    </w:p>
    <w:p w14:paraId="01A2DE55">
      <w:pPr>
        <w:pStyle w:val="57"/>
        <w:ind w:firstLine="420"/>
        <w:rPr>
          <w:rFonts w:hint="eastAsia" w:eastAsia="宋体"/>
          <w:highlight w:val="none"/>
          <w:lang w:eastAsia="zh-CN"/>
        </w:rPr>
      </w:pPr>
      <w:r>
        <w:rPr>
          <w:rFonts w:hint="eastAsia" w:eastAsia="宋体"/>
          <w:highlight w:val="none"/>
          <w:lang w:eastAsia="zh-CN"/>
        </w:rPr>
        <w:t xml:space="preserve">GB 28050 </w:t>
      </w:r>
      <w:r>
        <w:rPr>
          <w:rFonts w:hint="eastAsia"/>
          <w:highlight w:val="none"/>
          <w:lang w:val="en-US" w:eastAsia="zh-CN"/>
        </w:rPr>
        <w:t xml:space="preserve"> </w:t>
      </w:r>
      <w:r>
        <w:rPr>
          <w:rFonts w:hint="eastAsia" w:eastAsia="宋体"/>
          <w:highlight w:val="none"/>
          <w:lang w:eastAsia="zh-CN"/>
        </w:rPr>
        <w:t>食品安全国家标准 预包装食品营养标签通则</w:t>
      </w:r>
    </w:p>
    <w:p w14:paraId="691DF97C">
      <w:pPr>
        <w:pStyle w:val="57"/>
        <w:ind w:firstLine="420"/>
        <w:rPr>
          <w:rFonts w:hint="eastAsia" w:eastAsia="宋体"/>
          <w:highlight w:val="none"/>
          <w:lang w:eastAsia="zh-CN"/>
        </w:rPr>
      </w:pPr>
      <w:r>
        <w:rPr>
          <w:rFonts w:hint="eastAsia" w:eastAsia="宋体"/>
          <w:highlight w:val="none"/>
          <w:lang w:eastAsia="zh-CN"/>
        </w:rPr>
        <w:t xml:space="preserve">GB 31650 </w:t>
      </w:r>
      <w:r>
        <w:rPr>
          <w:rFonts w:hint="eastAsia"/>
          <w:highlight w:val="none"/>
          <w:lang w:val="en-US" w:eastAsia="zh-CN"/>
        </w:rPr>
        <w:t xml:space="preserve"> </w:t>
      </w:r>
      <w:r>
        <w:rPr>
          <w:rFonts w:hint="eastAsia" w:eastAsia="宋体"/>
          <w:highlight w:val="none"/>
          <w:lang w:eastAsia="zh-CN"/>
        </w:rPr>
        <w:t>食品安全国家标准 食品中兽药最大残留限量</w:t>
      </w:r>
    </w:p>
    <w:p w14:paraId="24C4EF1F">
      <w:pPr>
        <w:pStyle w:val="57"/>
        <w:ind w:firstLine="420"/>
        <w:rPr>
          <w:rFonts w:hint="eastAsia" w:eastAsia="宋体"/>
          <w:highlight w:val="none"/>
          <w:lang w:eastAsia="zh-CN"/>
        </w:rPr>
      </w:pPr>
      <w:r>
        <w:rPr>
          <w:rFonts w:hint="eastAsia" w:eastAsia="宋体"/>
          <w:highlight w:val="none"/>
          <w:lang w:eastAsia="zh-CN"/>
        </w:rPr>
        <w:t xml:space="preserve">GB 31650.1 </w:t>
      </w:r>
      <w:r>
        <w:rPr>
          <w:rFonts w:hint="eastAsia"/>
          <w:highlight w:val="none"/>
          <w:lang w:val="en-US" w:eastAsia="zh-CN"/>
        </w:rPr>
        <w:t xml:space="preserve"> </w:t>
      </w:r>
      <w:r>
        <w:rPr>
          <w:rFonts w:hint="eastAsia" w:eastAsia="宋体"/>
          <w:highlight w:val="none"/>
          <w:lang w:eastAsia="zh-CN"/>
        </w:rPr>
        <w:t>食品安全国家标准 食品中41种兽药最大残留限量</w:t>
      </w:r>
    </w:p>
    <w:p w14:paraId="40EF840C">
      <w:pPr>
        <w:pStyle w:val="105"/>
        <w:spacing w:before="240" w:after="240"/>
      </w:pPr>
      <w:bookmarkStart w:id="42" w:name="_Toc97192966"/>
      <w:r>
        <w:rPr>
          <w:rFonts w:hint="eastAsia"/>
          <w:szCs w:val="21"/>
        </w:rPr>
        <w:t>术语和定义</w:t>
      </w:r>
      <w:bookmarkEnd w:id="42"/>
    </w:p>
    <w:sdt>
      <w:sdt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FA990C2">
          <w:pPr>
            <w:pStyle w:val="57"/>
            <w:ind w:firstLine="420"/>
          </w:pPr>
          <w:bookmarkStart w:id="43" w:name="_Toc26986532"/>
          <w:bookmarkEnd w:id="43"/>
          <w:r>
            <w:rPr>
              <w:rFonts w:ascii="Times New Roman" w:hAnsi="Times New Roman" w:eastAsia="宋体" w:cs="Times New Roman"/>
              <w:sz w:val="21"/>
              <w:lang w:val="en-US" w:eastAsia="zh-CN" w:bidi="ar-SA"/>
            </w:rPr>
            <w:t>下列术语和定义适用于本文件。</w:t>
          </w:r>
        </w:p>
      </w:sdtContent>
    </w:sdt>
    <w:p w14:paraId="6723387E">
      <w:pPr>
        <w:pStyle w:val="224"/>
        <w:bidi w:val="0"/>
        <w:spacing w:after="0" w:afterLines="0"/>
        <w:ind w:left="420" w:hanging="420" w:hangingChars="200"/>
        <w:rPr>
          <w:rFonts w:hint="eastAsia" w:ascii="黑体" w:hAnsi="黑体" w:eastAsia="黑体" w:cs="黑体"/>
          <w:lang w:eastAsia="zh-CN"/>
        </w:rPr>
      </w:pPr>
      <w:r>
        <w:rPr>
          <w:rFonts w:hint="eastAsia" w:ascii="黑体" w:hAnsi="黑体" w:eastAsia="黑体" w:cs="黑体"/>
          <w:lang w:eastAsia="zh-CN"/>
        </w:rPr>
        <w:br w:type="textWrapping"/>
      </w:r>
      <w:r>
        <w:rPr>
          <w:rFonts w:hint="eastAsia" w:ascii="黑体" w:hAnsi="黑体" w:eastAsia="黑体" w:cs="黑体"/>
          <w:lang w:eastAsia="zh-CN"/>
        </w:rPr>
        <w:t>冷冻调理牦牛肉制品</w:t>
      </w:r>
    </w:p>
    <w:p w14:paraId="4D3B27B1">
      <w:pPr>
        <w:pStyle w:val="57"/>
        <w:ind w:firstLine="420"/>
      </w:pPr>
      <w:r>
        <w:t>以牦牛肉为主要原料，经修割、配料、滚揉腌制、装模成型等工序加工，并经速冻处理，在-18℃以下储存和运输的预制肉制品。</w:t>
      </w:r>
    </w:p>
    <w:p w14:paraId="1C36C815">
      <w:pPr>
        <w:pStyle w:val="105"/>
        <w:bidi w:val="0"/>
        <w:rPr>
          <w:rFonts w:hint="eastAsia"/>
          <w:lang w:eastAsia="zh-CN"/>
        </w:rPr>
      </w:pPr>
      <w:r>
        <w:rPr>
          <w:rFonts w:hint="eastAsia"/>
          <w:lang w:eastAsia="zh-CN"/>
        </w:rPr>
        <w:t>原辅料要求</w:t>
      </w:r>
    </w:p>
    <w:p w14:paraId="4B3A8535">
      <w:pPr>
        <w:pStyle w:val="106"/>
        <w:bidi w:val="0"/>
        <w:rPr>
          <w:rFonts w:hint="eastAsia"/>
          <w:lang w:eastAsia="zh-CN"/>
        </w:rPr>
      </w:pPr>
      <w:r>
        <w:rPr>
          <w:rFonts w:hint="eastAsia"/>
          <w:lang w:eastAsia="zh-CN"/>
        </w:rPr>
        <w:t>牦牛肉原料</w:t>
      </w:r>
    </w:p>
    <w:p w14:paraId="65FECE65">
      <w:pPr>
        <w:pStyle w:val="57"/>
        <w:bidi w:val="0"/>
        <w:rPr>
          <w:rFonts w:hint="eastAsia"/>
          <w:lang w:eastAsia="zh-CN"/>
        </w:rPr>
      </w:pPr>
      <w:r>
        <w:rPr>
          <w:rFonts w:hint="eastAsia"/>
          <w:lang w:eastAsia="zh-CN"/>
        </w:rPr>
        <w:t>牦牛肉原料应符合GB 2707的规定。原料应来自非疫区、经检疫检验合格的牦牛，兽药残留限量应符合GB 31650及GB 31650.1的规定。污染物限量应符合GB 2762的规定。</w:t>
      </w:r>
    </w:p>
    <w:p w14:paraId="0877C1E4">
      <w:pPr>
        <w:pStyle w:val="106"/>
        <w:bidi w:val="0"/>
        <w:rPr>
          <w:rFonts w:hint="eastAsia"/>
          <w:lang w:eastAsia="zh-CN"/>
        </w:rPr>
      </w:pPr>
      <w:r>
        <w:rPr>
          <w:rFonts w:hint="eastAsia"/>
          <w:lang w:eastAsia="zh-CN"/>
        </w:rPr>
        <w:t>辅料和食品添加剂</w:t>
      </w:r>
    </w:p>
    <w:p w14:paraId="596399BB">
      <w:pPr>
        <w:pStyle w:val="166"/>
        <w:bidi w:val="0"/>
        <w:rPr>
          <w:rFonts w:hint="eastAsia"/>
          <w:lang w:eastAsia="zh-CN"/>
        </w:rPr>
      </w:pPr>
      <w:r>
        <w:rPr>
          <w:rFonts w:hint="eastAsia"/>
          <w:lang w:eastAsia="zh-CN"/>
        </w:rPr>
        <w:t>加工用水应符合GB 5749的规定。</w:t>
      </w:r>
    </w:p>
    <w:p w14:paraId="06C042C7">
      <w:pPr>
        <w:pStyle w:val="166"/>
        <w:bidi w:val="0"/>
        <w:rPr>
          <w:rFonts w:hint="eastAsia"/>
          <w:lang w:eastAsia="zh-CN"/>
        </w:rPr>
      </w:pPr>
      <w:r>
        <w:rPr>
          <w:rFonts w:hint="eastAsia"/>
          <w:lang w:eastAsia="zh-CN"/>
        </w:rPr>
        <w:t>食品添加剂的使用应符合GB 2760的规定。</w:t>
      </w:r>
    </w:p>
    <w:p w14:paraId="7520ABA6">
      <w:pPr>
        <w:pStyle w:val="166"/>
        <w:bidi w:val="0"/>
        <w:rPr>
          <w:rFonts w:hint="eastAsia"/>
          <w:lang w:eastAsia="zh-CN"/>
        </w:rPr>
      </w:pPr>
      <w:r>
        <w:rPr>
          <w:rFonts w:hint="eastAsia"/>
          <w:lang w:eastAsia="zh-CN"/>
        </w:rPr>
        <w:t>复合磷酸盐、乳化剂（如MG805等）等食品添加剂的使用应遵守GB 2760中肉制品类别的使用范围和最大使用量规定。</w:t>
      </w:r>
    </w:p>
    <w:p w14:paraId="59FD862A">
      <w:pPr>
        <w:pStyle w:val="166"/>
        <w:bidi w:val="0"/>
        <w:rPr>
          <w:rFonts w:hint="eastAsia"/>
          <w:lang w:eastAsia="zh-CN"/>
        </w:rPr>
      </w:pPr>
      <w:r>
        <w:rPr>
          <w:rFonts w:hint="eastAsia"/>
          <w:lang w:eastAsia="zh-CN"/>
        </w:rPr>
        <w:t>食品接触材料及制品用添加剂应符合GB 9685的规定。</w:t>
      </w:r>
    </w:p>
    <w:p w14:paraId="05C0EB4B">
      <w:pPr>
        <w:pStyle w:val="105"/>
        <w:bidi w:val="0"/>
        <w:rPr>
          <w:rFonts w:hint="eastAsia"/>
          <w:lang w:eastAsia="zh-CN"/>
        </w:rPr>
      </w:pPr>
      <w:r>
        <w:rPr>
          <w:rFonts w:hint="eastAsia"/>
          <w:lang w:val="en-US" w:eastAsia="zh-CN"/>
        </w:rPr>
        <w:t>生产加工条件</w:t>
      </w:r>
    </w:p>
    <w:p w14:paraId="1B01EA6F">
      <w:pPr>
        <w:pStyle w:val="166"/>
        <w:bidi w:val="0"/>
        <w:rPr>
          <w:rFonts w:hint="eastAsia"/>
          <w:lang w:eastAsia="zh-CN"/>
        </w:rPr>
      </w:pPr>
      <w:r>
        <w:rPr>
          <w:rFonts w:hint="eastAsia"/>
          <w:lang w:eastAsia="zh-CN"/>
        </w:rPr>
        <w:t>原料解冻区及加工车间环境温度应控制在10℃及以下。</w:t>
      </w:r>
    </w:p>
    <w:p w14:paraId="27AA608C">
      <w:pPr>
        <w:pStyle w:val="166"/>
        <w:bidi w:val="0"/>
        <w:rPr>
          <w:rFonts w:hint="eastAsia"/>
          <w:lang w:eastAsia="zh-CN"/>
        </w:rPr>
      </w:pPr>
      <w:r>
        <w:rPr>
          <w:rFonts w:hint="eastAsia"/>
          <w:lang w:eastAsia="zh-CN"/>
        </w:rPr>
        <w:t>加工车间卫生管理应符合GB 14881的规定。</w:t>
      </w:r>
    </w:p>
    <w:p w14:paraId="4C8B7F28">
      <w:pPr>
        <w:pStyle w:val="105"/>
        <w:bidi w:val="0"/>
        <w:rPr>
          <w:rFonts w:hint="eastAsia"/>
          <w:lang w:eastAsia="zh-CN"/>
        </w:rPr>
      </w:pPr>
      <w:r>
        <w:rPr>
          <w:rFonts w:hint="eastAsia"/>
          <w:lang w:eastAsia="zh-CN"/>
        </w:rPr>
        <w:t>加工技术要求</w:t>
      </w:r>
    </w:p>
    <w:p w14:paraId="1167D527">
      <w:pPr>
        <w:pStyle w:val="106"/>
        <w:bidi w:val="0"/>
        <w:rPr>
          <w:rFonts w:hint="eastAsia"/>
          <w:lang w:eastAsia="zh-CN"/>
        </w:rPr>
      </w:pPr>
      <w:r>
        <w:rPr>
          <w:rFonts w:hint="eastAsia"/>
          <w:lang w:eastAsia="zh-CN"/>
        </w:rPr>
        <w:t>加工</w:t>
      </w:r>
      <w:r>
        <w:rPr>
          <w:rFonts w:hint="eastAsia"/>
          <w:lang w:val="en-US" w:eastAsia="zh-CN"/>
        </w:rPr>
        <w:t>工艺流程</w:t>
      </w:r>
    </w:p>
    <w:p w14:paraId="5B5B905D">
      <w:pPr>
        <w:pStyle w:val="57"/>
        <w:rPr>
          <w:rFonts w:hint="eastAsia"/>
          <w:lang w:val="en-US" w:eastAsia="zh-CN"/>
        </w:rPr>
      </w:pPr>
      <w:r>
        <w:rPr>
          <w:rFonts w:hint="eastAsia"/>
          <w:lang w:val="en-US" w:eastAsia="zh-CN"/>
        </w:rPr>
        <w:t>应符合图1的规定。</w:t>
      </w:r>
    </w:p>
    <w:p w14:paraId="686D58F4">
      <w:pPr>
        <w:pStyle w:val="57"/>
        <w:jc w:val="center"/>
      </w:pPr>
      <w:r>
        <w:drawing>
          <wp:inline distT="0" distB="0" distL="114300" distR="114300">
            <wp:extent cx="3974465" cy="4447540"/>
            <wp:effectExtent l="0" t="0" r="6985" b="1016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5"/>
                    <a:stretch>
                      <a:fillRect/>
                    </a:stretch>
                  </pic:blipFill>
                  <pic:spPr>
                    <a:xfrm>
                      <a:off x="0" y="0"/>
                      <a:ext cx="3974465" cy="4447540"/>
                    </a:xfrm>
                    <a:prstGeom prst="rect">
                      <a:avLst/>
                    </a:prstGeom>
                    <a:noFill/>
                    <a:ln>
                      <a:noFill/>
                    </a:ln>
                  </pic:spPr>
                </pic:pic>
              </a:graphicData>
            </a:graphic>
          </wp:inline>
        </w:drawing>
      </w:r>
    </w:p>
    <w:p w14:paraId="50F39CF0">
      <w:pPr>
        <w:pStyle w:val="115"/>
        <w:bidi w:val="0"/>
        <w:rPr>
          <w:rFonts w:hint="default"/>
          <w:lang w:val="en-US" w:eastAsia="zh-CN"/>
        </w:rPr>
      </w:pPr>
      <w:r>
        <w:rPr>
          <w:rFonts w:hint="default"/>
          <w:lang w:val="en-US" w:eastAsia="zh-CN"/>
        </w:rPr>
        <w:t>冷冻调理牦牛肉制品</w:t>
      </w:r>
      <w:r>
        <w:rPr>
          <w:rFonts w:hint="eastAsia"/>
          <w:lang w:val="en-US" w:eastAsia="zh-CN"/>
        </w:rPr>
        <w:t>加工工艺流程</w:t>
      </w:r>
    </w:p>
    <w:p w14:paraId="411E1986">
      <w:pPr>
        <w:pStyle w:val="106"/>
        <w:bidi w:val="0"/>
        <w:rPr>
          <w:rFonts w:hint="eastAsia"/>
          <w:lang w:eastAsia="zh-CN"/>
        </w:rPr>
      </w:pPr>
      <w:r>
        <w:rPr>
          <w:rFonts w:hint="eastAsia"/>
          <w:lang w:eastAsia="zh-CN"/>
        </w:rPr>
        <w:t>原料解冻</w:t>
      </w:r>
    </w:p>
    <w:p w14:paraId="08D6DD77">
      <w:pPr>
        <w:pStyle w:val="166"/>
        <w:bidi w:val="0"/>
        <w:rPr>
          <w:rFonts w:hint="eastAsia"/>
          <w:lang w:eastAsia="zh-CN"/>
        </w:rPr>
      </w:pPr>
      <w:r>
        <w:rPr>
          <w:rFonts w:hint="eastAsia"/>
          <w:lang w:eastAsia="zh-CN"/>
        </w:rPr>
        <w:t>冷冻牦牛肉原料解冻应采取得当的缓化方式。</w:t>
      </w:r>
    </w:p>
    <w:p w14:paraId="0DEC41AE">
      <w:pPr>
        <w:pStyle w:val="166"/>
        <w:bidi w:val="0"/>
        <w:rPr>
          <w:rFonts w:hint="eastAsia"/>
          <w:lang w:eastAsia="zh-CN"/>
        </w:rPr>
      </w:pPr>
      <w:r>
        <w:rPr>
          <w:rFonts w:hint="eastAsia"/>
          <w:lang w:eastAsia="zh-CN"/>
        </w:rPr>
        <w:t>解冻后肉中心温度应达到0℃～4℃。</w:t>
      </w:r>
    </w:p>
    <w:p w14:paraId="38817CA0">
      <w:pPr>
        <w:pStyle w:val="166"/>
        <w:bidi w:val="0"/>
        <w:rPr>
          <w:rFonts w:hint="eastAsia"/>
          <w:lang w:eastAsia="zh-CN"/>
        </w:rPr>
      </w:pPr>
      <w:r>
        <w:rPr>
          <w:rFonts w:hint="eastAsia"/>
          <w:lang w:eastAsia="zh-CN"/>
        </w:rPr>
        <w:t>原料解冻后应在规定时间内进行加工，不得反复冻融。</w:t>
      </w:r>
    </w:p>
    <w:p w14:paraId="23E9BFFA">
      <w:pPr>
        <w:pStyle w:val="106"/>
        <w:bidi w:val="0"/>
        <w:rPr>
          <w:rFonts w:hint="eastAsia"/>
          <w:lang w:eastAsia="zh-CN"/>
        </w:rPr>
      </w:pPr>
      <w:r>
        <w:rPr>
          <w:rFonts w:hint="eastAsia"/>
          <w:lang w:eastAsia="zh-CN"/>
        </w:rPr>
        <w:t>修割整理</w:t>
      </w:r>
    </w:p>
    <w:p w14:paraId="49F15E19">
      <w:pPr>
        <w:pStyle w:val="166"/>
        <w:bidi w:val="0"/>
        <w:rPr>
          <w:rFonts w:hint="eastAsia"/>
          <w:lang w:eastAsia="zh-CN"/>
        </w:rPr>
      </w:pPr>
      <w:r>
        <w:rPr>
          <w:rFonts w:hint="eastAsia"/>
          <w:lang w:eastAsia="zh-CN"/>
        </w:rPr>
        <w:t>应去除原料肉中的淋巴、淤血、杂油、结缔组织及病变组织。</w:t>
      </w:r>
    </w:p>
    <w:p w14:paraId="5DE395D2">
      <w:pPr>
        <w:pStyle w:val="166"/>
        <w:bidi w:val="0"/>
        <w:rPr>
          <w:rFonts w:hint="eastAsia"/>
          <w:lang w:eastAsia="zh-CN"/>
        </w:rPr>
      </w:pPr>
      <w:r>
        <w:rPr>
          <w:rFonts w:hint="eastAsia"/>
          <w:lang w:eastAsia="zh-CN"/>
        </w:rPr>
        <w:t>修割后肉块应保持基本完整性，符合加工要求。</w:t>
      </w:r>
    </w:p>
    <w:p w14:paraId="6845E704">
      <w:pPr>
        <w:pStyle w:val="106"/>
        <w:bidi w:val="0"/>
        <w:rPr>
          <w:rFonts w:hint="eastAsia"/>
          <w:lang w:eastAsia="zh-CN"/>
        </w:rPr>
      </w:pPr>
      <w:r>
        <w:rPr>
          <w:rFonts w:hint="eastAsia"/>
          <w:lang w:eastAsia="zh-CN"/>
        </w:rPr>
        <w:t>配料</w:t>
      </w:r>
    </w:p>
    <w:p w14:paraId="48719FAD">
      <w:pPr>
        <w:pStyle w:val="166"/>
        <w:bidi w:val="0"/>
        <w:rPr>
          <w:rFonts w:hint="eastAsia"/>
          <w:lang w:eastAsia="zh-CN"/>
        </w:rPr>
      </w:pPr>
      <w:r>
        <w:rPr>
          <w:rFonts w:hint="eastAsia"/>
          <w:lang w:eastAsia="zh-CN"/>
        </w:rPr>
        <w:t>辅料与食品添加剂称量应准确，并做好投料记录。</w:t>
      </w:r>
    </w:p>
    <w:p w14:paraId="3B378A39">
      <w:pPr>
        <w:pStyle w:val="166"/>
        <w:bidi w:val="0"/>
        <w:rPr>
          <w:rFonts w:hint="eastAsia"/>
          <w:lang w:eastAsia="zh-CN"/>
        </w:rPr>
      </w:pPr>
      <w:r>
        <w:rPr>
          <w:rFonts w:hint="eastAsia"/>
          <w:lang w:eastAsia="zh-CN"/>
        </w:rPr>
        <w:t>配制盐水时，辅料、食品添加剂应与0℃～4℃冰水充分混匀溶解，盐水温度应控制在0℃～4℃。</w:t>
      </w:r>
    </w:p>
    <w:p w14:paraId="30E8734B">
      <w:pPr>
        <w:pStyle w:val="106"/>
        <w:bidi w:val="0"/>
        <w:rPr>
          <w:rFonts w:hint="eastAsia"/>
          <w:lang w:eastAsia="zh-CN"/>
        </w:rPr>
      </w:pPr>
      <w:r>
        <w:rPr>
          <w:rFonts w:hint="eastAsia"/>
          <w:lang w:eastAsia="zh-CN"/>
        </w:rPr>
        <w:t>真空滚揉腌制</w:t>
      </w:r>
    </w:p>
    <w:p w14:paraId="6223F91A">
      <w:pPr>
        <w:pStyle w:val="166"/>
        <w:bidi w:val="0"/>
        <w:rPr>
          <w:rFonts w:hint="eastAsia"/>
          <w:lang w:eastAsia="zh-CN"/>
        </w:rPr>
      </w:pPr>
      <w:r>
        <w:rPr>
          <w:rFonts w:hint="eastAsia"/>
          <w:lang w:eastAsia="zh-CN"/>
        </w:rPr>
        <w:t>真空滚揉机真空度应达到-0.08MPa。</w:t>
      </w:r>
    </w:p>
    <w:p w14:paraId="0C9234C5">
      <w:pPr>
        <w:pStyle w:val="166"/>
        <w:bidi w:val="0"/>
        <w:rPr>
          <w:rFonts w:hint="eastAsia"/>
          <w:lang w:eastAsia="zh-CN"/>
        </w:rPr>
      </w:pPr>
      <w:r>
        <w:rPr>
          <w:rFonts w:hint="eastAsia"/>
          <w:lang w:eastAsia="zh-CN"/>
        </w:rPr>
        <w:t>应采用低温间歇滚揉工艺，滚揉过程中环境温度应符合5.1.1的要求。</w:t>
      </w:r>
    </w:p>
    <w:p w14:paraId="733CD023">
      <w:pPr>
        <w:pStyle w:val="166"/>
        <w:bidi w:val="0"/>
        <w:rPr>
          <w:rFonts w:hint="eastAsia"/>
          <w:lang w:eastAsia="zh-CN"/>
        </w:rPr>
      </w:pPr>
      <w:r>
        <w:rPr>
          <w:rFonts w:hint="eastAsia"/>
          <w:lang w:eastAsia="zh-CN"/>
        </w:rPr>
        <w:t>滚揉时间应根据原料肉大小和设备类型确定，以肉块充分吸水、腌制均匀为准。</w:t>
      </w:r>
    </w:p>
    <w:p w14:paraId="362D4379">
      <w:pPr>
        <w:pStyle w:val="106"/>
        <w:bidi w:val="0"/>
        <w:rPr>
          <w:rFonts w:hint="eastAsia"/>
          <w:lang w:eastAsia="zh-CN"/>
        </w:rPr>
      </w:pPr>
      <w:r>
        <w:rPr>
          <w:rFonts w:hint="eastAsia"/>
          <w:lang w:eastAsia="zh-CN"/>
        </w:rPr>
        <w:t>乳化液添加</w:t>
      </w:r>
    </w:p>
    <w:p w14:paraId="60E44E0D">
      <w:pPr>
        <w:pStyle w:val="166"/>
        <w:bidi w:val="0"/>
        <w:rPr>
          <w:rFonts w:hint="eastAsia"/>
          <w:lang w:eastAsia="zh-CN"/>
        </w:rPr>
      </w:pPr>
      <w:r>
        <w:rPr>
          <w:rFonts w:hint="eastAsia"/>
          <w:lang w:eastAsia="zh-CN"/>
        </w:rPr>
        <w:t>如需添加乳化剂（如MG805等），应使用0℃～4℃冰水预溶解。</w:t>
      </w:r>
    </w:p>
    <w:p w14:paraId="42FF8B64">
      <w:pPr>
        <w:pStyle w:val="166"/>
        <w:bidi w:val="0"/>
        <w:rPr>
          <w:rFonts w:hint="eastAsia"/>
          <w:lang w:eastAsia="zh-CN"/>
        </w:rPr>
      </w:pPr>
      <w:r>
        <w:rPr>
          <w:rFonts w:hint="eastAsia"/>
          <w:lang w:eastAsia="zh-CN"/>
        </w:rPr>
        <w:t>乳化液应在滚揉结束前均匀加入，继续滚揉至乳化液均匀分散于肉料中。</w:t>
      </w:r>
    </w:p>
    <w:p w14:paraId="2B2A4CA3">
      <w:pPr>
        <w:pStyle w:val="106"/>
        <w:bidi w:val="0"/>
        <w:rPr>
          <w:rFonts w:hint="eastAsia"/>
          <w:lang w:eastAsia="zh-CN"/>
        </w:rPr>
      </w:pPr>
      <w:r>
        <w:rPr>
          <w:rFonts w:hint="eastAsia"/>
          <w:lang w:eastAsia="zh-CN"/>
        </w:rPr>
        <w:t>装模成型</w:t>
      </w:r>
    </w:p>
    <w:p w14:paraId="762E914D">
      <w:pPr>
        <w:pStyle w:val="166"/>
        <w:bidi w:val="0"/>
        <w:rPr>
          <w:rFonts w:hint="eastAsia"/>
          <w:lang w:eastAsia="zh-CN"/>
        </w:rPr>
      </w:pPr>
      <w:r>
        <w:rPr>
          <w:rFonts w:hint="eastAsia"/>
          <w:lang w:eastAsia="zh-CN"/>
        </w:rPr>
        <w:t>模具应铺设食品级塑料膜。</w:t>
      </w:r>
    </w:p>
    <w:p w14:paraId="2BF3CD75">
      <w:pPr>
        <w:pStyle w:val="166"/>
        <w:bidi w:val="0"/>
        <w:rPr>
          <w:rFonts w:hint="eastAsia"/>
          <w:lang w:eastAsia="zh-CN"/>
        </w:rPr>
      </w:pPr>
      <w:r>
        <w:rPr>
          <w:rFonts w:hint="eastAsia"/>
          <w:lang w:eastAsia="zh-CN"/>
        </w:rPr>
        <w:t>肉料应摆放平整，逐层压实排气，模具四角充实无空隙。</w:t>
      </w:r>
    </w:p>
    <w:p w14:paraId="49DD930C">
      <w:pPr>
        <w:pStyle w:val="166"/>
        <w:bidi w:val="0"/>
        <w:rPr>
          <w:rFonts w:hint="eastAsia"/>
          <w:lang w:eastAsia="zh-CN"/>
        </w:rPr>
      </w:pPr>
      <w:r>
        <w:rPr>
          <w:rFonts w:hint="eastAsia"/>
          <w:lang w:eastAsia="zh-CN"/>
        </w:rPr>
        <w:t>食品接触材料应符合GB 4806.7的规定。</w:t>
      </w:r>
    </w:p>
    <w:p w14:paraId="15FEDAE6">
      <w:pPr>
        <w:pStyle w:val="106"/>
        <w:bidi w:val="0"/>
        <w:rPr>
          <w:rFonts w:hint="eastAsia"/>
          <w:lang w:eastAsia="zh-CN"/>
        </w:rPr>
      </w:pPr>
      <w:r>
        <w:rPr>
          <w:rFonts w:hint="eastAsia"/>
          <w:lang w:eastAsia="zh-CN"/>
        </w:rPr>
        <w:t>低温静置定型</w:t>
      </w:r>
    </w:p>
    <w:p w14:paraId="3FE305FB">
      <w:pPr>
        <w:pStyle w:val="166"/>
        <w:bidi w:val="0"/>
        <w:rPr>
          <w:rFonts w:hint="eastAsia"/>
          <w:lang w:eastAsia="zh-CN"/>
        </w:rPr>
      </w:pPr>
      <w:r>
        <w:rPr>
          <w:rFonts w:hint="eastAsia"/>
          <w:lang w:eastAsia="zh-CN"/>
        </w:rPr>
        <w:t>装模成型后应在0℃～4℃条件下静置12 h～24 h。</w:t>
      </w:r>
    </w:p>
    <w:p w14:paraId="47C30F62">
      <w:pPr>
        <w:pStyle w:val="166"/>
        <w:bidi w:val="0"/>
        <w:rPr>
          <w:rFonts w:hint="eastAsia"/>
          <w:lang w:eastAsia="zh-CN"/>
        </w:rPr>
      </w:pPr>
      <w:r>
        <w:rPr>
          <w:rFonts w:hint="eastAsia"/>
          <w:lang w:eastAsia="zh-CN"/>
        </w:rPr>
        <w:t>静置期间应确保产品内部温度均匀，使乳化剂与肉蛋白充分结合，形成稳定凝胶结构。</w:t>
      </w:r>
    </w:p>
    <w:p w14:paraId="2727E2C4">
      <w:pPr>
        <w:pStyle w:val="106"/>
        <w:bidi w:val="0"/>
        <w:rPr>
          <w:rFonts w:hint="eastAsia"/>
          <w:lang w:eastAsia="zh-CN"/>
        </w:rPr>
      </w:pPr>
      <w:r>
        <w:rPr>
          <w:rFonts w:hint="eastAsia"/>
          <w:lang w:eastAsia="zh-CN"/>
        </w:rPr>
        <w:t>速冻</w:t>
      </w:r>
    </w:p>
    <w:p w14:paraId="38333286">
      <w:pPr>
        <w:pStyle w:val="166"/>
        <w:bidi w:val="0"/>
        <w:rPr>
          <w:rFonts w:hint="eastAsia"/>
          <w:lang w:eastAsia="zh-CN"/>
        </w:rPr>
      </w:pPr>
      <w:r>
        <w:rPr>
          <w:rFonts w:hint="eastAsia"/>
          <w:lang w:eastAsia="zh-CN"/>
        </w:rPr>
        <w:t>速冻应在-32℃以下条件下进行。</w:t>
      </w:r>
    </w:p>
    <w:p w14:paraId="1571316F">
      <w:pPr>
        <w:pStyle w:val="166"/>
        <w:bidi w:val="0"/>
        <w:rPr>
          <w:rFonts w:hint="eastAsia"/>
          <w:lang w:eastAsia="zh-CN"/>
        </w:rPr>
      </w:pPr>
      <w:r>
        <w:rPr>
          <w:rFonts w:hint="eastAsia"/>
          <w:lang w:eastAsia="zh-CN"/>
        </w:rPr>
        <w:t>速冻后肉中心温度应达到-18℃以下。</w:t>
      </w:r>
    </w:p>
    <w:p w14:paraId="0A6DB0B3">
      <w:pPr>
        <w:pStyle w:val="106"/>
        <w:bidi w:val="0"/>
        <w:rPr>
          <w:rFonts w:hint="eastAsia"/>
          <w:lang w:eastAsia="zh-CN"/>
        </w:rPr>
      </w:pPr>
      <w:r>
        <w:rPr>
          <w:rFonts w:hint="eastAsia"/>
          <w:lang w:eastAsia="zh-CN"/>
        </w:rPr>
        <w:t>脱模修整</w:t>
      </w:r>
    </w:p>
    <w:p w14:paraId="1581DD03">
      <w:pPr>
        <w:pStyle w:val="57"/>
        <w:ind w:firstLine="420"/>
        <w:rPr>
          <w:rFonts w:hint="eastAsia" w:eastAsia="宋体"/>
          <w:lang w:eastAsia="zh-CN"/>
        </w:rPr>
      </w:pPr>
      <w:r>
        <w:rPr>
          <w:rFonts w:hint="eastAsia" w:eastAsia="宋体"/>
          <w:lang w:eastAsia="zh-CN"/>
        </w:rPr>
        <w:t>速冻完成后应脱除模具，修整产品外观，去除多余边角，保证产品形状规整。</w:t>
      </w:r>
    </w:p>
    <w:p w14:paraId="428A2815">
      <w:pPr>
        <w:pStyle w:val="106"/>
        <w:bidi w:val="0"/>
        <w:rPr>
          <w:rFonts w:hint="eastAsia"/>
          <w:lang w:eastAsia="zh-CN"/>
        </w:rPr>
      </w:pPr>
      <w:r>
        <w:rPr>
          <w:rFonts w:hint="eastAsia"/>
          <w:lang w:eastAsia="zh-CN"/>
        </w:rPr>
        <w:t>真空包装</w:t>
      </w:r>
    </w:p>
    <w:p w14:paraId="6856C143">
      <w:pPr>
        <w:pStyle w:val="166"/>
        <w:bidi w:val="0"/>
        <w:rPr>
          <w:rFonts w:hint="eastAsia"/>
          <w:lang w:eastAsia="zh-CN"/>
        </w:rPr>
      </w:pPr>
      <w:r>
        <w:rPr>
          <w:rFonts w:hint="eastAsia"/>
          <w:lang w:eastAsia="zh-CN"/>
        </w:rPr>
        <w:t>应采用食品级包装材料进行真空密封包装。</w:t>
      </w:r>
    </w:p>
    <w:p w14:paraId="557C500F">
      <w:pPr>
        <w:pStyle w:val="166"/>
        <w:bidi w:val="0"/>
        <w:rPr>
          <w:rFonts w:hint="eastAsia"/>
          <w:lang w:eastAsia="zh-CN"/>
        </w:rPr>
      </w:pPr>
      <w:r>
        <w:rPr>
          <w:rFonts w:hint="eastAsia"/>
          <w:lang w:eastAsia="zh-CN"/>
        </w:rPr>
        <w:t>包装材料应符合GB 4806.</w:t>
      </w:r>
      <w:r>
        <w:rPr>
          <w:rFonts w:hint="eastAsia"/>
          <w:lang w:val="en-US" w:eastAsia="zh-CN"/>
        </w:rPr>
        <w:t>1</w:t>
      </w:r>
      <w:r>
        <w:rPr>
          <w:rFonts w:hint="eastAsia"/>
          <w:lang w:eastAsia="zh-CN"/>
        </w:rPr>
        <w:t>的规定。</w:t>
      </w:r>
    </w:p>
    <w:p w14:paraId="704EDA4D">
      <w:pPr>
        <w:pStyle w:val="106"/>
        <w:bidi w:val="0"/>
        <w:rPr>
          <w:rFonts w:hint="eastAsia"/>
          <w:lang w:eastAsia="zh-CN"/>
        </w:rPr>
      </w:pPr>
      <w:r>
        <w:rPr>
          <w:rFonts w:hint="eastAsia"/>
          <w:lang w:eastAsia="zh-CN"/>
        </w:rPr>
        <w:t>成品入库</w:t>
      </w:r>
    </w:p>
    <w:p w14:paraId="67E07A47">
      <w:pPr>
        <w:pStyle w:val="166"/>
        <w:bidi w:val="0"/>
        <w:rPr>
          <w:rFonts w:hint="eastAsia"/>
          <w:lang w:eastAsia="zh-CN"/>
        </w:rPr>
      </w:pPr>
      <w:r>
        <w:rPr>
          <w:rFonts w:hint="eastAsia"/>
          <w:lang w:eastAsia="zh-CN"/>
        </w:rPr>
        <w:t>成品经检验合格后，应置于-18℃以下冷冻库储存。</w:t>
      </w:r>
    </w:p>
    <w:p w14:paraId="49BA2A15">
      <w:pPr>
        <w:pStyle w:val="166"/>
        <w:bidi w:val="0"/>
        <w:rPr>
          <w:rFonts w:hint="eastAsia"/>
          <w:lang w:eastAsia="zh-CN"/>
        </w:rPr>
      </w:pPr>
      <w:r>
        <w:rPr>
          <w:rFonts w:hint="eastAsia"/>
          <w:lang w:eastAsia="zh-CN"/>
        </w:rPr>
        <w:t>不合格产品应按相关规定处理，不得出厂。</w:t>
      </w:r>
    </w:p>
    <w:p w14:paraId="123F9CDB">
      <w:pPr>
        <w:pStyle w:val="105"/>
        <w:bidi w:val="0"/>
        <w:rPr>
          <w:rFonts w:hint="eastAsia"/>
          <w:lang w:eastAsia="zh-CN"/>
        </w:rPr>
      </w:pPr>
      <w:r>
        <w:rPr>
          <w:rFonts w:hint="eastAsia"/>
          <w:lang w:val="en-US" w:eastAsia="zh-CN"/>
        </w:rPr>
        <w:t>质量管理</w:t>
      </w:r>
    </w:p>
    <w:p w14:paraId="4C4B78F5">
      <w:pPr>
        <w:pStyle w:val="163"/>
        <w:bidi w:val="0"/>
        <w:rPr>
          <w:rFonts w:hint="eastAsia"/>
          <w:lang w:eastAsia="zh-CN"/>
        </w:rPr>
      </w:pPr>
      <w:r>
        <w:rPr>
          <w:rFonts w:hint="eastAsia"/>
          <w:lang w:eastAsia="zh-CN"/>
        </w:rPr>
        <w:t>应建立质量安全可追溯管理体系。</w:t>
      </w:r>
      <w:r>
        <w:rPr>
          <w:rFonts w:hint="default"/>
          <w:lang w:val="en-US" w:eastAsia="zh-CN"/>
        </w:rPr>
        <w:t>冷冻调理牦牛肉制品</w:t>
      </w:r>
      <w:r>
        <w:rPr>
          <w:rFonts w:hint="eastAsia"/>
          <w:lang w:eastAsia="zh-CN"/>
        </w:rPr>
        <w:t>生产加工各关键控制点应有相应的记录，记录应保持两年。</w:t>
      </w:r>
    </w:p>
    <w:p w14:paraId="050A26D1">
      <w:pPr>
        <w:pStyle w:val="163"/>
        <w:bidi w:val="0"/>
        <w:rPr>
          <w:rFonts w:hint="eastAsia"/>
          <w:lang w:eastAsia="zh-CN"/>
        </w:rPr>
      </w:pPr>
      <w:r>
        <w:rPr>
          <w:rFonts w:hint="eastAsia"/>
          <w:lang w:eastAsia="zh-CN"/>
        </w:rPr>
        <w:t>企业应对出厂的产品逐批进行检验，出厂检验项目包括感官、净含量、标签。</w:t>
      </w:r>
    </w:p>
    <w:p w14:paraId="29B638EE">
      <w:pPr>
        <w:pStyle w:val="163"/>
        <w:bidi w:val="0"/>
        <w:rPr>
          <w:rFonts w:hint="eastAsia"/>
          <w:lang w:eastAsia="zh-CN"/>
        </w:rPr>
      </w:pPr>
      <w:r>
        <w:rPr>
          <w:rFonts w:hint="eastAsia"/>
          <w:lang w:eastAsia="zh-CN"/>
        </w:rPr>
        <w:t>应建立食品添加剂使用台账，记录食品添加剂的名称、批号、用量等信息。</w:t>
      </w:r>
    </w:p>
    <w:p w14:paraId="354979FD">
      <w:pPr>
        <w:pStyle w:val="163"/>
        <w:bidi w:val="0"/>
        <w:rPr>
          <w:rFonts w:hint="eastAsia"/>
          <w:lang w:eastAsia="zh-CN"/>
        </w:rPr>
      </w:pPr>
      <w:r>
        <w:rPr>
          <w:rFonts w:hint="eastAsia"/>
          <w:lang w:eastAsia="zh-CN"/>
        </w:rPr>
        <w:t>企业应建立污染物限量控制与管理的制</w:t>
      </w:r>
      <w:r>
        <w:rPr>
          <w:rFonts w:hint="eastAsia"/>
          <w:lang w:val="en-US" w:eastAsia="zh-CN"/>
        </w:rPr>
        <w:t>度</w:t>
      </w:r>
      <w:r>
        <w:rPr>
          <w:rFonts w:hint="eastAsia"/>
          <w:lang w:eastAsia="zh-CN"/>
        </w:rPr>
        <w:t>。</w:t>
      </w:r>
    </w:p>
    <w:p w14:paraId="046692F2">
      <w:pPr>
        <w:pStyle w:val="163"/>
        <w:bidi w:val="0"/>
        <w:rPr>
          <w:rFonts w:hint="eastAsia"/>
          <w:lang w:eastAsia="zh-CN"/>
        </w:rPr>
      </w:pPr>
      <w:r>
        <w:rPr>
          <w:rFonts w:hint="eastAsia"/>
          <w:lang w:eastAsia="zh-CN"/>
        </w:rPr>
        <w:t>企业应建立</w:t>
      </w:r>
      <w:r>
        <w:rPr>
          <w:rFonts w:hint="eastAsia"/>
          <w:lang w:val="en-US" w:eastAsia="zh-CN"/>
        </w:rPr>
        <w:t>兽</w:t>
      </w:r>
      <w:r>
        <w:rPr>
          <w:rFonts w:hint="eastAsia"/>
          <w:lang w:eastAsia="zh-CN"/>
        </w:rPr>
        <w:t>药残留限量控制与管理的制度。</w:t>
      </w:r>
    </w:p>
    <w:p w14:paraId="675ABAB2">
      <w:pPr>
        <w:pStyle w:val="163"/>
        <w:bidi w:val="0"/>
        <w:rPr>
          <w:rFonts w:hint="eastAsia"/>
          <w:lang w:eastAsia="zh-CN"/>
        </w:rPr>
      </w:pPr>
      <w:r>
        <w:rPr>
          <w:rFonts w:hint="eastAsia"/>
          <w:lang w:eastAsia="zh-CN"/>
        </w:rPr>
        <w:t>应建立产品追溯体系，确保从原料采购到成品销售各环节可追溯。</w:t>
      </w:r>
    </w:p>
    <w:p w14:paraId="61A31134">
      <w:pPr>
        <w:pStyle w:val="163"/>
        <w:bidi w:val="0"/>
        <w:rPr>
          <w:rFonts w:hint="eastAsia"/>
          <w:lang w:eastAsia="zh-CN"/>
        </w:rPr>
      </w:pPr>
      <w:r>
        <w:rPr>
          <w:rFonts w:hint="eastAsia"/>
          <w:lang w:eastAsia="zh-CN"/>
        </w:rPr>
        <w:t>从业人员应持有有效健康证明，并按规定进行卫生培训。</w:t>
      </w:r>
    </w:p>
    <w:p w14:paraId="2D2D32B1">
      <w:pPr>
        <w:pStyle w:val="105"/>
        <w:bidi w:val="0"/>
        <w:rPr>
          <w:rFonts w:hint="eastAsia"/>
          <w:lang w:eastAsia="zh-CN"/>
        </w:rPr>
      </w:pPr>
      <w:r>
        <w:rPr>
          <w:rFonts w:hint="eastAsia"/>
          <w:lang w:eastAsia="zh-CN"/>
        </w:rPr>
        <w:t>标志、标签、包装、运输</w:t>
      </w:r>
      <w:r>
        <w:rPr>
          <w:rFonts w:hint="eastAsia"/>
          <w:lang w:val="en-US" w:eastAsia="zh-CN"/>
        </w:rPr>
        <w:t>和</w:t>
      </w:r>
      <w:r>
        <w:rPr>
          <w:rFonts w:hint="eastAsia"/>
          <w:lang w:eastAsia="zh-CN"/>
        </w:rPr>
        <w:t>贮存</w:t>
      </w:r>
    </w:p>
    <w:p w14:paraId="402F7022">
      <w:pPr>
        <w:pStyle w:val="106"/>
        <w:bidi w:val="0"/>
        <w:rPr>
          <w:rFonts w:hint="eastAsia"/>
          <w:lang w:eastAsia="zh-CN"/>
        </w:rPr>
      </w:pPr>
      <w:r>
        <w:rPr>
          <w:rFonts w:hint="eastAsia"/>
          <w:lang w:eastAsia="zh-CN"/>
        </w:rPr>
        <w:t>标志和标签</w:t>
      </w:r>
    </w:p>
    <w:p w14:paraId="3DB2BD49">
      <w:pPr>
        <w:pStyle w:val="166"/>
        <w:bidi w:val="0"/>
        <w:rPr>
          <w:rFonts w:hint="eastAsia"/>
          <w:lang w:eastAsia="zh-CN"/>
        </w:rPr>
      </w:pPr>
      <w:r>
        <w:rPr>
          <w:rFonts w:hint="eastAsia"/>
          <w:lang w:eastAsia="zh-CN"/>
        </w:rPr>
        <w:t>预包装产品的标签应符合GB 7718的规定。</w:t>
      </w:r>
    </w:p>
    <w:p w14:paraId="131703B6">
      <w:pPr>
        <w:pStyle w:val="166"/>
        <w:bidi w:val="0"/>
        <w:rPr>
          <w:rFonts w:hint="eastAsia"/>
          <w:lang w:eastAsia="zh-CN"/>
        </w:rPr>
      </w:pPr>
      <w:r>
        <w:rPr>
          <w:rFonts w:hint="eastAsia"/>
          <w:lang w:eastAsia="zh-CN"/>
        </w:rPr>
        <w:t>营养标签应符合GB 28050的规定。</w:t>
      </w:r>
    </w:p>
    <w:p w14:paraId="2E2EB715">
      <w:pPr>
        <w:pStyle w:val="166"/>
        <w:bidi w:val="0"/>
        <w:rPr>
          <w:rFonts w:hint="eastAsia"/>
          <w:lang w:eastAsia="zh-CN"/>
        </w:rPr>
      </w:pPr>
      <w:r>
        <w:rPr>
          <w:rFonts w:hint="eastAsia"/>
          <w:lang w:eastAsia="zh-CN"/>
        </w:rPr>
        <w:t>运输包装标志应符合GB/T 191的规定。</w:t>
      </w:r>
    </w:p>
    <w:p w14:paraId="51DCDEED">
      <w:pPr>
        <w:pStyle w:val="106"/>
        <w:bidi w:val="0"/>
        <w:rPr>
          <w:rFonts w:hint="eastAsia"/>
          <w:lang w:eastAsia="zh-CN"/>
        </w:rPr>
      </w:pPr>
      <w:r>
        <w:rPr>
          <w:rFonts w:hint="eastAsia"/>
          <w:lang w:eastAsia="zh-CN"/>
        </w:rPr>
        <w:t>包装</w:t>
      </w:r>
    </w:p>
    <w:p w14:paraId="2748D247">
      <w:pPr>
        <w:pStyle w:val="57"/>
        <w:bidi w:val="0"/>
        <w:rPr>
          <w:rFonts w:hint="eastAsia"/>
          <w:lang w:eastAsia="zh-CN"/>
        </w:rPr>
      </w:pPr>
      <w:r>
        <w:rPr>
          <w:rFonts w:hint="eastAsia"/>
          <w:lang w:eastAsia="zh-CN"/>
        </w:rPr>
        <w:t>包装材料应符合GB 4806.</w:t>
      </w:r>
      <w:r>
        <w:rPr>
          <w:rFonts w:hint="eastAsia"/>
          <w:lang w:val="en-US" w:eastAsia="zh-CN"/>
        </w:rPr>
        <w:t>1</w:t>
      </w:r>
      <w:r>
        <w:rPr>
          <w:rFonts w:hint="eastAsia"/>
          <w:lang w:eastAsia="zh-CN"/>
        </w:rPr>
        <w:t>的规定。</w:t>
      </w:r>
    </w:p>
    <w:p w14:paraId="45A62274">
      <w:pPr>
        <w:pStyle w:val="106"/>
        <w:bidi w:val="0"/>
        <w:rPr>
          <w:rFonts w:hint="eastAsia"/>
          <w:lang w:eastAsia="zh-CN"/>
        </w:rPr>
      </w:pPr>
      <w:r>
        <w:rPr>
          <w:rFonts w:hint="eastAsia"/>
          <w:lang w:eastAsia="zh-CN"/>
        </w:rPr>
        <w:t>运输</w:t>
      </w:r>
    </w:p>
    <w:p w14:paraId="5C0D1962">
      <w:pPr>
        <w:pStyle w:val="166"/>
        <w:bidi w:val="0"/>
        <w:rPr>
          <w:rFonts w:hint="eastAsia"/>
          <w:lang w:eastAsia="zh-CN"/>
        </w:rPr>
      </w:pPr>
      <w:r>
        <w:rPr>
          <w:rFonts w:hint="eastAsia"/>
          <w:lang w:eastAsia="zh-CN"/>
        </w:rPr>
        <w:t>运输应采用冷藏车或冷冻运输设备，运输过程中产品温度应保持在-18℃以下。</w:t>
      </w:r>
    </w:p>
    <w:p w14:paraId="66A5B26C">
      <w:pPr>
        <w:pStyle w:val="166"/>
        <w:bidi w:val="0"/>
        <w:rPr>
          <w:rFonts w:hint="eastAsia"/>
          <w:lang w:eastAsia="zh-CN"/>
        </w:rPr>
      </w:pPr>
      <w:r>
        <w:rPr>
          <w:rFonts w:hint="eastAsia"/>
          <w:lang w:eastAsia="zh-CN"/>
        </w:rPr>
        <w:t>运输工具应清洁卫生，不得与有毒、有害、有异味的物品混装。</w:t>
      </w:r>
    </w:p>
    <w:p w14:paraId="448FD624">
      <w:pPr>
        <w:pStyle w:val="106"/>
        <w:bidi w:val="0"/>
        <w:rPr>
          <w:rFonts w:hint="eastAsia"/>
          <w:lang w:eastAsia="zh-CN"/>
        </w:rPr>
      </w:pPr>
      <w:r>
        <w:rPr>
          <w:rFonts w:hint="eastAsia"/>
          <w:lang w:eastAsia="zh-CN"/>
        </w:rPr>
        <w:t>贮存</w:t>
      </w:r>
    </w:p>
    <w:p w14:paraId="0179E1DF">
      <w:pPr>
        <w:pStyle w:val="166"/>
        <w:bidi w:val="0"/>
        <w:rPr>
          <w:rFonts w:hint="eastAsia"/>
          <w:lang w:eastAsia="zh-CN"/>
        </w:rPr>
      </w:pPr>
      <w:r>
        <w:rPr>
          <w:rFonts w:hint="eastAsia"/>
          <w:lang w:eastAsia="zh-CN"/>
        </w:rPr>
        <w:t>产品应贮存在-18℃以下的冷冻库中。</w:t>
      </w:r>
    </w:p>
    <w:p w14:paraId="5B45173A">
      <w:pPr>
        <w:pStyle w:val="166"/>
        <w:bidi w:val="0"/>
        <w:rPr>
          <w:rFonts w:hint="eastAsia"/>
          <w:lang w:eastAsia="zh-CN"/>
        </w:rPr>
      </w:pPr>
      <w:r>
        <w:rPr>
          <w:rFonts w:hint="eastAsia"/>
          <w:lang w:eastAsia="zh-CN"/>
        </w:rPr>
        <w:t>冷库应保持清洁，定期除霜，产品应离地、离墙堆放。</w:t>
      </w:r>
    </w:p>
    <w:p w14:paraId="79F23C14">
      <w:pPr>
        <w:pStyle w:val="57"/>
        <w:ind w:firstLine="420"/>
      </w:pPr>
    </w:p>
    <w:p w14:paraId="6E300050">
      <w:pPr>
        <w:pStyle w:val="57"/>
        <w:ind w:firstLine="420"/>
      </w:pPr>
    </w:p>
    <w:p w14:paraId="4288F266">
      <w:pPr>
        <w:pStyle w:val="57"/>
        <w:ind w:firstLine="420"/>
      </w:pPr>
    </w:p>
    <w:bookmarkEnd w:id="22"/>
    <w:p w14:paraId="1AC81E48">
      <w:pPr>
        <w:pStyle w:val="57"/>
        <w:bidi w:val="0"/>
        <w:ind w:firstLine="0" w:firstLineChars="0"/>
        <w:jc w:val="center"/>
        <w:rPr>
          <w:rFonts w:hint="eastAsia" w:eastAsia="宋体"/>
          <w:lang w:eastAsia="zh-CN"/>
        </w:rPr>
      </w:pPr>
      <w:bookmarkStart w:id="44" w:name="BookMark8"/>
      <w:r>
        <w:rPr>
          <w:rFonts w:hint="eastAsia" w:eastAsia="宋体"/>
          <w:lang w:eastAsia="zh-CN"/>
        </w:rPr>
        <w:drawing>
          <wp:inline distT="0" distB="0" distL="114300" distR="114300">
            <wp:extent cx="1485900" cy="317500"/>
            <wp:effectExtent l="0" t="0" r="0" b="6350"/>
            <wp:docPr id="4" name="图片 4" descr="1"/>
            <wp:cNvGraphicFramePr/>
            <a:graphic xmlns:a="http://schemas.openxmlformats.org/drawingml/2006/main">
              <a:graphicData uri="http://schemas.openxmlformats.org/drawingml/2006/picture">
                <pic:pic xmlns:pic="http://schemas.openxmlformats.org/drawingml/2006/picture">
                  <pic:nvPicPr>
                    <pic:cNvPr id="4" name="图片 4" descr="1"/>
                    <pic:cNvPicPr/>
                  </pic:nvPicPr>
                  <pic:blipFill>
                    <a:blip r:embed="rId16"/>
                    <a:stretch>
                      <a:fillRect/>
                    </a:stretch>
                  </pic:blipFill>
                  <pic:spPr>
                    <a:xfrm>
                      <a:off x="0" y="0"/>
                      <a:ext cx="1485900" cy="317500"/>
                    </a:xfrm>
                    <a:prstGeom prst="rect">
                      <a:avLst/>
                    </a:prstGeom>
                  </pic:spPr>
                </pic:pic>
              </a:graphicData>
            </a:graphic>
          </wp:inline>
        </w:drawing>
      </w:r>
      <w:bookmarkEnd w:id="44"/>
    </w:p>
    <w:sectPr>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3"/>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2"/>
      <w:rPr>
        <w:rFonts w:hint="eastAsia"/>
      </w:rPr>
    </w:pPr>
    <w:r>
      <w:fldChar w:fldCharType="begin"/>
    </w:r>
    <w:r>
      <w:instrText xml:space="preserve"> STYLEREF  标准文件_文件编号  \* MERGEFORMAT </w:instrText>
    </w:r>
    <w:r>
      <w:fldChar w:fldCharType="separate"/>
    </w:r>
    <w:r>
      <w:t>T/QAS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18"/>
      <w:jc w:val="right"/>
    </w:pPr>
    <w:r>
      <w:fldChar w:fldCharType="begin"/>
    </w:r>
    <w:r>
      <w:instrText xml:space="preserve"> STYLEREF  标准文件_文件编号  \* MERGEFORMAT </w:instrText>
    </w:r>
    <w:r>
      <w:fldChar w:fldCharType="separate"/>
    </w:r>
    <w:r>
      <w:t>T/QAS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3346BD9C"/>
    <w:multiLevelType w:val="multilevel"/>
    <w:tmpl w:val="3346BD9C"/>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attachedTemplate r:id="rId1"/>
  <w:documentProtection w:edit="forms" w:enforcement="1" w:cryptProviderType="rsaFull" w:cryptAlgorithmClass="hash" w:cryptAlgorithmType="typeAny" w:cryptAlgorithmSid="4" w:cryptSpinCount="0" w:hash="IZfpb+5upMOJLuT7c213+tX/6dg=" w:salt="YH/7gjuXd+QJMdSsoh4bk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814656C"/>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3FA16EA1"/>
    <w:rsid w:val="4814656C"/>
    <w:rsid w:val="65E9595B"/>
    <w:rsid w:val="72B10A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99" w:name="Placeholder Text"/>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b/>
      <w:bCs/>
      <w:kern w:val="44"/>
      <w:sz w:val="44"/>
      <w:szCs w:val="44"/>
    </w:rPr>
  </w:style>
  <w:style w:type="character" w:customStyle="1" w:styleId="36">
    <w:name w:val="标题 2 字符"/>
    <w:link w:val="3"/>
    <w:qFormat/>
    <w:uiPriority w:val="0"/>
    <w:rPr>
      <w:rFonts w:ascii="Arial" w:hAnsi="Arial" w:eastAsia="黑体"/>
      <w:b/>
      <w:bCs/>
      <w:kern w:val="2"/>
      <w:sz w:val="32"/>
      <w:szCs w:val="32"/>
    </w:rPr>
  </w:style>
  <w:style w:type="character" w:customStyle="1" w:styleId="37">
    <w:name w:val="标题 3 字符"/>
    <w:link w:val="4"/>
    <w:qFormat/>
    <w:uiPriority w:val="0"/>
    <w:rPr>
      <w:b/>
      <w:bCs/>
      <w:kern w:val="2"/>
      <w:sz w:val="32"/>
      <w:szCs w:val="32"/>
    </w:rPr>
  </w:style>
  <w:style w:type="character" w:customStyle="1" w:styleId="38">
    <w:name w:val="标题 4 字符"/>
    <w:link w:val="5"/>
    <w:qFormat/>
    <w:uiPriority w:val="0"/>
    <w:rPr>
      <w:rFonts w:ascii="Arial" w:hAnsi="Arial" w:eastAsia="黑体"/>
      <w:b/>
      <w:bCs/>
      <w:kern w:val="2"/>
      <w:sz w:val="28"/>
      <w:szCs w:val="28"/>
    </w:rPr>
  </w:style>
  <w:style w:type="character" w:customStyle="1" w:styleId="39">
    <w:name w:val="标题 5 字符"/>
    <w:link w:val="6"/>
    <w:qFormat/>
    <w:uiPriority w:val="0"/>
    <w:rPr>
      <w:b/>
      <w:bCs/>
      <w:kern w:val="2"/>
      <w:sz w:val="28"/>
      <w:szCs w:val="28"/>
    </w:rPr>
  </w:style>
  <w:style w:type="character" w:customStyle="1" w:styleId="40">
    <w:name w:val="标题 6 字符"/>
    <w:link w:val="7"/>
    <w:qFormat/>
    <w:uiPriority w:val="0"/>
    <w:rPr>
      <w:rFonts w:ascii="Arial" w:hAnsi="Arial" w:eastAsia="黑体"/>
      <w:b/>
      <w:bCs/>
      <w:kern w:val="2"/>
      <w:sz w:val="24"/>
      <w:szCs w:val="24"/>
    </w:rPr>
  </w:style>
  <w:style w:type="character" w:customStyle="1" w:styleId="41">
    <w:name w:val="标题 7 字符"/>
    <w:link w:val="8"/>
    <w:qFormat/>
    <w:uiPriority w:val="0"/>
    <w:rPr>
      <w:b/>
      <w:bCs/>
      <w:kern w:val="2"/>
      <w:sz w:val="24"/>
      <w:szCs w:val="24"/>
    </w:rPr>
  </w:style>
  <w:style w:type="character" w:customStyle="1" w:styleId="42">
    <w:name w:val="标题 8 字符"/>
    <w:link w:val="9"/>
    <w:qFormat/>
    <w:uiPriority w:val="0"/>
    <w:rPr>
      <w:rFonts w:ascii="Arial" w:hAnsi="Arial" w:eastAsia="黑体"/>
      <w:kern w:val="2"/>
      <w:sz w:val="24"/>
      <w:szCs w:val="24"/>
    </w:rPr>
  </w:style>
  <w:style w:type="character" w:customStyle="1" w:styleId="43">
    <w:name w:val="标题 9 字符"/>
    <w:link w:val="10"/>
    <w:qFormat/>
    <w:uiPriority w:val="0"/>
    <w:rPr>
      <w:rFonts w:ascii="Arial" w:hAnsi="Arial" w:eastAsia="黑体"/>
      <w:kern w:val="2"/>
      <w:sz w:val="21"/>
      <w:szCs w:val="21"/>
    </w:rPr>
  </w:style>
  <w:style w:type="character" w:customStyle="1" w:styleId="44">
    <w:name w:val="页眉 字符"/>
    <w:link w:val="18"/>
    <w:qFormat/>
    <w:uiPriority w:val="99"/>
    <w:rPr>
      <w:kern w:val="2"/>
      <w:sz w:val="18"/>
      <w:szCs w:val="18"/>
    </w:rPr>
  </w:style>
  <w:style w:type="character" w:customStyle="1" w:styleId="45">
    <w:name w:val="页脚 字符"/>
    <w:link w:val="17"/>
    <w:qFormat/>
    <w:uiPriority w:val="99"/>
    <w:rPr>
      <w:rFonts w:ascii="宋体"/>
      <w:kern w:val="2"/>
      <w:sz w:val="18"/>
      <w:szCs w:val="18"/>
    </w:rPr>
  </w:style>
  <w:style w:type="character" w:customStyle="1" w:styleId="46">
    <w:name w:val="批注框文本 字符"/>
    <w:link w:val="16"/>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kern w:val="2"/>
      <w:sz w:val="21"/>
      <w:szCs w:val="21"/>
    </w:rPr>
  </w:style>
  <w:style w:type="character" w:customStyle="1" w:styleId="49">
    <w:name w:val="标题 字符"/>
    <w:link w:val="26"/>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1">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uiPriority w:val="0"/>
    <w:pPr>
      <w:numPr>
        <w:ilvl w:val="0"/>
        <w:numId w:val="23"/>
      </w:numPr>
      <w:ind w:firstLine="0" w:firstLineChars="0"/>
    </w:pPr>
    <w:rPr>
      <w:rFonts w:cs="Arial"/>
      <w:szCs w:val="28"/>
    </w:rPr>
  </w:style>
  <w:style w:type="paragraph" w:customStyle="1" w:styleId="170">
    <w:name w:val="标准文件_小写罗马数字编号列项"/>
    <w:basedOn w:val="57"/>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uiPriority w:val="0"/>
    <w:rPr>
      <w:rFonts w:ascii="宋体" w:hAnsi="Times New Roman" w:eastAsia="宋体" w:cs="Times New Roman"/>
      <w:sz w:val="21"/>
      <w:lang w:val="en-US" w:eastAsia="zh-CN" w:bidi="ar-SA"/>
    </w:rPr>
  </w:style>
  <w:style w:type="paragraph" w:customStyle="1" w:styleId="173">
    <w:name w:val="标准文件_三级项"/>
    <w:basedOn w:val="1"/>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uiPriority w:val="0"/>
    <w:rPr>
      <w:rFonts w:ascii="Times New Roman"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style>
  <w:style w:type="paragraph" w:customStyle="1" w:styleId="190">
    <w:name w:val="标准文件_一级项2"/>
    <w:basedOn w:val="57"/>
    <w:qFormat/>
    <w:uiPriority w:val="0"/>
    <w:pPr>
      <w:numPr>
        <w:ilvl w:val="0"/>
        <w:numId w:val="31"/>
      </w:numPr>
      <w:spacing w:line="300" w:lineRule="exact"/>
      <w:ind w:firstLineChars="0"/>
    </w:p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paragraph" w:styleId="231">
    <w:name w:val="No Spacing"/>
    <w:qFormat/>
    <w:uiPriority w:val="0"/>
    <w:pPr>
      <w:widowControl w:val="0"/>
      <w:jc w:val="both"/>
    </w:pPr>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4.jpe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709806C8">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0FE6C239">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7A6B35AB">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3BEDB4F2724F9D81F4444A5CCE266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6</Pages>
  <Words>2074</Words>
  <Characters>2292</Characters>
  <Lines>4</Lines>
  <Paragraphs>1</Paragraphs>
  <TotalTime>0</TotalTime>
  <ScaleCrop>false</ScaleCrop>
  <LinksUpToDate>false</LinksUpToDate>
  <CharactersWithSpaces>2375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2026-06-09T00:33:00Z</dcterms:created>
  <dc:creator>。</dc:creator>
  <cp:lastModifiedBy>。</cp:lastModifiedBy>
  <dcterms:modified xsi:type="dcterms:W3CDTF">2026-06-17T07:55:01Z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9DE86B7E2D5741918FAB3A9CF56D8CC6_11</vt:lpwstr>
  </property>
  <property fmtid="{D5CDD505-2E9C-101B-9397-08002B2CF9AE}" pid="15" name="KSOTemplateDocerSaveRecord">
    <vt:lpwstr>eyJoZGlkIjoiYzkwYzJmZDNiMmRhZjM0NTlkZDY1MmFlNDljZjQ0NWEiLCJ1c2VySWQiOiIyNDIyMjUwNzQifQ==</vt:lpwstr>
  </property>
  <property fmtid="{D5CDD505-2E9C-101B-9397-08002B2CF9AE}" pid="16" name="KSOProductBuildVer">
    <vt:lpwstr>2052-12.1.0.26895</vt:lpwstr>
  </property>
</Properties>
</file>