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3A9E3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5E4D54D">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26D7A9EA">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6</w:t>
            </w:r>
            <w:r>
              <w:rPr>
                <w:rFonts w:hint="eastAsia" w:ascii="黑体" w:hAnsi="黑体" w:eastAsia="黑体"/>
                <w:sz w:val="21"/>
                <w:szCs w:val="21"/>
                <w:lang w:val="en-US" w:eastAsia="zh-CN"/>
              </w:rPr>
              <w:t>7.020.10</w:t>
            </w:r>
            <w:r>
              <w:rPr>
                <w:rFonts w:ascii="黑体" w:hAnsi="黑体" w:eastAsia="黑体"/>
                <w:sz w:val="21"/>
                <w:szCs w:val="21"/>
              </w:rPr>
              <w:fldChar w:fldCharType="end"/>
            </w:r>
            <w:bookmarkEnd w:id="0"/>
          </w:p>
        </w:tc>
      </w:tr>
      <w:tr w14:paraId="2CC4D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63FD2570">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5D1DA70A">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01921AE0">
                  <w:pPr>
                    <w:pStyle w:val="49"/>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lang w:eastAsia="zh-CN"/>
                    </w:rPr>
                    <w:t>Q</w:t>
                  </w:r>
                  <w:r>
                    <w:rPr>
                      <w:rFonts w:hint="eastAsia"/>
                      <w:lang w:val="en-US" w:eastAsia="zh-CN"/>
                    </w:rPr>
                    <w:t>AS</w:t>
                  </w:r>
                  <w:r>
                    <w:fldChar w:fldCharType="end"/>
                  </w:r>
                  <w:bookmarkEnd w:id="1"/>
                </w:p>
              </w:tc>
            </w:tr>
          </w:tbl>
          <w:p w14:paraId="559E1628">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X</w:t>
            </w:r>
            <w:r>
              <w:rPr>
                <w:rFonts w:hint="eastAsia" w:ascii="黑体" w:hAnsi="黑体" w:eastAsia="黑体"/>
                <w:sz w:val="21"/>
                <w:szCs w:val="21"/>
                <w:lang w:val="en-US" w:eastAsia="zh-CN"/>
              </w:rPr>
              <w:t xml:space="preserve"> 22</w:t>
            </w:r>
            <w:r>
              <w:rPr>
                <w:rFonts w:ascii="黑体" w:hAnsi="黑体" w:eastAsia="黑体"/>
                <w:sz w:val="21"/>
                <w:szCs w:val="21"/>
              </w:rPr>
              <w:fldChar w:fldCharType="end"/>
            </w:r>
            <w:bookmarkEnd w:id="2"/>
          </w:p>
        </w:tc>
      </w:tr>
    </w:tbl>
    <w:p w14:paraId="161BCF4A">
      <w:pPr>
        <w:pStyle w:val="50"/>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lang w:eastAsia="zh-CN"/>
        </w:rPr>
        <w:t xml:space="preserve"> </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43EC1316">
      <w:pPr>
        <w:pStyle w:val="195"/>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lang w:eastAsia="zh-CN"/>
        </w:rPr>
        <w:t>Q</w:t>
      </w:r>
      <w:r>
        <w:rPr>
          <w:rFonts w:hint="eastAsia"/>
          <w:lang w:val="en-US" w:eastAsia="zh-CN"/>
        </w:rPr>
        <w:t>AS</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t>XXXX</w:t>
      </w:r>
      <w:r>
        <w:fldChar w:fldCharType="end"/>
      </w:r>
      <w:bookmarkEnd w:id="7"/>
    </w:p>
    <w:p w14:paraId="52A51E97">
      <w:pPr>
        <w:pStyle w:val="196"/>
        <w:rPr>
          <w:rFonts w:hint="eastAsia"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23935A67">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66FFE932">
      <w:pPr>
        <w:pStyle w:val="50"/>
        <w:framePr w:w="9639" w:h="6976" w:hRule="exact" w:hSpace="0" w:vSpace="0" w:wrap="around" w:hAnchor="page" w:y="6408"/>
        <w:jc w:val="center"/>
        <w:rPr>
          <w:rFonts w:hint="eastAsia" w:ascii="黑体" w:hAnsi="黑体" w:eastAsia="黑体"/>
          <w:b w:val="0"/>
          <w:bCs w:val="0"/>
          <w:w w:val="100"/>
        </w:rPr>
      </w:pPr>
    </w:p>
    <w:p w14:paraId="02A223D2">
      <w:pPr>
        <w:pStyle w:val="197"/>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lang w:eastAsia="zh-CN"/>
        </w:rPr>
        <w:t>风干牦牛肉</w:t>
      </w:r>
      <w:r>
        <w:fldChar w:fldCharType="end"/>
      </w:r>
      <w:bookmarkEnd w:id="9"/>
    </w:p>
    <w:p w14:paraId="2144DE0C">
      <w:pPr>
        <w:framePr w:w="9639" w:h="6974" w:hRule="exact" w:wrap="around" w:vAnchor="page" w:hAnchor="page" w:x="1419" w:y="6408" w:anchorLock="1"/>
        <w:ind w:left="-1418"/>
      </w:pPr>
    </w:p>
    <w:p w14:paraId="6A073306">
      <w:pPr>
        <w:pStyle w:val="125"/>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lang w:eastAsia="zh-CN"/>
        </w:rPr>
        <w:t xml:space="preserve"> </w:t>
      </w:r>
      <w:r>
        <w:rPr>
          <w:rFonts w:eastAsia="黑体"/>
          <w:szCs w:val="28"/>
        </w:rPr>
        <w:fldChar w:fldCharType="end"/>
      </w:r>
      <w:bookmarkEnd w:id="10"/>
    </w:p>
    <w:p w14:paraId="313D54A8">
      <w:pPr>
        <w:framePr w:w="9639" w:h="6974" w:hRule="exact" w:wrap="around" w:vAnchor="page" w:hAnchor="page" w:x="1419" w:y="6408" w:anchorLock="1"/>
        <w:spacing w:line="760" w:lineRule="exact"/>
        <w:ind w:left="-1418"/>
      </w:pPr>
    </w:p>
    <w:p w14:paraId="18E584F4">
      <w:pPr>
        <w:pStyle w:val="125"/>
        <w:framePr w:w="9639" w:h="6974" w:hRule="exact" w:wrap="around" w:vAnchor="page" w:hAnchor="page" w:x="1419" w:y="6408" w:anchorLock="1"/>
        <w:textAlignment w:val="bottom"/>
        <w:rPr>
          <w:rFonts w:eastAsia="黑体"/>
          <w:szCs w:val="28"/>
        </w:rPr>
      </w:pPr>
    </w:p>
    <w:p w14:paraId="382A48E7">
      <w:pPr>
        <w:pStyle w:val="125"/>
        <w:framePr w:w="9639" w:h="6974" w:hRule="exact" w:wrap="around" w:vAnchor="page" w:hAnchor="page" w:x="1419" w:y="6408" w:anchorLock="1"/>
        <w:spacing w:before="440" w:after="160"/>
        <w:textAlignment w:val="bottom"/>
        <w:rPr>
          <w:sz w:val="24"/>
          <w:szCs w:val="28"/>
        </w:rPr>
      </w:pPr>
      <w:bookmarkStart w:id="45" w:name="_GoBack"/>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45"/>
      <w:bookmarkEnd w:id="11"/>
    </w:p>
    <w:p w14:paraId="493B8B9A">
      <w:pPr>
        <w:pStyle w:val="125"/>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2"/>
    </w:p>
    <w:p w14:paraId="0C6769F1">
      <w:pPr>
        <w:pStyle w:val="125"/>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7657F19A">
      <w:pPr>
        <w:pStyle w:val="193"/>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rPr>
          <w:rFonts w:hint="eastAsia"/>
        </w:rPr>
        <w:t>发布</w:t>
      </w:r>
    </w:p>
    <w:p w14:paraId="26DCA3D9">
      <w:pPr>
        <w:pStyle w:val="194"/>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9"/>
      <w:r>
        <w:rPr>
          <w:rFonts w:hint="eastAsia"/>
        </w:rPr>
        <w:t>实施</w:t>
      </w:r>
    </w:p>
    <w:p w14:paraId="79867BE4">
      <w:pPr>
        <w:pStyle w:val="151"/>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lang w:eastAsia="zh-CN"/>
        </w:rPr>
        <w:t>青海省标准化协会</w:t>
      </w:r>
      <w:r>
        <w:rPr>
          <w:rFonts w:hAnsi="黑体"/>
          <w:w w:val="100"/>
          <w:sz w:val="28"/>
        </w:rPr>
        <w:fldChar w:fldCharType="end"/>
      </w:r>
      <w:bookmarkEnd w:id="20"/>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374BE5A5">
      <w:pPr>
        <w:rPr>
          <w:rFonts w:hint="eastAsia"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75B5C2AE">
      <w:pPr>
        <w:pStyle w:val="89"/>
        <w:bidi w:val="0"/>
        <w:spacing w:before="560"/>
        <w:rPr>
          <w:rFonts w:hint="eastAsia"/>
          <w:lang w:eastAsia="zh-CN"/>
        </w:rPr>
      </w:pPr>
      <w:bookmarkStart w:id="21" w:name="BookMark2"/>
      <w:r>
        <w:rPr>
          <w:rFonts w:hint="eastAsia"/>
          <w:spacing w:val="320"/>
          <w:lang w:eastAsia="zh-CN"/>
        </w:rPr>
        <w:t>前</w:t>
      </w:r>
      <w:r>
        <w:rPr>
          <w:rFonts w:hint="eastAsia"/>
          <w:lang w:eastAsia="zh-CN"/>
        </w:rPr>
        <w:t>言</w:t>
      </w:r>
    </w:p>
    <w:p w14:paraId="0A1A3470">
      <w:pPr>
        <w:pStyle w:val="56"/>
        <w:bidi w:val="0"/>
        <w:rPr>
          <w:rFonts w:hint="eastAsia"/>
          <w:lang w:eastAsia="zh-CN"/>
        </w:rPr>
      </w:pPr>
      <w:r>
        <w:rPr>
          <w:rFonts w:hint="eastAsia"/>
          <w:lang w:eastAsia="zh-CN"/>
        </w:rPr>
        <w:t>本文件按照GB/T 1.1—2020《标准化工作导则  第1部分：标准化文件的结构和起草规则》的规定起草。</w:t>
      </w:r>
    </w:p>
    <w:p w14:paraId="1C76157A">
      <w:pPr>
        <w:pStyle w:val="56"/>
        <w:bidi w:val="0"/>
        <w:rPr>
          <w:rFonts w:hint="eastAsia"/>
          <w:lang w:eastAsia="zh-CN"/>
        </w:rPr>
      </w:pPr>
      <w:r>
        <w:rPr>
          <w:rFonts w:hint="eastAsia"/>
          <w:lang w:eastAsia="zh-CN"/>
        </w:rPr>
        <w:t>请注意本文件的某些内容可能涉及专利。本文件的发布机构不承担识别专利的责任。</w:t>
      </w:r>
    </w:p>
    <w:p w14:paraId="3BB5EA38">
      <w:pPr>
        <w:pStyle w:val="56"/>
        <w:bidi w:val="0"/>
        <w:rPr>
          <w:rFonts w:hint="eastAsia"/>
          <w:lang w:eastAsia="zh-CN"/>
        </w:rPr>
      </w:pPr>
      <w:r>
        <w:rPr>
          <w:rFonts w:hint="eastAsia"/>
          <w:lang w:eastAsia="zh-CN"/>
        </w:rPr>
        <w:t>本文件由</w:t>
      </w:r>
      <w:r>
        <w:rPr>
          <w:rFonts w:hint="eastAsia"/>
          <w:lang w:val="en-US" w:eastAsia="zh-CN"/>
        </w:rPr>
        <w:t>尖扎县伊丰肉食品加工包装销售有限公司</w:t>
      </w:r>
      <w:r>
        <w:rPr>
          <w:rFonts w:hint="eastAsia"/>
          <w:lang w:eastAsia="zh-CN"/>
        </w:rPr>
        <w:t>提出。</w:t>
      </w:r>
    </w:p>
    <w:p w14:paraId="310BDBF3">
      <w:pPr>
        <w:pStyle w:val="56"/>
        <w:bidi w:val="0"/>
        <w:rPr>
          <w:rFonts w:hint="eastAsia"/>
          <w:lang w:eastAsia="zh-CN"/>
        </w:rPr>
      </w:pPr>
      <w:r>
        <w:rPr>
          <w:rFonts w:hint="eastAsia"/>
          <w:lang w:eastAsia="zh-CN"/>
        </w:rPr>
        <w:t>本文件由</w:t>
      </w:r>
      <w:r>
        <w:rPr>
          <w:rFonts w:hint="eastAsia"/>
          <w:lang w:val="en-US" w:eastAsia="zh-CN"/>
        </w:rPr>
        <w:t>青海省标准化协会</w:t>
      </w:r>
      <w:r>
        <w:rPr>
          <w:rFonts w:hint="eastAsia"/>
          <w:lang w:eastAsia="zh-CN"/>
        </w:rPr>
        <w:t>归口。</w:t>
      </w:r>
    </w:p>
    <w:p w14:paraId="7CC0F1D1">
      <w:pPr>
        <w:pStyle w:val="56"/>
        <w:bidi w:val="0"/>
        <w:rPr>
          <w:rFonts w:hint="default"/>
          <w:lang w:val="en-US" w:eastAsia="zh-CN"/>
        </w:rPr>
      </w:pPr>
      <w:r>
        <w:rPr>
          <w:rFonts w:hint="eastAsia"/>
          <w:lang w:eastAsia="zh-CN"/>
        </w:rPr>
        <w:t>本文件起草单位：</w:t>
      </w:r>
      <w:r>
        <w:rPr>
          <w:rFonts w:hint="eastAsia"/>
          <w:lang w:val="en-US" w:eastAsia="zh-CN"/>
        </w:rPr>
        <w:t>尖扎县伊丰肉食品加工包装销售有限公司……</w:t>
      </w:r>
    </w:p>
    <w:p w14:paraId="79046255">
      <w:pPr>
        <w:pStyle w:val="56"/>
        <w:bidi w:val="0"/>
        <w:rPr>
          <w:rFonts w:hint="default"/>
          <w:lang w:val="en-US" w:eastAsia="zh-CN"/>
        </w:rPr>
      </w:pPr>
      <w:r>
        <w:rPr>
          <w:rFonts w:hint="eastAsia"/>
          <w:lang w:eastAsia="zh-CN"/>
        </w:rPr>
        <w:t>本文件主要起草人：</w:t>
      </w:r>
      <w:r>
        <w:rPr>
          <w:rFonts w:hint="eastAsia"/>
          <w:lang w:val="en-US" w:eastAsia="zh-CN"/>
        </w:rPr>
        <w:t>马成良……</w:t>
      </w:r>
    </w:p>
    <w:p w14:paraId="2211C116">
      <w:pPr>
        <w:pStyle w:val="56"/>
        <w:bidi w:val="0"/>
        <w:rPr>
          <w:rFonts w:hint="eastAsia"/>
          <w:lang w:eastAsia="zh-CN"/>
        </w:rPr>
      </w:pPr>
    </w:p>
    <w:p w14:paraId="716C5B47">
      <w:pPr>
        <w:pStyle w:val="56"/>
        <w:bidi w:val="0"/>
        <w:rPr>
          <w:rFonts w:hint="eastAsia"/>
          <w:lang w:eastAsia="zh-CN"/>
        </w:rPr>
        <w:sectPr>
          <w:headerReference r:id="rId9" w:type="default"/>
          <w:footerReference r:id="rId11" w:type="default"/>
          <w:headerReference r:id="rId10" w:type="even"/>
          <w:pgSz w:w="11906" w:h="16838"/>
          <w:pgMar w:top="1928" w:right="1134" w:bottom="1134" w:left="1134" w:header="1418" w:footer="1134" w:gutter="284"/>
          <w:pgNumType w:fmt="upperRoman" w:start="1"/>
          <w:cols w:space="425" w:num="1"/>
          <w:formProt w:val="0"/>
          <w:docGrid w:linePitch="312" w:charSpace="0"/>
        </w:sectPr>
      </w:pPr>
    </w:p>
    <w:bookmarkEnd w:id="21"/>
    <w:p w14:paraId="1F63E9BC">
      <w:pPr>
        <w:spacing w:line="20" w:lineRule="exact"/>
        <w:jc w:val="center"/>
        <w:rPr>
          <w:rFonts w:hint="eastAsia" w:ascii="黑体" w:hAnsi="黑体" w:eastAsia="黑体"/>
          <w:sz w:val="32"/>
          <w:szCs w:val="32"/>
        </w:rPr>
      </w:pPr>
      <w:bookmarkStart w:id="22" w:name="BookMark4"/>
    </w:p>
    <w:p w14:paraId="58FA81F3">
      <w:pPr>
        <w:spacing w:line="20" w:lineRule="exact"/>
        <w:jc w:val="center"/>
        <w:rPr>
          <w:rFonts w:hint="eastAsia" w:ascii="黑体" w:hAnsi="黑体" w:eastAsia="黑体"/>
          <w:sz w:val="32"/>
          <w:szCs w:val="32"/>
        </w:rPr>
      </w:pPr>
    </w:p>
    <w:sdt>
      <w:sdtPr>
        <w:tag w:val="NEW_STAND_NAME"/>
        <w:id w:val="595910757"/>
        <w:lock w:val="sdtLocked"/>
        <w:placeholder>
          <w:docPart w:val="9B3BEDB4F2724F9D81F4444A5CCE266D"/>
        </w:placeholder>
      </w:sdtPr>
      <w:sdtContent>
        <w:p w14:paraId="1D58211E">
          <w:pPr>
            <w:pStyle w:val="177"/>
            <w:bidi w:val="0"/>
            <w:spacing w:before="313" w:beforeLines="100" w:after="687" w:afterLines="220"/>
            <w:rPr>
              <w:rFonts w:hint="eastAsia"/>
            </w:rPr>
          </w:pPr>
          <w:bookmarkStart w:id="23" w:name="NEW_STAND_NAME"/>
          <w:r>
            <w:rPr>
              <w:rFonts w:hint="eastAsia"/>
              <w:lang w:eastAsia="zh-CN"/>
            </w:rPr>
            <w:t>风干牦牛肉</w:t>
          </w:r>
        </w:p>
      </w:sdtContent>
    </w:sdt>
    <w:bookmarkEnd w:id="23"/>
    <w:p w14:paraId="58FB4D92">
      <w:pPr>
        <w:pStyle w:val="104"/>
        <w:spacing w:before="240" w:after="240"/>
      </w:pPr>
      <w:bookmarkStart w:id="24" w:name="_Toc26986771"/>
      <w:bookmarkStart w:id="25" w:name="_Toc24884218"/>
      <w:bookmarkStart w:id="26" w:name="_Toc26986530"/>
      <w:bookmarkStart w:id="27" w:name="_Toc24884211"/>
      <w:bookmarkStart w:id="28" w:name="_Toc97192964"/>
      <w:bookmarkStart w:id="29" w:name="_Toc26718930"/>
      <w:bookmarkStart w:id="30" w:name="_Toc17233325"/>
      <w:bookmarkStart w:id="31" w:name="_Toc17233333"/>
      <w:bookmarkStart w:id="32" w:name="_Toc26648465"/>
      <w:r>
        <w:rPr>
          <w:rFonts w:hint="eastAsia"/>
        </w:rPr>
        <w:t>范围</w:t>
      </w:r>
      <w:bookmarkEnd w:id="24"/>
      <w:bookmarkEnd w:id="25"/>
      <w:bookmarkEnd w:id="26"/>
      <w:bookmarkEnd w:id="27"/>
      <w:bookmarkEnd w:id="28"/>
      <w:bookmarkEnd w:id="29"/>
      <w:bookmarkEnd w:id="30"/>
      <w:bookmarkEnd w:id="31"/>
      <w:bookmarkEnd w:id="32"/>
    </w:p>
    <w:p w14:paraId="63C10A29">
      <w:pPr>
        <w:pStyle w:val="56"/>
        <w:ind w:firstLine="420"/>
        <w:rPr>
          <w:rFonts w:hint="eastAsia" w:eastAsia="宋体"/>
          <w:lang w:eastAsia="zh-CN"/>
        </w:rPr>
      </w:pPr>
      <w:bookmarkStart w:id="33" w:name="_Toc17233334"/>
      <w:bookmarkStart w:id="34" w:name="_Toc24884212"/>
      <w:bookmarkStart w:id="35" w:name="_Toc26648466"/>
      <w:bookmarkStart w:id="36" w:name="_Toc24884219"/>
      <w:bookmarkStart w:id="37" w:name="_Toc17233326"/>
    </w:p>
    <w:p w14:paraId="3538DD7E">
      <w:pPr>
        <w:pStyle w:val="56"/>
        <w:ind w:firstLine="420"/>
        <w:rPr>
          <w:rFonts w:hint="eastAsia" w:eastAsia="宋体"/>
          <w:lang w:eastAsia="zh-CN"/>
        </w:rPr>
      </w:pPr>
      <w:r>
        <w:rPr>
          <w:rFonts w:hint="eastAsia" w:eastAsia="宋体"/>
          <w:lang w:eastAsia="zh-CN"/>
        </w:rPr>
        <w:t>本文件规定了风干牦牛肉的技术要求、生产加工过程卫生要求、检验方法、检验规则、标志、包装、贮运和保质期</w:t>
      </w:r>
      <w:r>
        <w:rPr>
          <w:rFonts w:hint="eastAsia"/>
          <w:lang w:eastAsia="zh-CN"/>
        </w:rPr>
        <w:t>。</w:t>
      </w:r>
    </w:p>
    <w:p w14:paraId="3BDBB36E">
      <w:pPr>
        <w:pStyle w:val="56"/>
        <w:ind w:firstLine="420"/>
        <w:rPr>
          <w:rFonts w:hint="eastAsia" w:eastAsia="宋体"/>
          <w:lang w:eastAsia="zh-CN"/>
        </w:rPr>
      </w:pPr>
      <w:r>
        <w:rPr>
          <w:rFonts w:hint="eastAsia" w:eastAsia="宋体"/>
          <w:lang w:eastAsia="zh-CN"/>
        </w:rPr>
        <w:t>本文件适用于以鲜(冻)牦牛肉为原料，食用盐、白砂糖、香辛料为辅料，经原料预处理、滚揉、腌制、风干、熟化、杀菌、冷却、包装等工艺制成的风干牦牛肉。</w:t>
      </w:r>
    </w:p>
    <w:p w14:paraId="767F512F">
      <w:pPr>
        <w:pStyle w:val="104"/>
        <w:spacing w:before="240" w:after="240"/>
      </w:pPr>
      <w:bookmarkStart w:id="38" w:name="_Toc26718931"/>
      <w:bookmarkStart w:id="39" w:name="_Toc26986531"/>
      <w:bookmarkStart w:id="40" w:name="_Toc26986772"/>
      <w:bookmarkStart w:id="41" w:name="_Toc97192965"/>
      <w:r>
        <w:rPr>
          <w:rFonts w:hint="eastAsia"/>
        </w:rPr>
        <w:t>规范性引用文件</w:t>
      </w:r>
      <w:bookmarkEnd w:id="33"/>
      <w:bookmarkEnd w:id="34"/>
      <w:bookmarkEnd w:id="35"/>
      <w:bookmarkEnd w:id="36"/>
      <w:bookmarkEnd w:id="37"/>
      <w:bookmarkEnd w:id="38"/>
      <w:bookmarkEnd w:id="39"/>
      <w:bookmarkEnd w:id="40"/>
      <w:bookmarkEnd w:id="41"/>
    </w:p>
    <w:sdt>
      <w:sdtPr>
        <w:rPr>
          <w:rFonts w:hint="eastAsia"/>
        </w:rPr>
        <w:id w:val="715848253"/>
        <w:placeholder>
          <w:docPart w:val="78956B8278AF41489B4C226600D2E8C4"/>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0D5A6A32">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6353320D">
      <w:pPr>
        <w:pStyle w:val="56"/>
        <w:ind w:firstLine="420"/>
        <w:rPr>
          <w:rFonts w:hint="eastAsia" w:eastAsia="宋体"/>
          <w:lang w:eastAsia="zh-CN"/>
        </w:rPr>
      </w:pPr>
      <w:r>
        <w:rPr>
          <w:rFonts w:hint="eastAsia" w:eastAsia="宋体"/>
          <w:lang w:eastAsia="zh-CN"/>
        </w:rPr>
        <w:t>GB/T 191</w:t>
      </w:r>
      <w:r>
        <w:rPr>
          <w:rFonts w:hint="eastAsia"/>
          <w:lang w:val="en-US" w:eastAsia="zh-CN"/>
        </w:rPr>
        <w:t xml:space="preserve">  </w:t>
      </w:r>
      <w:r>
        <w:rPr>
          <w:rFonts w:hint="eastAsia" w:eastAsia="宋体"/>
          <w:lang w:eastAsia="zh-CN"/>
        </w:rPr>
        <w:t>包装储运图示标志</w:t>
      </w:r>
    </w:p>
    <w:p w14:paraId="5A548690">
      <w:pPr>
        <w:pStyle w:val="56"/>
        <w:ind w:firstLine="420"/>
        <w:rPr>
          <w:rFonts w:hint="eastAsia" w:eastAsia="宋体"/>
          <w:lang w:eastAsia="zh-CN"/>
        </w:rPr>
      </w:pPr>
      <w:r>
        <w:rPr>
          <w:rFonts w:hint="eastAsia" w:eastAsia="宋体"/>
          <w:lang w:eastAsia="zh-CN"/>
        </w:rPr>
        <w:t>GB/T 317</w:t>
      </w:r>
      <w:r>
        <w:rPr>
          <w:rFonts w:hint="eastAsia"/>
          <w:lang w:val="en-US" w:eastAsia="zh-CN"/>
        </w:rPr>
        <w:t xml:space="preserve">  </w:t>
      </w:r>
      <w:r>
        <w:rPr>
          <w:rFonts w:hint="eastAsia" w:eastAsia="宋体"/>
          <w:lang w:eastAsia="zh-CN"/>
        </w:rPr>
        <w:t>白砂糖</w:t>
      </w:r>
    </w:p>
    <w:p w14:paraId="6C253F94">
      <w:pPr>
        <w:pStyle w:val="56"/>
        <w:ind w:firstLine="420"/>
        <w:rPr>
          <w:rFonts w:hint="default" w:eastAsia="宋体"/>
          <w:lang w:val="en-US" w:eastAsia="zh-CN"/>
        </w:rPr>
      </w:pPr>
      <w:r>
        <w:rPr>
          <w:rFonts w:hint="eastAsia" w:eastAsia="宋体"/>
          <w:lang w:eastAsia="zh-CN"/>
        </w:rPr>
        <w:t>GB</w:t>
      </w:r>
      <w:r>
        <w:rPr>
          <w:rFonts w:hint="eastAsia"/>
          <w:lang w:val="en-US" w:eastAsia="zh-CN"/>
        </w:rPr>
        <w:t xml:space="preserve"> </w:t>
      </w:r>
      <w:r>
        <w:rPr>
          <w:rFonts w:hint="eastAsia" w:eastAsia="宋体"/>
          <w:lang w:eastAsia="zh-CN"/>
        </w:rPr>
        <w:t>2707</w:t>
      </w:r>
      <w:r>
        <w:rPr>
          <w:rFonts w:hint="eastAsia"/>
          <w:lang w:val="en-US" w:eastAsia="zh-CN"/>
        </w:rPr>
        <w:t xml:space="preserve">  </w:t>
      </w:r>
      <w:r>
        <w:rPr>
          <w:rFonts w:hint="eastAsia" w:eastAsia="宋体"/>
          <w:lang w:eastAsia="zh-CN"/>
        </w:rPr>
        <w:t>食品安全国家标准</w:t>
      </w:r>
    </w:p>
    <w:p w14:paraId="202715A9">
      <w:pPr>
        <w:pStyle w:val="56"/>
        <w:ind w:firstLine="420"/>
        <w:rPr>
          <w:rFonts w:hint="default" w:eastAsia="宋体"/>
          <w:lang w:val="en-US" w:eastAsia="zh-CN"/>
        </w:rPr>
      </w:pPr>
      <w:r>
        <w:rPr>
          <w:rFonts w:hint="eastAsia" w:eastAsia="宋体"/>
          <w:lang w:eastAsia="zh-CN"/>
        </w:rPr>
        <w:t>GB 2721</w:t>
      </w:r>
      <w:r>
        <w:rPr>
          <w:rFonts w:hint="eastAsia"/>
          <w:lang w:val="en-US" w:eastAsia="zh-CN"/>
        </w:rPr>
        <w:t xml:space="preserve">  </w:t>
      </w:r>
      <w:r>
        <w:rPr>
          <w:rFonts w:hint="eastAsia" w:eastAsia="宋体"/>
          <w:lang w:eastAsia="zh-CN"/>
        </w:rPr>
        <w:t>食品安全国家标准</w:t>
      </w:r>
      <w:r>
        <w:rPr>
          <w:rFonts w:hint="eastAsia"/>
          <w:lang w:val="en-US" w:eastAsia="zh-CN"/>
        </w:rPr>
        <w:t xml:space="preserve"> </w:t>
      </w:r>
      <w:r>
        <w:rPr>
          <w:rFonts w:hint="eastAsia" w:eastAsia="宋体"/>
          <w:lang w:eastAsia="zh-CN"/>
        </w:rPr>
        <w:t>食用盐</w:t>
      </w:r>
    </w:p>
    <w:p w14:paraId="54A6A2CD">
      <w:pPr>
        <w:pStyle w:val="56"/>
        <w:ind w:firstLine="420"/>
        <w:rPr>
          <w:rFonts w:hint="eastAsia" w:eastAsia="宋体"/>
          <w:lang w:eastAsia="zh-CN"/>
        </w:rPr>
      </w:pPr>
      <w:r>
        <w:rPr>
          <w:rFonts w:hint="eastAsia" w:eastAsia="宋体"/>
          <w:lang w:eastAsia="zh-CN"/>
        </w:rPr>
        <w:t>GB 2726</w:t>
      </w:r>
      <w:r>
        <w:rPr>
          <w:rFonts w:hint="eastAsia"/>
          <w:lang w:val="en-US" w:eastAsia="zh-CN"/>
        </w:rPr>
        <w:t xml:space="preserve">  </w:t>
      </w:r>
      <w:r>
        <w:rPr>
          <w:rFonts w:hint="eastAsia" w:eastAsia="宋体"/>
          <w:lang w:eastAsia="zh-CN"/>
        </w:rPr>
        <w:t>食品安全国家标准</w:t>
      </w:r>
      <w:r>
        <w:rPr>
          <w:rFonts w:hint="eastAsia"/>
          <w:lang w:val="en-US" w:eastAsia="zh-CN"/>
        </w:rPr>
        <w:t xml:space="preserve"> </w:t>
      </w:r>
      <w:r>
        <w:rPr>
          <w:rFonts w:hint="eastAsia" w:eastAsia="宋体"/>
          <w:lang w:eastAsia="zh-CN"/>
        </w:rPr>
        <w:t>熟肉制品</w:t>
      </w:r>
    </w:p>
    <w:p w14:paraId="59E9CFF2">
      <w:pPr>
        <w:pStyle w:val="56"/>
        <w:ind w:firstLine="420"/>
        <w:rPr>
          <w:rFonts w:hint="default" w:eastAsia="宋体"/>
          <w:lang w:val="en-US" w:eastAsia="zh-CN"/>
        </w:rPr>
      </w:pPr>
      <w:r>
        <w:rPr>
          <w:rFonts w:hint="eastAsia" w:eastAsia="宋体"/>
          <w:lang w:eastAsia="zh-CN"/>
        </w:rPr>
        <w:t>GB 2762</w:t>
      </w:r>
      <w:r>
        <w:rPr>
          <w:rFonts w:hint="eastAsia"/>
          <w:lang w:val="en-US" w:eastAsia="zh-CN"/>
        </w:rPr>
        <w:t xml:space="preserve">  </w:t>
      </w:r>
      <w:r>
        <w:rPr>
          <w:rFonts w:hint="eastAsia" w:eastAsia="宋体"/>
          <w:lang w:eastAsia="zh-CN"/>
        </w:rPr>
        <w:t>食品安全国家标准</w:t>
      </w:r>
      <w:r>
        <w:rPr>
          <w:rFonts w:hint="eastAsia"/>
          <w:lang w:val="en-US" w:eastAsia="zh-CN"/>
        </w:rPr>
        <w:t xml:space="preserve"> </w:t>
      </w:r>
      <w:r>
        <w:rPr>
          <w:rFonts w:hint="eastAsia" w:eastAsia="宋体"/>
          <w:lang w:eastAsia="zh-CN"/>
        </w:rPr>
        <w:t>食品中污染物限量</w:t>
      </w:r>
    </w:p>
    <w:p w14:paraId="50146CCF">
      <w:pPr>
        <w:pStyle w:val="56"/>
        <w:ind w:firstLine="420"/>
        <w:rPr>
          <w:rFonts w:hint="default" w:eastAsia="宋体"/>
          <w:lang w:val="en-US" w:eastAsia="zh-CN"/>
        </w:rPr>
      </w:pPr>
      <w:r>
        <w:rPr>
          <w:rFonts w:hint="eastAsia" w:eastAsia="宋体"/>
          <w:lang w:eastAsia="zh-CN"/>
        </w:rPr>
        <w:t>GB 4789.2</w:t>
      </w:r>
      <w:r>
        <w:rPr>
          <w:rFonts w:hint="eastAsia"/>
          <w:lang w:val="en-US" w:eastAsia="zh-CN"/>
        </w:rPr>
        <w:t xml:space="preserve">  </w:t>
      </w:r>
      <w:r>
        <w:rPr>
          <w:rFonts w:hint="eastAsia" w:eastAsia="宋体"/>
          <w:lang w:eastAsia="zh-CN"/>
        </w:rPr>
        <w:t>食品安全国家标准</w:t>
      </w:r>
      <w:r>
        <w:rPr>
          <w:rFonts w:hint="eastAsia"/>
          <w:lang w:val="en-US" w:eastAsia="zh-CN"/>
        </w:rPr>
        <w:t xml:space="preserve"> </w:t>
      </w:r>
      <w:r>
        <w:rPr>
          <w:rFonts w:hint="eastAsia" w:eastAsia="宋体"/>
          <w:lang w:eastAsia="zh-CN"/>
        </w:rPr>
        <w:t>食品微生物学检验</w:t>
      </w:r>
      <w:r>
        <w:rPr>
          <w:rFonts w:hint="eastAsia"/>
          <w:lang w:val="en-US" w:eastAsia="zh-CN"/>
        </w:rPr>
        <w:t xml:space="preserve"> </w:t>
      </w:r>
      <w:r>
        <w:rPr>
          <w:rFonts w:hint="eastAsia" w:eastAsia="宋体"/>
          <w:lang w:eastAsia="zh-CN"/>
        </w:rPr>
        <w:t>菌落总数测定</w:t>
      </w:r>
    </w:p>
    <w:p w14:paraId="3493E03F">
      <w:pPr>
        <w:pStyle w:val="56"/>
        <w:ind w:firstLine="420"/>
        <w:rPr>
          <w:rFonts w:hint="eastAsia" w:eastAsia="宋体"/>
          <w:lang w:eastAsia="zh-CN"/>
        </w:rPr>
      </w:pPr>
      <w:r>
        <w:rPr>
          <w:rFonts w:hint="eastAsia" w:eastAsia="宋体"/>
          <w:lang w:eastAsia="zh-CN"/>
        </w:rPr>
        <w:t>GB 4789.3</w:t>
      </w:r>
      <w:r>
        <w:rPr>
          <w:rFonts w:hint="eastAsia"/>
          <w:lang w:val="en-US" w:eastAsia="zh-CN"/>
        </w:rPr>
        <w:t xml:space="preserve">  </w:t>
      </w:r>
      <w:r>
        <w:rPr>
          <w:rFonts w:hint="eastAsia" w:eastAsia="宋体"/>
          <w:lang w:eastAsia="zh-CN"/>
        </w:rPr>
        <w:t>食品安全国家标准</w:t>
      </w:r>
      <w:r>
        <w:rPr>
          <w:rFonts w:hint="eastAsia"/>
          <w:lang w:val="en-US" w:eastAsia="zh-CN"/>
        </w:rPr>
        <w:t xml:space="preserve"> </w:t>
      </w:r>
      <w:r>
        <w:rPr>
          <w:rFonts w:hint="eastAsia" w:eastAsia="宋体"/>
          <w:lang w:eastAsia="zh-CN"/>
        </w:rPr>
        <w:t>食品微生物学检验</w:t>
      </w:r>
      <w:r>
        <w:rPr>
          <w:rFonts w:hint="eastAsia"/>
          <w:lang w:val="en-US" w:eastAsia="zh-CN"/>
        </w:rPr>
        <w:t xml:space="preserve"> </w:t>
      </w:r>
      <w:r>
        <w:rPr>
          <w:rFonts w:hint="eastAsia" w:eastAsia="宋体"/>
          <w:lang w:eastAsia="zh-CN"/>
        </w:rPr>
        <w:t>大肠菌群计数</w:t>
      </w:r>
    </w:p>
    <w:p w14:paraId="2061431F">
      <w:pPr>
        <w:pStyle w:val="56"/>
        <w:ind w:firstLine="420"/>
        <w:rPr>
          <w:rFonts w:hint="eastAsia" w:eastAsia="宋体"/>
          <w:lang w:eastAsia="zh-CN"/>
        </w:rPr>
      </w:pPr>
      <w:r>
        <w:rPr>
          <w:rFonts w:hint="eastAsia" w:eastAsia="宋体"/>
          <w:lang w:eastAsia="zh-CN"/>
        </w:rPr>
        <w:t>GB 4789.4</w:t>
      </w:r>
      <w:r>
        <w:rPr>
          <w:rFonts w:hint="eastAsia"/>
          <w:lang w:val="en-US" w:eastAsia="zh-CN"/>
        </w:rPr>
        <w:t xml:space="preserve">  </w:t>
      </w:r>
      <w:r>
        <w:rPr>
          <w:rFonts w:hint="eastAsia" w:eastAsia="宋体"/>
          <w:lang w:eastAsia="zh-CN"/>
        </w:rPr>
        <w:t>食品安全国家标准</w:t>
      </w:r>
      <w:r>
        <w:rPr>
          <w:rFonts w:hint="eastAsia"/>
          <w:lang w:val="en-US" w:eastAsia="zh-CN"/>
        </w:rPr>
        <w:t xml:space="preserve"> </w:t>
      </w:r>
      <w:r>
        <w:rPr>
          <w:rFonts w:hint="eastAsia" w:eastAsia="宋体"/>
          <w:lang w:eastAsia="zh-CN"/>
        </w:rPr>
        <w:t>食品微生物学检验</w:t>
      </w:r>
      <w:r>
        <w:rPr>
          <w:rFonts w:hint="eastAsia"/>
          <w:lang w:val="en-US" w:eastAsia="zh-CN"/>
        </w:rPr>
        <w:t xml:space="preserve"> </w:t>
      </w:r>
      <w:r>
        <w:rPr>
          <w:rFonts w:hint="eastAsia" w:eastAsia="宋体"/>
          <w:lang w:eastAsia="zh-CN"/>
        </w:rPr>
        <w:t>沙门氏菌检验</w:t>
      </w:r>
    </w:p>
    <w:p w14:paraId="0C169F1F">
      <w:pPr>
        <w:pStyle w:val="56"/>
        <w:ind w:firstLine="420"/>
        <w:rPr>
          <w:rFonts w:hint="default" w:eastAsia="宋体"/>
          <w:lang w:val="en-US" w:eastAsia="zh-CN"/>
        </w:rPr>
      </w:pPr>
      <w:r>
        <w:rPr>
          <w:rFonts w:hint="eastAsia" w:eastAsia="宋体"/>
          <w:lang w:eastAsia="zh-CN"/>
        </w:rPr>
        <w:t>GB 4789.10</w:t>
      </w:r>
      <w:r>
        <w:rPr>
          <w:rFonts w:hint="eastAsia"/>
          <w:lang w:val="en-US" w:eastAsia="zh-CN"/>
        </w:rPr>
        <w:t xml:space="preserve">  </w:t>
      </w:r>
      <w:r>
        <w:rPr>
          <w:rFonts w:hint="eastAsia" w:eastAsia="宋体"/>
          <w:lang w:eastAsia="zh-CN"/>
        </w:rPr>
        <w:t>食品安全国家标准</w:t>
      </w:r>
      <w:r>
        <w:rPr>
          <w:rFonts w:hint="eastAsia"/>
          <w:lang w:val="en-US" w:eastAsia="zh-CN"/>
        </w:rPr>
        <w:t xml:space="preserve"> </w:t>
      </w:r>
      <w:r>
        <w:rPr>
          <w:rFonts w:hint="eastAsia" w:eastAsia="宋体"/>
          <w:lang w:eastAsia="zh-CN"/>
        </w:rPr>
        <w:t>食品微生物学检验</w:t>
      </w:r>
      <w:r>
        <w:rPr>
          <w:rFonts w:hint="eastAsia"/>
          <w:lang w:val="en-US" w:eastAsia="zh-CN"/>
        </w:rPr>
        <w:t xml:space="preserve"> </w:t>
      </w:r>
      <w:r>
        <w:rPr>
          <w:rFonts w:hint="eastAsia" w:eastAsia="宋体"/>
          <w:lang w:eastAsia="zh-CN"/>
        </w:rPr>
        <w:t>金黄色葡萄球菌检验</w:t>
      </w:r>
    </w:p>
    <w:p w14:paraId="48DDA793">
      <w:pPr>
        <w:pStyle w:val="56"/>
        <w:ind w:firstLine="420"/>
        <w:rPr>
          <w:rFonts w:hint="default" w:eastAsia="宋体"/>
          <w:lang w:val="en-US" w:eastAsia="zh-CN"/>
        </w:rPr>
      </w:pPr>
      <w:r>
        <w:rPr>
          <w:rFonts w:hint="eastAsia" w:eastAsia="宋体"/>
          <w:lang w:eastAsia="zh-CN"/>
        </w:rPr>
        <w:t>GB 4789.30</w:t>
      </w:r>
      <w:r>
        <w:rPr>
          <w:rFonts w:hint="eastAsia"/>
          <w:lang w:val="en-US" w:eastAsia="zh-CN"/>
        </w:rPr>
        <w:t xml:space="preserve">  </w:t>
      </w:r>
      <w:r>
        <w:rPr>
          <w:rFonts w:hint="eastAsia" w:eastAsia="宋体"/>
          <w:lang w:eastAsia="zh-CN"/>
        </w:rPr>
        <w:t>食品安全国家标准</w:t>
      </w:r>
      <w:r>
        <w:rPr>
          <w:rFonts w:hint="eastAsia"/>
          <w:lang w:val="en-US" w:eastAsia="zh-CN"/>
        </w:rPr>
        <w:t xml:space="preserve"> </w:t>
      </w:r>
      <w:r>
        <w:rPr>
          <w:rFonts w:hint="eastAsia" w:eastAsia="宋体"/>
          <w:lang w:eastAsia="zh-CN"/>
        </w:rPr>
        <w:t>食品微生物学检验</w:t>
      </w:r>
      <w:r>
        <w:rPr>
          <w:rFonts w:hint="eastAsia"/>
          <w:lang w:val="en-US" w:eastAsia="zh-CN"/>
        </w:rPr>
        <w:t xml:space="preserve"> </w:t>
      </w:r>
      <w:r>
        <w:rPr>
          <w:rFonts w:hint="eastAsia" w:eastAsia="宋体"/>
          <w:lang w:eastAsia="zh-CN"/>
        </w:rPr>
        <w:t>单核细胞增生李斯特氏菌检验</w:t>
      </w:r>
    </w:p>
    <w:p w14:paraId="63151637">
      <w:pPr>
        <w:pStyle w:val="56"/>
        <w:ind w:firstLine="420"/>
        <w:rPr>
          <w:rFonts w:hint="default" w:eastAsia="宋体"/>
          <w:lang w:val="en-US" w:eastAsia="zh-CN"/>
        </w:rPr>
      </w:pPr>
      <w:r>
        <w:rPr>
          <w:rFonts w:hint="eastAsia" w:eastAsia="宋体"/>
          <w:lang w:eastAsia="zh-CN"/>
        </w:rPr>
        <w:t>GB 4789.36</w:t>
      </w:r>
      <w:r>
        <w:rPr>
          <w:rFonts w:hint="eastAsia"/>
          <w:lang w:val="en-US" w:eastAsia="zh-CN"/>
        </w:rPr>
        <w:t xml:space="preserve">  </w:t>
      </w:r>
      <w:r>
        <w:rPr>
          <w:rFonts w:hint="eastAsia" w:eastAsia="宋体"/>
          <w:lang w:eastAsia="zh-CN"/>
        </w:rPr>
        <w:t>食品安全国家标准</w:t>
      </w:r>
      <w:r>
        <w:rPr>
          <w:rFonts w:hint="eastAsia"/>
          <w:lang w:val="en-US" w:eastAsia="zh-CN"/>
        </w:rPr>
        <w:t xml:space="preserve"> </w:t>
      </w:r>
      <w:r>
        <w:rPr>
          <w:rFonts w:hint="eastAsia" w:eastAsia="宋体"/>
          <w:lang w:eastAsia="zh-CN"/>
        </w:rPr>
        <w:t>食品微生物学检验</w:t>
      </w:r>
      <w:r>
        <w:rPr>
          <w:rFonts w:hint="eastAsia"/>
          <w:lang w:val="en-US" w:eastAsia="zh-CN"/>
        </w:rPr>
        <w:t xml:space="preserve"> </w:t>
      </w:r>
      <w:r>
        <w:rPr>
          <w:rFonts w:hint="eastAsia" w:eastAsia="宋体"/>
          <w:lang w:eastAsia="zh-CN"/>
        </w:rPr>
        <w:t>大肠埃希氏菌0157:H7/NM检验</w:t>
      </w:r>
    </w:p>
    <w:p w14:paraId="7F5A91C2">
      <w:pPr>
        <w:pStyle w:val="56"/>
        <w:ind w:firstLine="420"/>
        <w:rPr>
          <w:rFonts w:hint="default" w:eastAsia="宋体"/>
          <w:lang w:val="en-US" w:eastAsia="zh-CN"/>
        </w:rPr>
      </w:pPr>
      <w:r>
        <w:rPr>
          <w:rFonts w:hint="eastAsia" w:eastAsia="宋体"/>
          <w:lang w:eastAsia="zh-CN"/>
        </w:rPr>
        <w:t>GB 5009.3</w:t>
      </w:r>
      <w:r>
        <w:rPr>
          <w:rFonts w:hint="eastAsia"/>
          <w:lang w:val="en-US" w:eastAsia="zh-CN"/>
        </w:rPr>
        <w:t xml:space="preserve">  </w:t>
      </w:r>
      <w:r>
        <w:rPr>
          <w:rFonts w:hint="eastAsia" w:eastAsia="宋体"/>
          <w:lang w:eastAsia="zh-CN"/>
        </w:rPr>
        <w:t>食品安全国家标准</w:t>
      </w:r>
      <w:r>
        <w:rPr>
          <w:rFonts w:hint="eastAsia"/>
          <w:lang w:val="en-US" w:eastAsia="zh-CN"/>
        </w:rPr>
        <w:t xml:space="preserve"> </w:t>
      </w:r>
      <w:r>
        <w:rPr>
          <w:rFonts w:hint="eastAsia" w:eastAsia="宋体"/>
          <w:lang w:eastAsia="zh-CN"/>
        </w:rPr>
        <w:t>食品中水分的测定</w:t>
      </w:r>
    </w:p>
    <w:p w14:paraId="3B6E0A01">
      <w:pPr>
        <w:pStyle w:val="56"/>
        <w:ind w:firstLine="420"/>
        <w:rPr>
          <w:rFonts w:hint="default" w:eastAsia="宋体"/>
          <w:lang w:val="en-US" w:eastAsia="zh-CN"/>
        </w:rPr>
      </w:pPr>
      <w:r>
        <w:rPr>
          <w:rFonts w:hint="eastAsia" w:eastAsia="宋体"/>
          <w:lang w:eastAsia="zh-CN"/>
        </w:rPr>
        <w:t>GB 5009.5</w:t>
      </w:r>
      <w:r>
        <w:rPr>
          <w:rFonts w:hint="eastAsia"/>
          <w:lang w:val="en-US" w:eastAsia="zh-CN"/>
        </w:rPr>
        <w:t xml:space="preserve">  </w:t>
      </w:r>
      <w:r>
        <w:rPr>
          <w:rFonts w:hint="eastAsia" w:eastAsia="宋体"/>
          <w:lang w:eastAsia="zh-CN"/>
        </w:rPr>
        <w:t>食品安全国家标准</w:t>
      </w:r>
      <w:r>
        <w:rPr>
          <w:rFonts w:hint="eastAsia"/>
          <w:lang w:val="en-US" w:eastAsia="zh-CN"/>
        </w:rPr>
        <w:t xml:space="preserve"> </w:t>
      </w:r>
      <w:r>
        <w:rPr>
          <w:rFonts w:hint="eastAsia" w:eastAsia="宋体"/>
          <w:lang w:eastAsia="zh-CN"/>
        </w:rPr>
        <w:t>食品中蛋白质的测定</w:t>
      </w:r>
    </w:p>
    <w:p w14:paraId="759883E0">
      <w:pPr>
        <w:pStyle w:val="56"/>
        <w:ind w:firstLine="420"/>
        <w:rPr>
          <w:rFonts w:hint="default" w:eastAsia="宋体"/>
          <w:lang w:val="en-US" w:eastAsia="zh-CN"/>
        </w:rPr>
      </w:pPr>
      <w:r>
        <w:rPr>
          <w:rFonts w:hint="eastAsia" w:eastAsia="宋体"/>
          <w:lang w:eastAsia="zh-CN"/>
        </w:rPr>
        <w:t>GB 5009.11</w:t>
      </w:r>
      <w:r>
        <w:rPr>
          <w:rFonts w:hint="eastAsia"/>
          <w:lang w:val="en-US" w:eastAsia="zh-CN"/>
        </w:rPr>
        <w:t xml:space="preserve">  </w:t>
      </w:r>
      <w:r>
        <w:rPr>
          <w:rFonts w:hint="eastAsia" w:eastAsia="宋体"/>
          <w:lang w:eastAsia="zh-CN"/>
        </w:rPr>
        <w:t>食品安全国家标准</w:t>
      </w:r>
      <w:r>
        <w:rPr>
          <w:rFonts w:hint="eastAsia"/>
          <w:lang w:val="en-US" w:eastAsia="zh-CN"/>
        </w:rPr>
        <w:t xml:space="preserve"> </w:t>
      </w:r>
      <w:r>
        <w:rPr>
          <w:rFonts w:hint="eastAsia" w:eastAsia="宋体"/>
          <w:lang w:eastAsia="zh-CN"/>
        </w:rPr>
        <w:t>食品中总砷及无机砷的测定</w:t>
      </w:r>
    </w:p>
    <w:p w14:paraId="03B006C1">
      <w:pPr>
        <w:pStyle w:val="56"/>
        <w:ind w:firstLine="420"/>
        <w:rPr>
          <w:rFonts w:hint="default" w:eastAsia="宋体"/>
          <w:lang w:val="en-US" w:eastAsia="zh-CN"/>
        </w:rPr>
      </w:pPr>
      <w:r>
        <w:rPr>
          <w:rFonts w:hint="eastAsia" w:eastAsia="宋体"/>
          <w:lang w:eastAsia="zh-CN"/>
        </w:rPr>
        <w:t>GB 5009.12</w:t>
      </w:r>
      <w:r>
        <w:rPr>
          <w:rFonts w:hint="eastAsia"/>
          <w:lang w:val="en-US" w:eastAsia="zh-CN"/>
        </w:rPr>
        <w:t xml:space="preserve">  </w:t>
      </w:r>
      <w:r>
        <w:rPr>
          <w:rFonts w:hint="eastAsia" w:eastAsia="宋体"/>
          <w:lang w:eastAsia="zh-CN"/>
        </w:rPr>
        <w:t>食品安全国家标准</w:t>
      </w:r>
      <w:r>
        <w:rPr>
          <w:rFonts w:hint="eastAsia"/>
          <w:lang w:val="en-US" w:eastAsia="zh-CN"/>
        </w:rPr>
        <w:t xml:space="preserve"> </w:t>
      </w:r>
      <w:r>
        <w:rPr>
          <w:rFonts w:hint="eastAsia" w:eastAsia="宋体"/>
          <w:lang w:eastAsia="zh-CN"/>
        </w:rPr>
        <w:t>食品中铅的测定</w:t>
      </w:r>
    </w:p>
    <w:p w14:paraId="161ABEB9">
      <w:pPr>
        <w:pStyle w:val="56"/>
        <w:ind w:firstLine="420"/>
        <w:rPr>
          <w:rFonts w:hint="default" w:eastAsia="宋体"/>
          <w:lang w:val="en-US" w:eastAsia="zh-CN"/>
        </w:rPr>
      </w:pPr>
      <w:r>
        <w:rPr>
          <w:rFonts w:hint="eastAsia" w:eastAsia="宋体"/>
          <w:lang w:eastAsia="zh-CN"/>
        </w:rPr>
        <w:t>GB 5009.15</w:t>
      </w:r>
      <w:r>
        <w:rPr>
          <w:rFonts w:hint="eastAsia"/>
          <w:lang w:val="en-US" w:eastAsia="zh-CN"/>
        </w:rPr>
        <w:t xml:space="preserve">  </w:t>
      </w:r>
      <w:r>
        <w:rPr>
          <w:rFonts w:hint="eastAsia" w:eastAsia="宋体"/>
          <w:lang w:eastAsia="zh-CN"/>
        </w:rPr>
        <w:t>食品安全国家标准</w:t>
      </w:r>
      <w:r>
        <w:rPr>
          <w:rFonts w:hint="eastAsia"/>
          <w:lang w:val="en-US" w:eastAsia="zh-CN"/>
        </w:rPr>
        <w:t xml:space="preserve"> </w:t>
      </w:r>
      <w:r>
        <w:rPr>
          <w:rFonts w:hint="eastAsia" w:eastAsia="宋体"/>
          <w:lang w:eastAsia="zh-CN"/>
        </w:rPr>
        <w:t>食品中镉的测定</w:t>
      </w:r>
    </w:p>
    <w:p w14:paraId="5C1CBE77">
      <w:pPr>
        <w:pStyle w:val="56"/>
        <w:ind w:firstLine="420"/>
        <w:rPr>
          <w:rFonts w:hint="default" w:eastAsia="宋体"/>
          <w:lang w:val="en-US" w:eastAsia="zh-CN"/>
        </w:rPr>
      </w:pPr>
      <w:r>
        <w:rPr>
          <w:rFonts w:hint="eastAsia" w:eastAsia="宋体"/>
          <w:lang w:eastAsia="zh-CN"/>
        </w:rPr>
        <w:t>GB 5009.26</w:t>
      </w:r>
      <w:r>
        <w:rPr>
          <w:rFonts w:hint="eastAsia"/>
          <w:lang w:val="en-US" w:eastAsia="zh-CN"/>
        </w:rPr>
        <w:t xml:space="preserve">  </w:t>
      </w:r>
      <w:r>
        <w:rPr>
          <w:rFonts w:hint="eastAsia" w:eastAsia="宋体"/>
          <w:lang w:eastAsia="zh-CN"/>
        </w:rPr>
        <w:t>食品安全国家标准</w:t>
      </w:r>
      <w:r>
        <w:rPr>
          <w:rFonts w:hint="eastAsia"/>
          <w:lang w:val="en-US" w:eastAsia="zh-CN"/>
        </w:rPr>
        <w:t xml:space="preserve"> </w:t>
      </w:r>
      <w:r>
        <w:rPr>
          <w:rFonts w:hint="eastAsia" w:eastAsia="宋体"/>
          <w:lang w:eastAsia="zh-CN"/>
        </w:rPr>
        <w:t>食品中N-亚硝胺类化合物的测定</w:t>
      </w:r>
    </w:p>
    <w:p w14:paraId="1CD33455">
      <w:pPr>
        <w:pStyle w:val="56"/>
        <w:ind w:firstLine="420"/>
        <w:rPr>
          <w:rFonts w:hint="default" w:eastAsia="宋体"/>
          <w:lang w:val="en-US" w:eastAsia="zh-CN"/>
        </w:rPr>
      </w:pPr>
      <w:r>
        <w:rPr>
          <w:rFonts w:hint="eastAsia" w:eastAsia="宋体"/>
          <w:lang w:eastAsia="zh-CN"/>
        </w:rPr>
        <w:t>GB 5009.123</w:t>
      </w:r>
      <w:r>
        <w:rPr>
          <w:rFonts w:hint="eastAsia"/>
          <w:lang w:val="en-US" w:eastAsia="zh-CN"/>
        </w:rPr>
        <w:t xml:space="preserve">  </w:t>
      </w:r>
      <w:r>
        <w:rPr>
          <w:rFonts w:hint="eastAsia" w:eastAsia="宋体"/>
          <w:lang w:eastAsia="zh-CN"/>
        </w:rPr>
        <w:t>食品安全国家标准</w:t>
      </w:r>
      <w:r>
        <w:rPr>
          <w:rFonts w:hint="eastAsia"/>
          <w:lang w:val="en-US" w:eastAsia="zh-CN"/>
        </w:rPr>
        <w:t xml:space="preserve"> </w:t>
      </w:r>
      <w:r>
        <w:rPr>
          <w:rFonts w:hint="eastAsia" w:eastAsia="宋体"/>
          <w:lang w:eastAsia="zh-CN"/>
        </w:rPr>
        <w:t>食品中铬的测定</w:t>
      </w:r>
    </w:p>
    <w:p w14:paraId="75D836F1">
      <w:pPr>
        <w:pStyle w:val="56"/>
        <w:ind w:firstLine="420"/>
        <w:rPr>
          <w:rFonts w:hint="default" w:eastAsia="宋体"/>
          <w:lang w:val="en-US" w:eastAsia="zh-CN"/>
        </w:rPr>
      </w:pPr>
      <w:r>
        <w:rPr>
          <w:rFonts w:hint="eastAsia" w:eastAsia="宋体"/>
          <w:lang w:eastAsia="zh-CN"/>
        </w:rPr>
        <w:t>GB 5009.227</w:t>
      </w:r>
      <w:r>
        <w:rPr>
          <w:rFonts w:hint="eastAsia"/>
          <w:lang w:val="en-US" w:eastAsia="zh-CN"/>
        </w:rPr>
        <w:t xml:space="preserve">  </w:t>
      </w:r>
      <w:r>
        <w:rPr>
          <w:rFonts w:hint="eastAsia" w:eastAsia="宋体"/>
          <w:lang w:eastAsia="zh-CN"/>
        </w:rPr>
        <w:t>食品安全国家标准</w:t>
      </w:r>
      <w:r>
        <w:rPr>
          <w:rFonts w:hint="eastAsia"/>
          <w:lang w:val="en-US" w:eastAsia="zh-CN"/>
        </w:rPr>
        <w:t xml:space="preserve"> </w:t>
      </w:r>
      <w:r>
        <w:rPr>
          <w:rFonts w:hint="eastAsia" w:eastAsia="宋体"/>
          <w:lang w:eastAsia="zh-CN"/>
        </w:rPr>
        <w:t>食品中过氧化值的测定</w:t>
      </w:r>
    </w:p>
    <w:p w14:paraId="7D949137">
      <w:pPr>
        <w:pStyle w:val="56"/>
        <w:ind w:firstLine="420"/>
        <w:rPr>
          <w:rFonts w:hint="eastAsia" w:eastAsia="宋体"/>
          <w:lang w:eastAsia="zh-CN"/>
        </w:rPr>
      </w:pPr>
      <w:r>
        <w:rPr>
          <w:rFonts w:hint="eastAsia" w:eastAsia="宋体"/>
          <w:lang w:eastAsia="zh-CN"/>
        </w:rPr>
        <w:t>GB/T 6543</w:t>
      </w:r>
      <w:r>
        <w:rPr>
          <w:rFonts w:hint="eastAsia"/>
          <w:lang w:val="en-US" w:eastAsia="zh-CN"/>
        </w:rPr>
        <w:t xml:space="preserve">  </w:t>
      </w:r>
      <w:r>
        <w:rPr>
          <w:rFonts w:hint="eastAsia" w:eastAsia="宋体"/>
          <w:lang w:eastAsia="zh-CN"/>
        </w:rPr>
        <w:t>运输包装用单瓦楞纸箱和双瓦楞纸箱</w:t>
      </w:r>
    </w:p>
    <w:p w14:paraId="54173DF2">
      <w:pPr>
        <w:pStyle w:val="56"/>
        <w:ind w:firstLine="420"/>
        <w:rPr>
          <w:rFonts w:hint="default" w:eastAsia="宋体"/>
          <w:lang w:val="en-US" w:eastAsia="zh-CN"/>
        </w:rPr>
      </w:pPr>
      <w:r>
        <w:rPr>
          <w:rFonts w:hint="eastAsia" w:eastAsia="宋体"/>
          <w:lang w:eastAsia="zh-CN"/>
        </w:rPr>
        <w:t>GB 7718</w:t>
      </w:r>
      <w:r>
        <w:rPr>
          <w:rFonts w:hint="eastAsia"/>
          <w:lang w:val="en-US" w:eastAsia="zh-CN"/>
        </w:rPr>
        <w:t xml:space="preserve">  </w:t>
      </w:r>
      <w:r>
        <w:rPr>
          <w:rFonts w:hint="eastAsia" w:eastAsia="宋体"/>
          <w:lang w:eastAsia="zh-CN"/>
        </w:rPr>
        <w:t>食品安全国家标准</w:t>
      </w:r>
      <w:r>
        <w:rPr>
          <w:rFonts w:hint="eastAsia"/>
          <w:lang w:val="en-US" w:eastAsia="zh-CN"/>
        </w:rPr>
        <w:t xml:space="preserve"> </w:t>
      </w:r>
      <w:r>
        <w:rPr>
          <w:rFonts w:hint="eastAsia" w:eastAsia="宋体"/>
          <w:lang w:eastAsia="zh-CN"/>
        </w:rPr>
        <w:t>预包装食品标签通则</w:t>
      </w:r>
    </w:p>
    <w:p w14:paraId="265905CC">
      <w:pPr>
        <w:pStyle w:val="56"/>
        <w:ind w:firstLine="420"/>
        <w:rPr>
          <w:rFonts w:hint="default" w:eastAsia="宋体"/>
          <w:lang w:val="en-US" w:eastAsia="zh-CN"/>
        </w:rPr>
      </w:pPr>
      <w:r>
        <w:rPr>
          <w:rFonts w:hint="eastAsia" w:eastAsia="宋体"/>
          <w:lang w:eastAsia="zh-CN"/>
        </w:rPr>
        <w:t>GB 14881</w:t>
      </w:r>
      <w:r>
        <w:rPr>
          <w:rFonts w:hint="eastAsia"/>
          <w:lang w:val="en-US" w:eastAsia="zh-CN"/>
        </w:rPr>
        <w:t xml:space="preserve">  </w:t>
      </w:r>
      <w:r>
        <w:rPr>
          <w:rFonts w:hint="eastAsia" w:eastAsia="宋体"/>
          <w:lang w:eastAsia="zh-CN"/>
        </w:rPr>
        <w:t>食品安全国家标准</w:t>
      </w:r>
      <w:r>
        <w:rPr>
          <w:rFonts w:hint="eastAsia"/>
          <w:lang w:val="en-US" w:eastAsia="zh-CN"/>
        </w:rPr>
        <w:t xml:space="preserve"> </w:t>
      </w:r>
      <w:r>
        <w:rPr>
          <w:rFonts w:hint="eastAsia" w:eastAsia="宋体"/>
          <w:lang w:eastAsia="zh-CN"/>
        </w:rPr>
        <w:t>食品生产通用卫生规范</w:t>
      </w:r>
    </w:p>
    <w:p w14:paraId="2D6A0B9C">
      <w:pPr>
        <w:pStyle w:val="56"/>
        <w:ind w:firstLine="420"/>
        <w:rPr>
          <w:rFonts w:hint="eastAsia" w:eastAsia="宋体"/>
          <w:lang w:eastAsia="zh-CN"/>
        </w:rPr>
      </w:pPr>
      <w:r>
        <w:rPr>
          <w:rFonts w:hint="eastAsia" w:eastAsia="宋体"/>
          <w:lang w:eastAsia="zh-CN"/>
        </w:rPr>
        <w:t>GB/T 15691</w:t>
      </w:r>
      <w:r>
        <w:rPr>
          <w:rFonts w:hint="eastAsia"/>
          <w:lang w:val="en-US" w:eastAsia="zh-CN"/>
        </w:rPr>
        <w:t xml:space="preserve">  </w:t>
      </w:r>
      <w:r>
        <w:rPr>
          <w:rFonts w:hint="eastAsia" w:eastAsia="宋体"/>
          <w:lang w:eastAsia="zh-CN"/>
        </w:rPr>
        <w:t>香辛料调味品通用技术条件</w:t>
      </w:r>
    </w:p>
    <w:p w14:paraId="4E86C7C5">
      <w:pPr>
        <w:pStyle w:val="56"/>
        <w:ind w:firstLine="420"/>
        <w:rPr>
          <w:rFonts w:hint="default" w:eastAsia="宋体"/>
          <w:lang w:val="en-US" w:eastAsia="zh-CN"/>
        </w:rPr>
      </w:pPr>
      <w:r>
        <w:rPr>
          <w:rFonts w:hint="eastAsia" w:eastAsia="宋体"/>
          <w:lang w:eastAsia="zh-CN"/>
        </w:rPr>
        <w:t>GB 28050</w:t>
      </w:r>
      <w:r>
        <w:rPr>
          <w:rFonts w:hint="eastAsia"/>
          <w:lang w:val="en-US" w:eastAsia="zh-CN"/>
        </w:rPr>
        <w:t xml:space="preserve">  </w:t>
      </w:r>
      <w:r>
        <w:rPr>
          <w:rFonts w:hint="eastAsia" w:eastAsia="宋体"/>
          <w:lang w:eastAsia="zh-CN"/>
        </w:rPr>
        <w:t>食品安全国家标准</w:t>
      </w:r>
      <w:r>
        <w:rPr>
          <w:rFonts w:hint="eastAsia"/>
          <w:lang w:val="en-US" w:eastAsia="zh-CN"/>
        </w:rPr>
        <w:t xml:space="preserve"> </w:t>
      </w:r>
      <w:r>
        <w:rPr>
          <w:rFonts w:hint="eastAsia" w:eastAsia="宋体"/>
          <w:lang w:eastAsia="zh-CN"/>
        </w:rPr>
        <w:t>预包装食品营养标签通则</w:t>
      </w:r>
    </w:p>
    <w:p w14:paraId="492189DA">
      <w:pPr>
        <w:pStyle w:val="56"/>
        <w:ind w:firstLine="420"/>
        <w:rPr>
          <w:rFonts w:hint="eastAsia" w:eastAsia="宋体"/>
          <w:lang w:eastAsia="zh-CN"/>
        </w:rPr>
      </w:pPr>
      <w:r>
        <w:rPr>
          <w:rFonts w:hint="eastAsia" w:eastAsia="宋体"/>
          <w:lang w:eastAsia="zh-CN"/>
        </w:rPr>
        <w:t>GB/T 28118</w:t>
      </w:r>
      <w:r>
        <w:rPr>
          <w:rFonts w:hint="eastAsia"/>
          <w:lang w:val="en-US" w:eastAsia="zh-CN"/>
        </w:rPr>
        <w:t xml:space="preserve">  </w:t>
      </w:r>
      <w:r>
        <w:rPr>
          <w:rFonts w:hint="eastAsia" w:eastAsia="宋体"/>
          <w:lang w:eastAsia="zh-CN"/>
        </w:rPr>
        <w:t>食品包装用塑料与铝箔复合膜、袋</w:t>
      </w:r>
    </w:p>
    <w:p w14:paraId="30068677">
      <w:pPr>
        <w:pStyle w:val="56"/>
        <w:ind w:firstLine="420"/>
        <w:rPr>
          <w:rFonts w:hint="default" w:eastAsia="宋体"/>
          <w:lang w:val="en-US" w:eastAsia="zh-CN"/>
        </w:rPr>
      </w:pPr>
      <w:r>
        <w:rPr>
          <w:rFonts w:hint="eastAsia" w:eastAsia="宋体"/>
          <w:lang w:eastAsia="zh-CN"/>
        </w:rPr>
        <w:t>GB 29921</w:t>
      </w:r>
      <w:r>
        <w:rPr>
          <w:rFonts w:hint="eastAsia"/>
          <w:lang w:val="en-US" w:eastAsia="zh-CN"/>
        </w:rPr>
        <w:t xml:space="preserve">  </w:t>
      </w:r>
      <w:r>
        <w:rPr>
          <w:rFonts w:hint="eastAsia" w:eastAsia="宋体"/>
          <w:lang w:eastAsia="zh-CN"/>
        </w:rPr>
        <w:t>食品安全国家标准</w:t>
      </w:r>
      <w:r>
        <w:rPr>
          <w:rFonts w:hint="eastAsia"/>
          <w:lang w:val="en-US" w:eastAsia="zh-CN"/>
        </w:rPr>
        <w:t xml:space="preserve"> </w:t>
      </w:r>
      <w:r>
        <w:rPr>
          <w:rFonts w:hint="eastAsia" w:eastAsia="宋体"/>
          <w:lang w:eastAsia="zh-CN"/>
        </w:rPr>
        <w:t>预包装食品中致病菌限量</w:t>
      </w:r>
    </w:p>
    <w:p w14:paraId="4671826B">
      <w:pPr>
        <w:pStyle w:val="56"/>
        <w:ind w:firstLine="420"/>
        <w:rPr>
          <w:rFonts w:hint="eastAsia"/>
          <w:lang w:val="en-US" w:eastAsia="zh-CN"/>
        </w:rPr>
      </w:pPr>
      <w:r>
        <w:rPr>
          <w:rFonts w:hint="eastAsia" w:eastAsia="宋体"/>
          <w:lang w:eastAsia="zh-CN"/>
        </w:rPr>
        <w:t>NY/T 3356</w:t>
      </w:r>
      <w:r>
        <w:rPr>
          <w:rFonts w:hint="eastAsia"/>
          <w:lang w:val="en-US" w:eastAsia="zh-CN"/>
        </w:rPr>
        <w:t xml:space="preserve">  牦牛肉</w:t>
      </w:r>
    </w:p>
    <w:p w14:paraId="75B49B09">
      <w:pPr>
        <w:pStyle w:val="56"/>
        <w:ind w:firstLine="420"/>
        <w:rPr>
          <w:rFonts w:hint="eastAsia"/>
          <w:lang w:val="en-US" w:eastAsia="zh-CN"/>
        </w:rPr>
      </w:pPr>
      <w:r>
        <w:rPr>
          <w:rFonts w:hint="eastAsia"/>
          <w:lang w:val="en-US" w:eastAsia="zh-CN"/>
        </w:rPr>
        <w:t>JJF 1070  定量包装商品净含量计量检验规则</w:t>
      </w:r>
    </w:p>
    <w:p w14:paraId="5509753B">
      <w:pPr>
        <w:pStyle w:val="56"/>
        <w:ind w:firstLine="420"/>
        <w:rPr>
          <w:rFonts w:hint="eastAsia"/>
          <w:lang w:val="en-US" w:eastAsia="zh-CN"/>
        </w:rPr>
      </w:pPr>
      <w:r>
        <w:rPr>
          <w:rFonts w:hint="eastAsia"/>
          <w:lang w:val="en-US" w:eastAsia="zh-CN"/>
        </w:rPr>
        <w:t>国家市场监督管理总局令(2023)第70号《定量包装商品计量监督管理办法》</w:t>
      </w:r>
    </w:p>
    <w:p w14:paraId="40EF840C">
      <w:pPr>
        <w:pStyle w:val="104"/>
        <w:spacing w:before="240" w:after="240"/>
      </w:pPr>
      <w:bookmarkStart w:id="42" w:name="_Toc97192966"/>
      <w:r>
        <w:rPr>
          <w:rFonts w:hint="eastAsia"/>
          <w:szCs w:val="21"/>
        </w:rPr>
        <w:t>术语和定义</w:t>
      </w:r>
      <w:bookmarkEnd w:id="42"/>
    </w:p>
    <w:sdt>
      <w:sdtPr>
        <w:id w:val="-1909835108"/>
        <w:placeholder>
          <w:docPart w:val="DD487E154D8B46B1811108614A11313A"/>
        </w:placeholder>
        <w:comboBox>
          <w:listItem w:displayText="点击并选择适当的引导语" w:value="点击并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3FA990C2">
          <w:pPr>
            <w:pStyle w:val="56"/>
            <w:ind w:firstLine="420"/>
          </w:pPr>
          <w:bookmarkStart w:id="43" w:name="_Toc26986532"/>
          <w:bookmarkEnd w:id="43"/>
          <w:r>
            <w:rPr>
              <w:rFonts w:ascii="Times New Roman" w:hAnsi="Times New Roman" w:eastAsia="宋体" w:cs="Times New Roman"/>
              <w:sz w:val="21"/>
              <w:lang w:val="en-US" w:eastAsia="zh-CN" w:bidi="ar-SA"/>
            </w:rPr>
            <w:t>本文件没有需要界定的术语和定义。</w:t>
          </w:r>
        </w:p>
      </w:sdtContent>
    </w:sdt>
    <w:p w14:paraId="596DFCEE">
      <w:pPr>
        <w:pStyle w:val="104"/>
        <w:bidi w:val="0"/>
        <w:rPr>
          <w:rFonts w:hint="eastAsia"/>
          <w:lang w:val="en-US" w:eastAsia="zh-CN"/>
        </w:rPr>
      </w:pPr>
      <w:r>
        <w:rPr>
          <w:rFonts w:hint="eastAsia"/>
          <w:lang w:val="en-US" w:eastAsia="zh-CN"/>
        </w:rPr>
        <w:t>技术要求</w:t>
      </w:r>
    </w:p>
    <w:p w14:paraId="16891661">
      <w:pPr>
        <w:pStyle w:val="105"/>
        <w:bidi w:val="0"/>
        <w:rPr>
          <w:rFonts w:hint="eastAsia"/>
          <w:lang w:val="en-US" w:eastAsia="zh-CN"/>
        </w:rPr>
      </w:pPr>
      <w:r>
        <w:rPr>
          <w:rFonts w:hint="eastAsia"/>
          <w:lang w:val="en-US" w:eastAsia="zh-CN"/>
        </w:rPr>
        <w:t>原料要求</w:t>
      </w:r>
    </w:p>
    <w:p w14:paraId="71150D56">
      <w:pPr>
        <w:pStyle w:val="56"/>
        <w:ind w:firstLine="420"/>
        <w:rPr>
          <w:rFonts w:hint="eastAsia"/>
          <w:lang w:val="en-US" w:eastAsia="zh-CN"/>
        </w:rPr>
      </w:pPr>
      <w:r>
        <w:rPr>
          <w:rFonts w:hint="eastAsia"/>
          <w:lang w:val="en-US" w:eastAsia="zh-CN"/>
        </w:rPr>
        <w:t>牦牛肉应符合NY/T 3356和GB 2707的规定；食用盐应符合GB 2721的规定；白砂糖应符合GB/T 317的规定；香辛料应符合GB/T 15691的规定。</w:t>
      </w:r>
    </w:p>
    <w:p w14:paraId="7A5141E8">
      <w:pPr>
        <w:pStyle w:val="105"/>
        <w:bidi w:val="0"/>
        <w:rPr>
          <w:rFonts w:hint="eastAsia"/>
          <w:lang w:val="en-US" w:eastAsia="zh-CN"/>
        </w:rPr>
      </w:pPr>
      <w:r>
        <w:rPr>
          <w:rFonts w:hint="eastAsia"/>
          <w:lang w:val="en-US" w:eastAsia="zh-CN"/>
        </w:rPr>
        <w:t>感官要求</w:t>
      </w:r>
    </w:p>
    <w:p w14:paraId="67DB4035">
      <w:pPr>
        <w:pStyle w:val="56"/>
        <w:rPr>
          <w:rFonts w:hint="eastAsia"/>
          <w:lang w:val="en-US" w:eastAsia="zh-CN"/>
        </w:rPr>
      </w:pPr>
      <w:r>
        <w:rPr>
          <w:rFonts w:hint="eastAsia"/>
          <w:lang w:val="en-US" w:eastAsia="zh-CN"/>
        </w:rPr>
        <w:t>应符合表1的规定。</w:t>
      </w:r>
    </w:p>
    <w:p w14:paraId="503B0CCE">
      <w:pPr>
        <w:pStyle w:val="112"/>
        <w:bidi w:val="0"/>
        <w:rPr>
          <w:rFonts w:hint="default"/>
          <w:lang w:val="en-US" w:eastAsia="zh-CN"/>
        </w:rPr>
      </w:pPr>
      <w:r>
        <w:rPr>
          <w:rFonts w:hint="eastAsia"/>
          <w:lang w:val="en-US" w:eastAsia="zh-CN"/>
        </w:rPr>
        <w:t>感官要求</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2454"/>
        <w:gridCol w:w="3915"/>
        <w:gridCol w:w="3185"/>
      </w:tblGrid>
      <w:tr w14:paraId="56F3AA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2454" w:type="dxa"/>
            <w:tcBorders>
              <w:bottom w:val="single" w:color="auto" w:sz="8" w:space="0"/>
            </w:tcBorders>
            <w:vAlign w:val="center"/>
          </w:tcPr>
          <w:p w14:paraId="401B1F17">
            <w:pPr>
              <w:pStyle w:val="178"/>
              <w:bidi w:val="0"/>
              <w:spacing w:line="240" w:lineRule="auto"/>
              <w:jc w:val="center"/>
              <w:rPr>
                <w:rFonts w:hint="default"/>
                <w:lang w:val="en-US" w:eastAsia="zh-CN"/>
              </w:rPr>
            </w:pPr>
            <w:r>
              <w:rPr>
                <w:rFonts w:hint="eastAsia"/>
                <w:lang w:val="en-US" w:eastAsia="zh-CN"/>
              </w:rPr>
              <w:t>项目</w:t>
            </w:r>
          </w:p>
        </w:tc>
        <w:tc>
          <w:tcPr>
            <w:tcW w:w="3915" w:type="dxa"/>
            <w:tcBorders>
              <w:bottom w:val="single" w:color="auto" w:sz="8" w:space="0"/>
            </w:tcBorders>
            <w:vAlign w:val="center"/>
          </w:tcPr>
          <w:p w14:paraId="671FBF23">
            <w:pPr>
              <w:pStyle w:val="178"/>
              <w:bidi w:val="0"/>
              <w:spacing w:line="240" w:lineRule="auto"/>
              <w:jc w:val="center"/>
              <w:rPr>
                <w:rFonts w:hint="default"/>
                <w:lang w:val="en-US" w:eastAsia="zh-CN"/>
              </w:rPr>
            </w:pPr>
            <w:r>
              <w:rPr>
                <w:rFonts w:hint="eastAsia"/>
                <w:lang w:val="en-US" w:eastAsia="zh-CN"/>
              </w:rPr>
              <w:t>要求</w:t>
            </w:r>
          </w:p>
        </w:tc>
        <w:tc>
          <w:tcPr>
            <w:tcW w:w="3185" w:type="dxa"/>
            <w:tcBorders>
              <w:bottom w:val="single" w:color="auto" w:sz="8" w:space="0"/>
            </w:tcBorders>
            <w:vAlign w:val="center"/>
          </w:tcPr>
          <w:p w14:paraId="5F0EC620">
            <w:pPr>
              <w:pStyle w:val="178"/>
              <w:bidi w:val="0"/>
              <w:spacing w:line="240" w:lineRule="auto"/>
              <w:jc w:val="center"/>
              <w:rPr>
                <w:rFonts w:hint="default"/>
                <w:lang w:val="en-US" w:eastAsia="zh-CN"/>
              </w:rPr>
            </w:pPr>
            <w:r>
              <w:rPr>
                <w:rFonts w:hint="eastAsia"/>
                <w:lang w:val="en-US" w:eastAsia="zh-CN"/>
              </w:rPr>
              <w:t>检测方法</w:t>
            </w:r>
          </w:p>
        </w:tc>
      </w:tr>
      <w:tr w14:paraId="3AA20D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454" w:type="dxa"/>
            <w:tcBorders>
              <w:top w:val="single" w:color="auto" w:sz="8" w:space="0"/>
            </w:tcBorders>
            <w:vAlign w:val="center"/>
          </w:tcPr>
          <w:p w14:paraId="1FCF5BF6">
            <w:pPr>
              <w:pStyle w:val="178"/>
              <w:bidi w:val="0"/>
              <w:spacing w:line="240" w:lineRule="auto"/>
              <w:jc w:val="center"/>
              <w:rPr>
                <w:rFonts w:hint="default"/>
                <w:lang w:val="en-US" w:eastAsia="zh-CN"/>
              </w:rPr>
            </w:pPr>
            <w:r>
              <w:rPr>
                <w:rFonts w:hint="eastAsia"/>
                <w:lang w:val="en-US" w:eastAsia="zh-CN"/>
              </w:rPr>
              <w:t>气味和滋味</w:t>
            </w:r>
          </w:p>
        </w:tc>
        <w:tc>
          <w:tcPr>
            <w:tcW w:w="3915" w:type="dxa"/>
            <w:tcBorders>
              <w:top w:val="single" w:color="auto" w:sz="8" w:space="0"/>
            </w:tcBorders>
            <w:vAlign w:val="center"/>
          </w:tcPr>
          <w:p w14:paraId="303FC8DE">
            <w:pPr>
              <w:pStyle w:val="178"/>
              <w:bidi w:val="0"/>
              <w:spacing w:line="240" w:lineRule="auto"/>
              <w:jc w:val="center"/>
              <w:rPr>
                <w:rFonts w:hint="default"/>
                <w:lang w:val="en-US" w:eastAsia="zh-CN"/>
              </w:rPr>
            </w:pPr>
            <w:r>
              <w:rPr>
                <w:rFonts w:hint="eastAsia"/>
                <w:lang w:val="en-US" w:eastAsia="zh-CN"/>
              </w:rPr>
              <w:t>具有牦牛肉及配料特有香味和滋味，无异味</w:t>
            </w:r>
          </w:p>
        </w:tc>
        <w:tc>
          <w:tcPr>
            <w:tcW w:w="3185" w:type="dxa"/>
            <w:vMerge w:val="restart"/>
            <w:tcBorders>
              <w:top w:val="single" w:color="auto" w:sz="8" w:space="0"/>
            </w:tcBorders>
            <w:vAlign w:val="center"/>
          </w:tcPr>
          <w:p w14:paraId="3CCEDC4A">
            <w:pPr>
              <w:pStyle w:val="178"/>
              <w:bidi w:val="0"/>
              <w:spacing w:line="240" w:lineRule="auto"/>
              <w:jc w:val="center"/>
              <w:rPr>
                <w:rFonts w:hint="default"/>
                <w:lang w:val="en-US" w:eastAsia="zh-CN"/>
              </w:rPr>
            </w:pPr>
            <w:r>
              <w:rPr>
                <w:rFonts w:hint="eastAsia"/>
                <w:lang w:val="en-US" w:eastAsia="zh-CN"/>
              </w:rPr>
              <w:t>取一定量混合均匀的北侧样品置于50mL无色透明烧杯中，在自然光下观察色泽和状态，鉴别气味，用温开水漱口，品尝其滋味，检查其杂质</w:t>
            </w:r>
          </w:p>
        </w:tc>
      </w:tr>
      <w:tr w14:paraId="4F4D028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454" w:type="dxa"/>
            <w:vAlign w:val="center"/>
          </w:tcPr>
          <w:p w14:paraId="07833BE6">
            <w:pPr>
              <w:pStyle w:val="178"/>
              <w:bidi w:val="0"/>
              <w:spacing w:line="240" w:lineRule="auto"/>
              <w:jc w:val="center"/>
              <w:rPr>
                <w:rFonts w:hint="default"/>
                <w:lang w:val="en-US" w:eastAsia="zh-CN"/>
              </w:rPr>
            </w:pPr>
            <w:r>
              <w:rPr>
                <w:rFonts w:hint="eastAsia"/>
                <w:lang w:val="en-US" w:eastAsia="zh-CN"/>
              </w:rPr>
              <w:t>色泽</w:t>
            </w:r>
          </w:p>
        </w:tc>
        <w:tc>
          <w:tcPr>
            <w:tcW w:w="3915" w:type="dxa"/>
            <w:vAlign w:val="center"/>
          </w:tcPr>
          <w:p w14:paraId="6E5A7AC0">
            <w:pPr>
              <w:pStyle w:val="178"/>
              <w:bidi w:val="0"/>
              <w:spacing w:line="240" w:lineRule="auto"/>
              <w:jc w:val="center"/>
              <w:rPr>
                <w:rFonts w:hint="default"/>
                <w:lang w:val="en-US" w:eastAsia="zh-CN"/>
              </w:rPr>
            </w:pPr>
            <w:r>
              <w:rPr>
                <w:rFonts w:hint="eastAsia"/>
                <w:lang w:val="en-US" w:eastAsia="zh-CN"/>
              </w:rPr>
              <w:t>红褐色，有光泽</w:t>
            </w:r>
          </w:p>
        </w:tc>
        <w:tc>
          <w:tcPr>
            <w:tcW w:w="3185" w:type="dxa"/>
            <w:vMerge w:val="continue"/>
            <w:vAlign w:val="center"/>
          </w:tcPr>
          <w:p w14:paraId="20F47B66">
            <w:pPr>
              <w:pStyle w:val="178"/>
              <w:bidi w:val="0"/>
              <w:spacing w:line="240" w:lineRule="auto"/>
              <w:jc w:val="center"/>
              <w:rPr>
                <w:rFonts w:hint="default"/>
                <w:lang w:val="en-US" w:eastAsia="zh-CN"/>
              </w:rPr>
            </w:pPr>
          </w:p>
        </w:tc>
      </w:tr>
      <w:tr w14:paraId="2767EA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454" w:type="dxa"/>
            <w:vAlign w:val="center"/>
          </w:tcPr>
          <w:p w14:paraId="1D0EE4E0">
            <w:pPr>
              <w:pStyle w:val="178"/>
              <w:bidi w:val="0"/>
              <w:spacing w:line="240" w:lineRule="auto"/>
              <w:jc w:val="center"/>
              <w:rPr>
                <w:rFonts w:hint="default"/>
                <w:lang w:val="en-US" w:eastAsia="zh-CN"/>
              </w:rPr>
            </w:pPr>
            <w:r>
              <w:rPr>
                <w:rFonts w:hint="eastAsia"/>
                <w:lang w:val="en-US" w:eastAsia="zh-CN"/>
              </w:rPr>
              <w:t>状态</w:t>
            </w:r>
          </w:p>
        </w:tc>
        <w:tc>
          <w:tcPr>
            <w:tcW w:w="3915" w:type="dxa"/>
            <w:vAlign w:val="center"/>
          </w:tcPr>
          <w:p w14:paraId="603E5F89">
            <w:pPr>
              <w:pStyle w:val="178"/>
              <w:bidi w:val="0"/>
              <w:spacing w:line="240" w:lineRule="auto"/>
              <w:jc w:val="center"/>
              <w:rPr>
                <w:rFonts w:hint="default"/>
                <w:lang w:val="en-US" w:eastAsia="zh-CN"/>
              </w:rPr>
            </w:pPr>
            <w:r>
              <w:rPr>
                <w:rFonts w:hint="eastAsia"/>
                <w:lang w:val="en-US" w:eastAsia="zh-CN"/>
              </w:rPr>
              <w:t>片状、条状，允许有少量脂肪析出</w:t>
            </w:r>
          </w:p>
        </w:tc>
        <w:tc>
          <w:tcPr>
            <w:tcW w:w="3185" w:type="dxa"/>
            <w:vMerge w:val="continue"/>
            <w:vAlign w:val="center"/>
          </w:tcPr>
          <w:p w14:paraId="31FA91D3">
            <w:pPr>
              <w:pStyle w:val="178"/>
              <w:bidi w:val="0"/>
              <w:spacing w:line="240" w:lineRule="auto"/>
              <w:jc w:val="center"/>
              <w:rPr>
                <w:rFonts w:hint="default"/>
                <w:lang w:val="en-US" w:eastAsia="zh-CN"/>
              </w:rPr>
            </w:pPr>
          </w:p>
        </w:tc>
      </w:tr>
      <w:tr w14:paraId="13177C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454" w:type="dxa"/>
            <w:vAlign w:val="center"/>
          </w:tcPr>
          <w:p w14:paraId="23B3E9DA">
            <w:pPr>
              <w:pStyle w:val="178"/>
              <w:bidi w:val="0"/>
              <w:spacing w:line="240" w:lineRule="auto"/>
              <w:jc w:val="center"/>
              <w:rPr>
                <w:rFonts w:hint="default"/>
                <w:lang w:val="en-US" w:eastAsia="zh-CN"/>
              </w:rPr>
            </w:pPr>
            <w:r>
              <w:rPr>
                <w:rFonts w:hint="eastAsia"/>
                <w:lang w:val="en-US" w:eastAsia="zh-CN"/>
              </w:rPr>
              <w:t>杂质</w:t>
            </w:r>
          </w:p>
        </w:tc>
        <w:tc>
          <w:tcPr>
            <w:tcW w:w="3915" w:type="dxa"/>
            <w:vAlign w:val="center"/>
          </w:tcPr>
          <w:p w14:paraId="3EDA512E">
            <w:pPr>
              <w:pStyle w:val="178"/>
              <w:bidi w:val="0"/>
              <w:spacing w:line="240" w:lineRule="auto"/>
              <w:jc w:val="center"/>
              <w:rPr>
                <w:rFonts w:hint="default"/>
                <w:lang w:val="en-US" w:eastAsia="zh-CN"/>
              </w:rPr>
            </w:pPr>
            <w:r>
              <w:rPr>
                <w:rFonts w:hint="eastAsia"/>
                <w:lang w:val="en-US" w:eastAsia="zh-CN"/>
              </w:rPr>
              <w:t>无肉眼可见外来杂质</w:t>
            </w:r>
          </w:p>
        </w:tc>
        <w:tc>
          <w:tcPr>
            <w:tcW w:w="3185" w:type="dxa"/>
            <w:vMerge w:val="continue"/>
            <w:vAlign w:val="center"/>
          </w:tcPr>
          <w:p w14:paraId="0EBAF273">
            <w:pPr>
              <w:pStyle w:val="178"/>
              <w:bidi w:val="0"/>
              <w:spacing w:line="240" w:lineRule="auto"/>
              <w:jc w:val="center"/>
              <w:rPr>
                <w:rFonts w:hint="default"/>
                <w:lang w:val="en-US" w:eastAsia="zh-CN"/>
              </w:rPr>
            </w:pPr>
          </w:p>
        </w:tc>
      </w:tr>
    </w:tbl>
    <w:p w14:paraId="07536DC6">
      <w:pPr>
        <w:pStyle w:val="56"/>
        <w:bidi w:val="0"/>
        <w:rPr>
          <w:rFonts w:hint="default"/>
          <w:lang w:val="en-US" w:eastAsia="zh-CN"/>
        </w:rPr>
      </w:pPr>
    </w:p>
    <w:p w14:paraId="1D8BD8D3">
      <w:pPr>
        <w:pStyle w:val="105"/>
        <w:bidi w:val="0"/>
        <w:rPr>
          <w:rFonts w:hint="default"/>
          <w:lang w:val="en-US" w:eastAsia="zh-CN"/>
        </w:rPr>
      </w:pPr>
      <w:r>
        <w:rPr>
          <w:rFonts w:hint="eastAsia"/>
          <w:lang w:val="en-US" w:eastAsia="zh-CN"/>
        </w:rPr>
        <w:t>理化指标</w:t>
      </w:r>
    </w:p>
    <w:p w14:paraId="4D3B27B1">
      <w:pPr>
        <w:pStyle w:val="56"/>
        <w:ind w:firstLine="420"/>
        <w:rPr>
          <w:rFonts w:hint="eastAsia"/>
          <w:lang w:val="en-US" w:eastAsia="zh-CN"/>
        </w:rPr>
      </w:pPr>
      <w:r>
        <w:rPr>
          <w:rFonts w:hint="eastAsia"/>
          <w:lang w:val="en-US" w:eastAsia="zh-CN"/>
        </w:rPr>
        <w:t>应符合表2的规定。</w:t>
      </w:r>
    </w:p>
    <w:p w14:paraId="7C0BF389">
      <w:pPr>
        <w:pStyle w:val="112"/>
        <w:bidi w:val="0"/>
        <w:rPr>
          <w:rFonts w:hint="default"/>
          <w:lang w:val="en-US" w:eastAsia="zh-CN"/>
        </w:rPr>
      </w:pPr>
      <w:r>
        <w:rPr>
          <w:rFonts w:hint="eastAsia"/>
          <w:lang w:val="en-US" w:eastAsia="zh-CN"/>
        </w:rPr>
        <w:t>理化指标</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3185"/>
        <w:gridCol w:w="3184"/>
        <w:gridCol w:w="3185"/>
      </w:tblGrid>
      <w:tr w14:paraId="79C518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3190" w:type="dxa"/>
            <w:tcBorders>
              <w:bottom w:val="single" w:color="auto" w:sz="8" w:space="0"/>
            </w:tcBorders>
            <w:vAlign w:val="center"/>
          </w:tcPr>
          <w:p w14:paraId="0E57BA7E">
            <w:pPr>
              <w:pStyle w:val="178"/>
              <w:bidi w:val="0"/>
              <w:spacing w:line="240" w:lineRule="auto"/>
              <w:jc w:val="center"/>
              <w:rPr>
                <w:rFonts w:hint="eastAsia" w:ascii="宋体" w:hAnsi="宋体" w:eastAsia="宋体" w:cs="宋体"/>
                <w:sz w:val="18"/>
                <w:lang w:val="en-US" w:eastAsia="zh-CN"/>
              </w:rPr>
            </w:pPr>
            <w:r>
              <w:rPr>
                <w:rFonts w:hint="eastAsia" w:ascii="宋体" w:hAnsi="宋体" w:eastAsia="宋体" w:cs="宋体"/>
                <w:sz w:val="18"/>
                <w:lang w:val="en-US" w:eastAsia="zh-CN"/>
              </w:rPr>
              <w:t>项目</w:t>
            </w:r>
          </w:p>
        </w:tc>
        <w:tc>
          <w:tcPr>
            <w:tcW w:w="3190" w:type="dxa"/>
            <w:tcBorders>
              <w:bottom w:val="single" w:color="auto" w:sz="8" w:space="0"/>
            </w:tcBorders>
            <w:vAlign w:val="center"/>
          </w:tcPr>
          <w:p w14:paraId="2EFCE3A3">
            <w:pPr>
              <w:pStyle w:val="178"/>
              <w:bidi w:val="0"/>
              <w:spacing w:line="240" w:lineRule="auto"/>
              <w:jc w:val="center"/>
              <w:rPr>
                <w:rFonts w:hint="eastAsia" w:ascii="宋体" w:hAnsi="宋体" w:eastAsia="宋体" w:cs="宋体"/>
                <w:sz w:val="18"/>
                <w:lang w:val="en-US" w:eastAsia="zh-CN"/>
              </w:rPr>
            </w:pPr>
            <w:r>
              <w:rPr>
                <w:rFonts w:hint="eastAsia" w:ascii="宋体" w:hAnsi="宋体" w:eastAsia="宋体" w:cs="宋体"/>
                <w:sz w:val="18"/>
                <w:lang w:val="en-US" w:eastAsia="zh-CN"/>
              </w:rPr>
              <w:t>指标</w:t>
            </w:r>
          </w:p>
        </w:tc>
        <w:tc>
          <w:tcPr>
            <w:tcW w:w="3190" w:type="dxa"/>
            <w:tcBorders>
              <w:bottom w:val="single" w:color="auto" w:sz="8" w:space="0"/>
            </w:tcBorders>
            <w:vAlign w:val="center"/>
          </w:tcPr>
          <w:p w14:paraId="0252AC7F">
            <w:pPr>
              <w:pStyle w:val="178"/>
              <w:bidi w:val="0"/>
              <w:spacing w:line="240" w:lineRule="auto"/>
              <w:jc w:val="center"/>
              <w:rPr>
                <w:rFonts w:hint="eastAsia" w:ascii="宋体" w:hAnsi="宋体" w:eastAsia="宋体" w:cs="宋体"/>
                <w:sz w:val="18"/>
                <w:lang w:val="en-US" w:eastAsia="zh-CN"/>
              </w:rPr>
            </w:pPr>
            <w:r>
              <w:rPr>
                <w:rFonts w:hint="eastAsia" w:ascii="宋体" w:hAnsi="宋体" w:eastAsia="宋体" w:cs="宋体"/>
                <w:sz w:val="18"/>
                <w:lang w:val="en-US" w:eastAsia="zh-CN"/>
              </w:rPr>
              <w:t>检测方法</w:t>
            </w:r>
          </w:p>
        </w:tc>
      </w:tr>
      <w:tr w14:paraId="74ED7A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190" w:type="dxa"/>
            <w:tcBorders>
              <w:top w:val="single" w:color="auto" w:sz="8" w:space="0"/>
            </w:tcBorders>
            <w:vAlign w:val="center"/>
          </w:tcPr>
          <w:p w14:paraId="6AD6E17B">
            <w:pPr>
              <w:pStyle w:val="178"/>
              <w:bidi w:val="0"/>
              <w:spacing w:line="240" w:lineRule="auto"/>
              <w:jc w:val="center"/>
              <w:rPr>
                <w:rFonts w:hint="eastAsia" w:ascii="宋体" w:hAnsi="宋体" w:eastAsia="宋体" w:cs="宋体"/>
                <w:sz w:val="18"/>
                <w:lang w:val="en-US" w:eastAsia="zh-CN"/>
              </w:rPr>
            </w:pPr>
            <w:r>
              <w:rPr>
                <w:rFonts w:hint="eastAsia" w:ascii="宋体" w:hAnsi="宋体" w:eastAsia="宋体" w:cs="宋体"/>
                <w:sz w:val="18"/>
                <w:lang w:val="en-US" w:eastAsia="zh-CN"/>
              </w:rPr>
              <w:t>水分/（g/100g）                 ≤</w:t>
            </w:r>
          </w:p>
        </w:tc>
        <w:tc>
          <w:tcPr>
            <w:tcW w:w="3190" w:type="dxa"/>
            <w:tcBorders>
              <w:top w:val="single" w:color="auto" w:sz="8" w:space="0"/>
            </w:tcBorders>
            <w:vAlign w:val="center"/>
          </w:tcPr>
          <w:p w14:paraId="03D635DF">
            <w:pPr>
              <w:pStyle w:val="178"/>
              <w:bidi w:val="0"/>
              <w:spacing w:line="240" w:lineRule="auto"/>
              <w:jc w:val="center"/>
              <w:rPr>
                <w:rFonts w:hint="eastAsia" w:ascii="宋体" w:hAnsi="宋体" w:eastAsia="宋体" w:cs="宋体"/>
                <w:sz w:val="18"/>
                <w:lang w:val="en-US" w:eastAsia="zh-CN"/>
              </w:rPr>
            </w:pPr>
            <w:r>
              <w:rPr>
                <w:rFonts w:hint="eastAsia" w:ascii="宋体" w:hAnsi="宋体" w:eastAsia="宋体" w:cs="宋体"/>
                <w:sz w:val="18"/>
                <w:lang w:val="en-US" w:eastAsia="zh-CN"/>
              </w:rPr>
              <w:t>20.0</w:t>
            </w:r>
          </w:p>
        </w:tc>
        <w:tc>
          <w:tcPr>
            <w:tcW w:w="3190" w:type="dxa"/>
            <w:tcBorders>
              <w:top w:val="single" w:color="auto" w:sz="8" w:space="0"/>
            </w:tcBorders>
            <w:vAlign w:val="center"/>
          </w:tcPr>
          <w:p w14:paraId="7B995B88">
            <w:pPr>
              <w:pStyle w:val="178"/>
              <w:bidi w:val="0"/>
              <w:spacing w:line="240" w:lineRule="auto"/>
              <w:jc w:val="center"/>
              <w:rPr>
                <w:rFonts w:hint="eastAsia" w:ascii="宋体" w:hAnsi="宋体" w:eastAsia="宋体" w:cs="宋体"/>
                <w:sz w:val="18"/>
                <w:lang w:val="en-US" w:eastAsia="zh-CN"/>
              </w:rPr>
            </w:pPr>
            <w:r>
              <w:rPr>
                <w:rFonts w:hint="eastAsia" w:ascii="宋体" w:hAnsi="宋体" w:eastAsia="宋体" w:cs="宋体"/>
                <w:sz w:val="18"/>
                <w:lang w:val="en-US" w:eastAsia="zh-CN"/>
              </w:rPr>
              <w:t>GB 5009.3</w:t>
            </w:r>
          </w:p>
        </w:tc>
      </w:tr>
      <w:tr w14:paraId="47C3F9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190" w:type="dxa"/>
            <w:vAlign w:val="center"/>
          </w:tcPr>
          <w:p w14:paraId="57E83F71">
            <w:pPr>
              <w:pStyle w:val="178"/>
              <w:bidi w:val="0"/>
              <w:spacing w:line="240" w:lineRule="auto"/>
              <w:jc w:val="center"/>
              <w:rPr>
                <w:rFonts w:hint="eastAsia" w:ascii="宋体" w:hAnsi="宋体" w:eastAsia="宋体" w:cs="宋体"/>
                <w:sz w:val="18"/>
                <w:lang w:val="en-US" w:eastAsia="zh-CN"/>
              </w:rPr>
            </w:pPr>
            <w:r>
              <w:rPr>
                <w:rFonts w:hint="eastAsia" w:ascii="宋体" w:hAnsi="宋体" w:eastAsia="宋体" w:cs="宋体"/>
                <w:sz w:val="18"/>
                <w:lang w:val="en-US" w:eastAsia="zh-CN"/>
              </w:rPr>
              <w:t>蛋白质/（g/100g）                ≥</w:t>
            </w:r>
          </w:p>
        </w:tc>
        <w:tc>
          <w:tcPr>
            <w:tcW w:w="3190" w:type="dxa"/>
            <w:vAlign w:val="center"/>
          </w:tcPr>
          <w:p w14:paraId="2F3DBE0E">
            <w:pPr>
              <w:pStyle w:val="178"/>
              <w:bidi w:val="0"/>
              <w:spacing w:line="240" w:lineRule="auto"/>
              <w:jc w:val="center"/>
              <w:rPr>
                <w:rFonts w:hint="eastAsia" w:ascii="宋体" w:hAnsi="宋体" w:eastAsia="宋体" w:cs="宋体"/>
                <w:sz w:val="18"/>
                <w:lang w:val="en-US" w:eastAsia="zh-CN"/>
              </w:rPr>
            </w:pPr>
            <w:r>
              <w:rPr>
                <w:rFonts w:hint="eastAsia" w:ascii="宋体" w:hAnsi="宋体" w:eastAsia="宋体" w:cs="宋体"/>
                <w:sz w:val="18"/>
                <w:lang w:val="en-US" w:eastAsia="zh-CN"/>
              </w:rPr>
              <w:t>50.0</w:t>
            </w:r>
          </w:p>
        </w:tc>
        <w:tc>
          <w:tcPr>
            <w:tcW w:w="3190" w:type="dxa"/>
            <w:vAlign w:val="center"/>
          </w:tcPr>
          <w:p w14:paraId="337DB027">
            <w:pPr>
              <w:pStyle w:val="178"/>
              <w:bidi w:val="0"/>
              <w:spacing w:line="240" w:lineRule="auto"/>
              <w:jc w:val="center"/>
              <w:rPr>
                <w:rFonts w:hint="eastAsia" w:ascii="宋体" w:hAnsi="宋体" w:eastAsia="宋体" w:cs="宋体"/>
                <w:sz w:val="18"/>
                <w:lang w:val="en-US" w:eastAsia="zh-CN"/>
              </w:rPr>
            </w:pPr>
            <w:r>
              <w:rPr>
                <w:rFonts w:hint="eastAsia" w:ascii="宋体" w:hAnsi="宋体" w:eastAsia="宋体" w:cs="宋体"/>
                <w:sz w:val="18"/>
                <w:lang w:val="en-US" w:eastAsia="zh-CN"/>
              </w:rPr>
              <w:t>GB5009.5</w:t>
            </w:r>
          </w:p>
        </w:tc>
      </w:tr>
      <w:tr w14:paraId="0EBBA6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190" w:type="dxa"/>
            <w:vAlign w:val="center"/>
          </w:tcPr>
          <w:p w14:paraId="202B7A39">
            <w:pPr>
              <w:pStyle w:val="178"/>
              <w:bidi w:val="0"/>
              <w:spacing w:line="240" w:lineRule="auto"/>
              <w:jc w:val="center"/>
              <w:rPr>
                <w:rFonts w:hint="eastAsia" w:ascii="宋体" w:hAnsi="宋体" w:eastAsia="宋体" w:cs="宋体"/>
                <w:sz w:val="18"/>
                <w:lang w:val="en-US" w:eastAsia="zh-CN"/>
              </w:rPr>
            </w:pPr>
            <w:r>
              <w:rPr>
                <w:rFonts w:hint="eastAsia" w:ascii="宋体" w:hAnsi="宋体" w:eastAsia="宋体" w:cs="宋体"/>
                <w:sz w:val="18"/>
                <w:lang w:val="en-US" w:eastAsia="zh-CN"/>
              </w:rPr>
              <w:t>过氧化值（以脂肪计）/（g/100g） ≤</w:t>
            </w:r>
          </w:p>
        </w:tc>
        <w:tc>
          <w:tcPr>
            <w:tcW w:w="3190" w:type="dxa"/>
            <w:vAlign w:val="center"/>
          </w:tcPr>
          <w:p w14:paraId="00A442A4">
            <w:pPr>
              <w:pStyle w:val="178"/>
              <w:bidi w:val="0"/>
              <w:spacing w:line="240" w:lineRule="auto"/>
              <w:jc w:val="center"/>
              <w:rPr>
                <w:rFonts w:hint="eastAsia" w:ascii="宋体" w:hAnsi="宋体" w:eastAsia="宋体" w:cs="宋体"/>
                <w:sz w:val="18"/>
                <w:lang w:val="en-US" w:eastAsia="zh-CN"/>
              </w:rPr>
            </w:pPr>
            <w:r>
              <w:rPr>
                <w:rFonts w:hint="eastAsia" w:ascii="宋体" w:hAnsi="宋体" w:eastAsia="宋体" w:cs="宋体"/>
                <w:sz w:val="18"/>
                <w:lang w:val="en-US" w:eastAsia="zh-CN"/>
              </w:rPr>
              <w:t>0.5</w:t>
            </w:r>
          </w:p>
        </w:tc>
        <w:tc>
          <w:tcPr>
            <w:tcW w:w="3190" w:type="dxa"/>
            <w:vAlign w:val="center"/>
          </w:tcPr>
          <w:p w14:paraId="700627DC">
            <w:pPr>
              <w:pStyle w:val="178"/>
              <w:bidi w:val="0"/>
              <w:spacing w:line="240" w:lineRule="auto"/>
              <w:jc w:val="center"/>
              <w:rPr>
                <w:rFonts w:hint="eastAsia" w:ascii="宋体" w:hAnsi="宋体" w:eastAsia="宋体" w:cs="宋体"/>
                <w:sz w:val="18"/>
                <w:lang w:val="en-US" w:eastAsia="zh-CN"/>
              </w:rPr>
            </w:pPr>
            <w:r>
              <w:rPr>
                <w:rFonts w:hint="eastAsia" w:ascii="宋体" w:hAnsi="宋体" w:eastAsia="宋体" w:cs="宋体"/>
                <w:sz w:val="18"/>
                <w:lang w:val="en-US" w:eastAsia="zh-CN"/>
              </w:rPr>
              <w:t>GB 5009.37</w:t>
            </w:r>
          </w:p>
        </w:tc>
      </w:tr>
      <w:tr w14:paraId="275382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190" w:type="dxa"/>
            <w:vAlign w:val="center"/>
          </w:tcPr>
          <w:p w14:paraId="3C9DBC84">
            <w:pPr>
              <w:pStyle w:val="178"/>
              <w:bidi w:val="0"/>
              <w:spacing w:line="240" w:lineRule="auto"/>
              <w:jc w:val="center"/>
              <w:rPr>
                <w:rFonts w:hint="eastAsia" w:ascii="宋体" w:hAnsi="宋体" w:eastAsia="宋体" w:cs="宋体"/>
                <w:sz w:val="18"/>
                <w:lang w:val="en-US" w:eastAsia="zh-CN"/>
              </w:rPr>
            </w:pPr>
            <w:r>
              <w:rPr>
                <w:rFonts w:hint="eastAsia" w:ascii="宋体" w:hAnsi="宋体" w:eastAsia="宋体" w:cs="宋体"/>
                <w:sz w:val="18"/>
                <w:lang w:val="en-US" w:eastAsia="zh-CN"/>
              </w:rPr>
              <w:t>铅（以Pb计）/（mg/kg）         ≤</w:t>
            </w:r>
          </w:p>
        </w:tc>
        <w:tc>
          <w:tcPr>
            <w:tcW w:w="3190" w:type="dxa"/>
            <w:vAlign w:val="center"/>
          </w:tcPr>
          <w:p w14:paraId="5E1648E3">
            <w:pPr>
              <w:pStyle w:val="178"/>
              <w:bidi w:val="0"/>
              <w:spacing w:line="240" w:lineRule="auto"/>
              <w:jc w:val="center"/>
              <w:rPr>
                <w:rFonts w:hint="eastAsia" w:ascii="宋体" w:hAnsi="宋体" w:eastAsia="宋体" w:cs="宋体"/>
                <w:sz w:val="18"/>
                <w:lang w:val="en-US" w:eastAsia="zh-CN"/>
              </w:rPr>
            </w:pPr>
            <w:r>
              <w:rPr>
                <w:rFonts w:hint="eastAsia" w:ascii="宋体" w:hAnsi="宋体" w:eastAsia="宋体" w:cs="宋体"/>
                <w:sz w:val="18"/>
                <w:lang w:val="en-US" w:eastAsia="zh-CN"/>
              </w:rPr>
              <w:t>0.3</w:t>
            </w:r>
          </w:p>
        </w:tc>
        <w:tc>
          <w:tcPr>
            <w:tcW w:w="3190" w:type="dxa"/>
            <w:vAlign w:val="center"/>
          </w:tcPr>
          <w:p w14:paraId="497B4E8D">
            <w:pPr>
              <w:pStyle w:val="178"/>
              <w:bidi w:val="0"/>
              <w:spacing w:line="240" w:lineRule="auto"/>
              <w:jc w:val="center"/>
              <w:rPr>
                <w:rFonts w:hint="eastAsia" w:ascii="宋体" w:hAnsi="宋体" w:eastAsia="宋体" w:cs="宋体"/>
                <w:sz w:val="18"/>
                <w:lang w:val="en-US" w:eastAsia="zh-CN"/>
              </w:rPr>
            </w:pPr>
            <w:r>
              <w:rPr>
                <w:rFonts w:hint="eastAsia" w:ascii="宋体" w:hAnsi="宋体" w:eastAsia="宋体" w:cs="宋体"/>
                <w:sz w:val="18"/>
                <w:lang w:val="en-US" w:eastAsia="zh-CN"/>
              </w:rPr>
              <w:t>GB5009.12</w:t>
            </w:r>
          </w:p>
        </w:tc>
      </w:tr>
      <w:tr w14:paraId="45D02D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190" w:type="dxa"/>
            <w:vAlign w:val="center"/>
          </w:tcPr>
          <w:p w14:paraId="045EB728">
            <w:pPr>
              <w:pStyle w:val="178"/>
              <w:bidi w:val="0"/>
              <w:spacing w:line="240" w:lineRule="auto"/>
              <w:jc w:val="center"/>
              <w:rPr>
                <w:rFonts w:hint="eastAsia" w:ascii="宋体" w:hAnsi="宋体" w:eastAsia="宋体" w:cs="宋体"/>
                <w:sz w:val="18"/>
                <w:lang w:val="en-US" w:eastAsia="zh-CN"/>
              </w:rPr>
            </w:pPr>
            <w:r>
              <w:rPr>
                <w:rFonts w:hint="eastAsia" w:ascii="宋体" w:hAnsi="宋体" w:eastAsia="宋体" w:cs="宋体"/>
                <w:sz w:val="18"/>
                <w:lang w:val="en-US" w:eastAsia="zh-CN"/>
              </w:rPr>
              <w:t>镉（以Cd计）/（mg/kg）         ≤</w:t>
            </w:r>
          </w:p>
        </w:tc>
        <w:tc>
          <w:tcPr>
            <w:tcW w:w="3190" w:type="dxa"/>
            <w:vAlign w:val="center"/>
          </w:tcPr>
          <w:p w14:paraId="1737E178">
            <w:pPr>
              <w:pStyle w:val="178"/>
              <w:bidi w:val="0"/>
              <w:spacing w:line="240" w:lineRule="auto"/>
              <w:jc w:val="center"/>
              <w:rPr>
                <w:rFonts w:hint="eastAsia" w:ascii="宋体" w:hAnsi="宋体" w:eastAsia="宋体" w:cs="宋体"/>
                <w:sz w:val="18"/>
                <w:lang w:val="en-US" w:eastAsia="zh-CN"/>
              </w:rPr>
            </w:pPr>
            <w:r>
              <w:rPr>
                <w:rFonts w:hint="eastAsia" w:ascii="宋体" w:hAnsi="宋体" w:eastAsia="宋体" w:cs="宋体"/>
                <w:sz w:val="18"/>
                <w:lang w:val="en-US" w:eastAsia="zh-CN"/>
              </w:rPr>
              <w:t>0.1</w:t>
            </w:r>
          </w:p>
        </w:tc>
        <w:tc>
          <w:tcPr>
            <w:tcW w:w="3190" w:type="dxa"/>
            <w:vAlign w:val="center"/>
          </w:tcPr>
          <w:p w14:paraId="7853B128">
            <w:pPr>
              <w:pStyle w:val="178"/>
              <w:bidi w:val="0"/>
              <w:spacing w:line="240" w:lineRule="auto"/>
              <w:jc w:val="center"/>
              <w:rPr>
                <w:rFonts w:hint="eastAsia" w:ascii="宋体" w:hAnsi="宋体" w:eastAsia="宋体" w:cs="宋体"/>
                <w:sz w:val="18"/>
                <w:lang w:val="en-US" w:eastAsia="zh-CN"/>
              </w:rPr>
            </w:pPr>
            <w:r>
              <w:rPr>
                <w:rFonts w:hint="eastAsia" w:ascii="宋体" w:hAnsi="宋体" w:eastAsia="宋体" w:cs="宋体"/>
                <w:sz w:val="18"/>
                <w:lang w:val="en-US" w:eastAsia="zh-CN"/>
              </w:rPr>
              <w:t>GB 5009.15</w:t>
            </w:r>
          </w:p>
        </w:tc>
      </w:tr>
      <w:tr w14:paraId="1325E1B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190" w:type="dxa"/>
            <w:vAlign w:val="center"/>
          </w:tcPr>
          <w:p w14:paraId="75644F58">
            <w:pPr>
              <w:pStyle w:val="178"/>
              <w:bidi w:val="0"/>
              <w:spacing w:line="240" w:lineRule="auto"/>
              <w:jc w:val="center"/>
              <w:rPr>
                <w:rFonts w:hint="eastAsia" w:ascii="宋体" w:hAnsi="宋体" w:eastAsia="宋体" w:cs="宋体"/>
                <w:sz w:val="18"/>
                <w:lang w:val="en-US" w:eastAsia="zh-CN"/>
              </w:rPr>
            </w:pPr>
            <w:r>
              <w:rPr>
                <w:rFonts w:hint="eastAsia" w:ascii="宋体" w:hAnsi="宋体" w:eastAsia="宋体" w:cs="宋体"/>
                <w:sz w:val="18"/>
                <w:lang w:val="en-US" w:eastAsia="zh-CN"/>
              </w:rPr>
              <w:t>砷（以As计）/（mg/kg）         ≤</w:t>
            </w:r>
          </w:p>
        </w:tc>
        <w:tc>
          <w:tcPr>
            <w:tcW w:w="3190" w:type="dxa"/>
            <w:vAlign w:val="center"/>
          </w:tcPr>
          <w:p w14:paraId="7810EE1D">
            <w:pPr>
              <w:pStyle w:val="178"/>
              <w:bidi w:val="0"/>
              <w:spacing w:line="240" w:lineRule="auto"/>
              <w:jc w:val="center"/>
              <w:rPr>
                <w:rFonts w:hint="eastAsia" w:ascii="宋体" w:hAnsi="宋体" w:eastAsia="宋体" w:cs="宋体"/>
                <w:sz w:val="18"/>
                <w:lang w:val="en-US" w:eastAsia="zh-CN"/>
              </w:rPr>
            </w:pPr>
            <w:r>
              <w:rPr>
                <w:rFonts w:hint="eastAsia" w:ascii="宋体" w:hAnsi="宋体" w:eastAsia="宋体" w:cs="宋体"/>
                <w:sz w:val="18"/>
                <w:lang w:val="en-US" w:eastAsia="zh-CN"/>
              </w:rPr>
              <w:t>0.5</w:t>
            </w:r>
          </w:p>
        </w:tc>
        <w:tc>
          <w:tcPr>
            <w:tcW w:w="3190" w:type="dxa"/>
            <w:vAlign w:val="center"/>
          </w:tcPr>
          <w:p w14:paraId="53C99DE6">
            <w:pPr>
              <w:pStyle w:val="178"/>
              <w:bidi w:val="0"/>
              <w:spacing w:line="240" w:lineRule="auto"/>
              <w:jc w:val="center"/>
              <w:rPr>
                <w:rFonts w:hint="eastAsia" w:ascii="宋体" w:hAnsi="宋体" w:eastAsia="宋体" w:cs="宋体"/>
                <w:sz w:val="18"/>
                <w:lang w:val="en-US" w:eastAsia="zh-CN"/>
              </w:rPr>
            </w:pPr>
            <w:r>
              <w:rPr>
                <w:rFonts w:hint="eastAsia" w:ascii="宋体" w:hAnsi="宋体" w:eastAsia="宋体" w:cs="宋体"/>
                <w:sz w:val="18"/>
                <w:lang w:val="en-US" w:eastAsia="zh-CN"/>
              </w:rPr>
              <w:t>GB 5009.11</w:t>
            </w:r>
          </w:p>
        </w:tc>
      </w:tr>
      <w:tr w14:paraId="645DCB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190" w:type="dxa"/>
            <w:vAlign w:val="center"/>
          </w:tcPr>
          <w:p w14:paraId="5CB1F135">
            <w:pPr>
              <w:pStyle w:val="178"/>
              <w:bidi w:val="0"/>
              <w:spacing w:line="240" w:lineRule="auto"/>
              <w:jc w:val="center"/>
              <w:rPr>
                <w:rFonts w:hint="eastAsia" w:ascii="宋体" w:hAnsi="宋体" w:eastAsia="宋体" w:cs="宋体"/>
                <w:sz w:val="18"/>
                <w:lang w:val="en-US" w:eastAsia="zh-CN"/>
              </w:rPr>
            </w:pPr>
            <w:r>
              <w:rPr>
                <w:rFonts w:hint="eastAsia" w:ascii="宋体" w:hAnsi="宋体" w:eastAsia="宋体" w:cs="宋体"/>
                <w:sz w:val="18"/>
                <w:lang w:val="en-US" w:eastAsia="zh-CN"/>
              </w:rPr>
              <w:t>铬（以Cr计）/（mg/kg）          ≤</w:t>
            </w:r>
          </w:p>
        </w:tc>
        <w:tc>
          <w:tcPr>
            <w:tcW w:w="3190" w:type="dxa"/>
            <w:vAlign w:val="center"/>
          </w:tcPr>
          <w:p w14:paraId="6E6367F7">
            <w:pPr>
              <w:pStyle w:val="178"/>
              <w:bidi w:val="0"/>
              <w:spacing w:line="240" w:lineRule="auto"/>
              <w:jc w:val="center"/>
              <w:rPr>
                <w:rFonts w:hint="eastAsia" w:ascii="宋体" w:hAnsi="宋体" w:eastAsia="宋体" w:cs="宋体"/>
                <w:sz w:val="18"/>
                <w:lang w:val="en-US" w:eastAsia="zh-CN"/>
              </w:rPr>
            </w:pPr>
            <w:r>
              <w:rPr>
                <w:rFonts w:hint="eastAsia" w:ascii="宋体" w:hAnsi="宋体" w:eastAsia="宋体" w:cs="宋体"/>
                <w:sz w:val="18"/>
                <w:lang w:val="en-US" w:eastAsia="zh-CN"/>
              </w:rPr>
              <w:t>1.0</w:t>
            </w:r>
          </w:p>
        </w:tc>
        <w:tc>
          <w:tcPr>
            <w:tcW w:w="3190" w:type="dxa"/>
            <w:vAlign w:val="center"/>
          </w:tcPr>
          <w:p w14:paraId="794C2739">
            <w:pPr>
              <w:pStyle w:val="178"/>
              <w:bidi w:val="0"/>
              <w:spacing w:line="240" w:lineRule="auto"/>
              <w:jc w:val="center"/>
              <w:rPr>
                <w:rFonts w:hint="eastAsia" w:ascii="宋体" w:hAnsi="宋体" w:eastAsia="宋体" w:cs="宋体"/>
                <w:sz w:val="18"/>
                <w:lang w:val="en-US" w:eastAsia="zh-CN"/>
              </w:rPr>
            </w:pPr>
            <w:r>
              <w:rPr>
                <w:rFonts w:hint="eastAsia" w:ascii="宋体" w:hAnsi="宋体" w:eastAsia="宋体" w:cs="宋体"/>
                <w:sz w:val="18"/>
                <w:lang w:val="en-US" w:eastAsia="zh-CN"/>
              </w:rPr>
              <w:t>GB 5009.123</w:t>
            </w:r>
          </w:p>
        </w:tc>
      </w:tr>
      <w:tr w14:paraId="05CEBD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190" w:type="dxa"/>
            <w:vAlign w:val="center"/>
          </w:tcPr>
          <w:p w14:paraId="4B2911AB">
            <w:pPr>
              <w:pStyle w:val="178"/>
              <w:bidi w:val="0"/>
              <w:spacing w:line="240" w:lineRule="auto"/>
              <w:jc w:val="center"/>
              <w:rPr>
                <w:rFonts w:hint="eastAsia" w:ascii="宋体" w:hAnsi="宋体" w:eastAsia="宋体" w:cs="宋体"/>
                <w:sz w:val="18"/>
                <w:lang w:val="en-US" w:eastAsia="zh-CN"/>
              </w:rPr>
            </w:pPr>
            <w:r>
              <w:rPr>
                <w:rFonts w:hint="eastAsia" w:ascii="宋体" w:hAnsi="宋体" w:eastAsia="宋体" w:cs="宋体"/>
                <w:sz w:val="18"/>
                <w:lang w:val="en-US" w:eastAsia="zh-CN"/>
              </w:rPr>
              <w:t>N-二甲基亚硝胺/（ug/kg）        ≤</w:t>
            </w:r>
          </w:p>
        </w:tc>
        <w:tc>
          <w:tcPr>
            <w:tcW w:w="3190" w:type="dxa"/>
            <w:vAlign w:val="center"/>
          </w:tcPr>
          <w:p w14:paraId="3B51A748">
            <w:pPr>
              <w:pStyle w:val="178"/>
              <w:bidi w:val="0"/>
              <w:spacing w:line="240" w:lineRule="auto"/>
              <w:jc w:val="center"/>
              <w:rPr>
                <w:rFonts w:hint="eastAsia" w:ascii="宋体" w:hAnsi="宋体" w:eastAsia="宋体" w:cs="宋体"/>
                <w:sz w:val="18"/>
                <w:lang w:val="en-US" w:eastAsia="zh-CN"/>
              </w:rPr>
            </w:pPr>
            <w:r>
              <w:rPr>
                <w:rFonts w:hint="eastAsia" w:ascii="宋体" w:hAnsi="宋体" w:eastAsia="宋体" w:cs="宋体"/>
                <w:sz w:val="18"/>
                <w:lang w:val="en-US" w:eastAsia="zh-CN"/>
              </w:rPr>
              <w:t>3.0</w:t>
            </w:r>
          </w:p>
        </w:tc>
        <w:tc>
          <w:tcPr>
            <w:tcW w:w="3190" w:type="dxa"/>
            <w:vAlign w:val="center"/>
          </w:tcPr>
          <w:p w14:paraId="7610035B">
            <w:pPr>
              <w:pStyle w:val="178"/>
              <w:bidi w:val="0"/>
              <w:spacing w:line="240" w:lineRule="auto"/>
              <w:jc w:val="center"/>
              <w:rPr>
                <w:rFonts w:hint="eastAsia" w:ascii="宋体" w:hAnsi="宋体" w:eastAsia="宋体" w:cs="宋体"/>
                <w:sz w:val="18"/>
                <w:lang w:val="en-US" w:eastAsia="zh-CN"/>
              </w:rPr>
            </w:pPr>
            <w:r>
              <w:rPr>
                <w:rFonts w:hint="eastAsia" w:ascii="宋体" w:hAnsi="宋体" w:eastAsia="宋体" w:cs="宋体"/>
                <w:sz w:val="18"/>
                <w:lang w:val="en-US" w:eastAsia="zh-CN"/>
              </w:rPr>
              <w:t>GB 5009.26</w:t>
            </w:r>
          </w:p>
        </w:tc>
      </w:tr>
    </w:tbl>
    <w:p w14:paraId="2655065B">
      <w:pPr>
        <w:pStyle w:val="56"/>
        <w:bidi w:val="0"/>
        <w:rPr>
          <w:rFonts w:hint="default"/>
          <w:lang w:val="en-US" w:eastAsia="zh-CN"/>
        </w:rPr>
      </w:pPr>
    </w:p>
    <w:p w14:paraId="2385DEF0">
      <w:pPr>
        <w:pStyle w:val="105"/>
        <w:bidi w:val="0"/>
        <w:rPr>
          <w:rFonts w:hint="default"/>
          <w:lang w:val="en-US" w:eastAsia="zh-CN"/>
        </w:rPr>
      </w:pPr>
      <w:r>
        <w:rPr>
          <w:rFonts w:hint="eastAsia"/>
          <w:lang w:val="en-US" w:eastAsia="zh-CN"/>
        </w:rPr>
        <w:t>微生物限量</w:t>
      </w:r>
    </w:p>
    <w:p w14:paraId="02F54E2A">
      <w:pPr>
        <w:pStyle w:val="56"/>
        <w:rPr>
          <w:rFonts w:hint="eastAsia"/>
          <w:lang w:val="en-US" w:eastAsia="zh-CN"/>
        </w:rPr>
      </w:pPr>
      <w:r>
        <w:rPr>
          <w:rFonts w:hint="eastAsia"/>
          <w:lang w:val="en-US" w:eastAsia="zh-CN"/>
        </w:rPr>
        <w:t>应符合表3的规定。</w:t>
      </w:r>
    </w:p>
    <w:p w14:paraId="042BDDD0">
      <w:pPr>
        <w:pStyle w:val="112"/>
        <w:bidi w:val="0"/>
        <w:rPr>
          <w:rFonts w:hint="default"/>
          <w:lang w:val="en-US" w:eastAsia="zh-CN"/>
        </w:rPr>
      </w:pPr>
      <w:r>
        <w:rPr>
          <w:rFonts w:hint="eastAsia"/>
          <w:lang w:val="en-US" w:eastAsia="zh-CN"/>
        </w:rPr>
        <w:t>微生物限量</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1593"/>
        <w:gridCol w:w="1592"/>
        <w:gridCol w:w="1592"/>
        <w:gridCol w:w="1592"/>
        <w:gridCol w:w="1592"/>
        <w:gridCol w:w="1593"/>
      </w:tblGrid>
      <w:tr w14:paraId="2903C9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blHeader/>
          <w:jc w:val="center"/>
        </w:trPr>
        <w:tc>
          <w:tcPr>
            <w:tcW w:w="1593" w:type="dxa"/>
            <w:vMerge w:val="restart"/>
            <w:vAlign w:val="center"/>
          </w:tcPr>
          <w:p w14:paraId="09164F45">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项目</w:t>
            </w:r>
          </w:p>
        </w:tc>
        <w:tc>
          <w:tcPr>
            <w:tcW w:w="6368" w:type="dxa"/>
            <w:gridSpan w:val="4"/>
            <w:tcBorders>
              <w:bottom w:val="single" w:color="auto" w:sz="8" w:space="0"/>
            </w:tcBorders>
            <w:vAlign w:val="center"/>
          </w:tcPr>
          <w:p w14:paraId="66977BC7">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采样方案及限量</w:t>
            </w:r>
          </w:p>
        </w:tc>
        <w:tc>
          <w:tcPr>
            <w:tcW w:w="1593" w:type="dxa"/>
            <w:vMerge w:val="restart"/>
            <w:vAlign w:val="center"/>
          </w:tcPr>
          <w:p w14:paraId="21BF0120">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检验方法</w:t>
            </w:r>
          </w:p>
        </w:tc>
      </w:tr>
      <w:tr w14:paraId="6A6AA3A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593" w:type="dxa"/>
            <w:vMerge w:val="continue"/>
            <w:vAlign w:val="center"/>
          </w:tcPr>
          <w:p w14:paraId="7767ACA0">
            <w:pPr>
              <w:pStyle w:val="178"/>
              <w:bidi w:val="0"/>
              <w:spacing w:line="240" w:lineRule="auto"/>
              <w:jc w:val="center"/>
              <w:rPr>
                <w:rFonts w:hint="eastAsia" w:ascii="宋体" w:hAnsi="宋体" w:eastAsia="宋体" w:cs="宋体"/>
                <w:lang w:val="en-US" w:eastAsia="zh-CN"/>
              </w:rPr>
            </w:pPr>
          </w:p>
        </w:tc>
        <w:tc>
          <w:tcPr>
            <w:tcW w:w="1592" w:type="dxa"/>
            <w:tcBorders>
              <w:top w:val="single" w:color="auto" w:sz="8" w:space="0"/>
            </w:tcBorders>
            <w:vAlign w:val="center"/>
          </w:tcPr>
          <w:p w14:paraId="60176425">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n</w:t>
            </w:r>
          </w:p>
        </w:tc>
        <w:tc>
          <w:tcPr>
            <w:tcW w:w="1592" w:type="dxa"/>
            <w:tcBorders>
              <w:top w:val="single" w:color="auto" w:sz="8" w:space="0"/>
            </w:tcBorders>
            <w:vAlign w:val="center"/>
          </w:tcPr>
          <w:p w14:paraId="6D588A8A">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c</w:t>
            </w:r>
          </w:p>
        </w:tc>
        <w:tc>
          <w:tcPr>
            <w:tcW w:w="1592" w:type="dxa"/>
            <w:tcBorders>
              <w:top w:val="single" w:color="auto" w:sz="8" w:space="0"/>
            </w:tcBorders>
            <w:vAlign w:val="center"/>
          </w:tcPr>
          <w:p w14:paraId="04ADE599">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m</w:t>
            </w:r>
          </w:p>
        </w:tc>
        <w:tc>
          <w:tcPr>
            <w:tcW w:w="1592" w:type="dxa"/>
            <w:tcBorders>
              <w:top w:val="single" w:color="auto" w:sz="8" w:space="0"/>
            </w:tcBorders>
            <w:vAlign w:val="center"/>
          </w:tcPr>
          <w:p w14:paraId="709A0815">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M</w:t>
            </w:r>
          </w:p>
        </w:tc>
        <w:tc>
          <w:tcPr>
            <w:tcW w:w="1593" w:type="dxa"/>
            <w:vMerge w:val="continue"/>
            <w:vAlign w:val="center"/>
          </w:tcPr>
          <w:p w14:paraId="19B18424">
            <w:pPr>
              <w:pStyle w:val="178"/>
              <w:bidi w:val="0"/>
              <w:spacing w:line="240" w:lineRule="auto"/>
              <w:jc w:val="center"/>
              <w:rPr>
                <w:rFonts w:hint="eastAsia" w:ascii="宋体" w:hAnsi="宋体" w:eastAsia="宋体" w:cs="宋体"/>
                <w:lang w:val="en-US" w:eastAsia="zh-CN"/>
              </w:rPr>
            </w:pPr>
          </w:p>
        </w:tc>
      </w:tr>
      <w:tr w14:paraId="1ADDBAE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593" w:type="dxa"/>
            <w:vAlign w:val="center"/>
          </w:tcPr>
          <w:p w14:paraId="106E1A77">
            <w:pPr>
              <w:pStyle w:val="178"/>
              <w:bidi w:val="0"/>
              <w:spacing w:line="240" w:lineRule="auto"/>
              <w:jc w:val="both"/>
              <w:rPr>
                <w:rFonts w:hint="eastAsia" w:ascii="宋体" w:hAnsi="宋体" w:eastAsia="宋体" w:cs="宋体"/>
                <w:lang w:val="en-US" w:eastAsia="zh-CN"/>
              </w:rPr>
            </w:pPr>
            <w:r>
              <w:rPr>
                <w:rFonts w:hint="eastAsia" w:ascii="宋体" w:hAnsi="宋体" w:eastAsia="宋体" w:cs="宋体"/>
                <w:lang w:val="en-US" w:eastAsia="zh-CN"/>
              </w:rPr>
              <w:t>菌落总数</w:t>
            </w:r>
          </w:p>
        </w:tc>
        <w:tc>
          <w:tcPr>
            <w:tcW w:w="1592" w:type="dxa"/>
            <w:vAlign w:val="center"/>
          </w:tcPr>
          <w:p w14:paraId="2AD86EF6">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5</w:t>
            </w:r>
          </w:p>
        </w:tc>
        <w:tc>
          <w:tcPr>
            <w:tcW w:w="1592" w:type="dxa"/>
            <w:vAlign w:val="center"/>
          </w:tcPr>
          <w:p w14:paraId="061B97E7">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2</w:t>
            </w:r>
          </w:p>
        </w:tc>
        <w:tc>
          <w:tcPr>
            <w:tcW w:w="1592" w:type="dxa"/>
            <w:vAlign w:val="center"/>
          </w:tcPr>
          <w:p w14:paraId="7C79623F">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104</w:t>
            </w:r>
          </w:p>
        </w:tc>
        <w:tc>
          <w:tcPr>
            <w:tcW w:w="1592" w:type="dxa"/>
            <w:vAlign w:val="center"/>
          </w:tcPr>
          <w:p w14:paraId="11DD5814">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105</w:t>
            </w:r>
          </w:p>
        </w:tc>
        <w:tc>
          <w:tcPr>
            <w:tcW w:w="1593" w:type="dxa"/>
            <w:shd w:val="clear" w:color="auto" w:fill="auto"/>
            <w:vAlign w:val="center"/>
          </w:tcPr>
          <w:p w14:paraId="0951E1D9">
            <w:pPr>
              <w:pStyle w:val="178"/>
              <w:bidi w:val="0"/>
              <w:spacing w:line="240" w:lineRule="auto"/>
              <w:ind w:firstLine="0" w:firstLineChars="0"/>
              <w:jc w:val="center"/>
              <w:rPr>
                <w:rFonts w:hint="eastAsia" w:ascii="宋体" w:hAnsi="宋体" w:eastAsia="宋体" w:cs="宋体"/>
                <w:sz w:val="18"/>
                <w:lang w:val="en-US" w:eastAsia="zh-CN" w:bidi="ar-SA"/>
              </w:rPr>
            </w:pPr>
            <w:r>
              <w:rPr>
                <w:rFonts w:hint="eastAsia" w:ascii="宋体" w:hAnsi="宋体" w:eastAsia="宋体" w:cs="宋体"/>
                <w:lang w:val="en-US" w:eastAsia="zh-CN"/>
              </w:rPr>
              <w:t>GB 4789.2</w:t>
            </w:r>
          </w:p>
        </w:tc>
      </w:tr>
      <w:tr w14:paraId="14E59E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593" w:type="dxa"/>
            <w:vAlign w:val="center"/>
          </w:tcPr>
          <w:p w14:paraId="032C2E44">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大肠菌群</w:t>
            </w:r>
          </w:p>
        </w:tc>
        <w:tc>
          <w:tcPr>
            <w:tcW w:w="1592" w:type="dxa"/>
            <w:vAlign w:val="center"/>
          </w:tcPr>
          <w:p w14:paraId="398264CA">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5</w:t>
            </w:r>
          </w:p>
        </w:tc>
        <w:tc>
          <w:tcPr>
            <w:tcW w:w="1592" w:type="dxa"/>
            <w:vAlign w:val="center"/>
          </w:tcPr>
          <w:p w14:paraId="69E00D17">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2</w:t>
            </w:r>
          </w:p>
        </w:tc>
        <w:tc>
          <w:tcPr>
            <w:tcW w:w="1592" w:type="dxa"/>
            <w:vAlign w:val="center"/>
          </w:tcPr>
          <w:p w14:paraId="179FC694">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10</w:t>
            </w:r>
          </w:p>
        </w:tc>
        <w:tc>
          <w:tcPr>
            <w:tcW w:w="1592" w:type="dxa"/>
            <w:vAlign w:val="center"/>
          </w:tcPr>
          <w:p w14:paraId="28D86219">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102</w:t>
            </w:r>
          </w:p>
        </w:tc>
        <w:tc>
          <w:tcPr>
            <w:tcW w:w="1593" w:type="dxa"/>
            <w:shd w:val="clear" w:color="auto" w:fill="auto"/>
            <w:vAlign w:val="center"/>
          </w:tcPr>
          <w:p w14:paraId="15AC6D3B">
            <w:pPr>
              <w:pStyle w:val="178"/>
              <w:bidi w:val="0"/>
              <w:spacing w:line="240" w:lineRule="auto"/>
              <w:ind w:firstLine="0" w:firstLineChars="0"/>
              <w:jc w:val="center"/>
              <w:rPr>
                <w:rFonts w:hint="eastAsia" w:ascii="宋体" w:hAnsi="宋体" w:eastAsia="宋体" w:cs="宋体"/>
                <w:lang w:val="en-US" w:eastAsia="zh-CN"/>
              </w:rPr>
            </w:pPr>
            <w:r>
              <w:rPr>
                <w:rFonts w:hint="eastAsia" w:ascii="宋体" w:hAnsi="宋体" w:eastAsia="宋体" w:cs="宋体"/>
                <w:lang w:val="en-US" w:eastAsia="zh-CN"/>
              </w:rPr>
              <w:t>GB 4789.3</w:t>
            </w:r>
          </w:p>
        </w:tc>
      </w:tr>
      <w:tr w14:paraId="17DF80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593" w:type="dxa"/>
            <w:vAlign w:val="center"/>
          </w:tcPr>
          <w:p w14:paraId="37908778">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沙门氏菌</w:t>
            </w:r>
          </w:p>
        </w:tc>
        <w:tc>
          <w:tcPr>
            <w:tcW w:w="1592" w:type="dxa"/>
            <w:vAlign w:val="center"/>
          </w:tcPr>
          <w:p w14:paraId="2FCB63C6">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5</w:t>
            </w:r>
          </w:p>
        </w:tc>
        <w:tc>
          <w:tcPr>
            <w:tcW w:w="1592" w:type="dxa"/>
            <w:vAlign w:val="center"/>
          </w:tcPr>
          <w:p w14:paraId="1B9C152A">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0</w:t>
            </w:r>
          </w:p>
        </w:tc>
        <w:tc>
          <w:tcPr>
            <w:tcW w:w="1592" w:type="dxa"/>
            <w:vAlign w:val="center"/>
          </w:tcPr>
          <w:p w14:paraId="03E98451">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0</w:t>
            </w:r>
          </w:p>
        </w:tc>
        <w:tc>
          <w:tcPr>
            <w:tcW w:w="1592" w:type="dxa"/>
            <w:vAlign w:val="center"/>
          </w:tcPr>
          <w:p w14:paraId="2A28BF19">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w:t>
            </w:r>
          </w:p>
        </w:tc>
        <w:tc>
          <w:tcPr>
            <w:tcW w:w="1593" w:type="dxa"/>
            <w:shd w:val="clear" w:color="auto" w:fill="auto"/>
            <w:vAlign w:val="center"/>
          </w:tcPr>
          <w:p w14:paraId="41B089E0">
            <w:pPr>
              <w:pStyle w:val="178"/>
              <w:bidi w:val="0"/>
              <w:spacing w:line="240" w:lineRule="auto"/>
              <w:ind w:firstLine="0" w:firstLineChars="0"/>
              <w:jc w:val="center"/>
              <w:rPr>
                <w:rFonts w:hint="eastAsia" w:ascii="宋体" w:hAnsi="宋体" w:eastAsia="宋体" w:cs="宋体"/>
                <w:lang w:val="en-US" w:eastAsia="zh-CN"/>
              </w:rPr>
            </w:pPr>
            <w:r>
              <w:rPr>
                <w:rFonts w:hint="eastAsia" w:ascii="宋体" w:hAnsi="宋体" w:eastAsia="宋体" w:cs="宋体"/>
                <w:lang w:val="en-US" w:eastAsia="zh-CN"/>
              </w:rPr>
              <w:t>GB 4789.4</w:t>
            </w:r>
          </w:p>
        </w:tc>
      </w:tr>
      <w:tr w14:paraId="58E320E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593" w:type="dxa"/>
            <w:vAlign w:val="center"/>
          </w:tcPr>
          <w:p w14:paraId="786DA77A">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金黄色葡萄球菌</w:t>
            </w:r>
          </w:p>
        </w:tc>
        <w:tc>
          <w:tcPr>
            <w:tcW w:w="1592" w:type="dxa"/>
            <w:vAlign w:val="center"/>
          </w:tcPr>
          <w:p w14:paraId="32F3CB3F">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5</w:t>
            </w:r>
          </w:p>
        </w:tc>
        <w:tc>
          <w:tcPr>
            <w:tcW w:w="1592" w:type="dxa"/>
            <w:vAlign w:val="center"/>
          </w:tcPr>
          <w:p w14:paraId="21A251FF">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1</w:t>
            </w:r>
          </w:p>
        </w:tc>
        <w:tc>
          <w:tcPr>
            <w:tcW w:w="1592" w:type="dxa"/>
            <w:vAlign w:val="center"/>
          </w:tcPr>
          <w:p w14:paraId="6F67F1D1">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100</w:t>
            </w:r>
          </w:p>
        </w:tc>
        <w:tc>
          <w:tcPr>
            <w:tcW w:w="1592" w:type="dxa"/>
            <w:vAlign w:val="center"/>
          </w:tcPr>
          <w:p w14:paraId="5A4F378E">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1000</w:t>
            </w:r>
          </w:p>
        </w:tc>
        <w:tc>
          <w:tcPr>
            <w:tcW w:w="1593" w:type="dxa"/>
            <w:shd w:val="clear" w:color="auto" w:fill="auto"/>
            <w:vAlign w:val="center"/>
          </w:tcPr>
          <w:p w14:paraId="4BFC4804">
            <w:pPr>
              <w:pStyle w:val="178"/>
              <w:bidi w:val="0"/>
              <w:spacing w:line="240" w:lineRule="auto"/>
              <w:ind w:firstLine="0" w:firstLineChars="0"/>
              <w:jc w:val="center"/>
              <w:rPr>
                <w:rFonts w:hint="eastAsia" w:ascii="宋体" w:hAnsi="宋体" w:eastAsia="宋体" w:cs="宋体"/>
                <w:lang w:val="en-US" w:eastAsia="zh-CN"/>
              </w:rPr>
            </w:pPr>
            <w:r>
              <w:rPr>
                <w:rFonts w:hint="eastAsia" w:ascii="宋体" w:hAnsi="宋体" w:eastAsia="宋体" w:cs="宋体"/>
                <w:lang w:val="en-US" w:eastAsia="zh-CN"/>
              </w:rPr>
              <w:t>GB 4789.10</w:t>
            </w:r>
          </w:p>
        </w:tc>
      </w:tr>
      <w:tr w14:paraId="1F1FF8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593" w:type="dxa"/>
            <w:vAlign w:val="center"/>
          </w:tcPr>
          <w:p w14:paraId="71E33964">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单核细胞增生李斯特菌</w:t>
            </w:r>
          </w:p>
        </w:tc>
        <w:tc>
          <w:tcPr>
            <w:tcW w:w="1592" w:type="dxa"/>
            <w:vAlign w:val="center"/>
          </w:tcPr>
          <w:p w14:paraId="11C5F57B">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5</w:t>
            </w:r>
          </w:p>
        </w:tc>
        <w:tc>
          <w:tcPr>
            <w:tcW w:w="1592" w:type="dxa"/>
            <w:vAlign w:val="center"/>
          </w:tcPr>
          <w:p w14:paraId="3F8D5DD4">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0</w:t>
            </w:r>
          </w:p>
        </w:tc>
        <w:tc>
          <w:tcPr>
            <w:tcW w:w="1592" w:type="dxa"/>
            <w:vAlign w:val="center"/>
          </w:tcPr>
          <w:p w14:paraId="5DA308C0">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0</w:t>
            </w:r>
          </w:p>
        </w:tc>
        <w:tc>
          <w:tcPr>
            <w:tcW w:w="1592" w:type="dxa"/>
            <w:vAlign w:val="center"/>
          </w:tcPr>
          <w:p w14:paraId="65C16F12">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w:t>
            </w:r>
          </w:p>
        </w:tc>
        <w:tc>
          <w:tcPr>
            <w:tcW w:w="1593" w:type="dxa"/>
            <w:shd w:val="clear" w:color="auto" w:fill="auto"/>
            <w:vAlign w:val="center"/>
          </w:tcPr>
          <w:p w14:paraId="1458B62D">
            <w:pPr>
              <w:pStyle w:val="178"/>
              <w:bidi w:val="0"/>
              <w:spacing w:line="240" w:lineRule="auto"/>
              <w:ind w:firstLine="0" w:firstLineChars="0"/>
              <w:jc w:val="center"/>
              <w:rPr>
                <w:rFonts w:hint="eastAsia" w:ascii="宋体" w:hAnsi="宋体" w:eastAsia="宋体" w:cs="宋体"/>
                <w:lang w:val="en-US" w:eastAsia="zh-CN"/>
              </w:rPr>
            </w:pPr>
            <w:r>
              <w:rPr>
                <w:rFonts w:hint="eastAsia" w:ascii="宋体" w:hAnsi="宋体" w:eastAsia="宋体" w:cs="宋体"/>
                <w:lang w:val="en-US" w:eastAsia="zh-CN"/>
              </w:rPr>
              <w:t>GB 4789.30</w:t>
            </w:r>
          </w:p>
        </w:tc>
      </w:tr>
      <w:tr w14:paraId="7CE15F4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593" w:type="dxa"/>
            <w:vAlign w:val="center"/>
          </w:tcPr>
          <w:p w14:paraId="66DF0D6A">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致泻大肠埃希氏菌</w:t>
            </w:r>
          </w:p>
        </w:tc>
        <w:tc>
          <w:tcPr>
            <w:tcW w:w="1592" w:type="dxa"/>
            <w:vAlign w:val="center"/>
          </w:tcPr>
          <w:p w14:paraId="52108F37">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5</w:t>
            </w:r>
          </w:p>
        </w:tc>
        <w:tc>
          <w:tcPr>
            <w:tcW w:w="1592" w:type="dxa"/>
            <w:vAlign w:val="center"/>
          </w:tcPr>
          <w:p w14:paraId="67037929">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0</w:t>
            </w:r>
          </w:p>
        </w:tc>
        <w:tc>
          <w:tcPr>
            <w:tcW w:w="1592" w:type="dxa"/>
            <w:vAlign w:val="center"/>
          </w:tcPr>
          <w:p w14:paraId="1FA34E28">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0</w:t>
            </w:r>
          </w:p>
        </w:tc>
        <w:tc>
          <w:tcPr>
            <w:tcW w:w="1592" w:type="dxa"/>
            <w:vAlign w:val="center"/>
          </w:tcPr>
          <w:p w14:paraId="0172DA8A">
            <w:pPr>
              <w:pStyle w:val="178"/>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w:t>
            </w:r>
          </w:p>
        </w:tc>
        <w:tc>
          <w:tcPr>
            <w:tcW w:w="1593" w:type="dxa"/>
            <w:shd w:val="clear" w:color="auto" w:fill="auto"/>
            <w:vAlign w:val="center"/>
          </w:tcPr>
          <w:p w14:paraId="3DBA829A">
            <w:pPr>
              <w:pStyle w:val="178"/>
              <w:bidi w:val="0"/>
              <w:spacing w:line="240" w:lineRule="auto"/>
              <w:ind w:firstLine="0" w:firstLineChars="0"/>
              <w:jc w:val="center"/>
              <w:rPr>
                <w:rFonts w:hint="eastAsia" w:ascii="宋体" w:hAnsi="宋体" w:eastAsia="宋体" w:cs="宋体"/>
                <w:lang w:val="en-US" w:eastAsia="zh-CN"/>
              </w:rPr>
            </w:pPr>
            <w:r>
              <w:rPr>
                <w:rFonts w:hint="eastAsia" w:ascii="宋体" w:hAnsi="宋体" w:eastAsia="宋体" w:cs="宋体"/>
                <w:lang w:val="en-US" w:eastAsia="zh-CN"/>
              </w:rPr>
              <w:t>GB 4789.6</w:t>
            </w:r>
          </w:p>
        </w:tc>
      </w:tr>
    </w:tbl>
    <w:p w14:paraId="1DFF7544">
      <w:pPr>
        <w:pStyle w:val="56"/>
        <w:bidi w:val="0"/>
        <w:rPr>
          <w:rFonts w:hint="default"/>
          <w:lang w:val="en-US" w:eastAsia="zh-CN"/>
        </w:rPr>
      </w:pPr>
    </w:p>
    <w:p w14:paraId="716E9D0C">
      <w:pPr>
        <w:pStyle w:val="105"/>
        <w:bidi w:val="0"/>
        <w:rPr>
          <w:rFonts w:hint="eastAsia"/>
          <w:lang w:eastAsia="zh-CN"/>
        </w:rPr>
      </w:pPr>
      <w:r>
        <w:rPr>
          <w:rFonts w:hint="eastAsia"/>
          <w:lang w:eastAsia="zh-CN"/>
        </w:rPr>
        <w:t>净含量</w:t>
      </w:r>
    </w:p>
    <w:p w14:paraId="3B8BB6D7">
      <w:pPr>
        <w:pStyle w:val="56"/>
        <w:ind w:firstLine="420"/>
        <w:rPr>
          <w:rFonts w:hint="eastAsia" w:eastAsia="宋体"/>
          <w:lang w:eastAsia="zh-CN"/>
        </w:rPr>
      </w:pPr>
      <w:r>
        <w:rPr>
          <w:rFonts w:hint="eastAsia" w:eastAsia="宋体"/>
          <w:lang w:eastAsia="zh-CN"/>
        </w:rPr>
        <w:t>符合国家市场监督管理总局令(2023)第70号《定量包装商品计量监督管理办法》要求，按JJF1070规定的方法测定。</w:t>
      </w:r>
    </w:p>
    <w:p w14:paraId="5CF7D3A2">
      <w:pPr>
        <w:pStyle w:val="104"/>
        <w:bidi w:val="0"/>
        <w:rPr>
          <w:rFonts w:hint="default"/>
          <w:lang w:val="en-US" w:eastAsia="zh-CN"/>
        </w:rPr>
      </w:pPr>
      <w:r>
        <w:rPr>
          <w:rFonts w:hint="eastAsia"/>
          <w:lang w:val="en-US" w:eastAsia="zh-CN"/>
        </w:rPr>
        <w:t>生产加工过程卫生规定</w:t>
      </w:r>
    </w:p>
    <w:p w14:paraId="2A7EDE2C">
      <w:pPr>
        <w:pStyle w:val="56"/>
        <w:ind w:firstLine="420"/>
        <w:rPr>
          <w:rFonts w:hint="eastAsia"/>
          <w:lang w:val="en-US" w:eastAsia="zh-CN"/>
        </w:rPr>
      </w:pPr>
      <w:r>
        <w:rPr>
          <w:rFonts w:hint="eastAsia"/>
          <w:lang w:val="en-US" w:eastAsia="zh-CN"/>
        </w:rPr>
        <w:t>应符合GB 14881的规定。</w:t>
      </w:r>
    </w:p>
    <w:p w14:paraId="5351431F">
      <w:pPr>
        <w:pStyle w:val="104"/>
        <w:bidi w:val="0"/>
        <w:rPr>
          <w:rFonts w:hint="default"/>
          <w:lang w:val="en-US" w:eastAsia="zh-CN"/>
        </w:rPr>
      </w:pPr>
      <w:r>
        <w:rPr>
          <w:rFonts w:hint="eastAsia"/>
          <w:lang w:val="en-US" w:eastAsia="zh-CN"/>
        </w:rPr>
        <w:t>检验规则</w:t>
      </w:r>
    </w:p>
    <w:p w14:paraId="681DF421">
      <w:pPr>
        <w:pStyle w:val="105"/>
        <w:bidi w:val="0"/>
        <w:rPr>
          <w:rFonts w:hint="default"/>
          <w:lang w:val="en-US" w:eastAsia="zh-CN"/>
        </w:rPr>
      </w:pPr>
      <w:r>
        <w:rPr>
          <w:rFonts w:hint="eastAsia"/>
          <w:lang w:val="en-US" w:eastAsia="zh-CN"/>
        </w:rPr>
        <w:t>组批</w:t>
      </w:r>
    </w:p>
    <w:p w14:paraId="3065E09A">
      <w:pPr>
        <w:pStyle w:val="56"/>
        <w:rPr>
          <w:rFonts w:hint="default"/>
          <w:lang w:val="en-US" w:eastAsia="zh-CN"/>
        </w:rPr>
      </w:pPr>
      <w:r>
        <w:rPr>
          <w:rFonts w:hint="default"/>
          <w:lang w:val="en-US" w:eastAsia="zh-CN"/>
        </w:rPr>
        <w:t>以相同原料、同一班次、同一生产线、同一配方生产的同品种、同规格、包装完好的产品为一批。</w:t>
      </w:r>
    </w:p>
    <w:p w14:paraId="30365984">
      <w:pPr>
        <w:pStyle w:val="105"/>
        <w:bidi w:val="0"/>
        <w:rPr>
          <w:rFonts w:hint="default"/>
          <w:lang w:val="en-US" w:eastAsia="zh-CN"/>
        </w:rPr>
      </w:pPr>
      <w:r>
        <w:rPr>
          <w:rFonts w:hint="default"/>
          <w:lang w:val="en-US" w:eastAsia="zh-CN"/>
        </w:rPr>
        <w:t>抽样方法和抽样</w:t>
      </w:r>
    </w:p>
    <w:p w14:paraId="64534A5E">
      <w:pPr>
        <w:pStyle w:val="56"/>
        <w:rPr>
          <w:rFonts w:hint="default"/>
          <w:lang w:val="en-US" w:eastAsia="zh-CN"/>
        </w:rPr>
      </w:pPr>
      <w:r>
        <w:rPr>
          <w:rFonts w:hint="default"/>
          <w:lang w:val="en-US" w:eastAsia="zh-CN"/>
        </w:rPr>
        <w:t>从成品库中同一批次，同一规格的产品中，随机抽取包装不少于12个最小包装(不少于2000g)产品用于检验与留样。</w:t>
      </w:r>
    </w:p>
    <w:p w14:paraId="63A02CC2">
      <w:pPr>
        <w:pStyle w:val="105"/>
        <w:bidi w:val="0"/>
        <w:rPr>
          <w:rFonts w:hint="default"/>
          <w:lang w:val="en-US" w:eastAsia="zh-CN"/>
        </w:rPr>
      </w:pPr>
      <w:r>
        <w:rPr>
          <w:rFonts w:hint="default"/>
          <w:lang w:val="en-US" w:eastAsia="zh-CN"/>
        </w:rPr>
        <w:t>检验</w:t>
      </w:r>
    </w:p>
    <w:p w14:paraId="2F62E350">
      <w:pPr>
        <w:pStyle w:val="65"/>
        <w:bidi w:val="0"/>
        <w:rPr>
          <w:rFonts w:hint="default"/>
          <w:lang w:val="en-US" w:eastAsia="zh-CN"/>
        </w:rPr>
      </w:pPr>
      <w:r>
        <w:rPr>
          <w:rFonts w:hint="default"/>
          <w:lang w:val="en-US" w:eastAsia="zh-CN"/>
        </w:rPr>
        <w:t>出厂检验</w:t>
      </w:r>
    </w:p>
    <w:p w14:paraId="10ACFF91">
      <w:pPr>
        <w:pStyle w:val="56"/>
        <w:rPr>
          <w:rFonts w:hint="default"/>
          <w:lang w:val="en-US" w:eastAsia="zh-CN"/>
        </w:rPr>
      </w:pPr>
      <w:r>
        <w:rPr>
          <w:rFonts w:hint="default"/>
          <w:lang w:val="en-US" w:eastAsia="zh-CN"/>
        </w:rPr>
        <w:t>产品应逐批检验，合格后方能出厂。出厂检验项目为:感官要求、净含量、理化指标中的水分、蛋白质和微生物指标中的菌落总数、大肠菌群。</w:t>
      </w:r>
    </w:p>
    <w:p w14:paraId="2F947239">
      <w:pPr>
        <w:pStyle w:val="65"/>
        <w:bidi w:val="0"/>
        <w:rPr>
          <w:rFonts w:hint="default"/>
          <w:lang w:val="en-US" w:eastAsia="zh-CN"/>
        </w:rPr>
      </w:pPr>
      <w:r>
        <w:rPr>
          <w:rFonts w:hint="default"/>
          <w:lang w:val="en-US" w:eastAsia="zh-CN"/>
        </w:rPr>
        <w:t>型式检验</w:t>
      </w:r>
    </w:p>
    <w:p w14:paraId="7295C5B0">
      <w:pPr>
        <w:pStyle w:val="56"/>
        <w:rPr>
          <w:rFonts w:hint="default"/>
          <w:lang w:val="en-US" w:eastAsia="zh-CN"/>
        </w:rPr>
      </w:pPr>
      <w:r>
        <w:rPr>
          <w:rFonts w:hint="default"/>
          <w:lang w:val="en-US" w:eastAsia="zh-CN"/>
        </w:rPr>
        <w:t>型式检验项目为</w:t>
      </w:r>
      <w:r>
        <w:rPr>
          <w:rFonts w:hint="eastAsia"/>
          <w:lang w:val="en-US" w:eastAsia="zh-CN"/>
        </w:rPr>
        <w:t>本文件</w:t>
      </w:r>
      <w:r>
        <w:rPr>
          <w:rFonts w:hint="default"/>
          <w:lang w:val="en-US" w:eastAsia="zh-CN"/>
        </w:rPr>
        <w:t>要求中的全部项目，正常生产时应每6个月进行1次，在有下列情况之一时亦应随时进行</w:t>
      </w:r>
      <w:r>
        <w:rPr>
          <w:rFonts w:hint="eastAsia"/>
          <w:lang w:val="en-US" w:eastAsia="zh-CN"/>
        </w:rPr>
        <w:t>：</w:t>
      </w:r>
    </w:p>
    <w:p w14:paraId="42E8CB5E">
      <w:pPr>
        <w:pStyle w:val="174"/>
        <w:bidi w:val="0"/>
        <w:ind w:left="851" w:leftChars="0" w:hanging="426" w:firstLineChars="0"/>
        <w:rPr>
          <w:rFonts w:hint="default"/>
          <w:lang w:val="en-US" w:eastAsia="zh-CN"/>
        </w:rPr>
      </w:pPr>
      <w:r>
        <w:rPr>
          <w:rFonts w:hint="default"/>
          <w:lang w:val="en-US" w:eastAsia="zh-CN"/>
        </w:rPr>
        <w:t>主要原辅料、关键工艺、设备有较大变化时</w:t>
      </w:r>
      <w:r>
        <w:rPr>
          <w:rFonts w:hint="eastAsia"/>
          <w:lang w:val="en-US" w:eastAsia="zh-CN"/>
        </w:rPr>
        <w:t>；</w:t>
      </w:r>
    </w:p>
    <w:p w14:paraId="5E7FBF38">
      <w:pPr>
        <w:pStyle w:val="174"/>
        <w:bidi w:val="0"/>
        <w:ind w:left="851" w:leftChars="0" w:hanging="426" w:firstLineChars="0"/>
        <w:rPr>
          <w:rFonts w:hint="eastAsia"/>
          <w:lang w:val="en-US" w:eastAsia="zh-CN"/>
        </w:rPr>
      </w:pPr>
      <w:r>
        <w:rPr>
          <w:rFonts w:hint="default"/>
          <w:lang w:val="en-US" w:eastAsia="zh-CN"/>
        </w:rPr>
        <w:t>更换设备或长期停产后，恢复生产时</w:t>
      </w:r>
      <w:r>
        <w:rPr>
          <w:rFonts w:hint="eastAsia"/>
          <w:lang w:val="en-US" w:eastAsia="zh-CN"/>
        </w:rPr>
        <w:t>；</w:t>
      </w:r>
    </w:p>
    <w:p w14:paraId="3475E006">
      <w:pPr>
        <w:pStyle w:val="174"/>
        <w:bidi w:val="0"/>
        <w:ind w:left="851" w:leftChars="0" w:hanging="426" w:firstLineChars="0"/>
        <w:rPr>
          <w:rFonts w:hint="default"/>
          <w:lang w:val="en-US" w:eastAsia="zh-CN"/>
        </w:rPr>
      </w:pPr>
      <w:r>
        <w:rPr>
          <w:rFonts w:hint="default"/>
          <w:lang w:val="en-US" w:eastAsia="zh-CN"/>
        </w:rPr>
        <w:t>出厂检验结果与上次型式检验结果有较大差异时</w:t>
      </w:r>
      <w:r>
        <w:rPr>
          <w:rFonts w:hint="eastAsia"/>
          <w:lang w:val="en-US" w:eastAsia="zh-CN"/>
        </w:rPr>
        <w:t>；</w:t>
      </w:r>
    </w:p>
    <w:p w14:paraId="06F92980">
      <w:pPr>
        <w:pStyle w:val="174"/>
        <w:bidi w:val="0"/>
        <w:ind w:left="851" w:leftChars="0" w:hanging="426" w:firstLineChars="0"/>
        <w:rPr>
          <w:rFonts w:hint="default"/>
          <w:lang w:val="en-US" w:eastAsia="zh-CN"/>
        </w:rPr>
      </w:pPr>
      <w:r>
        <w:rPr>
          <w:rFonts w:hint="default"/>
          <w:lang w:val="en-US" w:eastAsia="zh-CN"/>
        </w:rPr>
        <w:t>食品安全监督机构提出要求时。</w:t>
      </w:r>
    </w:p>
    <w:p w14:paraId="4E38D864">
      <w:pPr>
        <w:pStyle w:val="105"/>
        <w:bidi w:val="0"/>
        <w:rPr>
          <w:rFonts w:hint="eastAsia"/>
        </w:rPr>
      </w:pPr>
      <w:r>
        <w:rPr>
          <w:rFonts w:hint="eastAsia"/>
        </w:rPr>
        <w:t>判定</w:t>
      </w:r>
    </w:p>
    <w:p w14:paraId="601DFC2C">
      <w:pPr>
        <w:pStyle w:val="56"/>
        <w:ind w:firstLine="420"/>
      </w:pPr>
      <w:r>
        <w:rPr>
          <w:rFonts w:hint="eastAsia"/>
        </w:rPr>
        <w:t>检验结果全部符合</w:t>
      </w:r>
      <w:r>
        <w:rPr>
          <w:rFonts w:hint="eastAsia"/>
          <w:lang w:eastAsia="zh-CN"/>
        </w:rPr>
        <w:t>本文件</w:t>
      </w:r>
      <w:r>
        <w:rPr>
          <w:rFonts w:hint="eastAsia"/>
        </w:rPr>
        <w:t>要求的，判该批产品为合格;检验结果中有任何一项不符合</w:t>
      </w:r>
      <w:r>
        <w:rPr>
          <w:rFonts w:hint="eastAsia"/>
          <w:lang w:eastAsia="zh-CN"/>
        </w:rPr>
        <w:t>本文件</w:t>
      </w:r>
      <w:r>
        <w:rPr>
          <w:rFonts w:hint="eastAsia"/>
        </w:rPr>
        <w:t>规定要求的，使用备检样品对不合格项进行复验，如复检仍不合格，则判定为不合格产品。微生物指标中有一项不合格，则判断该批产品为不合格品，不得复检。</w:t>
      </w:r>
    </w:p>
    <w:p w14:paraId="6A97969C">
      <w:pPr>
        <w:pStyle w:val="104"/>
        <w:bidi w:val="0"/>
        <w:rPr>
          <w:rFonts w:hint="eastAsia"/>
        </w:rPr>
      </w:pPr>
      <w:r>
        <w:rPr>
          <w:rFonts w:hint="eastAsia"/>
        </w:rPr>
        <w:t>标志、包装、贮运、保质期</w:t>
      </w:r>
    </w:p>
    <w:p w14:paraId="2476CA7F">
      <w:pPr>
        <w:pStyle w:val="105"/>
        <w:bidi w:val="0"/>
        <w:rPr>
          <w:rFonts w:hint="eastAsia"/>
        </w:rPr>
      </w:pPr>
      <w:r>
        <w:rPr>
          <w:rFonts w:hint="eastAsia"/>
        </w:rPr>
        <w:t>标志</w:t>
      </w:r>
    </w:p>
    <w:p w14:paraId="38005AA4">
      <w:pPr>
        <w:pStyle w:val="56"/>
        <w:ind w:firstLine="420"/>
        <w:rPr>
          <w:rFonts w:hint="eastAsia"/>
        </w:rPr>
      </w:pPr>
      <w:r>
        <w:rPr>
          <w:rFonts w:hint="eastAsia"/>
        </w:rPr>
        <w:t>标签应符合GB7718和GB28050的规定:包装贮运标志应符合GB/T191规定。</w:t>
      </w:r>
    </w:p>
    <w:p w14:paraId="00A8CEF1">
      <w:pPr>
        <w:pStyle w:val="105"/>
        <w:bidi w:val="0"/>
        <w:rPr>
          <w:rFonts w:hint="eastAsia"/>
        </w:rPr>
      </w:pPr>
      <w:r>
        <w:rPr>
          <w:rFonts w:hint="eastAsia"/>
        </w:rPr>
        <w:t>包装</w:t>
      </w:r>
    </w:p>
    <w:p w14:paraId="5FDC1042">
      <w:pPr>
        <w:pStyle w:val="65"/>
        <w:bidi w:val="0"/>
        <w:rPr>
          <w:rFonts w:hint="eastAsia"/>
          <w:lang w:val="en-US" w:eastAsia="zh-CN"/>
        </w:rPr>
      </w:pPr>
      <w:r>
        <w:rPr>
          <w:rFonts w:hint="eastAsia"/>
          <w:lang w:val="en-US" w:eastAsia="zh-CN"/>
        </w:rPr>
        <w:t>包装规格</w:t>
      </w:r>
    </w:p>
    <w:p w14:paraId="79601B0B">
      <w:pPr>
        <w:pStyle w:val="56"/>
        <w:ind w:firstLine="420"/>
        <w:rPr>
          <w:rFonts w:hint="eastAsia"/>
        </w:rPr>
      </w:pPr>
      <w:r>
        <w:rPr>
          <w:rFonts w:hint="eastAsia"/>
        </w:rPr>
        <w:t>产品的包装规格应符合表4的要求。</w:t>
      </w:r>
    </w:p>
    <w:p w14:paraId="6B89F1BC">
      <w:pPr>
        <w:pStyle w:val="112"/>
        <w:bidi w:val="0"/>
        <w:rPr>
          <w:rFonts w:hint="eastAsia"/>
        </w:rPr>
      </w:pPr>
      <w:r>
        <w:rPr>
          <w:rFonts w:hint="eastAsia"/>
          <w:lang w:val="en-US" w:eastAsia="zh-CN"/>
        </w:rPr>
        <w:t>包装规格</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4777"/>
        <w:gridCol w:w="4777"/>
      </w:tblGrid>
      <w:tr w14:paraId="645E00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4777" w:type="dxa"/>
            <w:tcBorders>
              <w:bottom w:val="single" w:color="auto" w:sz="8" w:space="0"/>
            </w:tcBorders>
            <w:vAlign w:val="center"/>
          </w:tcPr>
          <w:p w14:paraId="149A104F">
            <w:pPr>
              <w:pStyle w:val="178"/>
              <w:bidi w:val="0"/>
              <w:spacing w:line="240" w:lineRule="auto"/>
              <w:jc w:val="center"/>
              <w:rPr>
                <w:rFonts w:hint="eastAsia" w:eastAsia="宋体"/>
                <w:lang w:val="en-US" w:eastAsia="zh-CN"/>
              </w:rPr>
            </w:pPr>
            <w:r>
              <w:rPr>
                <w:rFonts w:hint="eastAsia"/>
                <w:lang w:val="en-US" w:eastAsia="zh-CN"/>
              </w:rPr>
              <w:t>包装形式</w:t>
            </w:r>
          </w:p>
        </w:tc>
        <w:tc>
          <w:tcPr>
            <w:tcW w:w="4777" w:type="dxa"/>
            <w:tcBorders>
              <w:bottom w:val="single" w:color="auto" w:sz="8" w:space="0"/>
            </w:tcBorders>
            <w:vAlign w:val="center"/>
          </w:tcPr>
          <w:p w14:paraId="6DCB2A38">
            <w:pPr>
              <w:pStyle w:val="178"/>
              <w:bidi w:val="0"/>
              <w:spacing w:line="240" w:lineRule="auto"/>
              <w:jc w:val="center"/>
              <w:rPr>
                <w:rFonts w:hint="eastAsia" w:eastAsia="宋体"/>
                <w:lang w:val="en-US" w:eastAsia="zh-CN"/>
              </w:rPr>
            </w:pPr>
            <w:r>
              <w:rPr>
                <w:rFonts w:hint="eastAsia"/>
                <w:lang w:val="en-US" w:eastAsia="zh-CN"/>
              </w:rPr>
              <w:t>规格</w:t>
            </w:r>
          </w:p>
        </w:tc>
      </w:tr>
      <w:tr w14:paraId="025BD8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777" w:type="dxa"/>
            <w:tcBorders>
              <w:top w:val="single" w:color="auto" w:sz="8" w:space="0"/>
            </w:tcBorders>
            <w:vAlign w:val="center"/>
          </w:tcPr>
          <w:p w14:paraId="1DC449DA">
            <w:pPr>
              <w:pStyle w:val="178"/>
              <w:bidi w:val="0"/>
              <w:spacing w:line="240" w:lineRule="auto"/>
              <w:jc w:val="center"/>
              <w:rPr>
                <w:rFonts w:hint="eastAsia" w:eastAsia="宋体"/>
                <w:lang w:val="en-US" w:eastAsia="zh-CN"/>
              </w:rPr>
            </w:pPr>
            <w:r>
              <w:rPr>
                <w:rFonts w:hint="eastAsia"/>
                <w:lang w:val="en-US" w:eastAsia="zh-CN"/>
              </w:rPr>
              <w:t>袋装</w:t>
            </w:r>
          </w:p>
        </w:tc>
        <w:tc>
          <w:tcPr>
            <w:tcW w:w="4777" w:type="dxa"/>
            <w:tcBorders>
              <w:top w:val="single" w:color="auto" w:sz="8" w:space="0"/>
            </w:tcBorders>
            <w:vAlign w:val="center"/>
          </w:tcPr>
          <w:p w14:paraId="5826D042">
            <w:pPr>
              <w:pStyle w:val="178"/>
              <w:bidi w:val="0"/>
              <w:spacing w:line="240" w:lineRule="auto"/>
              <w:jc w:val="center"/>
              <w:rPr>
                <w:rFonts w:hint="default" w:eastAsia="宋体"/>
                <w:lang w:val="en-US" w:eastAsia="zh-CN"/>
              </w:rPr>
            </w:pPr>
            <w:r>
              <w:rPr>
                <w:rFonts w:hint="eastAsia"/>
                <w:lang w:val="en-US" w:eastAsia="zh-CN"/>
              </w:rPr>
              <w:t>5g～1000g</w:t>
            </w:r>
          </w:p>
        </w:tc>
      </w:tr>
      <w:tr w14:paraId="10718E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9554" w:type="dxa"/>
            <w:gridSpan w:val="2"/>
            <w:vAlign w:val="center"/>
          </w:tcPr>
          <w:p w14:paraId="323D5882">
            <w:pPr>
              <w:pStyle w:val="179"/>
              <w:bidi w:val="0"/>
              <w:rPr>
                <w:rFonts w:hint="eastAsia"/>
              </w:rPr>
            </w:pPr>
            <w:r>
              <w:rPr>
                <w:rFonts w:hint="eastAsia"/>
                <w:lang w:val="en-US" w:eastAsia="zh-CN"/>
              </w:rPr>
              <w:t>其他规格可按客户要求执行。</w:t>
            </w:r>
          </w:p>
        </w:tc>
      </w:tr>
    </w:tbl>
    <w:p w14:paraId="5200ABA1">
      <w:pPr>
        <w:pStyle w:val="65"/>
        <w:bidi w:val="0"/>
        <w:rPr>
          <w:rFonts w:hint="eastAsia"/>
        </w:rPr>
      </w:pPr>
      <w:r>
        <w:rPr>
          <w:rFonts w:hint="eastAsia"/>
          <w:lang w:val="en-US" w:eastAsia="zh-CN"/>
        </w:rPr>
        <w:t>包装材料</w:t>
      </w:r>
    </w:p>
    <w:p w14:paraId="72420207">
      <w:pPr>
        <w:pStyle w:val="56"/>
        <w:rPr>
          <w:rFonts w:hint="eastAsia"/>
          <w:lang w:val="en-US" w:eastAsia="zh-CN"/>
        </w:rPr>
      </w:pPr>
      <w:r>
        <w:rPr>
          <w:rFonts w:hint="eastAsia"/>
          <w:lang w:val="en-US" w:eastAsia="zh-CN"/>
        </w:rPr>
        <w:t>产品内包装瓶应符合GB/T 28118的规定，外包装瓦楞纸箱应符合GB/T 6543的规定。</w:t>
      </w:r>
    </w:p>
    <w:p w14:paraId="1A5A4988">
      <w:pPr>
        <w:pStyle w:val="105"/>
        <w:bidi w:val="0"/>
        <w:rPr>
          <w:rFonts w:hint="eastAsia"/>
          <w:lang w:val="en-US" w:eastAsia="zh-CN"/>
        </w:rPr>
      </w:pPr>
      <w:r>
        <w:rPr>
          <w:rFonts w:hint="eastAsia"/>
          <w:lang w:val="en-US" w:eastAsia="zh-CN"/>
        </w:rPr>
        <w:t>运输</w:t>
      </w:r>
    </w:p>
    <w:p w14:paraId="241D716F">
      <w:pPr>
        <w:pStyle w:val="165"/>
        <w:bidi w:val="0"/>
        <w:rPr>
          <w:rFonts w:hint="eastAsia"/>
          <w:lang w:val="en-US" w:eastAsia="zh-CN"/>
        </w:rPr>
      </w:pPr>
      <w:r>
        <w:rPr>
          <w:rFonts w:hint="eastAsia"/>
          <w:lang w:val="en-US" w:eastAsia="zh-CN"/>
        </w:rPr>
        <w:t>运输工具应清洁卫生，不得与有毒、有害及有异味的物品混装运输。</w:t>
      </w:r>
    </w:p>
    <w:p w14:paraId="3D378817">
      <w:pPr>
        <w:pStyle w:val="165"/>
        <w:bidi w:val="0"/>
        <w:rPr>
          <w:rFonts w:hint="eastAsia"/>
          <w:lang w:val="en-US" w:eastAsia="zh-CN"/>
        </w:rPr>
      </w:pPr>
      <w:r>
        <w:rPr>
          <w:rFonts w:hint="eastAsia"/>
          <w:lang w:val="en-US" w:eastAsia="zh-CN"/>
        </w:rPr>
        <w:t>运输过程中应防止日晒、雨淋、重压，搬运时应轻拿轻放，不得抛摔。</w:t>
      </w:r>
    </w:p>
    <w:p w14:paraId="15E6EBB2">
      <w:pPr>
        <w:pStyle w:val="105"/>
        <w:bidi w:val="0"/>
        <w:rPr>
          <w:rFonts w:hint="eastAsia"/>
          <w:lang w:val="en-US" w:eastAsia="zh-CN"/>
        </w:rPr>
      </w:pPr>
      <w:r>
        <w:rPr>
          <w:rFonts w:hint="eastAsia"/>
          <w:lang w:val="en-US" w:eastAsia="zh-CN"/>
        </w:rPr>
        <w:t>贮存</w:t>
      </w:r>
    </w:p>
    <w:p w14:paraId="70557208">
      <w:pPr>
        <w:pStyle w:val="56"/>
        <w:rPr>
          <w:rFonts w:hint="eastAsia"/>
          <w:lang w:val="en-US" w:eastAsia="zh-CN"/>
        </w:rPr>
      </w:pPr>
      <w:r>
        <w:rPr>
          <w:rFonts w:hint="eastAsia"/>
          <w:lang w:val="en-US" w:eastAsia="zh-CN"/>
        </w:rPr>
        <w:t>应贮存在阴凉、通风、干燥的库房内，不得与有毒、有害及有异味的物品共同存放。产品码放应离地面10cm以上，离墙壁20cm以上。贮存温度≤30℃，湿度≤60%。</w:t>
      </w:r>
    </w:p>
    <w:p w14:paraId="345B8806">
      <w:pPr>
        <w:pStyle w:val="105"/>
        <w:bidi w:val="0"/>
        <w:rPr>
          <w:rFonts w:hint="eastAsia"/>
          <w:lang w:val="en-US" w:eastAsia="zh-CN"/>
        </w:rPr>
      </w:pPr>
      <w:r>
        <w:rPr>
          <w:rFonts w:hint="eastAsia"/>
          <w:lang w:val="en-US" w:eastAsia="zh-CN"/>
        </w:rPr>
        <w:t>保质期</w:t>
      </w:r>
    </w:p>
    <w:p w14:paraId="27134918">
      <w:pPr>
        <w:pStyle w:val="56"/>
        <w:rPr>
          <w:rFonts w:hint="default"/>
          <w:lang w:val="en-US"/>
        </w:rPr>
      </w:pPr>
      <w:r>
        <w:rPr>
          <w:rFonts w:hint="eastAsia"/>
          <w:lang w:val="en-US" w:eastAsia="zh-CN"/>
        </w:rPr>
        <w:t>在符合本文件规定的贮运条件下，产品保质期为6个月。</w:t>
      </w:r>
    </w:p>
    <w:p w14:paraId="386DE836">
      <w:pPr>
        <w:pStyle w:val="56"/>
        <w:bidi w:val="0"/>
        <w:rPr>
          <w:rFonts w:hint="eastAsia"/>
        </w:rPr>
      </w:pPr>
    </w:p>
    <w:p w14:paraId="562F4327">
      <w:pPr>
        <w:pStyle w:val="56"/>
        <w:ind w:firstLine="420"/>
      </w:pPr>
    </w:p>
    <w:p w14:paraId="6E300050">
      <w:pPr>
        <w:pStyle w:val="56"/>
        <w:ind w:firstLine="420"/>
      </w:pPr>
    </w:p>
    <w:p w14:paraId="4288F266">
      <w:pPr>
        <w:pStyle w:val="56"/>
        <w:ind w:firstLine="420"/>
      </w:pPr>
    </w:p>
    <w:bookmarkEnd w:id="22"/>
    <w:p w14:paraId="1D0F68A2">
      <w:pPr>
        <w:pStyle w:val="56"/>
        <w:bidi w:val="0"/>
        <w:ind w:firstLine="0" w:firstLineChars="0"/>
        <w:jc w:val="center"/>
        <w:rPr>
          <w:rFonts w:hint="eastAsia" w:eastAsia="宋体"/>
          <w:lang w:eastAsia="zh-CN"/>
        </w:rPr>
      </w:pPr>
      <w:bookmarkStart w:id="44" w:name="BookMark8"/>
      <w:r>
        <w:rPr>
          <w:rFonts w:hint="eastAsia" w:eastAsia="宋体"/>
          <w:lang w:eastAsia="zh-CN"/>
        </w:rPr>
        <w:drawing>
          <wp:inline distT="0" distB="0" distL="114300" distR="114300">
            <wp:extent cx="1485900" cy="317500"/>
            <wp:effectExtent l="0" t="0" r="0" b="6350"/>
            <wp:docPr id="3" name="图片 3" descr="1"/>
            <wp:cNvGraphicFramePr/>
            <a:graphic xmlns:a="http://schemas.openxmlformats.org/drawingml/2006/main">
              <a:graphicData uri="http://schemas.openxmlformats.org/drawingml/2006/picture">
                <pic:pic xmlns:pic="http://schemas.openxmlformats.org/drawingml/2006/picture">
                  <pic:nvPicPr>
                    <pic:cNvPr id="3" name="图片 3" descr="1"/>
                    <pic:cNvPicPr/>
                  </pic:nvPicPr>
                  <pic:blipFill>
                    <a:blip r:embed="rId15"/>
                    <a:stretch>
                      <a:fillRect/>
                    </a:stretch>
                  </pic:blipFill>
                  <pic:spPr>
                    <a:xfrm>
                      <a:off x="0" y="0"/>
                      <a:ext cx="1485900" cy="317500"/>
                    </a:xfrm>
                    <a:prstGeom prst="rect">
                      <a:avLst/>
                    </a:prstGeom>
                  </pic:spPr>
                </pic:pic>
              </a:graphicData>
            </a:graphic>
          </wp:inline>
        </w:drawing>
      </w:r>
      <w:bookmarkEnd w:id="44"/>
    </w:p>
    <w:sectPr>
      <w:pgSz w:w="11906" w:h="16838"/>
      <w:pgMar w:top="1928" w:right="1134" w:bottom="1134" w:left="1134" w:header="1418" w:footer="1134" w:gutter="284"/>
      <w:pgNumType w:start="1"/>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326B6D">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18E29D">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42EF22">
    <w:pPr>
      <w:pStyle w:val="52"/>
    </w:pPr>
    <w:r>
      <w:fldChar w:fldCharType="begin"/>
    </w:r>
    <w:r>
      <w:instrText xml:space="preserve">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E61CD1">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A3CA2E">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213336">
    <w:pPr>
      <w:pStyle w:val="61"/>
      <w:rPr>
        <w:rFonts w:hint="eastAsia"/>
      </w:rPr>
    </w:pPr>
    <w:r>
      <w:fldChar w:fldCharType="begin"/>
    </w:r>
    <w:r>
      <w:instrText xml:space="preserve"> STYLEREF  标准文件_文件编号  \* MERGEFORMAT </w:instrText>
    </w:r>
    <w:r>
      <w:fldChar w:fldCharType="separate"/>
    </w:r>
    <w:r>
      <w:t>T/QAS XXXX—XXXX</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A36B88">
    <w:pPr>
      <w:pStyle w:val="18"/>
      <w:jc w:val="right"/>
    </w:pPr>
    <w:r>
      <w:fldChar w:fldCharType="begin"/>
    </w:r>
    <w:r>
      <w:instrText xml:space="preserve"> STYLEREF  标准文件_文件编号  \* MERGEFORMAT </w:instrText>
    </w:r>
    <w:r>
      <w:fldChar w:fldCharType="separate"/>
    </w:r>
    <w:r>
      <w:t>T/QAS XXXX—XXXX</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335A4B04"/>
    <w:multiLevelType w:val="multilevel"/>
    <w:tmpl w:val="335A4B04"/>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0"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attachedTemplate r:id="rId1"/>
  <w:documentProtection w:edit="forms" w:enforcement="1" w:cryptProviderType="rsaFull" w:cryptAlgorithmClass="hash" w:cryptAlgorithmType="typeAny" w:cryptAlgorithmSid="4" w:cryptSpinCount="0" w:hash="tIkpBEIan0PPX9puTe0tNxQVQBw=" w:salt="V01nRyHZdgjkkqq3xt5v2w=="/>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540D2AB9"/>
    <w:rsid w:val="0000040A"/>
    <w:rsid w:val="00000A94"/>
    <w:rsid w:val="00001972"/>
    <w:rsid w:val="00001D9A"/>
    <w:rsid w:val="00002D44"/>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4A5D"/>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ECF"/>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A3D27"/>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E28E0"/>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5609D"/>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6980"/>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27B9"/>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E34EF"/>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286E"/>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5624"/>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D75C2"/>
    <w:rsid w:val="00EE0350"/>
    <w:rsid w:val="00EE0719"/>
    <w:rsid w:val="00EE0E80"/>
    <w:rsid w:val="00EE613F"/>
    <w:rsid w:val="00EE7295"/>
    <w:rsid w:val="00EE7869"/>
    <w:rsid w:val="00EF054A"/>
    <w:rsid w:val="00EF3235"/>
    <w:rsid w:val="00EF7076"/>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3B6A71A7"/>
    <w:rsid w:val="3DE82F34"/>
    <w:rsid w:val="540D2A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6"/>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99"/>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qFormat/>
    <w:uiPriority w:val="99"/>
    <w:rPr>
      <w:rFonts w:ascii="宋体"/>
      <w:kern w:val="2"/>
      <w:sz w:val="18"/>
      <w:szCs w:val="18"/>
    </w:rPr>
  </w:style>
  <w:style w:type="character" w:customStyle="1" w:styleId="45">
    <w:name w:val="批注框文本 字符"/>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Times New Roman"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qFormat/>
    <w:uiPriority w:val="0"/>
    <w:rPr>
      <w:rFonts w:ascii="黑体" w:eastAsia="黑体"/>
      <w:spacing w:val="0"/>
      <w:w w:val="100"/>
      <w:position w:val="3"/>
      <w:sz w:val="28"/>
    </w:rPr>
  </w:style>
  <w:style w:type="paragraph" w:customStyle="1" w:styleId="67">
    <w:name w:val="标准文件_方框数字列项"/>
    <w:basedOn w:val="56"/>
    <w:qFormat/>
    <w:uiPriority w:val="0"/>
    <w:pPr>
      <w:numPr>
        <w:ilvl w:val="0"/>
        <w:numId w:val="3"/>
      </w:numPr>
      <w:ind w:firstLine="0" w:firstLineChars="0"/>
    </w:pPr>
  </w:style>
  <w:style w:type="paragraph" w:customStyle="1" w:styleId="68">
    <w:name w:val="标准文件_封面标准编号"/>
    <w:basedOn w:val="1"/>
    <w:next w:val="59"/>
    <w:qFormat/>
    <w:uiPriority w:val="0"/>
    <w:pPr>
      <w:spacing w:line="310" w:lineRule="exact"/>
      <w:jc w:val="right"/>
    </w:pPr>
    <w:rPr>
      <w:rFonts w:ascii="黑体" w:eastAsia="黑体"/>
      <w:kern w:val="0"/>
      <w:sz w:val="28"/>
    </w:rPr>
  </w:style>
  <w:style w:type="paragraph" w:customStyle="1" w:styleId="69">
    <w:name w:val="标准文件_封面标准分类号"/>
    <w:basedOn w:val="1"/>
    <w:qFormat/>
    <w:uiPriority w:val="0"/>
    <w:rPr>
      <w:rFonts w:ascii="黑体" w:eastAsia="黑体"/>
      <w:b/>
      <w:kern w:val="0"/>
      <w:sz w:val="28"/>
    </w:rPr>
  </w:style>
  <w:style w:type="paragraph" w:customStyle="1" w:styleId="70">
    <w:name w:val="标准文件_封面标准名称"/>
    <w:basedOn w:val="1"/>
    <w:qFormat/>
    <w:uiPriority w:val="0"/>
    <w:pPr>
      <w:spacing w:line="240" w:lineRule="auto"/>
      <w:jc w:val="center"/>
    </w:pPr>
    <w:rPr>
      <w:rFonts w:ascii="黑体" w:eastAsia="黑体"/>
      <w:kern w:val="0"/>
      <w:sz w:val="52"/>
    </w:rPr>
  </w:style>
  <w:style w:type="paragraph" w:customStyle="1" w:styleId="71">
    <w:name w:val="标准文件_封面标准英文名称"/>
    <w:basedOn w:val="1"/>
    <w:qFormat/>
    <w:uiPriority w:val="0"/>
    <w:pPr>
      <w:spacing w:line="240" w:lineRule="auto"/>
      <w:jc w:val="center"/>
    </w:pPr>
    <w:rPr>
      <w:rFonts w:ascii="黑体" w:eastAsia="黑体"/>
      <w:b/>
      <w:sz w:val="28"/>
    </w:rPr>
  </w:style>
  <w:style w:type="paragraph" w:customStyle="1" w:styleId="72">
    <w:name w:val="标准文件_封面发布日期"/>
    <w:basedOn w:val="1"/>
    <w:qFormat/>
    <w:uiPriority w:val="0"/>
    <w:pPr>
      <w:spacing w:line="310" w:lineRule="exact"/>
    </w:pPr>
    <w:rPr>
      <w:rFonts w:ascii="黑体" w:eastAsia="黑体"/>
      <w:kern w:val="0"/>
      <w:sz w:val="28"/>
    </w:rPr>
  </w:style>
  <w:style w:type="paragraph" w:customStyle="1" w:styleId="73">
    <w:name w:val="标准文件_封面密级"/>
    <w:basedOn w:val="1"/>
    <w:qFormat/>
    <w:uiPriority w:val="0"/>
    <w:rPr>
      <w:rFonts w:eastAsia="黑体"/>
      <w:sz w:val="32"/>
    </w:rPr>
  </w:style>
  <w:style w:type="paragraph" w:customStyle="1" w:styleId="74">
    <w:name w:val="标准文件_封面实施日期"/>
    <w:basedOn w:val="1"/>
    <w:qFormat/>
    <w:uiPriority w:val="0"/>
    <w:pPr>
      <w:spacing w:line="310" w:lineRule="exact"/>
      <w:jc w:val="right"/>
    </w:pPr>
    <w:rPr>
      <w:rFonts w:ascii="黑体" w:eastAsia="黑体"/>
      <w:sz w:val="28"/>
    </w:rPr>
  </w:style>
  <w:style w:type="paragraph" w:customStyle="1" w:styleId="75">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qFormat/>
    <w:uiPriority w:val="0"/>
    <w:rPr>
      <w:kern w:val="2"/>
      <w:sz w:val="21"/>
      <w:szCs w:val="21"/>
    </w:rPr>
  </w:style>
  <w:style w:type="paragraph" w:customStyle="1" w:styleId="87">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qFormat/>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qFormat/>
    <w:uiPriority w:val="0"/>
    <w:pPr>
      <w:spacing w:line="460" w:lineRule="exact"/>
      <w:ind w:left="0" w:firstLine="0"/>
    </w:pPr>
  </w:style>
  <w:style w:type="paragraph" w:customStyle="1" w:styleId="91">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2">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qFormat/>
    <w:uiPriority w:val="0"/>
    <w:pPr>
      <w:numPr>
        <w:numId w:val="10"/>
      </w:numPr>
    </w:pPr>
  </w:style>
  <w:style w:type="paragraph" w:customStyle="1" w:styleId="94">
    <w:name w:val="标准文件_三级条标题"/>
    <w:basedOn w:val="65"/>
    <w:next w:val="56"/>
    <w:qFormat/>
    <w:uiPriority w:val="0"/>
    <w:pPr>
      <w:widowControl/>
      <w:numPr>
        <w:ilvl w:val="4"/>
      </w:numPr>
      <w:outlineLvl w:val="3"/>
    </w:pPr>
  </w:style>
  <w:style w:type="character" w:customStyle="1" w:styleId="95">
    <w:name w:val="Subtle Reference"/>
    <w:qFormat/>
    <w:uiPriority w:val="31"/>
    <w:rPr>
      <w:smallCaps/>
      <w:color w:val="C0504D"/>
      <w:u w:val="single"/>
    </w:rPr>
  </w:style>
  <w:style w:type="paragraph" w:customStyle="1" w:styleId="96">
    <w:name w:val="标准文件_示例后续"/>
    <w:basedOn w:val="1"/>
    <w:qFormat/>
    <w:uiPriority w:val="0"/>
    <w:pPr>
      <w:adjustRightInd/>
      <w:spacing w:line="240" w:lineRule="auto"/>
      <w:ind w:firstLine="200" w:firstLineChars="200"/>
    </w:pPr>
    <w:rPr>
      <w:sz w:val="18"/>
      <w:szCs w:val="24"/>
    </w:rPr>
  </w:style>
  <w:style w:type="paragraph" w:customStyle="1" w:styleId="97">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qFormat/>
    <w:uiPriority w:val="0"/>
    <w:rPr>
      <w:rFonts w:ascii="宋体"/>
      <w:kern w:val="2"/>
      <w:sz w:val="18"/>
      <w:szCs w:val="18"/>
    </w:rPr>
  </w:style>
  <w:style w:type="paragraph" w:customStyle="1" w:styleId="100">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qFormat/>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qFormat/>
    <w:uiPriority w:val="0"/>
    <w:pPr>
      <w:spacing w:line="440" w:lineRule="exact"/>
      <w:jc w:val="center"/>
    </w:pPr>
    <w:rPr>
      <w:sz w:val="28"/>
    </w:rPr>
  </w:style>
  <w:style w:type="paragraph" w:customStyle="1" w:styleId="107">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qFormat/>
    <w:uiPriority w:val="0"/>
    <w:pPr>
      <w:numPr>
        <w:ilvl w:val="3"/>
        <w:numId w:val="20"/>
      </w:numPr>
      <w:adjustRightInd/>
      <w:spacing w:line="240" w:lineRule="auto"/>
    </w:pPr>
    <w:rPr>
      <w:rFonts w:ascii="宋体" w:hAnsi="宋体"/>
      <w:szCs w:val="24"/>
    </w:rPr>
  </w:style>
  <w:style w:type="paragraph" w:customStyle="1" w:styleId="119">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qFormat/>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qFormat/>
    <w:uiPriority w:val="0"/>
    <w:pPr>
      <w:outlineLvl w:val="4"/>
    </w:pPr>
  </w:style>
  <w:style w:type="paragraph" w:customStyle="1" w:styleId="130">
    <w:name w:val="附录四级无标题条"/>
    <w:basedOn w:val="129"/>
    <w:next w:val="56"/>
    <w:qFormat/>
    <w:uiPriority w:val="0"/>
    <w:pPr>
      <w:outlineLvl w:val="5"/>
    </w:pPr>
  </w:style>
  <w:style w:type="paragraph" w:customStyle="1" w:styleId="131">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qFormat/>
    <w:uiPriority w:val="0"/>
    <w:pPr>
      <w:outlineLvl w:val="6"/>
    </w:pPr>
  </w:style>
  <w:style w:type="paragraph" w:customStyle="1" w:styleId="134">
    <w:name w:val="附录性质"/>
    <w:basedOn w:val="1"/>
    <w:qFormat/>
    <w:uiPriority w:val="0"/>
    <w:pPr>
      <w:widowControl/>
      <w:adjustRightInd/>
      <w:jc w:val="center"/>
    </w:pPr>
    <w:rPr>
      <w:rFonts w:ascii="黑体" w:eastAsia="黑体"/>
    </w:rPr>
  </w:style>
  <w:style w:type="paragraph" w:customStyle="1" w:styleId="135">
    <w:name w:val="附录一级无标题条"/>
    <w:basedOn w:val="87"/>
    <w:next w:val="56"/>
    <w:qFormat/>
    <w:uiPriority w:val="0"/>
    <w:pPr>
      <w:autoSpaceDN w:val="0"/>
      <w:outlineLvl w:val="2"/>
    </w:pPr>
    <w:rPr>
      <w:rFonts w:ascii="宋体" w:hAnsi="宋体" w:eastAsia="宋体"/>
    </w:rPr>
  </w:style>
  <w:style w:type="character" w:customStyle="1" w:styleId="136">
    <w:name w:val="个人答复风格"/>
    <w:qFormat/>
    <w:uiPriority w:val="0"/>
    <w:rPr>
      <w:rFonts w:ascii="Arial" w:hAnsi="Arial" w:eastAsia="宋体" w:cs="Arial"/>
      <w:color w:val="auto"/>
      <w:spacing w:val="0"/>
      <w:sz w:val="20"/>
    </w:rPr>
  </w:style>
  <w:style w:type="character" w:customStyle="1" w:styleId="137">
    <w:name w:val="个人撰写风格"/>
    <w:qFormat/>
    <w:uiPriority w:val="0"/>
    <w:rPr>
      <w:rFonts w:ascii="Arial" w:hAnsi="Arial" w:eastAsia="宋体" w:cs="Arial"/>
      <w:color w:val="auto"/>
      <w:spacing w:val="0"/>
      <w:sz w:val="20"/>
    </w:rPr>
  </w:style>
  <w:style w:type="paragraph" w:customStyle="1" w:styleId="138">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qFormat/>
    <w:uiPriority w:val="0"/>
    <w:pPr>
      <w:tabs>
        <w:tab w:val="left" w:pos="840"/>
      </w:tabs>
    </w:pPr>
  </w:style>
  <w:style w:type="paragraph" w:customStyle="1" w:styleId="141">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qFormat/>
    <w:uiPriority w:val="0"/>
    <w:pPr>
      <w:adjustRightInd/>
      <w:spacing w:line="240" w:lineRule="auto"/>
      <w:jc w:val="left"/>
    </w:pPr>
    <w:rPr>
      <w:bCs/>
      <w:iCs/>
    </w:rPr>
  </w:style>
  <w:style w:type="paragraph" w:customStyle="1" w:styleId="143">
    <w:name w:val="目录 31"/>
    <w:basedOn w:val="1"/>
    <w:next w:val="1"/>
    <w:autoRedefine/>
    <w:semiHidden/>
    <w:qFormat/>
    <w:uiPriority w:val="0"/>
    <w:pPr>
      <w:spacing w:line="240" w:lineRule="auto"/>
    </w:pPr>
    <w:rPr>
      <w:rFonts w:ascii="宋体" w:hAnsi="宋体"/>
      <w:iCs/>
    </w:rPr>
  </w:style>
  <w:style w:type="paragraph" w:customStyle="1" w:styleId="144">
    <w:name w:val="目录 41"/>
    <w:basedOn w:val="1"/>
    <w:next w:val="1"/>
    <w:autoRedefine/>
    <w:semiHidden/>
    <w:qFormat/>
    <w:uiPriority w:val="0"/>
    <w:pPr>
      <w:adjustRightInd/>
      <w:spacing w:line="240" w:lineRule="auto"/>
      <w:jc w:val="left"/>
    </w:pPr>
  </w:style>
  <w:style w:type="paragraph" w:customStyle="1" w:styleId="145">
    <w:name w:val="目录 51"/>
    <w:basedOn w:val="1"/>
    <w:next w:val="1"/>
    <w:autoRedefine/>
    <w:semiHidden/>
    <w:qFormat/>
    <w:uiPriority w:val="0"/>
    <w:pPr>
      <w:spacing w:line="240" w:lineRule="auto"/>
    </w:pPr>
    <w:rPr>
      <w:rFonts w:ascii="宋体" w:hAnsi="宋体"/>
    </w:rPr>
  </w:style>
  <w:style w:type="paragraph" w:customStyle="1" w:styleId="146">
    <w:name w:val="目录 61"/>
    <w:basedOn w:val="1"/>
    <w:next w:val="1"/>
    <w:autoRedefine/>
    <w:semiHidden/>
    <w:qFormat/>
    <w:uiPriority w:val="0"/>
    <w:pPr>
      <w:adjustRightInd/>
      <w:spacing w:line="240" w:lineRule="auto"/>
      <w:jc w:val="left"/>
    </w:pPr>
  </w:style>
  <w:style w:type="paragraph" w:customStyle="1" w:styleId="147">
    <w:name w:val="目录 71"/>
    <w:basedOn w:val="146"/>
    <w:autoRedefine/>
    <w:semiHidden/>
    <w:qFormat/>
    <w:uiPriority w:val="0"/>
    <w:pPr>
      <w:ind w:left="1260"/>
    </w:pPr>
  </w:style>
  <w:style w:type="paragraph" w:customStyle="1" w:styleId="148">
    <w:name w:val="目录 81"/>
    <w:basedOn w:val="147"/>
    <w:autoRedefine/>
    <w:semiHidden/>
    <w:qFormat/>
    <w:uiPriority w:val="0"/>
    <w:pPr>
      <w:ind w:left="1470"/>
    </w:pPr>
  </w:style>
  <w:style w:type="paragraph" w:customStyle="1" w:styleId="149">
    <w:name w:val="目录 91"/>
    <w:basedOn w:val="148"/>
    <w:autoRedefine/>
    <w:semiHidden/>
    <w:qFormat/>
    <w:uiPriority w:val="0"/>
    <w:pPr>
      <w:ind w:left="1680"/>
    </w:pPr>
  </w:style>
  <w:style w:type="paragraph" w:customStyle="1" w:styleId="150">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qFormat/>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4">
    <w:name w:val="实施日期"/>
    <w:basedOn w:val="120"/>
    <w:qFormat/>
    <w:uiPriority w:val="0"/>
    <w:pPr>
      <w:framePr w:hSpace="0" w:wrap="around" w:xAlign="right"/>
      <w:jc w:val="right"/>
    </w:pPr>
  </w:style>
  <w:style w:type="paragraph" w:customStyle="1" w:styleId="155">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6">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qFormat/>
    <w:uiPriority w:val="0"/>
    <w:pPr>
      <w:jc w:val="both"/>
    </w:pPr>
    <w:rPr>
      <w:rFonts w:ascii="宋体" w:hAnsi="宋体" w:eastAsia="宋体" w:cs="Times New Roman"/>
      <w:sz w:val="21"/>
      <w:lang w:val="en-US" w:eastAsia="zh-CN" w:bidi="ar-SA"/>
    </w:rPr>
  </w:style>
  <w:style w:type="paragraph" w:customStyle="1" w:styleId="158">
    <w:name w:val="五级无标题条"/>
    <w:basedOn w:val="1"/>
    <w:qFormat/>
    <w:uiPriority w:val="0"/>
    <w:pPr>
      <w:numPr>
        <w:ilvl w:val="6"/>
        <w:numId w:val="20"/>
      </w:numPr>
      <w:adjustRightInd/>
    </w:pPr>
    <w:rPr>
      <w:szCs w:val="24"/>
    </w:rPr>
  </w:style>
  <w:style w:type="paragraph" w:customStyle="1" w:styleId="159">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0">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qFormat/>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uiPriority w:val="0"/>
    <w:pPr>
      <w:numPr>
        <w:ilvl w:val="0"/>
        <w:numId w:val="23"/>
      </w:numPr>
      <w:ind w:firstLine="0" w:firstLineChars="0"/>
    </w:pPr>
    <w:rPr>
      <w:rFonts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qFormat/>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qFormat/>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Times New Roman"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qFormat/>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style>
  <w:style w:type="paragraph" w:customStyle="1" w:styleId="189">
    <w:name w:val="标准文件_一级项2"/>
    <w:basedOn w:val="56"/>
    <w:qFormat/>
    <w:uiPriority w:val="0"/>
    <w:pPr>
      <w:numPr>
        <w:ilvl w:val="0"/>
        <w:numId w:val="31"/>
      </w:numPr>
      <w:spacing w:line="300" w:lineRule="exact"/>
      <w:ind w:firstLineChars="0"/>
    </w:p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qFormat/>
    <w:uiPriority w:val="0"/>
    <w:pPr>
      <w:framePr w:w="3997" w:h="471" w:hRule="exact" w:hSpace="0" w:vSpace="181" w:wrap="around" w:vAnchor="page" w:hAnchor="page" w:x="1419" w:y="14097"/>
    </w:pPr>
  </w:style>
  <w:style w:type="paragraph" w:customStyle="1" w:styleId="194">
    <w:name w:val="其他实施日期"/>
    <w:basedOn w:val="154"/>
    <w:qFormat/>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qFormat/>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qFormat/>
    <w:uiPriority w:val="0"/>
    <w:rPr>
      <w:rFonts w:ascii="黑体" w:eastAsia="黑体"/>
      <w:spacing w:val="85"/>
      <w:w w:val="100"/>
      <w:position w:val="3"/>
      <w:sz w:val="28"/>
      <w:szCs w:val="28"/>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glossaryDocument" Target="glossary/document.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3.jpe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set2025\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9B3BEDB4F2724F9D81F4444A5CCE266D"/>
        <w:style w:val=""/>
        <w:category>
          <w:name w:val="常规"/>
          <w:gallery w:val="placeholder"/>
        </w:category>
        <w:types>
          <w:type w:val="bbPlcHdr"/>
        </w:types>
        <w:behaviors>
          <w:behavior w:val="content"/>
        </w:behaviors>
        <w:description w:val=""/>
        <w:guid w:val="{9A791DFB-56F6-4B85-997E-8EF3CEE1C2DA}"/>
      </w:docPartPr>
      <w:docPartBody>
        <w:p w14:paraId="06920271">
          <w:pPr>
            <w:pStyle w:val="5"/>
          </w:pPr>
          <w:r>
            <w:rPr>
              <w:rStyle w:val="4"/>
              <w:rFonts w:hint="eastAsia"/>
            </w:rPr>
            <w:t>单击或点击此处输入文字。</w:t>
          </w:r>
        </w:p>
      </w:docPartBody>
    </w:docPart>
    <w:docPart>
      <w:docPartPr>
        <w:name w:val="78956B8278AF41489B4C226600D2E8C4"/>
        <w:style w:val=""/>
        <w:category>
          <w:name w:val="常规"/>
          <w:gallery w:val="placeholder"/>
        </w:category>
        <w:types>
          <w:type w:val="bbPlcHdr"/>
        </w:types>
        <w:behaviors>
          <w:behavior w:val="content"/>
        </w:behaviors>
        <w:description w:val=""/>
        <w:guid w:val="{35D7B9DB-82B3-43EC-9478-2F4253E62990}"/>
      </w:docPartPr>
      <w:docPartBody>
        <w:p w14:paraId="0C0B3D7D">
          <w:pPr>
            <w:pStyle w:val="6"/>
          </w:pPr>
          <w:r>
            <w:rPr>
              <w:rStyle w:val="4"/>
              <w:rFonts w:hint="eastAsia"/>
            </w:rPr>
            <w:t>选择一项。</w:t>
          </w:r>
        </w:p>
      </w:docPartBody>
    </w:docPart>
    <w:docPart>
      <w:docPartPr>
        <w:name w:val="DD487E154D8B46B1811108614A11313A"/>
        <w:style w:val=""/>
        <w:category>
          <w:name w:val="常规"/>
          <w:gallery w:val="placeholder"/>
        </w:category>
        <w:types>
          <w:type w:val="bbPlcHdr"/>
        </w:types>
        <w:behaviors>
          <w:behavior w:val="content"/>
        </w:behaviors>
        <w:description w:val=""/>
        <w:guid w:val="{BDA84726-025B-4CC9-AFA0-B8C5A34685AA}"/>
      </w:docPartPr>
      <w:docPartBody>
        <w:p w14:paraId="41D145F3">
          <w:pPr>
            <w:pStyle w:val="7"/>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0EA"/>
    <w:rsid w:val="005D70EA"/>
    <w:rsid w:val="006E28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uiPriority="99" w:name="Normal Table"/>
    <w:lsdException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uiPriority w:val="99"/>
    <w:rPr>
      <w:color w:val="808080"/>
    </w:rPr>
  </w:style>
  <w:style w:type="paragraph" w:customStyle="1" w:styleId="5">
    <w:name w:val="9B3BEDB4F2724F9D81F4444A5CCE266D"/>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78956B8278AF41489B4C226600D2E8C4"/>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DD487E154D8B46B1811108614A11313A"/>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datastoreItem>
</file>

<file path=docProps/app.xml><?xml version="1.0" encoding="utf-8"?>
<Properties xmlns="http://schemas.openxmlformats.org/officeDocument/2006/extended-properties" xmlns:vt="http://schemas.openxmlformats.org/officeDocument/2006/docPropsVTypes">
  <Template>团体标准.dotx</Template>
  <Pages>6</Pages>
  <Words>2238</Words>
  <Characters>2738</Characters>
  <Lines>4</Lines>
  <Paragraphs>1</Paragraphs>
  <TotalTime>22</TotalTime>
  <ScaleCrop>false</ScaleCrop>
  <LinksUpToDate>false</LinksUpToDate>
  <CharactersWithSpaces>2971</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2026-06-02T02:10:00Z</dcterms:created>
  <dc:creator>。</dc:creator>
  <cp:lastModifiedBy>。</cp:lastModifiedBy>
  <dcterms:modified xsi:type="dcterms:W3CDTF">2026-06-17T07:54:42Z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ICV">
    <vt:lpwstr>D6BEE602FE9444EB84189D5EDEDDB137_11</vt:lpwstr>
  </property>
  <property fmtid="{D5CDD505-2E9C-101B-9397-08002B2CF9AE}" pid="15" name="KSOTemplateDocerSaveRecord">
    <vt:lpwstr>eyJoZGlkIjoiYzkwYzJmZDNiMmRhZjM0NTlkZDY1MmFlNDljZjQ0NWEiLCJ1c2VySWQiOiIyNDIyMjUwNzQifQ==</vt:lpwstr>
  </property>
  <property fmtid="{D5CDD505-2E9C-101B-9397-08002B2CF9AE}" pid="16" name="KSOProductBuildVer">
    <vt:lpwstr>2052-12.1.0.26895</vt:lpwstr>
  </property>
</Properties>
</file>