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CE44C5">
      <w:pPr>
        <w:pStyle w:val="28"/>
        <w:bidi w:val="0"/>
        <w:rPr>
          <w:rFonts w:hint="eastAsia"/>
          <w:lang w:val="en-US" w:eastAsia="zh-CN"/>
        </w:rPr>
      </w:pPr>
      <w:r>
        <w:rPr>
          <w:rFonts w:hint="eastAsia"/>
          <w:lang w:val="en-US" w:eastAsia="zh-CN"/>
        </w:rPr>
        <w:t>团体标准</w:t>
      </w:r>
    </w:p>
    <w:p w14:paraId="30823862">
      <w:pPr>
        <w:pStyle w:val="41"/>
        <w:bidi w:val="0"/>
        <w:rPr>
          <w:rFonts w:hint="eastAsia"/>
          <w:lang w:val="en-US" w:eastAsia="zh-CN"/>
        </w:rPr>
      </w:pPr>
      <w:r>
        <w:rPr>
          <w:rFonts w:hint="eastAsia"/>
          <w:lang w:val="en-US" w:eastAsia="zh-CN"/>
        </w:rPr>
        <w:fldChar w:fldCharType="begin">
          <w:ffData>
            <w:name w:val="StandNo"/>
            <w:enabled/>
            <w:calcOnExit w:val="0"/>
            <w:textInput>
              <w:default w:val="T/QAS XXX—2026"/>
            </w:textInput>
          </w:ffData>
        </w:fldChar>
      </w:r>
      <w:bookmarkStart w:id="0" w:name="StandNo"/>
      <w:r>
        <w:rPr>
          <w:rFonts w:hint="eastAsia"/>
          <w:lang w:val="en-US" w:eastAsia="zh-CN"/>
        </w:rPr>
        <w:instrText xml:space="preserve">FORMTEXT</w:instrText>
      </w:r>
      <w:r>
        <w:rPr>
          <w:rFonts w:hint="eastAsia"/>
          <w:lang w:val="en-US" w:eastAsia="zh-CN"/>
        </w:rPr>
        <w:fldChar w:fldCharType="separate"/>
      </w:r>
      <w:r>
        <w:rPr>
          <w:rFonts w:hint="eastAsia"/>
          <w:lang w:val="en-US" w:eastAsia="zh-CN"/>
        </w:rPr>
        <w:t>T/QAS XXX—2026</w:t>
      </w:r>
      <w:r>
        <w:rPr>
          <w:rFonts w:hint="eastAsia"/>
          <w:lang w:val="en-US" w:eastAsia="zh-CN"/>
        </w:rPr>
        <w:fldChar w:fldCharType="end"/>
      </w:r>
      <w:bookmarkEnd w:id="0"/>
    </w:p>
    <w:p w14:paraId="32C30826">
      <w:pPr>
        <w:pStyle w:val="40"/>
        <w:bidi w:val="0"/>
        <w:rPr>
          <w:rFonts w:hint="eastAsia"/>
          <w:lang w:val="en-US" w:eastAsia="zh-CN"/>
        </w:rPr>
      </w:pPr>
      <w:r>
        <w:rPr>
          <w:rFonts w:hint="eastAsia"/>
          <w:lang w:val="en-US" w:eastAsia="zh-CN"/>
        </w:rPr>
        <w:fldChar w:fldCharType="begin">
          <w:ffData>
            <w:name w:val="ReplaceT"/>
            <w:enabled/>
            <w:calcOnExit w:val="0"/>
            <w:textInput/>
          </w:ffData>
        </w:fldChar>
      </w:r>
      <w:bookmarkStart w:id="1" w:name="ReplaceT"/>
      <w:r>
        <w:rPr>
          <w:rFonts w:hint="eastAsia"/>
          <w:lang w:val="en-US" w:eastAsia="zh-CN"/>
        </w:rPr>
        <w:instrText xml:space="preserve">FORMTEXT</w:instrText>
      </w:r>
      <w:r>
        <w:rPr>
          <w:rFonts w:hint="eastAsia"/>
          <w:lang w:val="en-US" w:eastAsia="zh-CN"/>
        </w:rPr>
        <w:fldChar w:fldCharType="separate"/>
      </w:r>
      <w:r>
        <w:rPr>
          <w:rFonts w:hint="default"/>
          <w:lang w:val="en-US" w:eastAsia="zh-CN"/>
        </w:rPr>
        <w:t>     </w:t>
      </w:r>
      <w:r>
        <w:rPr>
          <w:rFonts w:hint="eastAsia"/>
          <w:lang w:val="en-US" w:eastAsia="zh-CN"/>
        </w:rPr>
        <w:fldChar w:fldCharType="end"/>
      </w:r>
      <w:bookmarkEnd w:id="1"/>
    </w:p>
    <w:tbl>
      <w:tblPr>
        <w:tblStyle w:val="20"/>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741"/>
      </w:tblGrid>
      <w:tr w14:paraId="6F155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9889" w:type="dxa"/>
            <w:tcBorders>
              <w:top w:val="single" w:color="auto" w:sz="8" w:space="0"/>
            </w:tcBorders>
          </w:tcPr>
          <w:p w14:paraId="7EECC381">
            <w:pPr>
              <w:pStyle w:val="35"/>
              <w:widowControl w:val="0"/>
              <w:bidi w:val="0"/>
              <w:jc w:val="both"/>
              <w:rPr>
                <w:rFonts w:hint="eastAsia"/>
                <w:sz w:val="10"/>
                <w:vertAlign w:val="baseline"/>
                <w:lang w:val="en-US" w:eastAsia="zh-CN"/>
              </w:rPr>
            </w:pPr>
          </w:p>
        </w:tc>
      </w:tr>
    </w:tbl>
    <w:p w14:paraId="74969647">
      <w:pPr>
        <w:pStyle w:val="42"/>
        <w:bidi w:val="0"/>
        <w:rPr>
          <w:rFonts w:hint="eastAsia"/>
          <w:lang w:val="en-US" w:eastAsia="zh-CN"/>
        </w:rPr>
      </w:pPr>
      <w:r>
        <w:rPr>
          <w:rFonts w:hint="eastAsia"/>
          <w:lang w:val="en-US" w:eastAsia="zh-CN"/>
        </w:rPr>
        <w:fldChar w:fldCharType="begin">
          <w:ffData>
            <w:name w:val="StdName"/>
            <w:enabled/>
            <w:calcOnExit w:val="0"/>
            <w:textInput>
              <w:default w:val="地理标志产品质量要求乐都绿萝卜"/>
            </w:textInput>
          </w:ffData>
        </w:fldChar>
      </w:r>
      <w:bookmarkStart w:id="2" w:name="StdName"/>
      <w:r>
        <w:rPr>
          <w:rFonts w:hint="eastAsia"/>
          <w:lang w:val="en-US" w:eastAsia="zh-CN"/>
        </w:rPr>
        <w:instrText xml:space="preserve">FORMTEXT</w:instrText>
      </w:r>
      <w:r>
        <w:rPr>
          <w:rFonts w:hint="eastAsia"/>
          <w:lang w:val="en-US" w:eastAsia="zh-CN"/>
        </w:rPr>
        <w:fldChar w:fldCharType="separate"/>
      </w:r>
      <w:r>
        <w:rPr>
          <w:rFonts w:hint="eastAsia"/>
          <w:lang w:val="en-US" w:eastAsia="zh-CN"/>
        </w:rPr>
        <w:t>地理标志产品质量要求乐都绿萝卜</w:t>
      </w:r>
      <w:r>
        <w:rPr>
          <w:rFonts w:hint="eastAsia"/>
          <w:lang w:val="en-US" w:eastAsia="zh-CN"/>
        </w:rPr>
        <w:fldChar w:fldCharType="end"/>
      </w:r>
      <w:bookmarkEnd w:id="2"/>
    </w:p>
    <w:p w14:paraId="2E10174F">
      <w:pPr>
        <w:pStyle w:val="43"/>
        <w:bidi w:val="0"/>
        <w:rPr>
          <w:rFonts w:hint="eastAsia"/>
          <w:lang w:val="en-US" w:eastAsia="zh-CN"/>
        </w:rPr>
      </w:pPr>
    </w:p>
    <w:p w14:paraId="78F56A4D">
      <w:pPr>
        <w:pStyle w:val="44"/>
        <w:bidi w:val="0"/>
        <w:rPr>
          <w:rFonts w:hint="eastAsia"/>
          <w:lang w:val="en-US" w:eastAsia="zh-CN"/>
        </w:rPr>
      </w:pPr>
      <w:bookmarkStart w:id="3" w:name="YZBS"/>
      <w:r>
        <w:rPr>
          <w:rFonts w:hint="eastAsia" w:ascii="Times New Roman" w:hAnsi="Times New Roman" w:eastAsia="黑体" w:cs="Times New Roman"/>
          <w:sz w:val="28"/>
          <w:lang w:val="en-US" w:eastAsia="zh-CN"/>
        </w:rPr>
        <w:fldChar w:fldCharType="begin">
          <w:ffData>
            <w:name w:val="YZBS"/>
            <w:enabled/>
            <w:calcOnExit w:val="0"/>
            <w:textInput>
              <w:default w:val=" "/>
            </w:textInput>
          </w:ffData>
        </w:fldChar>
      </w:r>
      <w:r>
        <w:rPr>
          <w:rFonts w:hint="eastAsia" w:ascii="Times New Roman" w:hAnsi="Times New Roman" w:eastAsia="黑体" w:cs="Times New Roman"/>
          <w:sz w:val="28"/>
          <w:lang w:val="en-US" w:eastAsia="zh-CN"/>
        </w:rPr>
        <w:instrText xml:space="preserve">FORMTEXT</w:instrText>
      </w:r>
      <w:r>
        <w:rPr>
          <w:rFonts w:hint="eastAsia" w:ascii="Times New Roman" w:hAnsi="Times New Roman" w:eastAsia="黑体" w:cs="Times New Roman"/>
          <w:sz w:val="28"/>
          <w:lang w:val="en-US" w:eastAsia="zh-CN"/>
        </w:rPr>
        <w:fldChar w:fldCharType="separate"/>
      </w:r>
      <w:r>
        <w:rPr>
          <w:rFonts w:hint="eastAsia" w:ascii="Times New Roman" w:hAnsi="Times New Roman" w:eastAsia="黑体" w:cs="Times New Roman"/>
          <w:sz w:val="28"/>
          <w:lang w:val="en-US" w:eastAsia="zh-CN"/>
        </w:rPr>
        <w:t xml:space="preserve"> </w:t>
      </w:r>
      <w:r>
        <w:rPr>
          <w:rFonts w:hint="eastAsia" w:ascii="Times New Roman" w:hAnsi="Times New Roman" w:eastAsia="黑体" w:cs="Times New Roman"/>
          <w:sz w:val="28"/>
          <w:lang w:val="en-US" w:eastAsia="zh-CN"/>
        </w:rPr>
        <w:fldChar w:fldCharType="end"/>
      </w:r>
      <w:bookmarkEnd w:id="3"/>
    </w:p>
    <w:p w14:paraId="43B78FD2">
      <w:pPr>
        <w:pStyle w:val="45"/>
        <w:bidi w:val="0"/>
        <w:spacing w:after="0"/>
        <w:rPr>
          <w:rFonts w:hint="eastAsia"/>
          <w:lang w:val="en-US" w:eastAsia="zh-CN"/>
        </w:rPr>
      </w:pPr>
      <w:bookmarkStart w:id="4" w:name="LB"/>
      <w:r>
        <w:rPr>
          <w:rFonts w:hint="eastAsia" w:cs="黑体"/>
          <w:sz w:val="24"/>
          <w:lang w:val="en-US" w:eastAsia="zh-CN"/>
        </w:rPr>
        <w:t>征求意见稿</w:t>
      </w:r>
      <w:r>
        <w:rPr>
          <w:rFonts w:hint="eastAsia" w:ascii="黑体" w:hAnsi="黑体" w:eastAsia="黑体" w:cs="黑体"/>
          <w:sz w:val="24"/>
          <w:lang w:val="en-US" w:eastAsia="zh-CN"/>
        </w:rPr>
        <w:fldChar w:fldCharType="begin">
          <w:ffData>
            <w:name w:val="LB"/>
            <w:enabled/>
            <w:calcOnExit w:val="0"/>
            <w:ddList>
              <w:listEntry w:val="     "/>
              <w:listEntry w:val="草案版次选择"/>
              <w:listEntry w:val="（工作组讨论稿）"/>
              <w:listEntry w:val="（征求意见稿）"/>
              <w:listEntry w:val="（送审讨论稿）"/>
              <w:listEntry w:val="（送审稿）"/>
              <w:listEntry w:val="（报批稿）"/>
            </w:ddList>
          </w:ffData>
        </w:fldChar>
      </w:r>
      <w:r>
        <w:rPr>
          <w:rFonts w:hint="eastAsia" w:ascii="黑体" w:hAnsi="黑体" w:eastAsia="黑体" w:cs="黑体"/>
          <w:sz w:val="24"/>
          <w:lang w:val="en-US" w:eastAsia="zh-CN"/>
        </w:rPr>
        <w:instrText xml:space="preserve">FORMDROPDOWN</w:instrText>
      </w:r>
      <w:r>
        <w:rPr>
          <w:rFonts w:hint="eastAsia" w:ascii="黑体" w:hAnsi="黑体" w:eastAsia="黑体" w:cs="黑体"/>
          <w:sz w:val="24"/>
          <w:lang w:val="en-US" w:eastAsia="zh-CN"/>
        </w:rPr>
        <w:fldChar w:fldCharType="separate"/>
      </w:r>
      <w:r>
        <w:rPr>
          <w:rFonts w:hint="eastAsia" w:ascii="黑体" w:hAnsi="黑体" w:eastAsia="黑体" w:cs="黑体"/>
          <w:sz w:val="24"/>
          <w:lang w:val="en-US" w:eastAsia="zh-CN"/>
        </w:rPr>
        <w:fldChar w:fldCharType="end"/>
      </w:r>
      <w:bookmarkEnd w:id="4"/>
    </w:p>
    <w:p w14:paraId="53866326">
      <w:pPr>
        <w:pStyle w:val="46"/>
        <w:bidi w:val="0"/>
        <w:spacing w:before="100"/>
        <w:rPr>
          <w:rFonts w:hint="eastAsia"/>
          <w:lang w:val="en-US" w:eastAsia="zh-CN"/>
        </w:rPr>
      </w:pPr>
      <w:r>
        <w:rPr>
          <w:rFonts w:hint="eastAsia"/>
          <w:lang w:val="en-US" w:eastAsia="zh-CN"/>
        </w:rPr>
        <w:fldChar w:fldCharType="begin">
          <w:ffData>
            <w:name w:val="WCRQ"/>
            <w:enabled/>
            <w:calcOnExit w:val="0"/>
            <w:textInput/>
          </w:ffData>
        </w:fldChar>
      </w:r>
      <w:bookmarkStart w:id="5" w:name="WCRQ"/>
      <w:r>
        <w:rPr>
          <w:rFonts w:hint="eastAsia"/>
          <w:lang w:val="en-US" w:eastAsia="zh-CN"/>
        </w:rPr>
        <w:instrText xml:space="preserve">FORMTEXT</w:instrText>
      </w:r>
      <w:r>
        <w:rPr>
          <w:rFonts w:hint="eastAsia"/>
          <w:lang w:val="en-US" w:eastAsia="zh-CN"/>
        </w:rPr>
        <w:fldChar w:fldCharType="separate"/>
      </w:r>
      <w:r>
        <w:rPr>
          <w:rFonts w:hint="default"/>
          <w:lang w:val="en-US" w:eastAsia="zh-CN"/>
        </w:rPr>
        <w:t>     </w:t>
      </w:r>
      <w:r>
        <w:rPr>
          <w:rFonts w:hint="eastAsia"/>
          <w:lang w:val="en-US" w:eastAsia="zh-CN"/>
        </w:rPr>
        <w:fldChar w:fldCharType="end"/>
      </w:r>
      <w:bookmarkEnd w:id="5"/>
    </w:p>
    <w:p w14:paraId="537B622E">
      <w:pPr>
        <w:pStyle w:val="47"/>
        <w:bidi w:val="0"/>
        <w:spacing w:before="687" w:beforeLines="220"/>
        <w:rPr>
          <w:rFonts w:hint="eastAsia"/>
          <w:lang w:val="en-US" w:eastAsia="zh-CN"/>
        </w:rPr>
      </w:pPr>
      <w:r>
        <w:rPr>
          <w:rFonts w:hint="eastAsia"/>
          <w:lang w:val="en-US" w:eastAsia="zh-CN"/>
        </w:rPr>
        <w:fldChar w:fldCharType="begin">
          <w:ffData>
            <w:name w:val="FileSelect"/>
            <w:enabled/>
            <w:calcOnExit w:val="0"/>
            <w:ddList>
              <w:result w:val="1"/>
              <w:default w:val="1"/>
              <w:listEntry w:val="     "/>
              <w:listEntry w:val="在提交反馈意见时，请将您知道的相关专利连同支持性文件一并附上。"/>
            </w:ddList>
          </w:ffData>
        </w:fldChar>
      </w:r>
      <w:bookmarkStart w:id="6" w:name="FileSelect"/>
      <w:r>
        <w:rPr>
          <w:rFonts w:hint="eastAsia"/>
          <w:lang w:val="en-US" w:eastAsia="zh-CN"/>
        </w:rPr>
        <w:instrText xml:space="preserve">FORMDROPDOWN</w:instrText>
      </w:r>
      <w:r>
        <w:rPr>
          <w:rFonts w:hint="eastAsia"/>
          <w:lang w:val="en-US" w:eastAsia="zh-CN"/>
        </w:rPr>
        <w:fldChar w:fldCharType="separate"/>
      </w:r>
      <w:r>
        <w:rPr>
          <w:rFonts w:hint="eastAsia"/>
          <w:lang w:val="en-US" w:eastAsia="zh-CN"/>
        </w:rPr>
        <w:fldChar w:fldCharType="end"/>
      </w:r>
      <w:bookmarkEnd w:id="6"/>
    </w:p>
    <w:tbl>
      <w:tblPr>
        <w:tblStyle w:val="20"/>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870"/>
        <w:gridCol w:w="4871"/>
      </w:tblGrid>
      <w:tr w14:paraId="26928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exact"/>
        </w:trPr>
        <w:tc>
          <w:tcPr>
            <w:tcW w:w="4944" w:type="dxa"/>
            <w:tcBorders>
              <w:bottom w:val="single" w:color="auto" w:sz="8" w:space="0"/>
            </w:tcBorders>
            <w:tcMar>
              <w:left w:w="57" w:type="dxa"/>
              <w:bottom w:w="28" w:type="dxa"/>
            </w:tcMar>
          </w:tcPr>
          <w:p w14:paraId="3D572888">
            <w:pPr>
              <w:pStyle w:val="39"/>
              <w:widowControl w:val="0"/>
              <w:bidi w:val="0"/>
              <w:jc w:val="both"/>
              <w:rPr>
                <w:rFonts w:hint="eastAsia"/>
                <w:vertAlign w:val="baseline"/>
                <w:lang w:val="en-US" w:eastAsia="zh-CN"/>
              </w:rPr>
            </w:pPr>
            <w:r>
              <w:rPr>
                <w:rFonts w:hint="eastAsia"/>
                <w:vertAlign w:val="baseline"/>
                <w:lang w:val="en-US" w:eastAsia="zh-CN"/>
              </w:rPr>
              <w:fldChar w:fldCharType="begin">
                <w:ffData>
                  <w:name w:val="FY"/>
                  <w:enabled/>
                  <w:calcOnExit w:val="0"/>
                  <w:textInput>
                    <w:default w:val="XXXX"/>
                    <w:maxLength w:val="4"/>
                  </w:textInput>
                </w:ffData>
              </w:fldChar>
            </w:r>
            <w:bookmarkStart w:id="7" w:name="FY"/>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XXXX</w:t>
            </w:r>
            <w:r>
              <w:rPr>
                <w:rFonts w:hint="eastAsia"/>
                <w:vertAlign w:val="baseline"/>
                <w:lang w:val="en-US" w:eastAsia="zh-CN"/>
              </w:rPr>
              <w:fldChar w:fldCharType="end"/>
            </w:r>
            <w:bookmarkEnd w:id="7"/>
            <w:r>
              <w:rPr>
                <w:rFonts w:hint="eastAsia"/>
                <w:vertAlign w:val="baseline"/>
                <w:lang w:val="en-US" w:eastAsia="zh-CN"/>
              </w:rPr>
              <w:t xml:space="preserve"> - </w:t>
            </w:r>
            <w:r>
              <w:rPr>
                <w:rFonts w:hint="eastAsia"/>
                <w:vertAlign w:val="baseline"/>
                <w:lang w:val="en-US" w:eastAsia="zh-CN"/>
              </w:rPr>
              <w:fldChar w:fldCharType="begin">
                <w:ffData>
                  <w:name w:val="FM"/>
                  <w:enabled/>
                  <w:calcOnExit w:val="0"/>
                  <w:textInput>
                    <w:default w:val="XX"/>
                    <w:maxLength w:val="2"/>
                  </w:textInput>
                </w:ffData>
              </w:fldChar>
            </w:r>
            <w:bookmarkStart w:id="8" w:name="FM"/>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8"/>
            <w:r>
              <w:rPr>
                <w:rFonts w:hint="eastAsia"/>
                <w:vertAlign w:val="baseline"/>
                <w:lang w:val="en-US" w:eastAsia="zh-CN"/>
              </w:rPr>
              <w:t xml:space="preserve"> - </w:t>
            </w:r>
            <w:r>
              <w:rPr>
                <w:rFonts w:hint="eastAsia"/>
                <w:vertAlign w:val="baseline"/>
                <w:lang w:val="en-US" w:eastAsia="zh-CN"/>
              </w:rPr>
              <w:fldChar w:fldCharType="begin">
                <w:ffData>
                  <w:name w:val="FD"/>
                  <w:enabled/>
                  <w:calcOnExit w:val="0"/>
                  <w:textInput>
                    <w:default w:val="XX"/>
                    <w:maxLength w:val="2"/>
                  </w:textInput>
                </w:ffData>
              </w:fldChar>
            </w:r>
            <w:bookmarkStart w:id="9" w:name="FD"/>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9"/>
            <w:r>
              <w:rPr>
                <w:rFonts w:hint="eastAsia"/>
                <w:vertAlign w:val="baseline"/>
                <w:lang w:val="en-US" w:eastAsia="zh-CN"/>
              </w:rPr>
              <w:t xml:space="preserve"> 发布</w:t>
            </w:r>
          </w:p>
        </w:tc>
        <w:tc>
          <w:tcPr>
            <w:tcW w:w="4945" w:type="dxa"/>
            <w:tcBorders>
              <w:bottom w:val="single" w:color="auto" w:sz="8" w:space="0"/>
            </w:tcBorders>
            <w:tcMar>
              <w:right w:w="57" w:type="dxa"/>
            </w:tcMar>
          </w:tcPr>
          <w:p w14:paraId="63F779C2">
            <w:pPr>
              <w:pStyle w:val="39"/>
              <w:widowControl w:val="0"/>
              <w:bidi w:val="0"/>
              <w:jc w:val="right"/>
              <w:rPr>
                <w:rFonts w:hint="eastAsia"/>
                <w:vertAlign w:val="baseline"/>
                <w:lang w:val="en-US" w:eastAsia="zh-CN"/>
              </w:rPr>
            </w:pPr>
            <w:r>
              <w:rPr>
                <w:rFonts w:hint="eastAsia"/>
                <w:vertAlign w:val="baseline"/>
                <w:lang w:val="en-US" w:eastAsia="zh-CN"/>
              </w:rPr>
              <w:fldChar w:fldCharType="begin">
                <w:ffData>
                  <w:name w:val="SY"/>
                  <w:enabled/>
                  <w:calcOnExit w:val="0"/>
                  <w:textInput>
                    <w:default w:val="XXXX"/>
                    <w:maxLength w:val="4"/>
                  </w:textInput>
                </w:ffData>
              </w:fldChar>
            </w:r>
            <w:bookmarkStart w:id="10" w:name="SY"/>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XXXX</w:t>
            </w:r>
            <w:r>
              <w:rPr>
                <w:rFonts w:hint="eastAsia"/>
                <w:vertAlign w:val="baseline"/>
                <w:lang w:val="en-US" w:eastAsia="zh-CN"/>
              </w:rPr>
              <w:fldChar w:fldCharType="end"/>
            </w:r>
            <w:bookmarkEnd w:id="10"/>
            <w:r>
              <w:rPr>
                <w:rFonts w:hint="eastAsia"/>
                <w:vertAlign w:val="baseline"/>
                <w:lang w:val="en-US" w:eastAsia="zh-CN"/>
              </w:rPr>
              <w:t xml:space="preserve"> - </w:t>
            </w:r>
            <w:r>
              <w:rPr>
                <w:rFonts w:hint="eastAsia"/>
                <w:vertAlign w:val="baseline"/>
                <w:lang w:val="en-US" w:eastAsia="zh-CN"/>
              </w:rPr>
              <w:fldChar w:fldCharType="begin">
                <w:ffData>
                  <w:name w:val="SM"/>
                  <w:enabled/>
                  <w:calcOnExit w:val="0"/>
                  <w:textInput>
                    <w:default w:val="XX"/>
                    <w:maxLength w:val="2"/>
                  </w:textInput>
                </w:ffData>
              </w:fldChar>
            </w:r>
            <w:bookmarkStart w:id="11" w:name="SM"/>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11"/>
            <w:r>
              <w:rPr>
                <w:rFonts w:hint="eastAsia"/>
                <w:vertAlign w:val="baseline"/>
                <w:lang w:val="en-US" w:eastAsia="zh-CN"/>
              </w:rPr>
              <w:t xml:space="preserve"> - </w:t>
            </w:r>
            <w:r>
              <w:rPr>
                <w:rFonts w:hint="eastAsia"/>
                <w:vertAlign w:val="baseline"/>
                <w:lang w:val="en-US" w:eastAsia="zh-CN"/>
              </w:rPr>
              <w:fldChar w:fldCharType="begin">
                <w:ffData>
                  <w:name w:val="SD"/>
                  <w:enabled/>
                  <w:calcOnExit w:val="0"/>
                  <w:textInput>
                    <w:default w:val="XX"/>
                    <w:maxLength w:val="2"/>
                  </w:textInput>
                </w:ffData>
              </w:fldChar>
            </w:r>
            <w:bookmarkStart w:id="12" w:name="SD"/>
            <w:r>
              <w:rPr>
                <w:rFonts w:hint="eastAsia"/>
                <w:vertAlign w:val="baseline"/>
                <w:lang w:val="en-US" w:eastAsia="zh-CN"/>
              </w:rPr>
              <w:instrText xml:space="preserve">FORMTEXT</w:instrText>
            </w:r>
            <w:r>
              <w:rPr>
                <w:rFonts w:hint="eastAsia"/>
                <w:vertAlign w:val="baseline"/>
                <w:lang w:val="en-US" w:eastAsia="zh-CN"/>
              </w:rPr>
              <w:fldChar w:fldCharType="separate"/>
            </w:r>
            <w:r>
              <w:rPr>
                <w:rFonts w:hint="eastAsia"/>
                <w:vertAlign w:val="baseline"/>
                <w:lang w:val="en-US" w:eastAsia="zh-CN"/>
              </w:rPr>
              <w:t>XX</w:t>
            </w:r>
            <w:r>
              <w:rPr>
                <w:rFonts w:hint="eastAsia"/>
                <w:vertAlign w:val="baseline"/>
                <w:lang w:val="en-US" w:eastAsia="zh-CN"/>
              </w:rPr>
              <w:fldChar w:fldCharType="end"/>
            </w:r>
            <w:bookmarkEnd w:id="12"/>
            <w:r>
              <w:rPr>
                <w:rFonts w:hint="eastAsia"/>
                <w:vertAlign w:val="baseline"/>
                <w:lang w:val="en-US" w:eastAsia="zh-CN"/>
              </w:rPr>
              <w:t xml:space="preserve"> 实施</w:t>
            </w:r>
          </w:p>
        </w:tc>
      </w:tr>
    </w:tbl>
    <w:p w14:paraId="1521DB7F">
      <w:pPr>
        <w:pStyle w:val="49"/>
        <w:bidi w:val="0"/>
        <w:spacing w:before="0"/>
        <w:rPr>
          <w:rFonts w:hint="eastAsia"/>
          <w:spacing w:val="0"/>
          <w:w w:val="100"/>
          <w:sz w:val="28"/>
          <w:lang w:val="en-US" w:eastAsia="zh-CN"/>
        </w:rPr>
      </w:pPr>
      <w:r>
        <w:rPr>
          <w:rFonts w:hint="eastAsia"/>
          <w:lang w:val="en-US" w:eastAsia="zh-CN"/>
        </w:rPr>
        <w:t>青海标准化协会</w:t>
      </w:r>
      <w:r>
        <w:rPr>
          <w:rFonts w:hint="eastAsia"/>
          <w:sz w:val="28"/>
          <w:lang w:val="en-US" w:eastAsia="zh-CN"/>
        </w:rPr>
        <w:t>  </w:t>
      </w:r>
      <w:r>
        <w:rPr>
          <w:rFonts w:hint="eastAsia"/>
          <w:spacing w:val="85"/>
          <w:w w:val="100"/>
          <w:sz w:val="28"/>
          <w:lang w:val="en-US" w:eastAsia="zh-CN"/>
        </w:rPr>
        <w:t>发</w:t>
      </w:r>
      <w:r>
        <w:rPr>
          <w:rFonts w:hint="eastAsia"/>
          <w:spacing w:val="0"/>
          <w:w w:val="100"/>
          <w:sz w:val="28"/>
          <w:lang w:val="en-US" w:eastAsia="zh-CN"/>
        </w:rPr>
        <w:t>布</w:t>
      </w:r>
    </w:p>
    <w:tbl>
      <w:tblPr>
        <w:tblStyle w:val="20"/>
        <w:tblW w:w="95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63"/>
        <w:gridCol w:w="9107"/>
      </w:tblGrid>
      <w:tr w14:paraId="770FB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12838C03">
            <w:pPr>
              <w:pStyle w:val="53"/>
              <w:bidi w:val="0"/>
              <w:jc w:val="both"/>
              <w:rPr>
                <w:rFonts w:hint="eastAsia"/>
                <w:vertAlign w:val="baseline"/>
                <w:lang w:val="en-US" w:eastAsia="zh-CN"/>
              </w:rPr>
            </w:pPr>
            <w:r>
              <w:rPr>
                <w:rFonts w:hint="eastAsia"/>
                <w:vertAlign w:val="baseline"/>
                <w:lang w:val="en-US" w:eastAsia="zh-CN"/>
              </w:rPr>
              <w:t>ICS</w:t>
            </w:r>
          </w:p>
        </w:tc>
        <w:tc>
          <w:tcPr>
            <w:tcW w:w="9107" w:type="dxa"/>
          </w:tcPr>
          <w:p w14:paraId="0BB3069B">
            <w:pPr>
              <w:pStyle w:val="53"/>
              <w:bidi w:val="0"/>
              <w:jc w:val="both"/>
              <w:rPr>
                <w:rFonts w:hint="default"/>
                <w:vertAlign w:val="baseline"/>
                <w:lang w:val="en-US" w:eastAsia="zh-CN"/>
              </w:rPr>
            </w:pPr>
            <w:r>
              <w:rPr>
                <w:rFonts w:hint="eastAsia"/>
                <w:vertAlign w:val="baseline"/>
                <w:lang w:val="en-US" w:eastAsia="zh-CN"/>
              </w:rPr>
              <w:t>65.020.20</w:t>
            </w:r>
          </w:p>
        </w:tc>
      </w:tr>
      <w:tr w14:paraId="6B002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32BE636F">
            <w:pPr>
              <w:pStyle w:val="53"/>
              <w:bidi w:val="0"/>
              <w:jc w:val="both"/>
              <w:rPr>
                <w:rFonts w:hint="eastAsia"/>
                <w:vertAlign w:val="baseline"/>
                <w:lang w:val="en-US" w:eastAsia="zh-CN"/>
              </w:rPr>
            </w:pPr>
            <w:r>
              <w:rPr>
                <w:rFonts w:hint="eastAsia"/>
                <w:vertAlign w:val="baseline"/>
                <w:lang w:val="en-US" w:eastAsia="zh-CN"/>
              </w:rPr>
              <w:t>CCS</w:t>
            </w:r>
          </w:p>
        </w:tc>
        <w:tc>
          <w:tcPr>
            <w:tcW w:w="9107" w:type="dxa"/>
          </w:tcPr>
          <w:p w14:paraId="32124969">
            <w:pPr>
              <w:pStyle w:val="53"/>
              <w:bidi w:val="0"/>
              <w:jc w:val="both"/>
              <w:rPr>
                <w:rFonts w:hint="default"/>
                <w:vertAlign w:val="baseline"/>
                <w:lang w:val="en-US" w:eastAsia="zh-CN"/>
              </w:rPr>
            </w:pPr>
            <w:r>
              <w:rPr>
                <w:rFonts w:hint="eastAsia"/>
                <w:vertAlign w:val="baseline"/>
                <w:lang w:val="en-US" w:eastAsia="zh-CN"/>
              </w:rPr>
              <w:t>B 31</w:t>
            </w:r>
          </w:p>
        </w:tc>
      </w:tr>
    </w:tbl>
    <w:p w14:paraId="3BF7E580">
      <w:pPr>
        <w:pStyle w:val="53"/>
        <w:bidi w:val="0"/>
        <w:rPr>
          <w:rFonts w:hint="eastAsia"/>
          <w:lang w:val="en-US" w:eastAsia="zh-CN"/>
        </w:rPr>
        <w:sectPr>
          <w:headerReference r:id="rId3" w:type="default"/>
          <w:footerReference r:id="rId4" w:type="default"/>
          <w:pgSz w:w="11906" w:h="16838"/>
          <w:pgMar w:top="-340" w:right="1134" w:bottom="1021" w:left="1134" w:header="0" w:footer="0" w:gutter="284"/>
          <w:lnNumType w:countBy="0" w:restart="continuous"/>
          <w:pgNumType w:fmt="decimal" w:start="1"/>
          <w:cols w:space="425" w:num="1"/>
          <w:titlePg/>
          <w:docGrid w:type="lines" w:linePitch="312" w:charSpace="0"/>
        </w:sectPr>
      </w:pPr>
    </w:p>
    <w:p w14:paraId="1E0F320C">
      <w:pPr>
        <w:pStyle w:val="54"/>
        <w:bidi w:val="0"/>
        <w:rPr>
          <w:rFonts w:hint="eastAsia"/>
          <w:lang w:val="en-US" w:eastAsia="zh-CN"/>
        </w:rPr>
      </w:pPr>
      <w:r>
        <w:rPr>
          <w:rFonts w:hint="eastAsia"/>
          <w:spacing w:val="317"/>
          <w:lang w:val="en-US" w:eastAsia="zh-CN"/>
        </w:rPr>
        <w:t>目</w:t>
      </w:r>
      <w:bookmarkStart w:id="13" w:name="BKML"/>
      <w:r>
        <w:rPr>
          <w:rFonts w:hint="eastAsia"/>
          <w:lang w:val="en-US" w:eastAsia="zh-CN"/>
        </w:rPr>
        <w:t>次</w:t>
      </w:r>
      <w:bookmarkEnd w:id="13"/>
    </w:p>
    <w:p w14:paraId="5A676367">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TOC \t "标准文件_前言、引言标题,1,标准文件_章标题,1,标准文件_附录标识,1,标准文件_参考文献标题,1,标准文件_索引标题,1,标准文件_一级条标题,2" \h</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_Toc20041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前言</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_Toc20041 \h </w:instrText>
      </w:r>
      <w:r>
        <w:rPr>
          <w:rFonts w:hint="eastAsia" w:ascii="宋体" w:hAnsi="宋体" w:eastAsia="宋体" w:cs="宋体"/>
          <w:spacing w:val="0"/>
        </w:rPr>
        <w:fldChar w:fldCharType="separate"/>
      </w:r>
      <w:r>
        <w:rPr>
          <w:rFonts w:hint="eastAsia" w:ascii="宋体" w:hAnsi="宋体" w:eastAsia="宋体" w:cs="宋体"/>
          <w:spacing w:val="0"/>
        </w:rPr>
        <w:t>II</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7B3A865E">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_Toc28627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1</w:t>
      </w:r>
      <w:r>
        <w:rPr>
          <w:rFonts w:hint="eastAsia" w:cs="宋体"/>
          <w:spacing w:val="0"/>
          <w:lang w:val="en-US" w:eastAsia="zh-CN"/>
        </w:rPr>
        <w:t xml:space="preserve"> </w:t>
      </w:r>
      <w:r>
        <w:rPr>
          <w:rFonts w:hint="eastAsia" w:ascii="宋体" w:hAnsi="宋体" w:eastAsia="宋体" w:cs="宋体"/>
          <w:spacing w:val="0"/>
          <w:lang w:val="en-US" w:eastAsia="zh-CN"/>
        </w:rPr>
        <w:t xml:space="preserve"> 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_Toc28627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455225CE">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_Toc31816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2</w:t>
      </w:r>
      <w:r>
        <w:rPr>
          <w:rFonts w:hint="eastAsia" w:cs="宋体"/>
          <w:spacing w:val="0"/>
          <w:lang w:val="en-US" w:eastAsia="zh-CN"/>
        </w:rPr>
        <w:t xml:space="preserve"> </w:t>
      </w:r>
      <w:r>
        <w:rPr>
          <w:rFonts w:hint="eastAsia" w:ascii="宋体" w:hAnsi="宋体" w:eastAsia="宋体" w:cs="宋体"/>
          <w:spacing w:val="0"/>
          <w:lang w:val="en-US" w:eastAsia="zh-CN"/>
        </w:rPr>
        <w:t xml:space="preserve"> 规范性引用文件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_Toc31816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5191252E">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_Toc31452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3</w:t>
      </w:r>
      <w:r>
        <w:rPr>
          <w:rFonts w:hint="eastAsia" w:cs="宋体"/>
          <w:spacing w:val="0"/>
          <w:lang w:val="en-US" w:eastAsia="zh-CN"/>
        </w:rPr>
        <w:t xml:space="preserve"> </w:t>
      </w:r>
      <w:r>
        <w:rPr>
          <w:rFonts w:hint="eastAsia" w:ascii="宋体" w:hAnsi="宋体" w:eastAsia="宋体" w:cs="宋体"/>
          <w:spacing w:val="0"/>
          <w:lang w:val="en-US" w:eastAsia="zh-CN"/>
        </w:rPr>
        <w:t xml:space="preserve"> 术语和定义</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_Toc31452 \h </w:instrText>
      </w:r>
      <w:r>
        <w:rPr>
          <w:rFonts w:hint="eastAsia" w:ascii="宋体" w:hAnsi="宋体" w:eastAsia="宋体" w:cs="宋体"/>
          <w:spacing w:val="0"/>
        </w:rPr>
        <w:fldChar w:fldCharType="separate"/>
      </w:r>
      <w:r>
        <w:rPr>
          <w:rFonts w:hint="eastAsia" w:ascii="宋体" w:hAnsi="宋体" w:eastAsia="宋体" w:cs="宋体"/>
          <w:spacing w:val="0"/>
        </w:rPr>
        <w:t>1</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720C6A0C">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_Toc28085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4</w:t>
      </w:r>
      <w:r>
        <w:rPr>
          <w:rFonts w:hint="eastAsia" w:cs="宋体"/>
          <w:spacing w:val="0"/>
          <w:lang w:val="en-US" w:eastAsia="zh-CN"/>
        </w:rPr>
        <w:t xml:space="preserve"> </w:t>
      </w:r>
      <w:r>
        <w:rPr>
          <w:rFonts w:hint="eastAsia" w:ascii="宋体" w:hAnsi="宋体" w:eastAsia="宋体" w:cs="宋体"/>
          <w:spacing w:val="0"/>
          <w:lang w:val="en-US" w:eastAsia="zh-CN"/>
        </w:rPr>
        <w:t xml:space="preserve"> 产地范围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_Toc28085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37081B5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_Toc31261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5</w:t>
      </w:r>
      <w:r>
        <w:rPr>
          <w:rFonts w:hint="eastAsia" w:cs="宋体"/>
          <w:spacing w:val="0"/>
          <w:lang w:val="en-US" w:eastAsia="zh-CN"/>
        </w:rPr>
        <w:t xml:space="preserve"> </w:t>
      </w:r>
      <w:r>
        <w:rPr>
          <w:rFonts w:hint="eastAsia" w:ascii="宋体" w:hAnsi="宋体" w:eastAsia="宋体" w:cs="宋体"/>
          <w:spacing w:val="0"/>
          <w:lang w:val="en-US" w:eastAsia="zh-CN"/>
        </w:rPr>
        <w:t xml:space="preserve"> 产地环境</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_Toc31261 \h </w:instrText>
      </w:r>
      <w:r>
        <w:rPr>
          <w:rFonts w:hint="eastAsia" w:ascii="宋体" w:hAnsi="宋体" w:eastAsia="宋体" w:cs="宋体"/>
          <w:spacing w:val="0"/>
        </w:rPr>
        <w:fldChar w:fldCharType="separate"/>
      </w:r>
      <w:r>
        <w:rPr>
          <w:rFonts w:hint="eastAsia" w:ascii="宋体" w:hAnsi="宋体" w:eastAsia="宋体" w:cs="宋体"/>
          <w:spacing w:val="0"/>
        </w:rPr>
        <w:t>2</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6E302CCB">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_Toc21500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6</w:t>
      </w:r>
      <w:r>
        <w:rPr>
          <w:rFonts w:hint="eastAsia" w:cs="宋体"/>
          <w:spacing w:val="0"/>
          <w:lang w:val="en-US" w:eastAsia="zh-CN"/>
        </w:rPr>
        <w:t xml:space="preserve"> </w:t>
      </w:r>
      <w:r>
        <w:rPr>
          <w:rFonts w:hint="eastAsia" w:ascii="宋体" w:hAnsi="宋体" w:eastAsia="宋体" w:cs="宋体"/>
          <w:spacing w:val="0"/>
          <w:lang w:val="en-US" w:eastAsia="zh-CN"/>
        </w:rPr>
        <w:t xml:space="preserve"> 技术要求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_Toc21500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5801A09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_Toc32585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7</w:t>
      </w:r>
      <w:r>
        <w:rPr>
          <w:rFonts w:hint="eastAsia" w:cs="宋体"/>
          <w:spacing w:val="0"/>
          <w:lang w:val="en-US" w:eastAsia="zh-CN"/>
        </w:rPr>
        <w:t xml:space="preserve"> </w:t>
      </w:r>
      <w:r>
        <w:rPr>
          <w:rFonts w:hint="eastAsia" w:ascii="宋体" w:hAnsi="宋体" w:eastAsia="宋体" w:cs="宋体"/>
          <w:spacing w:val="0"/>
          <w:lang w:val="en-US" w:eastAsia="zh-CN"/>
        </w:rPr>
        <w:t xml:space="preserve"> 质量要求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_Toc32585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422059F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_Toc28696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8</w:t>
      </w:r>
      <w:r>
        <w:rPr>
          <w:rFonts w:hint="eastAsia" w:cs="宋体"/>
          <w:spacing w:val="0"/>
          <w:lang w:val="en-US" w:eastAsia="zh-CN"/>
        </w:rPr>
        <w:t xml:space="preserve"> </w:t>
      </w:r>
      <w:r>
        <w:rPr>
          <w:rFonts w:hint="eastAsia" w:ascii="宋体" w:hAnsi="宋体" w:eastAsia="宋体" w:cs="宋体"/>
          <w:spacing w:val="0"/>
          <w:lang w:val="en-US" w:eastAsia="zh-CN"/>
        </w:rPr>
        <w:t xml:space="preserve"> 检验方法</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_Toc28696 \h </w:instrText>
      </w:r>
      <w:r>
        <w:rPr>
          <w:rFonts w:hint="eastAsia" w:ascii="宋体" w:hAnsi="宋体" w:eastAsia="宋体" w:cs="宋体"/>
          <w:spacing w:val="0"/>
        </w:rPr>
        <w:fldChar w:fldCharType="separate"/>
      </w:r>
      <w:r>
        <w:rPr>
          <w:rFonts w:hint="eastAsia" w:ascii="宋体" w:hAnsi="宋体" w:eastAsia="宋体" w:cs="宋体"/>
          <w:spacing w:val="0"/>
        </w:rPr>
        <w:t>6</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654DB5B6">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_Toc11576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9</w:t>
      </w:r>
      <w:r>
        <w:rPr>
          <w:rFonts w:hint="eastAsia" w:cs="宋体"/>
          <w:spacing w:val="0"/>
          <w:lang w:val="en-US" w:eastAsia="zh-CN"/>
        </w:rPr>
        <w:t xml:space="preserve"> </w:t>
      </w:r>
      <w:r>
        <w:rPr>
          <w:rFonts w:hint="eastAsia" w:ascii="宋体" w:hAnsi="宋体" w:eastAsia="宋体" w:cs="宋体"/>
          <w:spacing w:val="0"/>
          <w:lang w:val="en-US" w:eastAsia="zh-CN"/>
        </w:rPr>
        <w:t xml:space="preserve"> 检验规则</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_Toc11576 \h </w:instrText>
      </w:r>
      <w:r>
        <w:rPr>
          <w:rFonts w:hint="eastAsia" w:ascii="宋体" w:hAnsi="宋体" w:eastAsia="宋体" w:cs="宋体"/>
          <w:spacing w:val="0"/>
        </w:rPr>
        <w:fldChar w:fldCharType="separate"/>
      </w:r>
      <w:r>
        <w:rPr>
          <w:rFonts w:hint="eastAsia" w:ascii="宋体" w:hAnsi="宋体" w:eastAsia="宋体" w:cs="宋体"/>
          <w:spacing w:val="0"/>
        </w:rPr>
        <w:t>7</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081A1287">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_Toc20512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10</w:t>
      </w:r>
      <w:r>
        <w:rPr>
          <w:rFonts w:hint="eastAsia" w:cs="宋体"/>
          <w:spacing w:val="0"/>
          <w:lang w:val="en-US" w:eastAsia="zh-CN"/>
        </w:rPr>
        <w:t xml:space="preserve"> </w:t>
      </w:r>
      <w:r>
        <w:rPr>
          <w:rFonts w:hint="eastAsia" w:ascii="宋体" w:hAnsi="宋体" w:eastAsia="宋体" w:cs="宋体"/>
          <w:spacing w:val="0"/>
          <w:lang w:val="en-US" w:eastAsia="zh-CN"/>
        </w:rPr>
        <w:t xml:space="preserve"> 标志标签与地理标志使用</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_Toc20512 \h </w:instrText>
      </w:r>
      <w:r>
        <w:rPr>
          <w:rFonts w:hint="eastAsia" w:ascii="宋体" w:hAnsi="宋体" w:eastAsia="宋体" w:cs="宋体"/>
          <w:spacing w:val="0"/>
        </w:rPr>
        <w:fldChar w:fldCharType="separate"/>
      </w:r>
      <w:r>
        <w:rPr>
          <w:rFonts w:hint="eastAsia" w:ascii="宋体" w:hAnsi="宋体" w:eastAsia="宋体" w:cs="宋体"/>
          <w:spacing w:val="0"/>
        </w:rPr>
        <w:t>7</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652E993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_Toc32194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11</w:t>
      </w:r>
      <w:r>
        <w:rPr>
          <w:rFonts w:hint="eastAsia" w:cs="宋体"/>
          <w:spacing w:val="0"/>
          <w:lang w:val="en-US" w:eastAsia="zh-CN"/>
        </w:rPr>
        <w:t xml:space="preserve"> </w:t>
      </w:r>
      <w:r>
        <w:rPr>
          <w:rFonts w:hint="eastAsia" w:ascii="宋体" w:hAnsi="宋体" w:eastAsia="宋体" w:cs="宋体"/>
          <w:spacing w:val="0"/>
          <w:lang w:val="en-US" w:eastAsia="zh-CN"/>
        </w:rPr>
        <w:t xml:space="preserve"> 包装运输与贮存</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_Toc32194 \h </w:instrText>
      </w:r>
      <w:r>
        <w:rPr>
          <w:rFonts w:hint="eastAsia" w:ascii="宋体" w:hAnsi="宋体" w:eastAsia="宋体" w:cs="宋体"/>
          <w:spacing w:val="0"/>
        </w:rPr>
        <w:fldChar w:fldCharType="separate"/>
      </w:r>
      <w:r>
        <w:rPr>
          <w:rFonts w:hint="eastAsia" w:ascii="宋体" w:hAnsi="宋体" w:eastAsia="宋体" w:cs="宋体"/>
          <w:spacing w:val="0"/>
        </w:rPr>
        <w:t>7</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5082BD9F">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_Toc575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附录A</w:t>
      </w:r>
      <w:r>
        <w:rPr>
          <w:rFonts w:hint="eastAsia" w:cs="宋体"/>
          <w:spacing w:val="0"/>
          <w:lang w:val="en-US" w:eastAsia="zh-CN"/>
        </w:rPr>
        <w:t xml:space="preserve"> </w:t>
      </w:r>
      <w:r>
        <w:rPr>
          <w:rFonts w:hint="eastAsia" w:ascii="宋体" w:hAnsi="宋体" w:eastAsia="宋体" w:cs="宋体"/>
          <w:spacing w:val="0"/>
          <w:lang w:val="en-US" w:eastAsia="zh-CN"/>
        </w:rPr>
        <w:t>（资料性） 地理标志产品质量要求乐都绿萝卜产地范围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_Toc575 \h </w:instrText>
      </w:r>
      <w:r>
        <w:rPr>
          <w:rFonts w:hint="eastAsia" w:ascii="宋体" w:hAnsi="宋体" w:eastAsia="宋体" w:cs="宋体"/>
          <w:spacing w:val="0"/>
        </w:rPr>
        <w:fldChar w:fldCharType="separate"/>
      </w:r>
      <w:r>
        <w:rPr>
          <w:rFonts w:hint="eastAsia" w:ascii="宋体" w:hAnsi="宋体" w:eastAsia="宋体" w:cs="宋体"/>
          <w:spacing w:val="0"/>
        </w:rPr>
        <w:t>8</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54BF807A">
      <w:pPr>
        <w:pStyle w:val="14"/>
        <w:tabs>
          <w:tab w:val="right" w:leader="dot" w:pos="9354"/>
        </w:tabs>
        <w:ind w:left="0" w:leftChars="0" w:firstLine="0" w:firstLineChars="0"/>
        <w:rPr>
          <w:rFonts w:hint="eastAsia" w:ascii="宋体" w:hAnsi="宋体" w:eastAsia="宋体" w:cs="宋体"/>
          <w:spacing w:val="0"/>
        </w:rPr>
      </w:pPr>
      <w:r>
        <w:rPr>
          <w:rFonts w:hint="eastAsia" w:ascii="宋体" w:hAnsi="宋体" w:eastAsia="宋体" w:cs="宋体"/>
          <w:spacing w:val="0"/>
          <w:lang w:val="en-US" w:eastAsia="zh-CN"/>
        </w:rPr>
        <w:fldChar w:fldCharType="begin"/>
      </w:r>
      <w:r>
        <w:rPr>
          <w:rFonts w:hint="eastAsia" w:ascii="宋体" w:hAnsi="宋体" w:eastAsia="宋体" w:cs="宋体"/>
          <w:spacing w:val="0"/>
          <w:lang w:val="en-US" w:eastAsia="zh-CN"/>
        </w:rPr>
        <w:instrText xml:space="preserve"> HYPERLINK \l _Toc6988 </w:instrText>
      </w:r>
      <w:r>
        <w:rPr>
          <w:rFonts w:hint="eastAsia" w:ascii="宋体" w:hAnsi="宋体" w:eastAsia="宋体" w:cs="宋体"/>
          <w:spacing w:val="0"/>
          <w:lang w:val="en-US" w:eastAsia="zh-CN"/>
        </w:rPr>
        <w:fldChar w:fldCharType="separate"/>
      </w:r>
      <w:r>
        <w:rPr>
          <w:rFonts w:hint="eastAsia" w:ascii="宋体" w:hAnsi="宋体" w:eastAsia="宋体" w:cs="宋体"/>
          <w:spacing w:val="0"/>
          <w:lang w:val="en-US" w:eastAsia="zh-CN"/>
        </w:rPr>
        <w:t>参考文献</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_Toc6988 \h </w:instrText>
      </w:r>
      <w:r>
        <w:rPr>
          <w:rFonts w:hint="eastAsia" w:ascii="宋体" w:hAnsi="宋体" w:eastAsia="宋体" w:cs="宋体"/>
          <w:spacing w:val="0"/>
        </w:rPr>
        <w:fldChar w:fldCharType="separate"/>
      </w:r>
      <w:r>
        <w:rPr>
          <w:rFonts w:hint="eastAsia" w:ascii="宋体" w:hAnsi="宋体" w:eastAsia="宋体" w:cs="宋体"/>
          <w:spacing w:val="0"/>
        </w:rPr>
        <w:t>9</w:t>
      </w:r>
      <w:r>
        <w:rPr>
          <w:rFonts w:hint="eastAsia" w:ascii="宋体" w:hAnsi="宋体" w:eastAsia="宋体" w:cs="宋体"/>
          <w:spacing w:val="0"/>
        </w:rPr>
        <w:fldChar w:fldCharType="end"/>
      </w:r>
      <w:r>
        <w:rPr>
          <w:rFonts w:hint="eastAsia" w:ascii="宋体" w:hAnsi="宋体" w:eastAsia="宋体" w:cs="宋体"/>
          <w:spacing w:val="0"/>
          <w:lang w:val="en-US" w:eastAsia="zh-CN"/>
        </w:rPr>
        <w:fldChar w:fldCharType="end"/>
      </w:r>
    </w:p>
    <w:p w14:paraId="6A9E5909">
      <w:pPr>
        <w:bidi w:val="0"/>
        <w:ind w:left="0" w:leftChars="0" w:firstLine="0" w:firstLineChars="0"/>
        <w:rPr>
          <w:rFonts w:hint="eastAsia"/>
          <w:lang w:val="en-US" w:eastAsia="zh-CN"/>
        </w:rPr>
      </w:pPr>
      <w:r>
        <w:rPr>
          <w:rFonts w:hint="eastAsia" w:ascii="宋体" w:hAnsi="宋体" w:eastAsia="宋体" w:cs="宋体"/>
          <w:spacing w:val="0"/>
          <w:lang w:val="en-US" w:eastAsia="zh-CN"/>
        </w:rPr>
        <w:fldChar w:fldCharType="end"/>
      </w:r>
    </w:p>
    <w:p w14:paraId="337666C7">
      <w:pPr>
        <w:rPr>
          <w:rFonts w:hint="eastAsia"/>
          <w:lang w:val="en-US" w:eastAsia="zh-CN"/>
        </w:rPr>
      </w:pPr>
      <w:r>
        <w:rPr>
          <w:rFonts w:hint="eastAsia"/>
          <w:lang w:val="en-US" w:eastAsia="zh-CN"/>
        </w:rPr>
        <w:br w:type="page"/>
      </w:r>
    </w:p>
    <w:p w14:paraId="229D3ADA">
      <w:pPr>
        <w:pStyle w:val="55"/>
        <w:bidi w:val="0"/>
        <w:rPr>
          <w:rFonts w:hint="eastAsia"/>
          <w:lang w:val="en-US" w:eastAsia="zh-CN"/>
        </w:rPr>
      </w:pPr>
      <w:bookmarkStart w:id="14" w:name="_Toc20041"/>
      <w:r>
        <w:rPr>
          <w:rFonts w:hint="eastAsia"/>
          <w:spacing w:val="317"/>
          <w:lang w:val="en-US" w:eastAsia="zh-CN"/>
        </w:rPr>
        <w:t>前</w:t>
      </w:r>
      <w:bookmarkStart w:id="15" w:name="BKQY"/>
      <w:r>
        <w:rPr>
          <w:rFonts w:hint="eastAsia"/>
          <w:lang w:val="en-US" w:eastAsia="zh-CN"/>
        </w:rPr>
        <w:t>言</w:t>
      </w:r>
      <w:bookmarkEnd w:id="14"/>
    </w:p>
    <w:p w14:paraId="2641CBAC">
      <w:pPr>
        <w:pStyle w:val="24"/>
        <w:bidi w:val="0"/>
        <w:rPr>
          <w:rFonts w:hint="eastAsia"/>
          <w:lang w:val="en-US" w:eastAsia="zh-CN"/>
        </w:rPr>
      </w:pPr>
      <w:r>
        <w:rPr>
          <w:rFonts w:hint="eastAsia"/>
          <w:lang w:val="en-US" w:eastAsia="zh-CN"/>
        </w:rPr>
        <w:t>本文件按照GB/T 1.1—2020《标准化工作导则  第1部分：标准化文件的结构和起草规则》的规定起草。</w:t>
      </w:r>
    </w:p>
    <w:p w14:paraId="6083B450">
      <w:pPr>
        <w:pStyle w:val="24"/>
        <w:bidi w:val="0"/>
        <w:rPr>
          <w:rFonts w:hint="eastAsia"/>
          <w:lang w:val="en-US" w:eastAsia="zh-CN"/>
        </w:rPr>
      </w:pPr>
      <w:r>
        <w:rPr>
          <w:rFonts w:hint="eastAsia"/>
          <w:lang w:val="en-US" w:eastAsia="zh-CN"/>
        </w:rPr>
        <w:t>请注意本文件的某些内容可能涉及专利。本文件的发布机构不承担识别专利的责任。</w:t>
      </w:r>
    </w:p>
    <w:p w14:paraId="3C8451F0">
      <w:pPr>
        <w:pStyle w:val="24"/>
        <w:bidi w:val="0"/>
        <w:rPr>
          <w:rFonts w:hint="eastAsia"/>
          <w:lang w:eastAsia="zh-CN"/>
        </w:rPr>
      </w:pPr>
      <w:r>
        <w:rPr>
          <w:rFonts w:hint="eastAsia"/>
          <w:lang w:eastAsia="zh-CN"/>
        </w:rPr>
        <w:t>本文件由</w:t>
      </w:r>
      <w:r>
        <w:rPr>
          <w:rFonts w:hint="eastAsia"/>
          <w:lang w:val="en-US" w:eastAsia="zh-CN"/>
        </w:rPr>
        <w:t>青海省标准化协会提出并归口。</w:t>
      </w:r>
    </w:p>
    <w:p w14:paraId="68EED078">
      <w:pPr>
        <w:pStyle w:val="24"/>
        <w:bidi w:val="0"/>
        <w:rPr>
          <w:rFonts w:hint="default"/>
          <w:lang w:val="en-US" w:eastAsia="zh-CN"/>
        </w:rPr>
      </w:pPr>
      <w:r>
        <w:rPr>
          <w:rFonts w:hint="eastAsia"/>
          <w:lang w:eastAsia="zh-CN"/>
        </w:rPr>
        <w:t>本文件起草单位：青海省农业技术推广总站、青海省农牧机械推广总站</w:t>
      </w:r>
      <w:r>
        <w:rPr>
          <w:rFonts w:hint="eastAsia"/>
          <w:lang w:val="en-US" w:eastAsia="zh-CN"/>
        </w:rPr>
        <w:t>……</w:t>
      </w:r>
    </w:p>
    <w:p w14:paraId="75264E0D">
      <w:pPr>
        <w:pStyle w:val="24"/>
        <w:bidi w:val="0"/>
        <w:rPr>
          <w:rFonts w:hint="eastAsia"/>
          <w:lang w:val="en-US" w:eastAsia="zh-CN"/>
        </w:rPr>
      </w:pPr>
      <w:bookmarkStart w:id="36" w:name="_GoBack"/>
      <w:bookmarkEnd w:id="36"/>
      <w:r>
        <w:rPr>
          <w:rFonts w:hint="eastAsia"/>
          <w:lang w:val="en-US" w:eastAsia="zh-CN"/>
        </w:rPr>
        <w:t>本文件主要起草人：</w:t>
      </w:r>
    </w:p>
    <w:p w14:paraId="4CC472DB">
      <w:pPr>
        <w:pStyle w:val="24"/>
        <w:bidi w:val="0"/>
        <w:rPr>
          <w:rFonts w:hint="eastAsia"/>
          <w:lang w:val="en-US" w:eastAsia="zh-CN"/>
        </w:rPr>
      </w:pPr>
    </w:p>
    <w:bookmarkEnd w:id="15"/>
    <w:p w14:paraId="0793E58C">
      <w:pPr>
        <w:rPr>
          <w:rFonts w:hint="eastAsia"/>
          <w:lang w:val="en-US" w:eastAsia="zh-CN"/>
        </w:rPr>
      </w:pPr>
    </w:p>
    <w:p w14:paraId="4F1A039A">
      <w:pPr>
        <w:rPr>
          <w:rFonts w:hint="eastAsia"/>
          <w:lang w:val="en-US" w:eastAsia="zh-CN"/>
        </w:rPr>
      </w:pPr>
    </w:p>
    <w:p w14:paraId="7C725944">
      <w:pPr>
        <w:rPr>
          <w:rFonts w:hint="eastAsia"/>
          <w:lang w:val="en-US" w:eastAsia="zh-CN"/>
        </w:rPr>
        <w:sectPr>
          <w:headerReference r:id="rId5" w:type="default"/>
          <w:footerReference r:id="rId6" w:type="default"/>
          <w:pgSz w:w="11906" w:h="16838"/>
          <w:pgMar w:top="2410" w:right="1134" w:bottom="1134" w:left="1134" w:header="1418" w:footer="1134" w:gutter="284"/>
          <w:lnNumType w:countBy="0" w:restart="continuous"/>
          <w:pgNumType w:fmt="upperRoman" w:start="1"/>
          <w:cols w:space="425" w:num="1"/>
          <w:docGrid w:type="lines" w:linePitch="312" w:charSpace="0"/>
        </w:sectPr>
      </w:pPr>
    </w:p>
    <w:sdt>
      <w:sdtPr>
        <w:rPr>
          <w:rStyle w:val="120"/>
          <w:rFonts w:hint="eastAsia"/>
          <w:lang w:val="en-US" w:eastAsia="zh-CN"/>
        </w:rPr>
        <w:tag w:val="StandardName"/>
        <w:id w:val="147474833"/>
        <w:lock w:val="sdtLocked"/>
        <w:placeholder>
          <w:docPart w:val="{559ed55d-5274-4e92-b7ab-aae3b58585b8}"/>
        </w:placeholder>
      </w:sdtPr>
      <w:sdtEndPr>
        <w:rPr>
          <w:rStyle w:val="120"/>
          <w:rFonts w:hint="eastAsia"/>
          <w:lang w:val="en-US" w:eastAsia="zh-CN"/>
        </w:rPr>
      </w:sdtEndPr>
      <w:sdtContent>
        <w:p w14:paraId="69A74CA8">
          <w:pPr>
            <w:pStyle w:val="56"/>
            <w:bidi w:val="0"/>
            <w:rPr>
              <w:rStyle w:val="120"/>
              <w:rFonts w:hint="eastAsia"/>
              <w:lang w:val="en-US" w:eastAsia="zh-CN"/>
            </w:rPr>
          </w:pPr>
          <w:bookmarkStart w:id="16" w:name="StandardName"/>
          <w:r>
            <w:rPr>
              <w:rStyle w:val="120"/>
              <w:rFonts w:hint="eastAsia"/>
              <w:lang w:val="en-US" w:eastAsia="zh-CN"/>
            </w:rPr>
            <w:t>地理标志产品质量要求乐都绿萝卜</w:t>
          </w:r>
          <w:bookmarkEnd w:id="16"/>
        </w:p>
      </w:sdtContent>
    </w:sdt>
    <w:p w14:paraId="1591A82D">
      <w:pPr>
        <w:pStyle w:val="72"/>
        <w:bidi w:val="0"/>
        <w:rPr>
          <w:rStyle w:val="120"/>
          <w:rFonts w:hint="eastAsia"/>
          <w:lang w:val="en-US" w:eastAsia="zh-CN"/>
        </w:rPr>
      </w:pPr>
      <w:bookmarkStart w:id="17" w:name="_Toc28627"/>
      <w:bookmarkStart w:id="18" w:name="_Toc19147"/>
      <w:r>
        <w:rPr>
          <w:rFonts w:hint="eastAsia"/>
          <w:lang w:val="en-US" w:eastAsia="zh-CN"/>
        </w:rPr>
        <w:t>范围</w:t>
      </w:r>
      <w:bookmarkEnd w:id="17"/>
      <w:bookmarkEnd w:id="18"/>
    </w:p>
    <w:p w14:paraId="4266C4E0">
      <w:pPr>
        <w:pStyle w:val="24"/>
        <w:rPr>
          <w:rFonts w:hint="eastAsia"/>
          <w:lang w:val="en-US" w:eastAsia="zh-CN"/>
        </w:rPr>
      </w:pPr>
      <w:r>
        <w:rPr>
          <w:rFonts w:hint="eastAsia"/>
          <w:lang w:val="en-US" w:eastAsia="zh-CN"/>
        </w:rPr>
        <w:t>本文件界定了地理标志产品乐都绿萝卜的术语、产地范围、产地环境、技术要求、质量要求、检验方法、检验规则、标志、标签、包装、运输和贮存的要求，规定了生产、加工、流通、检验及保护管理等内容。</w:t>
      </w:r>
    </w:p>
    <w:p w14:paraId="707E419B">
      <w:pPr>
        <w:pStyle w:val="24"/>
        <w:rPr>
          <w:rFonts w:hint="eastAsia"/>
          <w:lang w:val="en-US" w:eastAsia="zh-CN"/>
        </w:rPr>
      </w:pPr>
      <w:r>
        <w:rPr>
          <w:rFonts w:hint="eastAsia"/>
          <w:lang w:val="en-US" w:eastAsia="zh-CN"/>
        </w:rPr>
        <w:t>本文件适用于地理标志产品乐都绿萝卜的生产、加工、流通、检验、认证、监管，也适用于地理标志乐都绿萝卜的保护、管理、品牌建设及市场准入。</w:t>
      </w:r>
    </w:p>
    <w:p w14:paraId="5146A991">
      <w:pPr>
        <w:pStyle w:val="72"/>
        <w:bidi w:val="0"/>
        <w:rPr>
          <w:rFonts w:hint="eastAsia"/>
          <w:lang w:val="en-US" w:eastAsia="zh-CN"/>
        </w:rPr>
      </w:pPr>
      <w:bookmarkStart w:id="19" w:name="_Toc25846"/>
      <w:bookmarkStart w:id="20" w:name="_Toc31816"/>
      <w:r>
        <w:rPr>
          <w:rFonts w:hint="eastAsia"/>
          <w:lang w:val="en-US" w:eastAsia="zh-CN"/>
        </w:rPr>
        <w:t>规范性引用文件</w:t>
      </w:r>
      <w:bookmarkEnd w:id="19"/>
      <w:bookmarkEnd w:id="20"/>
    </w:p>
    <w:p w14:paraId="66EFDC7A">
      <w:pPr>
        <w:pStyle w:val="24"/>
        <w:bidi w:val="0"/>
        <w:rPr>
          <w:rFonts w:hint="eastAsia" w:ascii="宋体" w:hAnsi="Times New Roman" w:eastAsia="宋体" w:cs="宋体"/>
          <w:sz w:val="21"/>
          <w:lang w:val="en-US" w:eastAsia="zh-CN"/>
        </w:rPr>
      </w:pPr>
      <w:sdt>
        <w:sdtPr>
          <w:rPr>
            <w:rFonts w:hint="eastAsia" w:ascii="宋体" w:hAnsi="Times New Roman" w:eastAsia="宋体" w:cs="宋体"/>
            <w:sz w:val="21"/>
            <w:lang w:val="en-US" w:eastAsia="zh-CN"/>
          </w:rPr>
          <w:tag w:val="StandNameFile"/>
          <w:id w:val="147455659"/>
          <w:placeholder>
            <w:docPart w:val="{3c1f906f-b74c-4c02-9104-68a263a4b936}"/>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EndPr>
          <w:rPr>
            <w:rFonts w:hint="eastAsia" w:ascii="宋体" w:hAnsi="Times New Roman" w:eastAsia="宋体" w:cs="宋体"/>
            <w:sz w:val="21"/>
            <w:lang w:val="en-US" w:eastAsia="zh-CN"/>
          </w:rPr>
        </w:sdtEndPr>
        <w:sdtContent>
          <w:r>
            <w:rPr>
              <w:rFonts w:hint="eastAsia" w:ascii="宋体" w:hAnsi="Times New Roman" w:eastAsia="宋体" w:cs="宋体"/>
              <w:sz w:val="21"/>
              <w:lang w:val="en-US" w:eastAsia="zh-CN"/>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p>
    <w:p w14:paraId="465138A1">
      <w:pPr>
        <w:pStyle w:val="24"/>
        <w:bidi w:val="0"/>
        <w:rPr>
          <w:color w:val="000000"/>
          <w:sz w:val="21"/>
          <w:szCs w:val="21"/>
        </w:rPr>
      </w:pPr>
      <w:r>
        <w:rPr>
          <w:color w:val="000000"/>
          <w:sz w:val="21"/>
          <w:szCs w:val="21"/>
        </w:rPr>
        <w:t>GB 3095</w:t>
      </w:r>
      <w:r>
        <w:rPr>
          <w:rFonts w:hint="eastAsia"/>
          <w:color w:val="000000"/>
          <w:sz w:val="21"/>
          <w:szCs w:val="21"/>
          <w:lang w:val="en-US" w:eastAsia="zh-CN"/>
        </w:rPr>
        <w:t xml:space="preserve">  </w:t>
      </w:r>
      <w:r>
        <w:rPr>
          <w:color w:val="000000"/>
          <w:sz w:val="21"/>
          <w:szCs w:val="21"/>
        </w:rPr>
        <w:t>环境空气质量标准</w:t>
      </w:r>
    </w:p>
    <w:p w14:paraId="677D60EA">
      <w:pPr>
        <w:pStyle w:val="24"/>
        <w:bidi w:val="0"/>
        <w:rPr>
          <w:color w:val="000000"/>
          <w:sz w:val="21"/>
          <w:szCs w:val="21"/>
        </w:rPr>
      </w:pPr>
      <w:r>
        <w:rPr>
          <w:color w:val="000000"/>
          <w:sz w:val="21"/>
          <w:szCs w:val="21"/>
        </w:rPr>
        <w:t>GB 5084</w:t>
      </w:r>
      <w:r>
        <w:rPr>
          <w:rFonts w:hint="eastAsia"/>
          <w:color w:val="000000"/>
          <w:sz w:val="21"/>
          <w:szCs w:val="21"/>
          <w:lang w:val="en-US" w:eastAsia="zh-CN"/>
        </w:rPr>
        <w:t xml:space="preserve">  </w:t>
      </w:r>
      <w:r>
        <w:rPr>
          <w:color w:val="000000"/>
          <w:sz w:val="21"/>
          <w:szCs w:val="21"/>
        </w:rPr>
        <w:t>农田灌溉水质标准</w:t>
      </w:r>
    </w:p>
    <w:p w14:paraId="6E8EB4A2">
      <w:pPr>
        <w:pStyle w:val="24"/>
        <w:bidi w:val="0"/>
        <w:rPr>
          <w:color w:val="000000"/>
          <w:sz w:val="21"/>
          <w:szCs w:val="21"/>
        </w:rPr>
      </w:pPr>
      <w:r>
        <w:rPr>
          <w:color w:val="000000"/>
          <w:sz w:val="21"/>
          <w:szCs w:val="21"/>
        </w:rPr>
        <w:t>GB 15618</w:t>
      </w:r>
      <w:r>
        <w:rPr>
          <w:rFonts w:hint="eastAsia"/>
          <w:color w:val="000000"/>
          <w:sz w:val="21"/>
          <w:szCs w:val="21"/>
          <w:lang w:val="en-US" w:eastAsia="zh-CN"/>
        </w:rPr>
        <w:t xml:space="preserve">  </w:t>
      </w:r>
      <w:r>
        <w:rPr>
          <w:color w:val="000000"/>
          <w:sz w:val="21"/>
          <w:szCs w:val="21"/>
        </w:rPr>
        <w:t>土壤环境质量 农用地土壤污染风险管控标准（试行）</w:t>
      </w:r>
    </w:p>
    <w:p w14:paraId="3BFE6AFD">
      <w:pPr>
        <w:pStyle w:val="24"/>
        <w:bidi w:val="0"/>
        <w:rPr>
          <w:color w:val="000000"/>
          <w:sz w:val="21"/>
          <w:szCs w:val="21"/>
        </w:rPr>
      </w:pPr>
      <w:r>
        <w:rPr>
          <w:color w:val="000000"/>
          <w:sz w:val="21"/>
          <w:szCs w:val="21"/>
        </w:rPr>
        <w:t>GB/T 1.1</w:t>
      </w:r>
      <w:r>
        <w:rPr>
          <w:rFonts w:hint="eastAsia"/>
          <w:color w:val="000000"/>
          <w:sz w:val="21"/>
          <w:szCs w:val="21"/>
          <w:lang w:val="en-US" w:eastAsia="zh-CN"/>
        </w:rPr>
        <w:t xml:space="preserve">  </w:t>
      </w:r>
      <w:r>
        <w:rPr>
          <w:color w:val="000000"/>
          <w:sz w:val="21"/>
          <w:szCs w:val="21"/>
        </w:rPr>
        <w:t>标准化工作导则 第 1 部分：标准化文件的结构和起草规则</w:t>
      </w:r>
    </w:p>
    <w:p w14:paraId="0A32079F">
      <w:pPr>
        <w:pStyle w:val="24"/>
        <w:bidi w:val="0"/>
        <w:rPr>
          <w:color w:val="000000"/>
          <w:sz w:val="21"/>
          <w:szCs w:val="21"/>
        </w:rPr>
      </w:pPr>
      <w:r>
        <w:rPr>
          <w:color w:val="000000"/>
          <w:sz w:val="21"/>
          <w:szCs w:val="21"/>
        </w:rPr>
        <w:t>GB/T 8321</w:t>
      </w:r>
      <w:r>
        <w:rPr>
          <w:rFonts w:hint="eastAsia"/>
          <w:color w:val="000000"/>
          <w:sz w:val="21"/>
          <w:szCs w:val="21"/>
          <w:lang w:val="en-US" w:eastAsia="zh-CN"/>
        </w:rPr>
        <w:t xml:space="preserve">  </w:t>
      </w:r>
      <w:r>
        <w:rPr>
          <w:color w:val="000000"/>
          <w:sz w:val="21"/>
          <w:szCs w:val="21"/>
        </w:rPr>
        <w:t>农药合理使用准则</w:t>
      </w:r>
    </w:p>
    <w:p w14:paraId="639E024E">
      <w:pPr>
        <w:pStyle w:val="24"/>
        <w:bidi w:val="0"/>
        <w:rPr>
          <w:color w:val="000000"/>
          <w:sz w:val="21"/>
          <w:szCs w:val="21"/>
        </w:rPr>
      </w:pPr>
      <w:r>
        <w:rPr>
          <w:color w:val="000000"/>
          <w:sz w:val="21"/>
          <w:szCs w:val="21"/>
        </w:rPr>
        <w:t>GB/T 17924</w:t>
      </w:r>
      <w:r>
        <w:rPr>
          <w:rFonts w:hint="eastAsia"/>
          <w:color w:val="000000"/>
          <w:sz w:val="21"/>
          <w:szCs w:val="21"/>
          <w:lang w:val="en-US" w:eastAsia="zh-CN"/>
        </w:rPr>
        <w:t xml:space="preserve">  </w:t>
      </w:r>
      <w:r>
        <w:rPr>
          <w:color w:val="000000"/>
          <w:sz w:val="21"/>
          <w:szCs w:val="21"/>
        </w:rPr>
        <w:t>地理标志产品质量要求标准编制通则</w:t>
      </w:r>
    </w:p>
    <w:p w14:paraId="4DCC1781">
      <w:pPr>
        <w:pStyle w:val="24"/>
        <w:bidi w:val="0"/>
        <w:rPr>
          <w:color w:val="000000"/>
          <w:sz w:val="21"/>
          <w:szCs w:val="21"/>
        </w:rPr>
      </w:pPr>
      <w:r>
        <w:rPr>
          <w:color w:val="000000"/>
          <w:sz w:val="21"/>
          <w:szCs w:val="21"/>
        </w:rPr>
        <w:t>GB/T 44584</w:t>
      </w:r>
      <w:r>
        <w:rPr>
          <w:rFonts w:hint="eastAsia"/>
          <w:color w:val="000000"/>
          <w:sz w:val="21"/>
          <w:szCs w:val="21"/>
          <w:lang w:val="en-US" w:eastAsia="zh-CN"/>
        </w:rPr>
        <w:t xml:space="preserve">  </w:t>
      </w:r>
      <w:r>
        <w:rPr>
          <w:color w:val="000000"/>
          <w:sz w:val="21"/>
          <w:szCs w:val="21"/>
        </w:rPr>
        <w:t>地理标志 基础术语</w:t>
      </w:r>
    </w:p>
    <w:p w14:paraId="28C160A0">
      <w:pPr>
        <w:pStyle w:val="24"/>
        <w:bidi w:val="0"/>
        <w:rPr>
          <w:color w:val="000000"/>
          <w:sz w:val="21"/>
          <w:szCs w:val="21"/>
        </w:rPr>
      </w:pPr>
      <w:r>
        <w:rPr>
          <w:color w:val="000000"/>
          <w:sz w:val="21"/>
          <w:szCs w:val="21"/>
        </w:rPr>
        <w:t>NY 2620</w:t>
      </w:r>
      <w:r>
        <w:rPr>
          <w:rFonts w:hint="eastAsia"/>
          <w:color w:val="000000"/>
          <w:sz w:val="21"/>
          <w:szCs w:val="21"/>
          <w:lang w:val="en-US" w:eastAsia="zh-CN"/>
        </w:rPr>
        <w:t xml:space="preserve">  </w:t>
      </w:r>
      <w:r>
        <w:rPr>
          <w:color w:val="000000"/>
          <w:sz w:val="21"/>
          <w:szCs w:val="21"/>
        </w:rPr>
        <w:t>瓜菜作物种子 萝卜和胡萝卜</w:t>
      </w:r>
    </w:p>
    <w:p w14:paraId="5C3500FC">
      <w:pPr>
        <w:pStyle w:val="24"/>
        <w:bidi w:val="0"/>
        <w:rPr>
          <w:color w:val="000000"/>
          <w:sz w:val="21"/>
          <w:szCs w:val="21"/>
        </w:rPr>
      </w:pPr>
      <w:r>
        <w:rPr>
          <w:color w:val="000000"/>
          <w:sz w:val="21"/>
          <w:szCs w:val="21"/>
        </w:rPr>
        <w:t>NY/T 391</w:t>
      </w:r>
      <w:r>
        <w:rPr>
          <w:rFonts w:hint="eastAsia"/>
          <w:color w:val="000000"/>
          <w:sz w:val="21"/>
          <w:szCs w:val="21"/>
          <w:lang w:val="en-US" w:eastAsia="zh-CN"/>
        </w:rPr>
        <w:t xml:space="preserve">  </w:t>
      </w:r>
      <w:r>
        <w:rPr>
          <w:color w:val="000000"/>
          <w:sz w:val="21"/>
          <w:szCs w:val="21"/>
        </w:rPr>
        <w:t>绿色食品 产地环境质量</w:t>
      </w:r>
    </w:p>
    <w:p w14:paraId="581C2F9D">
      <w:pPr>
        <w:pStyle w:val="24"/>
        <w:bidi w:val="0"/>
        <w:rPr>
          <w:color w:val="000000"/>
          <w:sz w:val="21"/>
          <w:szCs w:val="21"/>
        </w:rPr>
      </w:pPr>
      <w:r>
        <w:rPr>
          <w:color w:val="000000"/>
          <w:sz w:val="21"/>
          <w:szCs w:val="21"/>
        </w:rPr>
        <w:t>NY/T 496</w:t>
      </w:r>
      <w:r>
        <w:rPr>
          <w:rFonts w:hint="eastAsia"/>
          <w:color w:val="000000"/>
          <w:sz w:val="21"/>
          <w:szCs w:val="21"/>
          <w:lang w:val="en-US" w:eastAsia="zh-CN"/>
        </w:rPr>
        <w:t xml:space="preserve">  </w:t>
      </w:r>
      <w:r>
        <w:rPr>
          <w:color w:val="000000"/>
          <w:sz w:val="21"/>
          <w:szCs w:val="21"/>
        </w:rPr>
        <w:t>肥料合理使用准则 通则</w:t>
      </w:r>
    </w:p>
    <w:p w14:paraId="09B739A5">
      <w:pPr>
        <w:pStyle w:val="24"/>
        <w:bidi w:val="0"/>
        <w:rPr>
          <w:color w:val="000000"/>
          <w:sz w:val="21"/>
          <w:szCs w:val="21"/>
        </w:rPr>
      </w:pPr>
      <w:r>
        <w:rPr>
          <w:color w:val="000000"/>
          <w:sz w:val="21"/>
          <w:szCs w:val="21"/>
        </w:rPr>
        <w:t>NY/T 745</w:t>
      </w:r>
      <w:r>
        <w:rPr>
          <w:rFonts w:hint="eastAsia"/>
          <w:color w:val="000000"/>
          <w:sz w:val="21"/>
          <w:szCs w:val="21"/>
          <w:lang w:val="en-US" w:eastAsia="zh-CN"/>
        </w:rPr>
        <w:t xml:space="preserve">  </w:t>
      </w:r>
      <w:r>
        <w:rPr>
          <w:color w:val="000000"/>
          <w:sz w:val="21"/>
          <w:szCs w:val="21"/>
        </w:rPr>
        <w:t>绿色食品 根菜类蔬菜</w:t>
      </w:r>
    </w:p>
    <w:p w14:paraId="5E7051DF">
      <w:pPr>
        <w:pStyle w:val="24"/>
        <w:bidi w:val="0"/>
        <w:rPr>
          <w:color w:val="000000"/>
          <w:sz w:val="21"/>
          <w:szCs w:val="21"/>
        </w:rPr>
      </w:pPr>
      <w:r>
        <w:rPr>
          <w:color w:val="000000"/>
          <w:sz w:val="21"/>
          <w:szCs w:val="21"/>
        </w:rPr>
        <w:t>NY/T 1276</w:t>
      </w:r>
      <w:r>
        <w:rPr>
          <w:rFonts w:hint="eastAsia"/>
          <w:color w:val="000000"/>
          <w:sz w:val="21"/>
          <w:szCs w:val="21"/>
          <w:lang w:val="en-US" w:eastAsia="zh-CN"/>
        </w:rPr>
        <w:t xml:space="preserve">  </w:t>
      </w:r>
      <w:r>
        <w:rPr>
          <w:color w:val="000000"/>
          <w:sz w:val="21"/>
          <w:szCs w:val="21"/>
        </w:rPr>
        <w:t>农药安全使用规范 总则</w:t>
      </w:r>
    </w:p>
    <w:p w14:paraId="66521185">
      <w:pPr>
        <w:pStyle w:val="24"/>
        <w:bidi w:val="0"/>
        <w:rPr>
          <w:rFonts w:hint="eastAsia" w:ascii="宋体" w:hAnsi="Times New Roman" w:eastAsia="宋体" w:cs="宋体"/>
          <w:sz w:val="21"/>
          <w:szCs w:val="21"/>
          <w:lang w:val="en-US" w:eastAsia="zh-CN"/>
        </w:rPr>
      </w:pPr>
      <w:r>
        <w:rPr>
          <w:color w:val="000000"/>
          <w:sz w:val="21"/>
          <w:szCs w:val="21"/>
        </w:rPr>
        <w:t>NY/T 2199</w:t>
      </w:r>
      <w:r>
        <w:rPr>
          <w:rFonts w:hint="eastAsia"/>
          <w:color w:val="000000"/>
          <w:sz w:val="21"/>
          <w:szCs w:val="21"/>
          <w:lang w:val="en-US" w:eastAsia="zh-CN"/>
        </w:rPr>
        <w:t xml:space="preserve">  </w:t>
      </w:r>
      <w:r>
        <w:rPr>
          <w:color w:val="000000"/>
          <w:sz w:val="21"/>
          <w:szCs w:val="21"/>
        </w:rPr>
        <w:t>绿色食品 根菜类蔬菜生产技术规程</w:t>
      </w:r>
    </w:p>
    <w:p w14:paraId="47F834C8">
      <w:pPr>
        <w:pStyle w:val="72"/>
        <w:bidi w:val="0"/>
        <w:rPr>
          <w:rFonts w:hint="eastAsia" w:ascii="宋体" w:hAnsi="Times New Roman" w:eastAsia="宋体" w:cs="宋体"/>
          <w:lang w:val="en-US" w:eastAsia="zh-CN"/>
        </w:rPr>
      </w:pPr>
      <w:bookmarkStart w:id="21" w:name="_Toc31452"/>
      <w:bookmarkStart w:id="22" w:name="_Toc29988"/>
      <w:r>
        <w:rPr>
          <w:rFonts w:hint="eastAsia"/>
          <w:lang w:val="en-US" w:eastAsia="zh-CN"/>
        </w:rPr>
        <w:t>术语和定义</w:t>
      </w:r>
      <w:bookmarkEnd w:id="21"/>
      <w:bookmarkEnd w:id="22"/>
    </w:p>
    <w:sdt>
      <w:sdtPr>
        <w:rPr>
          <w:rFonts w:hint="eastAsia" w:ascii="宋体" w:hAnsi="Times New Roman" w:eastAsia="宋体" w:cs="宋体"/>
          <w:sz w:val="21"/>
          <w:lang w:val="en-US" w:eastAsia="zh-CN"/>
        </w:rPr>
        <w:tag w:val="TermContent"/>
        <w:id w:val="147473246"/>
        <w:placeholder>
          <w:docPart w:val="{cbb62363-5dfc-4cb1-84f4-6a1d9a9fc3b9}"/>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ascii="宋体" w:hAnsi="Times New Roman" w:eastAsia="宋体" w:cs="宋体"/>
          <w:sz w:val="21"/>
          <w:lang w:val="en-US" w:eastAsia="zh-CN"/>
        </w:rPr>
      </w:sdtEndPr>
      <w:sdtContent>
        <w:sdt>
          <w:sdtPr>
            <w:rPr>
              <w:rFonts w:hint="eastAsia" w:ascii="宋体" w:hAnsi="Times New Roman" w:eastAsia="宋体" w:cs="宋体"/>
              <w:sz w:val="21"/>
              <w:lang w:val="en-US" w:eastAsia="zh-CN"/>
            </w:rPr>
            <w:tag w:val="TermContent"/>
            <w:id w:val="147473454"/>
            <w:placeholder>
              <w:docPart w:val="{d1baef30-c9f1-4630-97f8-80a4bfaafc83}"/>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ascii="宋体" w:hAnsi="Times New Roman" w:eastAsia="宋体" w:cs="宋体"/>
              <w:sz w:val="21"/>
              <w:lang w:val="en-US" w:eastAsia="zh-CN"/>
            </w:rPr>
          </w:sdtEndPr>
          <w:sdtContent>
            <w:p w14:paraId="1D001FCA">
              <w:pPr>
                <w:pStyle w:val="24"/>
                <w:rPr>
                  <w:rFonts w:hint="eastAsia"/>
                  <w:lang w:val="en-US" w:eastAsia="zh-CN"/>
                </w:rPr>
              </w:pPr>
              <w:r>
                <w:rPr>
                  <w:rFonts w:hint="eastAsia" w:ascii="宋体" w:hAnsi="Times New Roman" w:eastAsia="宋体" w:cs="宋体"/>
                  <w:sz w:val="21"/>
                  <w:lang w:val="en-US" w:eastAsia="zh-CN"/>
                </w:rPr>
                <w:t>下列术语和定义适用于本文件</w:t>
              </w:r>
            </w:p>
          </w:sdtContent>
        </w:sdt>
      </w:sdtContent>
    </w:sdt>
    <w:p w14:paraId="3A39DE70">
      <w:pPr>
        <w:pStyle w:val="83"/>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ascii="黑体" w:hAnsi="黑体" w:eastAsia="黑体" w:cs="黑体"/>
          <w:lang w:val="en-US" w:eastAsia="zh-CN"/>
        </w:rPr>
        <w:t>乐都绿萝卜</w:t>
      </w:r>
    </w:p>
    <w:p w14:paraId="51E03225">
      <w:pPr>
        <w:pStyle w:val="24"/>
        <w:rPr>
          <w:rFonts w:hint="eastAsia"/>
          <w:lang w:val="en-US" w:eastAsia="zh-CN"/>
        </w:rPr>
      </w:pPr>
      <w:r>
        <w:rPr>
          <w:rFonts w:hint="eastAsia"/>
          <w:lang w:val="en-US" w:eastAsia="zh-CN"/>
        </w:rPr>
        <w:t>产于青海省海东市乐都区特定地理区域，选用当地传统优良地方品种，经长期自然选择和人工选育形成的长圆筒形青皮绿肉萝卜；肉质根约2/3露出地表、外皮鲜绿、肉色浅绿均匀，具有肉质细嫩、脆甜多汁、耐贮藏、不易糠心、粗纤维含量低等典型品质特征。</w:t>
      </w:r>
    </w:p>
    <w:p w14:paraId="4AE3060F">
      <w:pPr>
        <w:pStyle w:val="83"/>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cs="黑体"/>
          <w:lang w:val="en-US" w:eastAsia="zh-CN"/>
        </w:rPr>
        <w:t>肉质根膨大期</w:t>
      </w:r>
    </w:p>
    <w:p w14:paraId="58E8D65F">
      <w:pPr>
        <w:pStyle w:val="24"/>
        <w:rPr>
          <w:rFonts w:hint="eastAsia"/>
          <w:lang w:val="en-US" w:eastAsia="zh-CN"/>
        </w:rPr>
      </w:pPr>
      <w:r>
        <w:rPr>
          <w:rFonts w:hint="eastAsia"/>
          <w:lang w:val="en-US" w:eastAsia="zh-CN"/>
        </w:rPr>
        <w:t>萝卜播种出苗后，肉质根直径快速增大、重量显著增加的关键生育阶段，通常在播种后30～55 天，是水肥管理和品质形成的核心时期。</w:t>
      </w:r>
    </w:p>
    <w:p w14:paraId="648D0D67">
      <w:pPr>
        <w:pStyle w:val="83"/>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cs="黑体"/>
          <w:lang w:val="en-US" w:eastAsia="zh-CN"/>
        </w:rPr>
        <w:t>糠心</w:t>
      </w:r>
    </w:p>
    <w:p w14:paraId="6C16C4D6">
      <w:pPr>
        <w:pStyle w:val="24"/>
        <w:rPr>
          <w:rFonts w:hint="eastAsia"/>
          <w:lang w:val="en-US" w:eastAsia="zh-CN"/>
        </w:rPr>
      </w:pPr>
      <w:r>
        <w:rPr>
          <w:rFonts w:hint="eastAsia"/>
          <w:lang w:val="en-US" w:eastAsia="zh-CN"/>
        </w:rPr>
        <w:t>萝卜肉质根内部组织疏松、木质化、空心化、失去脆嫩口感的生理缺陷，多因水分供应不均、偏施氮肥、过熟、高温干旱等因素导致。</w:t>
      </w:r>
    </w:p>
    <w:p w14:paraId="2B499C49">
      <w:pPr>
        <w:pStyle w:val="83"/>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cs="黑体"/>
          <w:lang w:val="en-US" w:eastAsia="zh-CN"/>
        </w:rPr>
        <w:t>露地栽培</w:t>
      </w:r>
    </w:p>
    <w:p w14:paraId="64835898">
      <w:pPr>
        <w:pStyle w:val="24"/>
        <w:rPr>
          <w:rFonts w:hint="eastAsia"/>
          <w:sz w:val="21"/>
          <w:szCs w:val="21"/>
          <w:lang w:val="en-US" w:eastAsia="zh-CN"/>
        </w:rPr>
      </w:pPr>
      <w:r>
        <w:rPr>
          <w:rFonts w:hint="eastAsia"/>
          <w:sz w:val="21"/>
          <w:szCs w:val="21"/>
          <w:lang w:val="en-US" w:eastAsia="zh-CN"/>
        </w:rPr>
        <w:t>在乐都区自然气候条件下，不依赖大棚、温室、地膜全覆盖等设施，直接在地里播种、常规田间管理的种植方式。</w:t>
      </w:r>
    </w:p>
    <w:p w14:paraId="6CFC944F">
      <w:pPr>
        <w:pStyle w:val="83"/>
        <w:bidi w:val="0"/>
        <w:spacing w:after="0" w:afterLines="0"/>
        <w:ind w:left="420" w:hanging="420" w:hangingChars="200"/>
        <w:rPr>
          <w:rFonts w:hint="eastAsia" w:ascii="黑体" w:hAnsi="黑体" w:eastAsia="黑体" w:cs="黑体"/>
          <w:lang w:val="en-US" w:eastAsia="zh-CN"/>
        </w:rPr>
      </w:pPr>
      <w:r>
        <w:rPr>
          <w:rFonts w:hint="eastAsia" w:ascii="黑体" w:hAnsi="黑体" w:eastAsia="黑体" w:cs="黑体"/>
          <w:lang w:val="en-US" w:eastAsia="zh-CN"/>
        </w:rPr>
        <w:br w:type="textWrapping"/>
      </w:r>
      <w:r>
        <w:rPr>
          <w:rFonts w:hint="eastAsia" w:cs="黑体"/>
          <w:lang w:val="en-US" w:eastAsia="zh-CN"/>
        </w:rPr>
        <w:t>产地核心区</w:t>
      </w:r>
    </w:p>
    <w:p w14:paraId="38568A6F">
      <w:pPr>
        <w:pStyle w:val="24"/>
        <w:rPr>
          <w:rFonts w:hint="eastAsia"/>
          <w:sz w:val="21"/>
          <w:szCs w:val="21"/>
          <w:lang w:val="en-US" w:eastAsia="zh-CN"/>
        </w:rPr>
      </w:pPr>
      <w:r>
        <w:rPr>
          <w:rFonts w:hint="eastAsia"/>
          <w:sz w:val="21"/>
          <w:szCs w:val="21"/>
          <w:lang w:val="en-US" w:eastAsia="zh-CN"/>
        </w:rPr>
        <w:t>乐都区境内海拔1900</w:t>
      </w:r>
      <w:r>
        <w:rPr>
          <w:rFonts w:hint="eastAsia"/>
          <w:sz w:val="11"/>
          <w:szCs w:val="11"/>
          <w:lang w:val="en-US" w:eastAsia="zh-CN"/>
        </w:rPr>
        <w:t xml:space="preserve"> </w:t>
      </w:r>
      <w:r>
        <w:rPr>
          <w:rFonts w:hint="eastAsia"/>
          <w:sz w:val="21"/>
          <w:szCs w:val="21"/>
          <w:lang w:val="en-US" w:eastAsia="zh-CN"/>
        </w:rPr>
        <w:t>m～2400</w:t>
      </w:r>
      <w:r>
        <w:rPr>
          <w:rFonts w:hint="eastAsia"/>
          <w:sz w:val="11"/>
          <w:szCs w:val="11"/>
          <w:lang w:val="en-US" w:eastAsia="zh-CN"/>
        </w:rPr>
        <w:t xml:space="preserve"> </w:t>
      </w:r>
      <w:r>
        <w:rPr>
          <w:rFonts w:hint="eastAsia"/>
          <w:sz w:val="21"/>
          <w:szCs w:val="21"/>
          <w:lang w:val="en-US" w:eastAsia="zh-CN"/>
        </w:rPr>
        <w:t>m、灌溉条件稳定、土壤肥沃、光照充足、昼夜温差大、历史种植集中连片、品质最稳定的河湟谷地农业区域。</w:t>
      </w:r>
    </w:p>
    <w:p w14:paraId="5DE35B7C">
      <w:pPr>
        <w:pStyle w:val="72"/>
        <w:bidi w:val="0"/>
        <w:rPr>
          <w:rFonts w:hint="eastAsia"/>
          <w:lang w:val="en-US" w:eastAsia="zh-CN"/>
        </w:rPr>
      </w:pPr>
      <w:bookmarkStart w:id="23" w:name="_Toc28085"/>
      <w:r>
        <w:rPr>
          <w:rFonts w:hint="eastAsia"/>
          <w:lang w:val="en-US" w:eastAsia="zh-CN"/>
        </w:rPr>
        <w:t>产地范围</w:t>
      </w:r>
      <w:bookmarkEnd w:id="23"/>
    </w:p>
    <w:p w14:paraId="7A7E6BB1">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地理坐标</w:t>
      </w:r>
    </w:p>
    <w:p w14:paraId="1E86B042">
      <w:pPr>
        <w:pStyle w:val="24"/>
        <w:rPr>
          <w:rFonts w:hint="eastAsia"/>
          <w:lang w:val="en-US" w:eastAsia="zh-CN"/>
        </w:rPr>
      </w:pPr>
      <w:r>
        <w:rPr>
          <w:rFonts w:hint="eastAsia"/>
          <w:lang w:val="en-US" w:eastAsia="zh-CN"/>
        </w:rPr>
        <w:t>都绿萝</w:t>
      </w:r>
      <w:r>
        <w:rPr>
          <w:rFonts w:hint="eastAsia"/>
          <w:sz w:val="21"/>
          <w:szCs w:val="21"/>
          <w:lang w:val="en-US" w:eastAsia="zh-CN"/>
        </w:rPr>
        <w:t>卜产</w:t>
      </w:r>
      <w:r>
        <w:rPr>
          <w:rFonts w:hint="eastAsia"/>
          <w:lang w:val="en-US" w:eastAsia="zh-CN"/>
        </w:rPr>
        <w:t>地范围限定于青海省海东市乐都区行政区域，地理坐标为东经102°09′00″～102°47′00″，北纬36°16′00″～36°46′00″。</w:t>
      </w:r>
    </w:p>
    <w:p w14:paraId="193D69A2">
      <w:pPr>
        <w:pStyle w:val="78"/>
        <w:bidi w:val="0"/>
        <w:spacing w:before="0" w:beforeLines="0" w:after="0" w:afterLines="0"/>
        <w:rPr>
          <w:rFonts w:hint="eastAsia"/>
          <w:lang w:val="en-US" w:eastAsia="zh-CN"/>
        </w:rPr>
      </w:pPr>
      <w:r>
        <w:rPr>
          <w:rFonts w:hint="eastAsia" w:ascii="黑体" w:hAnsi="黑体" w:eastAsia="黑体" w:cs="黑体"/>
          <w:lang w:val="en-US" w:eastAsia="zh-CN"/>
        </w:rPr>
        <w:t>行政区域范围</w:t>
      </w:r>
    </w:p>
    <w:p w14:paraId="56DA4B8D">
      <w:pPr>
        <w:pStyle w:val="78"/>
        <w:numPr>
          <w:ilvl w:val="1"/>
          <w:numId w:val="0"/>
        </w:numPr>
        <w:bidi w:val="0"/>
        <w:spacing w:before="0" w:beforeLines="0" w:after="0" w:afterLines="0"/>
        <w:ind w:leftChars="0" w:firstLine="420" w:firstLineChars="200"/>
        <w:outlineLvl w:val="9"/>
        <w:rPr>
          <w:rFonts w:hint="eastAsia" w:ascii="宋体" w:hAnsi="宋体" w:eastAsia="宋体" w:cs="宋体"/>
          <w:sz w:val="21"/>
          <w:szCs w:val="21"/>
          <w:lang w:val="en-US" w:eastAsia="zh-CN"/>
        </w:rPr>
      </w:pPr>
      <w:r>
        <w:rPr>
          <w:rFonts w:hint="eastAsia" w:ascii="宋体" w:hAnsi="宋体" w:eastAsia="宋体" w:cs="宋体"/>
          <w:sz w:val="21"/>
          <w:szCs w:val="21"/>
        </w:rPr>
        <w:t>产地范围涵盖乐都区</w:t>
      </w:r>
      <w:r>
        <w:rPr>
          <w:rFonts w:hint="eastAsia" w:ascii="宋体" w:hAnsi="宋体" w:eastAsia="宋体" w:cs="宋体"/>
          <w:sz w:val="21"/>
          <w:szCs w:val="21"/>
          <w:lang w:val="en-US" w:eastAsia="zh-CN"/>
        </w:rPr>
        <w:t>15</w:t>
      </w:r>
      <w:r>
        <w:rPr>
          <w:rFonts w:hint="eastAsia" w:ascii="宋体" w:hAnsi="宋体" w:eastAsia="宋体" w:cs="宋体"/>
          <w:sz w:val="21"/>
          <w:szCs w:val="21"/>
        </w:rPr>
        <w:t>个乡镇及街道全部行政管辖区域，具体包括</w:t>
      </w:r>
      <w:r>
        <w:rPr>
          <w:rFonts w:hint="eastAsia" w:ascii="宋体" w:hAnsi="宋体" w:eastAsia="宋体" w:cs="宋体"/>
          <w:sz w:val="21"/>
          <w:szCs w:val="21"/>
          <w:lang w:val="en-US" w:eastAsia="zh-CN"/>
        </w:rPr>
        <w:t>碾伯街道、岗沟街道；高庙镇、洪水镇、雨润镇、寿乐镇、瞿昙镇；中坝藏族乡、下营藏族乡、李家乡、马营乡、芦花乡、马厂乡、共和乡、达拉土族乡。</w:t>
      </w:r>
    </w:p>
    <w:p w14:paraId="7197C508">
      <w:pPr>
        <w:pStyle w:val="78"/>
        <w:bidi w:val="0"/>
        <w:spacing w:before="0" w:beforeLines="0" w:after="0" w:afterLines="0"/>
        <w:rPr>
          <w:rFonts w:hint="eastAsia"/>
          <w:lang w:val="en-US" w:eastAsia="zh-CN"/>
        </w:rPr>
      </w:pPr>
      <w:r>
        <w:rPr>
          <w:rFonts w:hint="eastAsia" w:ascii="黑体" w:hAnsi="黑体" w:eastAsia="黑体" w:cs="黑体"/>
          <w:lang w:val="en-US" w:eastAsia="zh-CN"/>
        </w:rPr>
        <w:t>范围边界说明</w:t>
      </w:r>
    </w:p>
    <w:p w14:paraId="7DE9ACBF">
      <w:pPr>
        <w:pStyle w:val="78"/>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产地边界以乐都区行政界线为准，不得跨区、跨县种植；核心种植区集中在湟水河谷两岸、川水地、浅山灌溉区，海拔1850</w:t>
      </w:r>
      <w:r>
        <w:rPr>
          <w:rFonts w:hint="eastAsia"/>
          <w:sz w:val="11"/>
          <w:szCs w:val="11"/>
          <w:lang w:val="en-US" w:eastAsia="zh-CN"/>
        </w:rPr>
        <w:t xml:space="preserve"> </w:t>
      </w:r>
      <w:r>
        <w:rPr>
          <w:rFonts w:hint="eastAsia"/>
          <w:lang w:val="en-US" w:eastAsia="zh-CN"/>
        </w:rPr>
        <w:t>m～2600</w:t>
      </w:r>
      <w:r>
        <w:rPr>
          <w:rFonts w:hint="eastAsia"/>
          <w:sz w:val="11"/>
          <w:szCs w:val="11"/>
          <w:lang w:val="en-US" w:eastAsia="zh-CN"/>
        </w:rPr>
        <w:t xml:space="preserve"> </w:t>
      </w:r>
      <w:r>
        <w:rPr>
          <w:rFonts w:hint="eastAsia"/>
          <w:lang w:val="en-US" w:eastAsia="zh-CN"/>
        </w:rPr>
        <w:t>m，地势平缓、土层深厚、灌溉便利。</w:t>
      </w:r>
    </w:p>
    <w:p w14:paraId="47BD3823">
      <w:pPr>
        <w:pStyle w:val="78"/>
        <w:bidi w:val="0"/>
        <w:spacing w:before="0" w:beforeLines="0" w:after="0" w:afterLines="0"/>
        <w:rPr>
          <w:rFonts w:hint="eastAsia"/>
          <w:sz w:val="21"/>
          <w:szCs w:val="21"/>
          <w:lang w:val="en-US" w:eastAsia="zh-CN"/>
        </w:rPr>
      </w:pPr>
      <w:r>
        <w:rPr>
          <w:rFonts w:hint="eastAsia" w:ascii="黑体" w:hAnsi="黑体" w:eastAsia="黑体" w:cs="黑体"/>
          <w:sz w:val="21"/>
          <w:szCs w:val="21"/>
          <w:lang w:val="en-US" w:eastAsia="zh-CN"/>
        </w:rPr>
        <w:t>保护要求</w:t>
      </w:r>
    </w:p>
    <w:p w14:paraId="34377755">
      <w:pPr>
        <w:pStyle w:val="78"/>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产地范围内禁止污染性工业、规模化养殖场、垃圾堆放、污水直排；严格执行生态保护、耕地保护、水源保护相关规定，确保产地环境质量稳定、可持续。</w:t>
      </w:r>
    </w:p>
    <w:p w14:paraId="515DE0F3">
      <w:pPr>
        <w:pStyle w:val="72"/>
        <w:bidi w:val="0"/>
        <w:rPr>
          <w:rFonts w:hint="eastAsia"/>
          <w:lang w:val="en-US" w:eastAsia="zh-CN"/>
        </w:rPr>
      </w:pPr>
      <w:bookmarkStart w:id="24" w:name="_Toc31261"/>
      <w:r>
        <w:rPr>
          <w:rFonts w:hint="eastAsia"/>
          <w:lang w:val="en-US" w:eastAsia="zh-CN"/>
        </w:rPr>
        <w:t>产地环境</w:t>
      </w:r>
      <w:bookmarkEnd w:id="24"/>
    </w:p>
    <w:p w14:paraId="20BF6709">
      <w:pPr>
        <w:pStyle w:val="78"/>
        <w:bidi w:val="0"/>
        <w:spacing w:before="0" w:beforeLines="0" w:after="0" w:afterLines="0"/>
        <w:rPr>
          <w:rFonts w:hint="eastAsia"/>
          <w:lang w:val="en-US" w:eastAsia="zh-CN"/>
        </w:rPr>
      </w:pPr>
      <w:r>
        <w:rPr>
          <w:rFonts w:hint="eastAsia" w:ascii="黑体" w:hAnsi="黑体" w:eastAsia="黑体" w:cs="黑体"/>
          <w:lang w:val="en-US" w:eastAsia="zh-CN"/>
        </w:rPr>
        <w:t>海拔</w:t>
      </w:r>
    </w:p>
    <w:p w14:paraId="1C0745D0">
      <w:pPr>
        <w:pStyle w:val="78"/>
        <w:numPr>
          <w:ilvl w:val="1"/>
          <w:numId w:val="0"/>
        </w:numPr>
        <w:bidi w:val="0"/>
        <w:spacing w:before="0" w:beforeLines="0" w:after="0" w:afterLines="0"/>
        <w:ind w:leftChars="0" w:firstLine="420" w:firstLineChars="200"/>
        <w:outlineLvl w:val="9"/>
        <w:rPr>
          <w:rFonts w:hint="eastAsia"/>
          <w:lang w:val="en-US" w:eastAsia="zh-CN"/>
        </w:rPr>
      </w:pPr>
      <w:r>
        <w:rPr>
          <w:rFonts w:hint="eastAsia"/>
          <w:lang w:val="en-US" w:eastAsia="zh-CN"/>
        </w:rPr>
        <w:t>种植基地海拔1850</w:t>
      </w:r>
      <w:r>
        <w:rPr>
          <w:rFonts w:hint="eastAsia"/>
          <w:sz w:val="11"/>
          <w:szCs w:val="11"/>
          <w:lang w:val="en-US" w:eastAsia="zh-CN"/>
        </w:rPr>
        <w:t xml:space="preserve"> </w:t>
      </w:r>
      <w:r>
        <w:rPr>
          <w:rFonts w:hint="eastAsia"/>
          <w:lang w:val="en-US" w:eastAsia="zh-CN"/>
        </w:rPr>
        <w:t>m～2600</w:t>
      </w:r>
      <w:r>
        <w:rPr>
          <w:rFonts w:hint="eastAsia"/>
          <w:sz w:val="11"/>
          <w:szCs w:val="11"/>
          <w:lang w:val="en-US" w:eastAsia="zh-CN"/>
        </w:rPr>
        <w:t xml:space="preserve"> </w:t>
      </w:r>
      <w:r>
        <w:rPr>
          <w:rFonts w:hint="eastAsia"/>
          <w:lang w:val="en-US" w:eastAsia="zh-CN"/>
        </w:rPr>
        <w:t>m；核心区海拔1900</w:t>
      </w:r>
      <w:r>
        <w:rPr>
          <w:rFonts w:hint="eastAsia"/>
          <w:sz w:val="11"/>
          <w:szCs w:val="11"/>
          <w:lang w:val="en-US" w:eastAsia="zh-CN"/>
        </w:rPr>
        <w:t xml:space="preserve"> </w:t>
      </w:r>
      <w:r>
        <w:rPr>
          <w:rFonts w:hint="eastAsia"/>
          <w:lang w:val="en-US" w:eastAsia="zh-CN"/>
        </w:rPr>
        <w:t>m～2400</w:t>
      </w:r>
      <w:r>
        <w:rPr>
          <w:rFonts w:hint="eastAsia"/>
          <w:sz w:val="11"/>
          <w:szCs w:val="11"/>
          <w:lang w:val="en-US" w:eastAsia="zh-CN"/>
        </w:rPr>
        <w:t xml:space="preserve"> </w:t>
      </w:r>
      <w:r>
        <w:rPr>
          <w:rFonts w:hint="eastAsia"/>
          <w:lang w:val="en-US" w:eastAsia="zh-CN"/>
        </w:rPr>
        <w:t>m，光照充足、昼夜温差大，利于糖分积累、脆嫩口感形成和营养物质富集。</w:t>
      </w:r>
    </w:p>
    <w:p w14:paraId="23737374">
      <w:pPr>
        <w:pStyle w:val="78"/>
        <w:bidi w:val="0"/>
        <w:spacing w:before="0" w:beforeLines="0" w:after="0" w:afterLines="0"/>
        <w:rPr>
          <w:rFonts w:hint="eastAsia"/>
          <w:lang w:val="en-US" w:eastAsia="zh-CN"/>
        </w:rPr>
      </w:pPr>
      <w:r>
        <w:rPr>
          <w:rFonts w:hint="eastAsia" w:ascii="黑体" w:hAnsi="黑体" w:eastAsia="黑体" w:cs="黑体"/>
          <w:lang w:val="en-US" w:eastAsia="zh-CN"/>
        </w:rPr>
        <w:t>地形地貌</w:t>
      </w:r>
    </w:p>
    <w:p w14:paraId="0D02D9E6">
      <w:pPr>
        <w:pStyle w:val="78"/>
        <w:numPr>
          <w:ilvl w:val="1"/>
          <w:numId w:val="0"/>
        </w:numPr>
        <w:bidi w:val="0"/>
        <w:spacing w:before="0" w:beforeLines="0" w:after="0" w:afterLines="0" w:line="240" w:lineRule="auto"/>
        <w:ind w:leftChars="0" w:firstLine="420" w:firstLineChars="200"/>
        <w:rPr>
          <w:rFonts w:hint="eastAsia"/>
          <w:lang w:val="en-US" w:eastAsia="zh-CN"/>
        </w:rPr>
      </w:pPr>
      <w:r>
        <w:rPr>
          <w:rFonts w:hint="eastAsia"/>
          <w:lang w:val="en-US" w:eastAsia="zh-CN"/>
        </w:rPr>
        <w:t>以湟水河谷阶地、川水台地、缓坡浅山地为主，地势平坦开阔、坡度不超过5</w:t>
      </w:r>
      <w:r>
        <w:rPr>
          <w:rFonts w:hint="eastAsia"/>
          <w:sz w:val="11"/>
          <w:szCs w:val="11"/>
          <w:lang w:val="en-US" w:eastAsia="zh-CN"/>
        </w:rPr>
        <w:t xml:space="preserve"> </w:t>
      </w:r>
      <w:r>
        <w:rPr>
          <w:rFonts w:hint="eastAsia"/>
          <w:lang w:val="en-US" w:eastAsia="zh-CN"/>
        </w:rPr>
        <w:t>°，便于机械化耕作、灌溉、排水、采收；土层深厚、通透性好，利于肉质根发育、膨大、顺直、少分叉。</w:t>
      </w:r>
    </w:p>
    <w:p w14:paraId="5FF1DC9B">
      <w:pPr>
        <w:pStyle w:val="78"/>
        <w:bidi w:val="0"/>
        <w:spacing w:before="0" w:beforeLines="0" w:after="0" w:afterLines="0"/>
        <w:rPr>
          <w:rFonts w:hint="eastAsia"/>
          <w:lang w:val="en-US" w:eastAsia="zh-CN"/>
        </w:rPr>
      </w:pPr>
      <w:r>
        <w:rPr>
          <w:rFonts w:hint="eastAsia" w:ascii="黑体" w:hAnsi="黑体" w:eastAsia="黑体" w:cs="黑体"/>
          <w:lang w:val="en-US" w:eastAsia="zh-CN"/>
        </w:rPr>
        <w:t>土壤条件</w:t>
      </w:r>
    </w:p>
    <w:p w14:paraId="6FD1DEAB">
      <w:pPr>
        <w:pStyle w:val="78"/>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土壤类型以栗钙土、灰钙土、灌淤土为主，质地中壤至轻壤、疏松透气、团粒结构好；土层厚度不小于60</w:t>
      </w:r>
      <w:r>
        <w:rPr>
          <w:rFonts w:hint="eastAsia"/>
          <w:sz w:val="11"/>
          <w:szCs w:val="11"/>
          <w:lang w:val="en-US" w:eastAsia="zh-CN"/>
        </w:rPr>
        <w:t xml:space="preserve"> </w:t>
      </w:r>
      <w:r>
        <w:rPr>
          <w:rFonts w:hint="eastAsia"/>
          <w:lang w:val="en-US" w:eastAsia="zh-CN"/>
        </w:rPr>
        <w:t>cm，无黏重板结层、无砾石层；耕层（0～30</w:t>
      </w:r>
      <w:r>
        <w:rPr>
          <w:rFonts w:hint="eastAsia"/>
          <w:sz w:val="11"/>
          <w:szCs w:val="11"/>
          <w:lang w:val="en-US" w:eastAsia="zh-CN"/>
        </w:rPr>
        <w:t xml:space="preserve"> </w:t>
      </w:r>
      <w:r>
        <w:rPr>
          <w:rFonts w:hint="eastAsia"/>
          <w:lang w:val="en-US" w:eastAsia="zh-CN"/>
        </w:rPr>
        <w:t>cm）有机质不小于12</w:t>
      </w:r>
      <w:r>
        <w:rPr>
          <w:rFonts w:hint="eastAsia"/>
          <w:sz w:val="11"/>
          <w:szCs w:val="11"/>
          <w:lang w:val="en-US" w:eastAsia="zh-CN"/>
        </w:rPr>
        <w:t xml:space="preserve"> </w:t>
      </w:r>
      <w:r>
        <w:rPr>
          <w:rFonts w:hint="eastAsia"/>
          <w:lang w:val="en-US" w:eastAsia="zh-CN"/>
        </w:rPr>
        <w:t>g/kg；pH值在6.5～7.5，中性至微碱性，利于钙、镁、钾吸收；土壤肥力全氮不小于0.8</w:t>
      </w:r>
      <w:r>
        <w:rPr>
          <w:rFonts w:hint="eastAsia"/>
          <w:sz w:val="11"/>
          <w:szCs w:val="11"/>
          <w:lang w:val="en-US" w:eastAsia="zh-CN"/>
        </w:rPr>
        <w:t xml:space="preserve"> </w:t>
      </w:r>
      <w:r>
        <w:rPr>
          <w:rFonts w:hint="eastAsia"/>
          <w:lang w:val="en-US" w:eastAsia="zh-CN"/>
        </w:rPr>
        <w:t>g/kg、有效磷不小于15</w:t>
      </w:r>
      <w:r>
        <w:rPr>
          <w:rFonts w:hint="eastAsia"/>
          <w:sz w:val="11"/>
          <w:szCs w:val="11"/>
          <w:lang w:val="en-US" w:eastAsia="zh-CN"/>
        </w:rPr>
        <w:t xml:space="preserve"> </w:t>
      </w:r>
      <w:r>
        <w:rPr>
          <w:rFonts w:hint="eastAsia"/>
          <w:lang w:val="en-US" w:eastAsia="zh-CN"/>
        </w:rPr>
        <w:t>mg/kg、速效钾不小于120</w:t>
      </w:r>
      <w:r>
        <w:rPr>
          <w:rFonts w:hint="eastAsia"/>
          <w:sz w:val="11"/>
          <w:szCs w:val="11"/>
          <w:lang w:val="en-US" w:eastAsia="zh-CN"/>
        </w:rPr>
        <w:t xml:space="preserve"> </w:t>
      </w:r>
      <w:r>
        <w:rPr>
          <w:rFonts w:hint="eastAsia"/>
          <w:lang w:val="en-US" w:eastAsia="zh-CN"/>
        </w:rPr>
        <w:t>mg/kg；土壤环境质量应符合GB 15618、NY/T 391要求，无重金属超标、无农药残留超标、无污染史。</w:t>
      </w:r>
    </w:p>
    <w:p w14:paraId="55860D9A">
      <w:pPr>
        <w:pStyle w:val="78"/>
        <w:bidi w:val="0"/>
        <w:spacing w:before="0" w:beforeLines="0" w:after="0" w:afterLines="0"/>
        <w:rPr>
          <w:rFonts w:hint="eastAsia"/>
          <w:lang w:val="en-US" w:eastAsia="zh-CN"/>
        </w:rPr>
      </w:pPr>
      <w:r>
        <w:rPr>
          <w:rFonts w:hint="eastAsia" w:ascii="黑体" w:hAnsi="黑体" w:eastAsia="黑体" w:cs="黑体"/>
          <w:lang w:val="en-US" w:eastAsia="zh-CN"/>
        </w:rPr>
        <w:t>气候条件</w:t>
      </w:r>
    </w:p>
    <w:p w14:paraId="1E974063">
      <w:pPr>
        <w:pStyle w:val="78"/>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年平均气温应在5.9</w:t>
      </w:r>
      <w:r>
        <w:rPr>
          <w:rFonts w:hint="eastAsia"/>
          <w:sz w:val="11"/>
          <w:szCs w:val="11"/>
          <w:lang w:val="en-US" w:eastAsia="zh-CN"/>
        </w:rPr>
        <w:t xml:space="preserve"> </w:t>
      </w:r>
      <w:r>
        <w:rPr>
          <w:rFonts w:hint="eastAsia"/>
          <w:lang w:val="en-US" w:eastAsia="zh-CN"/>
        </w:rPr>
        <w:t>℃～7.5</w:t>
      </w:r>
      <w:r>
        <w:rPr>
          <w:rFonts w:hint="eastAsia"/>
          <w:sz w:val="11"/>
          <w:szCs w:val="11"/>
          <w:lang w:val="en-US" w:eastAsia="zh-CN"/>
        </w:rPr>
        <w:t xml:space="preserve"> </w:t>
      </w:r>
      <w:r>
        <w:rPr>
          <w:rFonts w:hint="eastAsia"/>
          <w:lang w:val="en-US" w:eastAsia="zh-CN"/>
        </w:rPr>
        <w:t>℃；无霜期不小于120天，终霜晚、初霜适中，避免苗期冻害、后期早霜；有效积温在2000</w:t>
      </w:r>
      <w:r>
        <w:rPr>
          <w:rFonts w:hint="eastAsia"/>
          <w:sz w:val="11"/>
          <w:szCs w:val="11"/>
          <w:lang w:val="en-US" w:eastAsia="zh-CN"/>
        </w:rPr>
        <w:t xml:space="preserve"> </w:t>
      </w:r>
      <w:r>
        <w:rPr>
          <w:rFonts w:hint="eastAsia"/>
          <w:lang w:val="en-US" w:eastAsia="zh-CN"/>
        </w:rPr>
        <w:t>℃～2500</w:t>
      </w:r>
      <w:r>
        <w:rPr>
          <w:rFonts w:hint="eastAsia"/>
          <w:sz w:val="11"/>
          <w:szCs w:val="11"/>
          <w:lang w:val="en-US" w:eastAsia="zh-CN"/>
        </w:rPr>
        <w:t xml:space="preserve"> </w:t>
      </w:r>
      <w:r>
        <w:rPr>
          <w:rFonts w:hint="eastAsia"/>
          <w:lang w:val="en-US" w:eastAsia="zh-CN"/>
        </w:rPr>
        <w:t>℃，热量充足、生育期适中；年降水量：250</w:t>
      </w:r>
      <w:r>
        <w:rPr>
          <w:rFonts w:hint="eastAsia"/>
          <w:sz w:val="11"/>
          <w:szCs w:val="11"/>
          <w:lang w:val="en-US" w:eastAsia="zh-CN"/>
        </w:rPr>
        <w:t xml:space="preserve"> </w:t>
      </w:r>
      <w:r>
        <w:rPr>
          <w:rFonts w:hint="eastAsia"/>
          <w:lang w:val="en-US" w:eastAsia="zh-CN"/>
        </w:rPr>
        <w:t>mm～450</w:t>
      </w:r>
      <w:r>
        <w:rPr>
          <w:rFonts w:hint="eastAsia"/>
          <w:sz w:val="11"/>
          <w:szCs w:val="11"/>
          <w:lang w:val="en-US" w:eastAsia="zh-CN"/>
        </w:rPr>
        <w:t xml:space="preserve"> </w:t>
      </w:r>
      <w:r>
        <w:rPr>
          <w:rFonts w:hint="eastAsia"/>
          <w:lang w:val="en-US" w:eastAsia="zh-CN"/>
        </w:rPr>
        <w:t>mm，雨热同季、降水集中在7～9月，利于萝卜生长；年日照时数不小于2600</w:t>
      </w:r>
      <w:r>
        <w:rPr>
          <w:rFonts w:hint="eastAsia"/>
          <w:sz w:val="11"/>
          <w:szCs w:val="11"/>
          <w:lang w:val="en-US" w:eastAsia="zh-CN"/>
        </w:rPr>
        <w:t xml:space="preserve"> </w:t>
      </w:r>
      <w:r>
        <w:rPr>
          <w:rFonts w:hint="eastAsia"/>
          <w:lang w:val="en-US" w:eastAsia="zh-CN"/>
        </w:rPr>
        <w:t>h，光照强、紫外线充足，促进叶绿素合成、外皮鲜绿、肉质紧实；昼夜温差应不小于12</w:t>
      </w:r>
      <w:r>
        <w:rPr>
          <w:rFonts w:hint="eastAsia"/>
          <w:sz w:val="11"/>
          <w:szCs w:val="11"/>
          <w:lang w:val="en-US" w:eastAsia="zh-CN"/>
        </w:rPr>
        <w:t xml:space="preserve"> </w:t>
      </w:r>
      <w:r>
        <w:rPr>
          <w:rFonts w:hint="eastAsia"/>
          <w:lang w:val="en-US" w:eastAsia="zh-CN"/>
        </w:rPr>
        <w:t>℃，尤其肉质根膨大期温差可达15</w:t>
      </w:r>
      <w:r>
        <w:rPr>
          <w:rFonts w:hint="eastAsia"/>
          <w:sz w:val="11"/>
          <w:szCs w:val="11"/>
          <w:lang w:val="en-US" w:eastAsia="zh-CN"/>
        </w:rPr>
        <w:t xml:space="preserve"> </w:t>
      </w:r>
      <w:r>
        <w:rPr>
          <w:rFonts w:hint="eastAsia"/>
          <w:lang w:val="en-US" w:eastAsia="zh-CN"/>
        </w:rPr>
        <w:t>℃～20</w:t>
      </w:r>
      <w:r>
        <w:rPr>
          <w:rFonts w:hint="eastAsia"/>
          <w:sz w:val="11"/>
          <w:szCs w:val="11"/>
          <w:lang w:val="en-US" w:eastAsia="zh-CN"/>
        </w:rPr>
        <w:t xml:space="preserve"> </w:t>
      </w:r>
      <w:r>
        <w:rPr>
          <w:rFonts w:hint="eastAsia"/>
          <w:lang w:val="en-US" w:eastAsia="zh-CN"/>
        </w:rPr>
        <w:t>℃，糖分积累显著、脆甜多汁、风味浓郁；空气湿度在生长期应保持50</w:t>
      </w:r>
      <w:r>
        <w:rPr>
          <w:rFonts w:hint="eastAsia"/>
          <w:sz w:val="11"/>
          <w:szCs w:val="11"/>
          <w:lang w:val="en-US" w:eastAsia="zh-CN"/>
        </w:rPr>
        <w:t xml:space="preserve"> </w:t>
      </w:r>
      <w:r>
        <w:rPr>
          <w:rFonts w:hint="eastAsia"/>
          <w:lang w:val="en-US" w:eastAsia="zh-CN"/>
        </w:rPr>
        <w:t>%～70</w:t>
      </w:r>
      <w:r>
        <w:rPr>
          <w:rFonts w:hint="eastAsia"/>
          <w:sz w:val="11"/>
          <w:szCs w:val="11"/>
          <w:lang w:val="en-US" w:eastAsia="zh-CN"/>
        </w:rPr>
        <w:t xml:space="preserve"> </w:t>
      </w:r>
      <w:r>
        <w:rPr>
          <w:rFonts w:hint="eastAsia"/>
          <w:lang w:val="en-US" w:eastAsia="zh-CN"/>
        </w:rPr>
        <w:t>%，干燥少雨、病害轻、耐贮藏。</w:t>
      </w:r>
    </w:p>
    <w:p w14:paraId="5E127985">
      <w:pPr>
        <w:pStyle w:val="78"/>
        <w:bidi w:val="0"/>
        <w:spacing w:before="0" w:beforeLines="0" w:after="0" w:afterLines="0"/>
        <w:rPr>
          <w:rFonts w:hint="eastAsia"/>
          <w:lang w:val="en-US" w:eastAsia="zh-CN"/>
        </w:rPr>
      </w:pPr>
      <w:r>
        <w:rPr>
          <w:rFonts w:hint="eastAsia" w:ascii="黑体" w:hAnsi="黑体" w:eastAsia="黑体" w:cs="黑体"/>
          <w:lang w:val="en-US" w:eastAsia="zh-CN"/>
        </w:rPr>
        <w:t>灌溉水质</w:t>
      </w:r>
    </w:p>
    <w:p w14:paraId="1E08DA39">
      <w:pPr>
        <w:pStyle w:val="24"/>
        <w:bidi w:val="0"/>
        <w:rPr>
          <w:rFonts w:hint="eastAsia"/>
          <w:lang w:val="en-US" w:eastAsia="zh-CN"/>
        </w:rPr>
      </w:pPr>
      <w:r>
        <w:rPr>
          <w:rFonts w:hint="eastAsia"/>
          <w:lang w:val="en-US" w:eastAsia="zh-CN"/>
        </w:rPr>
        <w:t>水源选取湟水支流、山泉水、地下水、水库水，水质清洁、无污染；水质指标符合GB 5084、NY/T 391要求，酸碱度（ph）6.5～8.5、无重金属超标、无农药残留、无工业废水混入；灌方式采用渠灌、滴灌、喷灌，忌大水漫灌，避免烂根、软腐病、开裂。</w:t>
      </w:r>
    </w:p>
    <w:p w14:paraId="52E626AB">
      <w:pPr>
        <w:pStyle w:val="78"/>
        <w:bidi w:val="0"/>
        <w:spacing w:before="0" w:beforeLines="0" w:after="0" w:afterLines="0"/>
        <w:rPr>
          <w:rFonts w:hint="eastAsia"/>
          <w:lang w:val="en-US" w:eastAsia="zh-CN"/>
        </w:rPr>
      </w:pPr>
      <w:r>
        <w:rPr>
          <w:rFonts w:hint="eastAsia" w:ascii="黑体" w:hAnsi="黑体" w:eastAsia="黑体" w:cs="黑体"/>
          <w:lang w:val="en-US" w:eastAsia="zh-CN"/>
        </w:rPr>
        <w:t>空气质量</w:t>
      </w:r>
    </w:p>
    <w:p w14:paraId="2E014E6F">
      <w:pPr>
        <w:pStyle w:val="78"/>
        <w:numPr>
          <w:ilvl w:val="1"/>
          <w:numId w:val="0"/>
        </w:numPr>
        <w:bidi w:val="0"/>
        <w:spacing w:before="0" w:beforeLines="0" w:after="0" w:afterLines="0"/>
        <w:ind w:leftChars="0" w:firstLine="420" w:firstLineChars="200"/>
        <w:rPr>
          <w:rFonts w:hint="eastAsia"/>
          <w:lang w:val="en-US" w:eastAsia="zh-CN"/>
        </w:rPr>
      </w:pPr>
      <w:r>
        <w:rPr>
          <w:rFonts w:hint="eastAsia"/>
          <w:lang w:val="en-US" w:eastAsia="zh-CN"/>
        </w:rPr>
        <w:t>空气质量符合GB 3095、NY/T 391二级标准；大气环境应远离工业区、交通主干道、污染源，空气洁净、有害气体低，保证萝卜表皮干净、无污点、无异味、品质安全。</w:t>
      </w:r>
    </w:p>
    <w:p w14:paraId="030334E6">
      <w:pPr>
        <w:pStyle w:val="72"/>
        <w:bidi w:val="0"/>
        <w:rPr>
          <w:rFonts w:hint="eastAsia"/>
          <w:lang w:val="en-US" w:eastAsia="zh-CN"/>
        </w:rPr>
      </w:pPr>
      <w:bookmarkStart w:id="25" w:name="_Toc21500"/>
      <w:r>
        <w:rPr>
          <w:rFonts w:hint="eastAsia"/>
          <w:lang w:val="en-US" w:eastAsia="zh-CN"/>
        </w:rPr>
        <w:t>技术要求</w:t>
      </w:r>
      <w:bookmarkEnd w:id="25"/>
    </w:p>
    <w:p w14:paraId="7E0947AE">
      <w:pPr>
        <w:pStyle w:val="78"/>
        <w:bidi w:val="0"/>
        <w:spacing w:before="0" w:beforeLines="0" w:after="0" w:afterLines="0"/>
        <w:rPr>
          <w:rFonts w:hint="eastAsia"/>
          <w:lang w:val="en-US" w:eastAsia="zh-CN"/>
        </w:rPr>
      </w:pPr>
      <w:r>
        <w:rPr>
          <w:rFonts w:hint="eastAsia" w:ascii="黑体" w:hAnsi="黑体" w:eastAsia="黑体" w:cs="黑体"/>
          <w:lang w:val="en-US" w:eastAsia="zh-CN"/>
        </w:rPr>
        <w:t>品种选择</w:t>
      </w:r>
    </w:p>
    <w:p w14:paraId="740E23F1">
      <w:pPr>
        <w:pStyle w:val="79"/>
        <w:bidi w:val="0"/>
        <w:spacing w:before="0" w:beforeLines="0" w:after="0" w:afterLines="0"/>
        <w:rPr>
          <w:rFonts w:hint="eastAsia" w:ascii="黑体" w:hAnsi="黑体" w:eastAsia="黑体" w:cs="黑体"/>
          <w:sz w:val="21"/>
          <w:lang w:val="en-US" w:eastAsia="zh-CN"/>
        </w:rPr>
      </w:pPr>
      <w:r>
        <w:rPr>
          <w:rFonts w:hint="eastAsia" w:ascii="黑体" w:hAnsi="黑体" w:eastAsia="黑体" w:cs="黑体"/>
          <w:sz w:val="21"/>
          <w:lang w:val="en-US" w:eastAsia="zh-CN"/>
        </w:rPr>
        <w:t>品种</w:t>
      </w:r>
    </w:p>
    <w:p w14:paraId="49771EC1">
      <w:pPr>
        <w:pStyle w:val="79"/>
        <w:numPr>
          <w:ilvl w:val="2"/>
          <w:numId w:val="0"/>
        </w:numPr>
        <w:bidi w:val="0"/>
        <w:spacing w:before="0" w:beforeLines="0" w:after="0" w:afterLines="0"/>
        <w:ind w:leftChars="0" w:firstLine="420" w:firstLineChars="200"/>
        <w:rPr>
          <w:rFonts w:hint="eastAsia"/>
          <w:lang w:val="en-US" w:eastAsia="zh-CN"/>
        </w:rPr>
      </w:pPr>
      <w:r>
        <w:rPr>
          <w:rFonts w:hint="eastAsia"/>
          <w:lang w:val="en-US" w:eastAsia="zh-CN"/>
        </w:rPr>
        <w:t>仅限选用乐都绿萝卜地方传统优良品种，严禁引入外来品种、杂交品种、转基因品种；保持品种纯度、典型性、地方特异性。</w:t>
      </w:r>
    </w:p>
    <w:p w14:paraId="3EB5EE13">
      <w:pPr>
        <w:pStyle w:val="79"/>
        <w:bidi w:val="0"/>
        <w:spacing w:before="0" w:beforeLines="0" w:after="0" w:afterLines="0"/>
        <w:rPr>
          <w:rFonts w:hint="eastAsia"/>
          <w:lang w:val="en-US" w:eastAsia="zh-CN"/>
        </w:rPr>
      </w:pPr>
      <w:r>
        <w:rPr>
          <w:rFonts w:hint="eastAsia" w:ascii="黑体" w:hAnsi="黑体" w:eastAsia="黑体" w:cs="黑体"/>
          <w:sz w:val="21"/>
          <w:lang w:val="en-US" w:eastAsia="zh-CN"/>
        </w:rPr>
        <w:t>品种典型特征</w:t>
      </w:r>
    </w:p>
    <w:p w14:paraId="15BD64C5">
      <w:pPr>
        <w:pStyle w:val="79"/>
        <w:numPr>
          <w:ilvl w:val="2"/>
          <w:numId w:val="0"/>
        </w:numPr>
        <w:bidi w:val="0"/>
        <w:spacing w:before="0" w:beforeLines="0" w:after="0" w:afterLines="0"/>
        <w:ind w:leftChars="0" w:firstLine="420" w:firstLineChars="200"/>
        <w:rPr>
          <w:rFonts w:hint="eastAsia"/>
          <w:lang w:val="en-US" w:eastAsia="zh-CN"/>
        </w:rPr>
      </w:pPr>
      <w:r>
        <w:rPr>
          <w:rFonts w:hint="eastAsia"/>
          <w:lang w:val="en-US" w:eastAsia="zh-CN"/>
        </w:rPr>
        <w:t>植株呈现半直立生长状态、叶簇紧凑、叶色深绿、裂叶、刺毛适中；肉质根长圆筒形、长17～22</w:t>
      </w:r>
      <w:r>
        <w:rPr>
          <w:rFonts w:hint="eastAsia"/>
          <w:sz w:val="11"/>
          <w:szCs w:val="11"/>
          <w:lang w:val="en-US" w:eastAsia="zh-CN"/>
        </w:rPr>
        <w:t xml:space="preserve"> </w:t>
      </w:r>
      <w:r>
        <w:rPr>
          <w:rFonts w:hint="eastAsia"/>
          <w:lang w:val="en-US" w:eastAsia="zh-CN"/>
        </w:rPr>
        <w:t>cm、横径7～10</w:t>
      </w:r>
      <w:r>
        <w:rPr>
          <w:rFonts w:hint="eastAsia"/>
          <w:sz w:val="11"/>
          <w:szCs w:val="11"/>
          <w:lang w:val="en-US" w:eastAsia="zh-CN"/>
        </w:rPr>
        <w:t xml:space="preserve"> </w:t>
      </w:r>
      <w:r>
        <w:rPr>
          <w:rFonts w:hint="eastAsia"/>
          <w:lang w:val="en-US" w:eastAsia="zh-CN"/>
        </w:rPr>
        <w:t>cm、2/3以上露土、外皮鲜绿、入土部白色、肉色浅绿均匀；品质脆甜多汁、细嫩无渣、粗纤维少、不易糠心、耐贮藏。</w:t>
      </w:r>
    </w:p>
    <w:p w14:paraId="3FB55237">
      <w:pPr>
        <w:pStyle w:val="79"/>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种子质量</w:t>
      </w:r>
    </w:p>
    <w:p w14:paraId="70689143">
      <w:pPr>
        <w:pStyle w:val="79"/>
        <w:numPr>
          <w:ilvl w:val="2"/>
          <w:numId w:val="0"/>
        </w:numPr>
        <w:bidi w:val="0"/>
        <w:spacing w:before="0" w:beforeLines="0" w:after="0" w:afterLines="0"/>
        <w:ind w:firstLine="420" w:firstLineChars="200"/>
        <w:rPr>
          <w:rFonts w:hint="eastAsia"/>
          <w:lang w:val="en-US" w:eastAsia="zh-CN"/>
        </w:rPr>
      </w:pPr>
      <w:r>
        <w:rPr>
          <w:rFonts w:hint="eastAsia"/>
          <w:lang w:val="en-US" w:eastAsia="zh-CN"/>
        </w:rPr>
        <w:t>纯度不低于98</w:t>
      </w:r>
      <w:r>
        <w:rPr>
          <w:rFonts w:hint="eastAsia"/>
          <w:sz w:val="11"/>
          <w:szCs w:val="11"/>
          <w:lang w:val="en-US" w:eastAsia="zh-CN"/>
        </w:rPr>
        <w:t xml:space="preserve"> </w:t>
      </w:r>
      <w:r>
        <w:rPr>
          <w:rFonts w:hint="eastAsia"/>
          <w:lang w:val="en-US" w:eastAsia="zh-CN"/>
        </w:rPr>
        <w:t>%、净度不小低于99</w:t>
      </w:r>
      <w:r>
        <w:rPr>
          <w:rFonts w:hint="eastAsia"/>
          <w:sz w:val="11"/>
          <w:szCs w:val="11"/>
          <w:lang w:val="en-US" w:eastAsia="zh-CN"/>
        </w:rPr>
        <w:t xml:space="preserve"> </w:t>
      </w:r>
      <w:r>
        <w:rPr>
          <w:rFonts w:hint="eastAsia"/>
          <w:lang w:val="en-US" w:eastAsia="zh-CN"/>
        </w:rPr>
        <w:t>%、发芽率不低于85</w:t>
      </w:r>
      <w:r>
        <w:rPr>
          <w:rFonts w:hint="eastAsia"/>
          <w:sz w:val="11"/>
          <w:szCs w:val="11"/>
          <w:lang w:val="en-US" w:eastAsia="zh-CN"/>
        </w:rPr>
        <w:t xml:space="preserve"> </w:t>
      </w:r>
      <w:r>
        <w:rPr>
          <w:rFonts w:hint="eastAsia"/>
          <w:lang w:val="en-US" w:eastAsia="zh-CN"/>
        </w:rPr>
        <w:t>%、水分含量不超过8</w:t>
      </w:r>
      <w:r>
        <w:rPr>
          <w:rFonts w:hint="eastAsia"/>
          <w:sz w:val="11"/>
          <w:szCs w:val="11"/>
          <w:lang w:val="en-US" w:eastAsia="zh-CN"/>
        </w:rPr>
        <w:t xml:space="preserve"> </w:t>
      </w:r>
      <w:r>
        <w:rPr>
          <w:rFonts w:hint="eastAsia"/>
          <w:lang w:val="en-US" w:eastAsia="zh-CN"/>
        </w:rPr>
        <w:t>%；种子饱满、无虫蛀、无霉变、无破损；来源本地留种、正规繁育、可追溯，严禁外来混杂种子符合NY 2620。</w:t>
      </w:r>
    </w:p>
    <w:p w14:paraId="2445EFCD">
      <w:pPr>
        <w:pStyle w:val="79"/>
        <w:bidi w:val="0"/>
        <w:spacing w:before="0" w:beforeLines="0" w:after="0" w:afterLines="0"/>
        <w:rPr>
          <w:rFonts w:hint="eastAsia"/>
          <w:lang w:val="en-US" w:eastAsia="zh-CN"/>
        </w:rPr>
      </w:pPr>
      <w:r>
        <w:rPr>
          <w:rFonts w:hint="eastAsia" w:ascii="黑体" w:hAnsi="黑体" w:eastAsia="黑体" w:cs="黑体"/>
          <w:lang w:val="en-US" w:eastAsia="zh-CN"/>
        </w:rPr>
        <w:t>茬口选择</w:t>
      </w:r>
    </w:p>
    <w:p w14:paraId="6B24A54E">
      <w:pPr>
        <w:pStyle w:val="79"/>
        <w:numPr>
          <w:ilvl w:val="2"/>
          <w:numId w:val="0"/>
        </w:numPr>
        <w:bidi w:val="0"/>
        <w:spacing w:before="0" w:beforeLines="0" w:after="0" w:afterLines="0"/>
        <w:ind w:leftChars="0" w:firstLine="420" w:firstLineChars="20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前茬</w:t>
      </w:r>
      <w:r>
        <w:rPr>
          <w:rFonts w:ascii="宋体" w:hAnsi="宋体" w:eastAsia="宋体" w:cs="宋体"/>
          <w:sz w:val="21"/>
          <w:szCs w:val="21"/>
        </w:rPr>
        <w:t>作物优先选取</w:t>
      </w:r>
      <w:r>
        <w:rPr>
          <w:rFonts w:hint="eastAsia" w:ascii="宋体" w:hAnsi="宋体" w:eastAsia="宋体" w:cs="宋体"/>
          <w:sz w:val="21"/>
          <w:szCs w:val="21"/>
          <w:lang w:val="en-US" w:eastAsia="zh-CN"/>
        </w:rPr>
        <w:t>春小麦、青稞、马铃薯、蚕豆、大蒜、洋葱等非十字花科作物；严禁连作、忌与白菜、甘蓝、油菜、萝卜等十字花科连作；轮作周期</w:t>
      </w:r>
      <w:r>
        <w:rPr>
          <w:rFonts w:hint="eastAsia" w:cs="宋体"/>
          <w:sz w:val="21"/>
          <w:szCs w:val="21"/>
          <w:lang w:val="en-US" w:eastAsia="zh-CN"/>
        </w:rPr>
        <w:t>不小于3</w:t>
      </w:r>
      <w:r>
        <w:rPr>
          <w:rFonts w:hint="eastAsia" w:ascii="宋体" w:hAnsi="宋体" w:eastAsia="宋体" w:cs="宋体"/>
          <w:sz w:val="21"/>
          <w:szCs w:val="21"/>
          <w:lang w:val="en-US" w:eastAsia="zh-CN"/>
        </w:rPr>
        <w:t>年，减少土传病害、防止连作障碍、提高品质。</w:t>
      </w:r>
    </w:p>
    <w:p w14:paraId="424BF919">
      <w:pPr>
        <w:pStyle w:val="78"/>
        <w:bidi w:val="0"/>
        <w:spacing w:before="0" w:beforeLines="0" w:after="0" w:afterLines="0"/>
        <w:rPr>
          <w:rFonts w:hint="eastAsia"/>
          <w:lang w:val="en-US" w:eastAsia="zh-CN"/>
        </w:rPr>
      </w:pPr>
      <w:r>
        <w:rPr>
          <w:rFonts w:hint="eastAsia" w:ascii="黑体" w:hAnsi="黑体" w:eastAsia="黑体" w:cs="黑体"/>
          <w:lang w:val="en-US" w:eastAsia="zh-CN"/>
        </w:rPr>
        <w:t>整地与基肥施用</w:t>
      </w:r>
    </w:p>
    <w:p w14:paraId="07BB225A">
      <w:pPr>
        <w:pStyle w:val="79"/>
        <w:bidi w:val="0"/>
        <w:spacing w:before="0" w:beforeLines="0" w:after="0" w:afterLines="0"/>
        <w:rPr>
          <w:rFonts w:hint="eastAsia" w:ascii="黑体" w:hAnsi="黑体" w:eastAsia="黑体" w:cs="黑体"/>
          <w:sz w:val="21"/>
          <w:lang w:val="en-US" w:eastAsia="zh-CN"/>
        </w:rPr>
      </w:pPr>
      <w:r>
        <w:rPr>
          <w:rFonts w:hint="eastAsia" w:ascii="黑体" w:hAnsi="黑体" w:eastAsia="黑体" w:cs="黑体"/>
          <w:sz w:val="21"/>
          <w:lang w:val="en-US" w:eastAsia="zh-CN"/>
        </w:rPr>
        <w:t>整地</w:t>
      </w:r>
    </w:p>
    <w:p w14:paraId="1B6BDA4B">
      <w:pPr>
        <w:pStyle w:val="79"/>
        <w:numPr>
          <w:ilvl w:val="2"/>
          <w:numId w:val="0"/>
        </w:numPr>
        <w:bidi w:val="0"/>
        <w:spacing w:before="0" w:beforeLines="0" w:after="0" w:afterLines="0"/>
        <w:ind w:leftChars="0" w:firstLine="420" w:firstLineChars="200"/>
        <w:rPr>
          <w:rFonts w:hint="eastAsia"/>
          <w:sz w:val="21"/>
          <w:szCs w:val="21"/>
          <w:lang w:val="en-US" w:eastAsia="zh-CN"/>
        </w:rPr>
      </w:pPr>
      <w:r>
        <w:rPr>
          <w:rFonts w:hint="eastAsia"/>
          <w:sz w:val="21"/>
          <w:szCs w:val="21"/>
          <w:lang w:val="en-US" w:eastAsia="zh-CN"/>
        </w:rPr>
        <w:t>前茬收获后及时深耕25</w:t>
      </w:r>
      <w:r>
        <w:rPr>
          <w:rFonts w:hint="eastAsia"/>
          <w:sz w:val="11"/>
          <w:szCs w:val="11"/>
          <w:lang w:val="en-US" w:eastAsia="zh-CN"/>
        </w:rPr>
        <w:t xml:space="preserve"> </w:t>
      </w:r>
      <w:r>
        <w:rPr>
          <w:rFonts w:hint="eastAsia"/>
          <w:sz w:val="21"/>
          <w:szCs w:val="21"/>
          <w:lang w:val="en-US" w:eastAsia="zh-CN"/>
        </w:rPr>
        <w:t>cm～30</w:t>
      </w:r>
      <w:r>
        <w:rPr>
          <w:rFonts w:hint="eastAsia"/>
          <w:sz w:val="11"/>
          <w:szCs w:val="11"/>
          <w:lang w:val="en-US" w:eastAsia="zh-CN"/>
        </w:rPr>
        <w:t xml:space="preserve"> </w:t>
      </w:r>
      <w:r>
        <w:rPr>
          <w:rFonts w:hint="eastAsia"/>
          <w:sz w:val="21"/>
          <w:szCs w:val="21"/>
          <w:lang w:val="en-US" w:eastAsia="zh-CN"/>
        </w:rPr>
        <w:t>cm，打破犁底层、疏松土壤、熟化土层；播种前旋耕耙平 2 次，做到地平、土碎、无坷垃、无残茬；垄距 40</w:t>
      </w:r>
      <w:r>
        <w:rPr>
          <w:rFonts w:hint="eastAsia"/>
          <w:sz w:val="11"/>
          <w:szCs w:val="11"/>
          <w:lang w:val="en-US" w:eastAsia="zh-CN"/>
        </w:rPr>
        <w:t xml:space="preserve"> </w:t>
      </w:r>
      <w:r>
        <w:rPr>
          <w:rFonts w:hint="eastAsia"/>
          <w:sz w:val="21"/>
          <w:szCs w:val="21"/>
          <w:lang w:val="en-US" w:eastAsia="zh-CN"/>
        </w:rPr>
        <w:t>cm～50</w:t>
      </w:r>
      <w:r>
        <w:rPr>
          <w:rFonts w:hint="eastAsia"/>
          <w:sz w:val="11"/>
          <w:szCs w:val="11"/>
          <w:lang w:val="en-US" w:eastAsia="zh-CN"/>
        </w:rPr>
        <w:t xml:space="preserve"> </w:t>
      </w:r>
      <w:r>
        <w:rPr>
          <w:rFonts w:hint="eastAsia"/>
          <w:sz w:val="21"/>
          <w:szCs w:val="21"/>
          <w:lang w:val="en-US" w:eastAsia="zh-CN"/>
        </w:rPr>
        <w:t>cm、垄高15</w:t>
      </w:r>
      <w:r>
        <w:rPr>
          <w:rFonts w:hint="eastAsia"/>
          <w:sz w:val="11"/>
          <w:szCs w:val="11"/>
          <w:lang w:val="en-US" w:eastAsia="zh-CN"/>
        </w:rPr>
        <w:t xml:space="preserve"> </w:t>
      </w:r>
      <w:r>
        <w:rPr>
          <w:rFonts w:hint="eastAsia"/>
          <w:sz w:val="21"/>
          <w:szCs w:val="21"/>
          <w:lang w:val="en-US" w:eastAsia="zh-CN"/>
        </w:rPr>
        <w:t>cm～20</w:t>
      </w:r>
      <w:r>
        <w:rPr>
          <w:rFonts w:hint="eastAsia"/>
          <w:sz w:val="11"/>
          <w:szCs w:val="11"/>
          <w:lang w:val="en-US" w:eastAsia="zh-CN"/>
        </w:rPr>
        <w:t xml:space="preserve"> </w:t>
      </w:r>
      <w:r>
        <w:rPr>
          <w:rFonts w:hint="eastAsia"/>
          <w:sz w:val="21"/>
          <w:szCs w:val="21"/>
          <w:lang w:val="en-US" w:eastAsia="zh-CN"/>
        </w:rPr>
        <w:t>cm、垄面宽25</w:t>
      </w:r>
      <w:r>
        <w:rPr>
          <w:rFonts w:hint="eastAsia"/>
          <w:sz w:val="11"/>
          <w:szCs w:val="11"/>
          <w:lang w:val="en-US" w:eastAsia="zh-CN"/>
        </w:rPr>
        <w:t xml:space="preserve"> </w:t>
      </w:r>
      <w:r>
        <w:rPr>
          <w:rFonts w:hint="eastAsia"/>
          <w:sz w:val="21"/>
          <w:szCs w:val="21"/>
          <w:lang w:val="en-US" w:eastAsia="zh-CN"/>
        </w:rPr>
        <w:t>cm～30</w:t>
      </w:r>
      <w:r>
        <w:rPr>
          <w:rFonts w:hint="eastAsia"/>
          <w:sz w:val="11"/>
          <w:szCs w:val="11"/>
          <w:lang w:val="en-US" w:eastAsia="zh-CN"/>
        </w:rPr>
        <w:t xml:space="preserve"> </w:t>
      </w:r>
      <w:r>
        <w:rPr>
          <w:rFonts w:hint="eastAsia"/>
          <w:sz w:val="21"/>
          <w:szCs w:val="21"/>
          <w:lang w:val="en-US" w:eastAsia="zh-CN"/>
        </w:rPr>
        <w:t>cm，垄作栽培，利于排水、通风、肉质根膨大、减少病害。</w:t>
      </w:r>
    </w:p>
    <w:p w14:paraId="38BD17B7">
      <w:pPr>
        <w:pStyle w:val="79"/>
        <w:bidi w:val="0"/>
        <w:spacing w:before="0" w:beforeLines="0" w:after="0" w:afterLines="0"/>
        <w:rPr>
          <w:rFonts w:hint="eastAsia"/>
          <w:lang w:val="en-US" w:eastAsia="zh-CN"/>
        </w:rPr>
      </w:pPr>
      <w:r>
        <w:rPr>
          <w:rFonts w:hint="eastAsia" w:ascii="黑体" w:hAnsi="黑体" w:eastAsia="黑体" w:cs="黑体"/>
          <w:sz w:val="21"/>
          <w:lang w:val="en-US" w:eastAsia="zh-CN"/>
        </w:rPr>
        <w:t>基肥施用标准</w:t>
      </w:r>
    </w:p>
    <w:p w14:paraId="23B8398E">
      <w:pPr>
        <w:pStyle w:val="79"/>
        <w:numPr>
          <w:ilvl w:val="2"/>
          <w:numId w:val="0"/>
        </w:numPr>
        <w:bidi w:val="0"/>
        <w:spacing w:before="0" w:beforeLines="0" w:after="0" w:afterLines="0"/>
        <w:ind w:leftChars="0" w:firstLine="420" w:firstLineChars="200"/>
        <w:rPr>
          <w:rFonts w:hint="eastAsia" w:ascii="宋体" w:hAnsi="宋体" w:eastAsia="宋体" w:cs="宋体"/>
          <w:sz w:val="21"/>
          <w:lang w:val="en-US" w:eastAsia="zh-CN"/>
        </w:rPr>
      </w:pPr>
      <w:r>
        <w:rPr>
          <w:rFonts w:hint="eastAsia" w:ascii="宋体" w:hAnsi="宋体" w:eastAsia="宋体" w:cs="宋体"/>
          <w:sz w:val="21"/>
          <w:lang w:val="en-US" w:eastAsia="zh-CN"/>
        </w:rPr>
        <w:t>有机肥选用腐熟农家肥3000</w:t>
      </w:r>
      <w:r>
        <w:rPr>
          <w:rFonts w:hint="eastAsia" w:cs="宋体"/>
          <w:sz w:val="11"/>
          <w:szCs w:val="11"/>
          <w:lang w:val="en-US" w:eastAsia="zh-CN"/>
        </w:rPr>
        <w:t xml:space="preserve"> </w:t>
      </w:r>
      <w:r>
        <w:rPr>
          <w:rFonts w:hint="eastAsia" w:cs="宋体"/>
          <w:sz w:val="21"/>
          <w:lang w:val="en-US" w:eastAsia="zh-CN"/>
        </w:rPr>
        <w:t>kg</w:t>
      </w:r>
      <w:r>
        <w:rPr>
          <w:rFonts w:hint="eastAsia" w:ascii="宋体" w:hAnsi="宋体" w:eastAsia="宋体" w:cs="宋体"/>
          <w:sz w:val="21"/>
          <w:lang w:val="en-US" w:eastAsia="zh-CN"/>
        </w:rPr>
        <w:t>～4000</w:t>
      </w:r>
      <w:r>
        <w:rPr>
          <w:rFonts w:hint="eastAsia" w:cs="宋体"/>
          <w:sz w:val="11"/>
          <w:szCs w:val="11"/>
          <w:lang w:val="en-US" w:eastAsia="zh-CN"/>
        </w:rPr>
        <w:t xml:space="preserve"> </w:t>
      </w:r>
      <w:r>
        <w:rPr>
          <w:rFonts w:hint="eastAsia" w:ascii="宋体" w:hAnsi="宋体" w:eastAsia="宋体" w:cs="宋体"/>
          <w:sz w:val="21"/>
          <w:lang w:val="en-US" w:eastAsia="zh-CN"/>
        </w:rPr>
        <w:t>kg/6</w:t>
      </w:r>
      <w:r>
        <w:rPr>
          <w:rFonts w:hint="eastAsia" w:cs="宋体"/>
          <w:sz w:val="21"/>
          <w:lang w:val="en-US" w:eastAsia="zh-CN"/>
        </w:rPr>
        <w:t>6</w:t>
      </w:r>
      <w:r>
        <w:rPr>
          <w:rFonts w:hint="eastAsia" w:cs="宋体"/>
          <w:sz w:val="11"/>
          <w:szCs w:val="11"/>
          <w:lang w:val="en-US" w:eastAsia="zh-CN"/>
        </w:rPr>
        <w:t xml:space="preserve"> </w:t>
      </w:r>
      <w:r>
        <w:rPr>
          <w:rFonts w:hint="eastAsia" w:ascii="宋体" w:hAnsi="宋体" w:eastAsia="宋体" w:cs="宋体"/>
          <w:sz w:val="21"/>
          <w:lang w:val="en-US" w:eastAsia="zh-CN"/>
        </w:rPr>
        <w:t>㎡（羊粪、牛粪为主），严禁生粪、未腐熟粪；化肥选用三元复合肥（N:P₂O₅:K₂O=12:18:15）25</w:t>
      </w:r>
      <w:r>
        <w:rPr>
          <w:rFonts w:hint="eastAsia" w:cs="宋体"/>
          <w:sz w:val="11"/>
          <w:szCs w:val="11"/>
          <w:lang w:val="en-US" w:eastAsia="zh-CN"/>
        </w:rPr>
        <w:t xml:space="preserve"> </w:t>
      </w:r>
      <w:r>
        <w:rPr>
          <w:rFonts w:hint="eastAsia" w:cs="宋体"/>
          <w:sz w:val="21"/>
          <w:lang w:val="en-US" w:eastAsia="zh-CN"/>
        </w:rPr>
        <w:t>kg</w:t>
      </w:r>
      <w:r>
        <w:rPr>
          <w:rFonts w:hint="eastAsia" w:ascii="宋体" w:hAnsi="宋体" w:eastAsia="宋体" w:cs="宋体"/>
          <w:sz w:val="21"/>
          <w:lang w:val="en-US" w:eastAsia="zh-CN"/>
        </w:rPr>
        <w:t>～30</w:t>
      </w:r>
      <w:r>
        <w:rPr>
          <w:rFonts w:hint="eastAsia" w:cs="宋体"/>
          <w:sz w:val="11"/>
          <w:szCs w:val="11"/>
          <w:lang w:val="en-US" w:eastAsia="zh-CN"/>
        </w:rPr>
        <w:t xml:space="preserve"> </w:t>
      </w:r>
      <w:r>
        <w:rPr>
          <w:rFonts w:hint="eastAsia" w:ascii="宋体" w:hAnsi="宋体" w:eastAsia="宋体" w:cs="宋体"/>
          <w:sz w:val="21"/>
          <w:lang w:val="en-US" w:eastAsia="zh-CN"/>
        </w:rPr>
        <w:t>kg/66</w:t>
      </w:r>
      <w:r>
        <w:rPr>
          <w:rFonts w:hint="eastAsia" w:cs="宋体"/>
          <w:sz w:val="11"/>
          <w:szCs w:val="11"/>
          <w:lang w:val="en-US" w:eastAsia="zh-CN"/>
        </w:rPr>
        <w:t xml:space="preserve"> </w:t>
      </w:r>
      <w:r>
        <w:rPr>
          <w:rFonts w:hint="eastAsia" w:ascii="宋体" w:hAnsi="宋体" w:eastAsia="宋体" w:cs="宋体"/>
          <w:sz w:val="21"/>
          <w:lang w:val="en-US" w:eastAsia="zh-CN"/>
        </w:rPr>
        <w:t>㎡；施肥方式采用全层撒施、深耕翻入，做到肥土混匀、底肥充足、后劲稳长；符合NY/T 496，不偏施氮肥、控氮增磷钾。</w:t>
      </w:r>
    </w:p>
    <w:p w14:paraId="2161B59E">
      <w:pPr>
        <w:pStyle w:val="78"/>
        <w:bidi w:val="0"/>
        <w:spacing w:before="0" w:beforeLines="0" w:after="0" w:afterLines="0"/>
        <w:rPr>
          <w:rFonts w:hint="eastAsia"/>
          <w:lang w:val="en-US" w:eastAsia="zh-CN"/>
        </w:rPr>
      </w:pPr>
      <w:r>
        <w:rPr>
          <w:rFonts w:hint="eastAsia" w:ascii="黑体" w:hAnsi="黑体" w:eastAsia="黑体" w:cs="黑体"/>
          <w:sz w:val="21"/>
          <w:lang w:val="en-US" w:eastAsia="zh-CN"/>
        </w:rPr>
        <w:t>播种技术规范</w:t>
      </w:r>
    </w:p>
    <w:p w14:paraId="6D6A7747">
      <w:pPr>
        <w:pStyle w:val="79"/>
        <w:bidi w:val="0"/>
        <w:spacing w:before="0" w:beforeLines="0" w:after="0" w:afterLines="0"/>
        <w:rPr>
          <w:rFonts w:hint="eastAsia" w:ascii="黑体" w:hAnsi="黑体" w:eastAsia="黑体" w:cs="黑体"/>
          <w:sz w:val="21"/>
          <w:lang w:val="en-US" w:eastAsia="zh-CN"/>
        </w:rPr>
      </w:pPr>
      <w:r>
        <w:rPr>
          <w:rFonts w:hint="eastAsia" w:ascii="黑体" w:hAnsi="黑体" w:eastAsia="黑体" w:cs="黑体"/>
          <w:sz w:val="21"/>
          <w:lang w:val="en-US" w:eastAsia="zh-CN"/>
        </w:rPr>
        <w:t>播种时期</w:t>
      </w:r>
    </w:p>
    <w:p w14:paraId="215C727F">
      <w:pPr>
        <w:pStyle w:val="79"/>
        <w:numPr>
          <w:ilvl w:val="2"/>
          <w:numId w:val="0"/>
        </w:numPr>
        <w:bidi w:val="0"/>
        <w:spacing w:before="0" w:beforeLines="0" w:after="0" w:afterLines="0"/>
        <w:ind w:firstLine="420" w:firstLineChars="200"/>
        <w:rPr>
          <w:rFonts w:hint="eastAsia" w:ascii="宋体" w:hAnsi="宋体" w:eastAsia="宋体" w:cs="宋体"/>
          <w:sz w:val="21"/>
          <w:szCs w:val="21"/>
          <w:lang w:val="en-US" w:eastAsia="zh-CN"/>
        </w:rPr>
      </w:pPr>
      <w:r>
        <w:rPr>
          <w:rFonts w:hint="eastAsia" w:ascii="宋体" w:hAnsi="宋体" w:eastAsia="宋体" w:cs="宋体"/>
          <w:sz w:val="21"/>
          <w:lang w:val="en-US" w:eastAsia="zh-CN"/>
        </w:rPr>
        <w:t>时间选定在</w:t>
      </w:r>
      <w:r>
        <w:rPr>
          <w:rFonts w:hint="eastAsia" w:ascii="宋体" w:hAnsi="宋体" w:eastAsia="宋体" w:cs="宋体"/>
          <w:lang w:val="en-US" w:eastAsia="zh-CN"/>
        </w:rPr>
        <w:t>7月20日～8月10日（立秋前后）；</w:t>
      </w:r>
      <w:r>
        <w:rPr>
          <w:rFonts w:hint="eastAsia" w:ascii="宋体" w:hAnsi="宋体" w:eastAsia="宋体" w:cs="宋体"/>
          <w:sz w:val="21"/>
          <w:szCs w:val="21"/>
          <w:lang w:val="en-US" w:eastAsia="zh-CN"/>
        </w:rPr>
        <w:t>地表5</w:t>
      </w:r>
      <w:r>
        <w:rPr>
          <w:rFonts w:hint="eastAsia" w:cs="宋体"/>
          <w:sz w:val="11"/>
          <w:szCs w:val="11"/>
          <w:lang w:val="en-US" w:eastAsia="zh-CN"/>
        </w:rPr>
        <w:t xml:space="preserve"> </w:t>
      </w:r>
      <w:r>
        <w:rPr>
          <w:rFonts w:hint="eastAsia" w:cs="宋体"/>
          <w:sz w:val="21"/>
          <w:szCs w:val="21"/>
          <w:lang w:val="en-US" w:eastAsia="zh-CN"/>
        </w:rPr>
        <w:t>cm</w:t>
      </w:r>
      <w:r>
        <w:rPr>
          <w:rFonts w:hint="eastAsia" w:ascii="宋体" w:hAnsi="宋体" w:eastAsia="宋体" w:cs="宋体"/>
          <w:sz w:val="21"/>
          <w:szCs w:val="21"/>
          <w:lang w:val="en-US" w:eastAsia="zh-CN"/>
        </w:rPr>
        <w:t>土层温度稳定达到12</w:t>
      </w:r>
      <w:r>
        <w:rPr>
          <w:rFonts w:hint="eastAsia" w:cs="宋体"/>
          <w:sz w:val="11"/>
          <w:szCs w:val="11"/>
          <w:lang w:val="en-US" w:eastAsia="zh-CN"/>
        </w:rPr>
        <w:t xml:space="preserve"> </w:t>
      </w:r>
      <w:r>
        <w:rPr>
          <w:rFonts w:hint="eastAsia" w:ascii="宋体" w:hAnsi="宋体" w:eastAsia="宋体" w:cs="宋体"/>
          <w:sz w:val="21"/>
          <w:szCs w:val="21"/>
          <w:lang w:val="en-US" w:eastAsia="zh-CN"/>
        </w:rPr>
        <w:t>℃</w:t>
      </w:r>
      <w:r>
        <w:rPr>
          <w:rFonts w:hint="eastAsia" w:ascii="宋体" w:hAnsi="宋体" w:eastAsia="宋体" w:cs="宋体"/>
          <w:sz w:val="21"/>
          <w:szCs w:val="21"/>
        </w:rPr>
        <w:t>以上时开展播种作业</w:t>
      </w:r>
      <w:r>
        <w:rPr>
          <w:rFonts w:hint="eastAsia" w:ascii="宋体" w:hAnsi="宋体" w:eastAsia="宋体" w:cs="宋体"/>
          <w:sz w:val="21"/>
          <w:szCs w:val="21"/>
          <w:lang w:val="en-US" w:eastAsia="zh-CN"/>
        </w:rPr>
        <w:t>；</w:t>
      </w:r>
      <w:r>
        <w:rPr>
          <w:rFonts w:hint="eastAsia" w:ascii="宋体" w:hAnsi="宋体" w:eastAsia="宋体" w:cs="宋体"/>
          <w:sz w:val="21"/>
          <w:szCs w:val="21"/>
        </w:rPr>
        <w:t>遵循早播侧重长叶、晚播侧重长根的生长规律，乐都地区气候条件下</w:t>
      </w:r>
      <w:r>
        <w:rPr>
          <w:rFonts w:hint="eastAsia" w:ascii="宋体" w:hAnsi="宋体" w:eastAsia="宋体" w:cs="宋体"/>
          <w:sz w:val="21"/>
          <w:szCs w:val="21"/>
          <w:lang w:val="en-US" w:eastAsia="zh-CN"/>
        </w:rPr>
        <w:t>7</w:t>
      </w:r>
      <w:r>
        <w:rPr>
          <w:rFonts w:hint="eastAsia" w:ascii="宋体" w:hAnsi="宋体" w:eastAsia="宋体" w:cs="宋体"/>
          <w:sz w:val="21"/>
          <w:szCs w:val="21"/>
        </w:rPr>
        <w:t>月底至</w:t>
      </w:r>
      <w:r>
        <w:rPr>
          <w:rFonts w:hint="eastAsia" w:ascii="宋体" w:hAnsi="宋体" w:eastAsia="宋体" w:cs="宋体"/>
          <w:sz w:val="21"/>
          <w:szCs w:val="21"/>
          <w:lang w:val="en-US" w:eastAsia="zh-CN"/>
        </w:rPr>
        <w:t>8</w:t>
      </w:r>
      <w:r>
        <w:rPr>
          <w:rFonts w:hint="eastAsia" w:ascii="宋体" w:hAnsi="宋体" w:eastAsia="宋体" w:cs="宋体"/>
          <w:sz w:val="21"/>
          <w:szCs w:val="21"/>
        </w:rPr>
        <w:t>月初为最佳播种时段，肉质根膨大阶段恰逢昼夜温差最大时期，产品品质最优。</w:t>
      </w:r>
    </w:p>
    <w:p w14:paraId="653F3F98">
      <w:pPr>
        <w:pStyle w:val="79"/>
        <w:bidi w:val="0"/>
        <w:spacing w:before="0" w:beforeLines="0" w:after="0" w:afterLines="0"/>
        <w:rPr>
          <w:rFonts w:hint="eastAsia"/>
          <w:lang w:val="en-US" w:eastAsia="zh-CN"/>
        </w:rPr>
      </w:pPr>
      <w:r>
        <w:rPr>
          <w:rFonts w:hint="eastAsia" w:ascii="黑体" w:hAnsi="黑体" w:eastAsia="黑体" w:cs="黑体"/>
          <w:lang w:val="en-US" w:eastAsia="zh-CN"/>
        </w:rPr>
        <w:t>种子处理方法</w:t>
      </w:r>
    </w:p>
    <w:p w14:paraId="32B33D96">
      <w:pPr>
        <w:pStyle w:val="79"/>
        <w:numPr>
          <w:ilvl w:val="2"/>
          <w:numId w:val="0"/>
        </w:numPr>
        <w:bidi w:val="0"/>
        <w:spacing w:before="0" w:beforeLines="0" w:after="0" w:afterLines="0"/>
        <w:ind w:leftChars="0" w:firstLine="420" w:firstLineChars="200"/>
        <w:rPr>
          <w:rFonts w:hint="eastAsia"/>
          <w:sz w:val="21"/>
          <w:szCs w:val="21"/>
          <w:lang w:val="en-US" w:eastAsia="zh-CN"/>
        </w:rPr>
      </w:pPr>
      <w:r>
        <w:rPr>
          <w:rFonts w:ascii="宋体" w:hAnsi="宋体" w:eastAsia="宋体" w:cs="宋体"/>
          <w:sz w:val="21"/>
          <w:szCs w:val="21"/>
        </w:rPr>
        <w:t>播种前选择晴朗天气晒种一至两天，避免在水泥地面暴晒导致种子活性受损。晒种后采用清水浸种</w:t>
      </w:r>
      <w:r>
        <w:rPr>
          <w:rFonts w:hint="eastAsia" w:cs="宋体"/>
          <w:sz w:val="21"/>
          <w:szCs w:val="21"/>
          <w:lang w:val="en-US" w:eastAsia="zh-CN"/>
        </w:rPr>
        <w:t>4</w:t>
      </w:r>
      <w:r>
        <w:rPr>
          <w:rFonts w:hint="eastAsia"/>
          <w:lang w:val="en-US" w:eastAsia="zh-CN"/>
        </w:rPr>
        <w:t>～6</w:t>
      </w:r>
      <w:r>
        <w:rPr>
          <w:rFonts w:ascii="宋体" w:hAnsi="宋体" w:eastAsia="宋体" w:cs="宋体"/>
          <w:sz w:val="21"/>
          <w:szCs w:val="21"/>
        </w:rPr>
        <w:t>小时，捞出沥干水分备用。选用生物菌剂或低毒种衣剂开展拌种作业，有效防治苗期病虫害，拌种药剂使用需符合 GB/T 8321 相关规定。</w:t>
      </w:r>
    </w:p>
    <w:p w14:paraId="63F5F82E">
      <w:pPr>
        <w:pStyle w:val="79"/>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播种方式</w:t>
      </w:r>
    </w:p>
    <w:p w14:paraId="0DE22D32">
      <w:pPr>
        <w:pStyle w:val="79"/>
        <w:numPr>
          <w:ilvl w:val="2"/>
          <w:numId w:val="0"/>
        </w:numPr>
        <w:bidi w:val="0"/>
        <w:spacing w:before="0" w:beforeLines="0" w:after="0" w:afterLines="0"/>
        <w:ind w:leftChars="0" w:firstLine="420" w:firstLineChars="200"/>
        <w:rPr>
          <w:rFonts w:hint="eastAsia"/>
          <w:sz w:val="21"/>
          <w:szCs w:val="21"/>
          <w:lang w:val="en-US" w:eastAsia="zh-CN"/>
        </w:rPr>
      </w:pPr>
      <w:r>
        <w:rPr>
          <w:rFonts w:ascii="宋体" w:hAnsi="宋体" w:eastAsia="宋体" w:cs="宋体"/>
          <w:sz w:val="21"/>
          <w:szCs w:val="21"/>
        </w:rPr>
        <w:t>采用垄面条播或点播两种方式开展播种作业。条播模式下</w:t>
      </w:r>
      <w:r>
        <w:rPr>
          <w:rFonts w:hint="eastAsia"/>
          <w:sz w:val="21"/>
          <w:szCs w:val="21"/>
          <w:lang w:val="en-US" w:eastAsia="zh-CN"/>
        </w:rPr>
        <w:t>行距 35～40</w:t>
      </w:r>
      <w:r>
        <w:rPr>
          <w:rFonts w:hint="eastAsia"/>
          <w:sz w:val="11"/>
          <w:szCs w:val="11"/>
          <w:lang w:val="en-US" w:eastAsia="zh-CN"/>
        </w:rPr>
        <w:t xml:space="preserve"> </w:t>
      </w:r>
      <w:r>
        <w:rPr>
          <w:rFonts w:hint="eastAsia"/>
          <w:sz w:val="21"/>
          <w:szCs w:val="21"/>
          <w:lang w:val="en-US" w:eastAsia="zh-CN"/>
        </w:rPr>
        <w:t>cm、沟深1～1.5</w:t>
      </w:r>
      <w:r>
        <w:rPr>
          <w:rFonts w:hint="eastAsia"/>
          <w:sz w:val="11"/>
          <w:szCs w:val="11"/>
          <w:lang w:val="en-US" w:eastAsia="zh-CN"/>
        </w:rPr>
        <w:t xml:space="preserve"> </w:t>
      </w:r>
      <w:r>
        <w:rPr>
          <w:rFonts w:hint="eastAsia"/>
          <w:sz w:val="21"/>
          <w:szCs w:val="21"/>
          <w:lang w:val="en-US" w:eastAsia="zh-CN"/>
        </w:rPr>
        <w:t>cm、种子均匀撒播、覆土1cm轻压；点播模式下穴距18～22 cm、每穴2～3粒、覆土1cm、镇压；</w:t>
      </w:r>
      <w:r>
        <w:rPr>
          <w:rFonts w:ascii="宋体" w:hAnsi="宋体" w:eastAsia="宋体" w:cs="宋体"/>
          <w:sz w:val="21"/>
          <w:szCs w:val="21"/>
        </w:rPr>
        <w:t>每亩用种量控制在</w:t>
      </w:r>
      <w:r>
        <w:rPr>
          <w:rFonts w:hint="eastAsia"/>
          <w:sz w:val="21"/>
          <w:szCs w:val="21"/>
          <w:lang w:val="en-US" w:eastAsia="zh-CN"/>
        </w:rPr>
        <w:t>0.35</w:t>
      </w:r>
      <w:r>
        <w:rPr>
          <w:rFonts w:hint="eastAsia"/>
          <w:sz w:val="11"/>
          <w:szCs w:val="11"/>
          <w:lang w:val="en-US" w:eastAsia="zh-CN"/>
        </w:rPr>
        <w:t xml:space="preserve"> </w:t>
      </w:r>
      <w:r>
        <w:rPr>
          <w:rFonts w:hint="eastAsia"/>
          <w:sz w:val="21"/>
          <w:szCs w:val="21"/>
          <w:lang w:val="en-US" w:eastAsia="zh-CN"/>
        </w:rPr>
        <w:t>kg～0.45</w:t>
      </w:r>
      <w:r>
        <w:rPr>
          <w:rFonts w:hint="eastAsia"/>
          <w:sz w:val="11"/>
          <w:szCs w:val="11"/>
          <w:lang w:val="en-US" w:eastAsia="zh-CN"/>
        </w:rPr>
        <w:t xml:space="preserve"> </w:t>
      </w:r>
      <w:r>
        <w:rPr>
          <w:rFonts w:hint="eastAsia"/>
          <w:sz w:val="21"/>
          <w:szCs w:val="21"/>
          <w:lang w:val="en-US" w:eastAsia="zh-CN"/>
        </w:rPr>
        <w:t>kg/667</w:t>
      </w:r>
      <w:r>
        <w:rPr>
          <w:rFonts w:hint="eastAsia"/>
          <w:sz w:val="11"/>
          <w:szCs w:val="11"/>
          <w:lang w:val="en-US" w:eastAsia="zh-CN"/>
        </w:rPr>
        <w:t xml:space="preserve"> </w:t>
      </w:r>
      <w:r>
        <w:rPr>
          <w:rFonts w:hint="eastAsia"/>
          <w:sz w:val="21"/>
          <w:szCs w:val="21"/>
          <w:lang w:val="en-US" w:eastAsia="zh-CN"/>
        </w:rPr>
        <w:t>㎡；覆土厚度保持薄土覆盖、不露籽、不深埋，利于出苗整齐。</w:t>
      </w:r>
    </w:p>
    <w:p w14:paraId="6EDF4525">
      <w:pPr>
        <w:pStyle w:val="78"/>
        <w:bidi w:val="0"/>
        <w:spacing w:before="0" w:beforeLines="0" w:after="0" w:afterLines="0"/>
        <w:rPr>
          <w:rFonts w:hint="eastAsia"/>
          <w:lang w:val="en-US" w:eastAsia="zh-CN"/>
        </w:rPr>
      </w:pPr>
      <w:r>
        <w:rPr>
          <w:rFonts w:hint="eastAsia" w:ascii="黑体" w:hAnsi="黑体" w:eastAsia="黑体" w:cs="黑体"/>
          <w:lang w:val="en-US" w:eastAsia="zh-CN"/>
        </w:rPr>
        <w:t>田间管理</w:t>
      </w:r>
    </w:p>
    <w:p w14:paraId="478DCC90">
      <w:pPr>
        <w:pStyle w:val="79"/>
        <w:bidi w:val="0"/>
        <w:spacing w:before="0" w:beforeLines="0" w:after="0" w:afterLines="0"/>
        <w:rPr>
          <w:rFonts w:hint="eastAsia" w:ascii="黑体" w:hAnsi="黑体" w:eastAsia="黑体" w:cs="黑体"/>
          <w:sz w:val="21"/>
          <w:lang w:val="en-US" w:eastAsia="zh-CN"/>
        </w:rPr>
      </w:pPr>
      <w:r>
        <w:rPr>
          <w:rFonts w:hint="eastAsia" w:ascii="黑体" w:hAnsi="黑体" w:eastAsia="黑体" w:cs="黑体"/>
          <w:sz w:val="21"/>
          <w:lang w:val="en-US" w:eastAsia="zh-CN"/>
        </w:rPr>
        <w:t>间苗与定苗</w:t>
      </w:r>
    </w:p>
    <w:p w14:paraId="24F9B24C">
      <w:pPr>
        <w:pStyle w:val="79"/>
        <w:numPr>
          <w:ilvl w:val="2"/>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首次间苗在幼苗两叶一心期开展，疏除弱苗、病苗及畸形苗。二次定苗在幼苗</w:t>
      </w:r>
      <w:r>
        <w:rPr>
          <w:rFonts w:hint="eastAsia"/>
          <w:sz w:val="21"/>
          <w:szCs w:val="21"/>
          <w:lang w:val="en-US" w:eastAsia="zh-CN"/>
        </w:rPr>
        <w:t>4叶1心期实施，定苗，每穴留1株健壮苗；</w:t>
      </w:r>
      <w:r>
        <w:rPr>
          <w:rFonts w:ascii="宋体" w:hAnsi="宋体" w:eastAsia="宋体" w:cs="宋体"/>
          <w:sz w:val="21"/>
          <w:szCs w:val="21"/>
        </w:rPr>
        <w:t>每穴保留一株健壮幼苗。种植密度控制为株距</w:t>
      </w:r>
      <w:r>
        <w:rPr>
          <w:rFonts w:hint="eastAsia"/>
          <w:sz w:val="21"/>
          <w:szCs w:val="21"/>
          <w:lang w:val="en-US" w:eastAsia="zh-CN"/>
        </w:rPr>
        <w:t>株距18</w:t>
      </w:r>
      <w:r>
        <w:rPr>
          <w:rFonts w:hint="eastAsia"/>
          <w:sz w:val="11"/>
          <w:szCs w:val="11"/>
          <w:lang w:val="en-US" w:eastAsia="zh-CN"/>
        </w:rPr>
        <w:t xml:space="preserve"> </w:t>
      </w:r>
      <w:r>
        <w:rPr>
          <w:rFonts w:hint="eastAsia"/>
          <w:sz w:val="21"/>
          <w:szCs w:val="21"/>
          <w:lang w:val="en-US" w:eastAsia="zh-CN"/>
        </w:rPr>
        <w:t>cm～22</w:t>
      </w:r>
      <w:r>
        <w:rPr>
          <w:rFonts w:hint="eastAsia"/>
          <w:sz w:val="11"/>
          <w:szCs w:val="11"/>
          <w:lang w:val="en-US" w:eastAsia="zh-CN"/>
        </w:rPr>
        <w:t xml:space="preserve"> </w:t>
      </w:r>
      <w:r>
        <w:rPr>
          <w:rFonts w:hint="eastAsia"/>
          <w:sz w:val="21"/>
          <w:szCs w:val="21"/>
          <w:lang w:val="en-US" w:eastAsia="zh-CN"/>
        </w:rPr>
        <w:t>cm、行距35</w:t>
      </w:r>
      <w:r>
        <w:rPr>
          <w:rFonts w:hint="eastAsia"/>
          <w:sz w:val="11"/>
          <w:szCs w:val="11"/>
          <w:lang w:val="en-US" w:eastAsia="zh-CN"/>
        </w:rPr>
        <w:t xml:space="preserve"> </w:t>
      </w:r>
      <w:r>
        <w:rPr>
          <w:rFonts w:hint="eastAsia"/>
          <w:sz w:val="21"/>
          <w:szCs w:val="21"/>
          <w:lang w:val="en-US" w:eastAsia="zh-CN"/>
        </w:rPr>
        <w:t>cm～40</w:t>
      </w:r>
      <w:r>
        <w:rPr>
          <w:rFonts w:hint="eastAsia"/>
          <w:sz w:val="11"/>
          <w:szCs w:val="11"/>
          <w:lang w:val="en-US" w:eastAsia="zh-CN"/>
        </w:rPr>
        <w:t xml:space="preserve"> </w:t>
      </w:r>
      <w:r>
        <w:rPr>
          <w:rFonts w:hint="eastAsia"/>
          <w:sz w:val="21"/>
          <w:szCs w:val="21"/>
          <w:lang w:val="en-US" w:eastAsia="zh-CN"/>
        </w:rPr>
        <w:t>cm、8000～10000株/667</w:t>
      </w:r>
      <w:r>
        <w:rPr>
          <w:rFonts w:hint="eastAsia"/>
          <w:sz w:val="11"/>
          <w:szCs w:val="11"/>
          <w:lang w:val="en-US" w:eastAsia="zh-CN"/>
        </w:rPr>
        <w:t xml:space="preserve"> </w:t>
      </w:r>
      <w:r>
        <w:rPr>
          <w:rFonts w:hint="eastAsia"/>
          <w:sz w:val="21"/>
          <w:szCs w:val="21"/>
          <w:lang w:val="en-US" w:eastAsia="zh-CN"/>
        </w:rPr>
        <w:t>㎡；</w:t>
      </w:r>
      <w:r>
        <w:rPr>
          <w:rFonts w:ascii="宋体" w:hAnsi="宋体" w:eastAsia="宋体" w:cs="宋体"/>
          <w:sz w:val="21"/>
          <w:szCs w:val="21"/>
        </w:rPr>
        <w:t>整体遵循去弱留强、去病留健、植株分布均匀整齐的操作原则。</w:t>
      </w:r>
    </w:p>
    <w:p w14:paraId="0A931713">
      <w:pPr>
        <w:pStyle w:val="79"/>
        <w:bidi w:val="0"/>
        <w:spacing w:before="0" w:beforeLines="0" w:after="0" w:afterLines="0"/>
        <w:rPr>
          <w:rFonts w:hint="eastAsia"/>
          <w:lang w:val="en-US" w:eastAsia="zh-CN"/>
        </w:rPr>
      </w:pPr>
      <w:r>
        <w:rPr>
          <w:rFonts w:hint="eastAsia" w:ascii="黑体" w:hAnsi="黑体" w:eastAsia="黑体" w:cs="黑体"/>
          <w:sz w:val="21"/>
          <w:lang w:val="en-US" w:eastAsia="zh-CN"/>
        </w:rPr>
        <w:t>中耕除草</w:t>
      </w:r>
    </w:p>
    <w:p w14:paraId="06C7FC78">
      <w:pPr>
        <w:pStyle w:val="79"/>
        <w:numPr>
          <w:ilvl w:val="2"/>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首次中耕除草在定苗后</w:t>
      </w:r>
      <w:r>
        <w:rPr>
          <w:rFonts w:hint="eastAsia"/>
          <w:sz w:val="21"/>
          <w:szCs w:val="21"/>
          <w:lang w:val="en-US" w:eastAsia="zh-CN"/>
        </w:rPr>
        <w:t>5～7天，浅锄3</w:t>
      </w:r>
      <w:r>
        <w:rPr>
          <w:rFonts w:hint="eastAsia"/>
          <w:sz w:val="11"/>
          <w:szCs w:val="11"/>
          <w:lang w:val="en-US" w:eastAsia="zh-CN"/>
        </w:rPr>
        <w:t xml:space="preserve"> </w:t>
      </w:r>
      <w:r>
        <w:rPr>
          <w:rFonts w:hint="eastAsia"/>
          <w:sz w:val="21"/>
          <w:szCs w:val="21"/>
          <w:lang w:val="en-US" w:eastAsia="zh-CN"/>
        </w:rPr>
        <w:t>cm～5</w:t>
      </w:r>
      <w:r>
        <w:rPr>
          <w:rFonts w:hint="eastAsia"/>
          <w:sz w:val="11"/>
          <w:szCs w:val="11"/>
          <w:lang w:val="en-US" w:eastAsia="zh-CN"/>
        </w:rPr>
        <w:t xml:space="preserve"> </w:t>
      </w:r>
      <w:r>
        <w:rPr>
          <w:rFonts w:hint="eastAsia"/>
          <w:sz w:val="21"/>
          <w:szCs w:val="21"/>
          <w:lang w:val="en-US" w:eastAsia="zh-CN"/>
        </w:rPr>
        <w:t>cm，松土、除草、保墒；</w:t>
      </w:r>
      <w:r>
        <w:rPr>
          <w:rFonts w:ascii="宋体" w:hAnsi="宋体" w:eastAsia="宋体" w:cs="宋体"/>
          <w:sz w:val="21"/>
          <w:szCs w:val="21"/>
        </w:rPr>
        <w:t>二次中耕除草在肉质根膨大前实施，配合浅锄作业完成培土操作，规避肉质根外露及植株倒伏问题。作业过程遵循浅锄不伤根、尽早清除杂草、防范杂草争肥争水的原则，禁止使用高残留除草剂，化学除草药剂选用需符合 GB/T 8321 及 NY/T 1276 相关规定。</w:t>
      </w:r>
    </w:p>
    <w:p w14:paraId="05DD476B">
      <w:pPr>
        <w:pStyle w:val="79"/>
        <w:bidi w:val="0"/>
        <w:spacing w:before="0" w:beforeLines="0" w:after="0" w:afterLines="0"/>
        <w:rPr>
          <w:rFonts w:hint="eastAsia"/>
          <w:lang w:val="en-US" w:eastAsia="zh-CN"/>
        </w:rPr>
      </w:pPr>
      <w:r>
        <w:rPr>
          <w:rFonts w:hint="eastAsia" w:ascii="黑体" w:hAnsi="黑体" w:eastAsia="黑体" w:cs="黑体"/>
          <w:lang w:val="en-US" w:eastAsia="zh-CN"/>
        </w:rPr>
        <w:t>水肥管理</w:t>
      </w:r>
    </w:p>
    <w:p w14:paraId="24C1488E">
      <w:pPr>
        <w:pStyle w:val="79"/>
        <w:numPr>
          <w:ilvl w:val="2"/>
          <w:numId w:val="0"/>
        </w:numPr>
        <w:bidi w:val="0"/>
        <w:spacing w:before="0" w:beforeLines="0" w:after="0" w:afterLines="0"/>
        <w:ind w:leftChars="0" w:firstLine="420" w:firstLineChars="200"/>
        <w:rPr>
          <w:rFonts w:hint="eastAsia"/>
          <w:lang w:val="en-US" w:eastAsia="zh-CN"/>
        </w:rPr>
      </w:pPr>
      <w:r>
        <w:rPr>
          <w:rFonts w:hint="eastAsia"/>
          <w:sz w:val="21"/>
          <w:szCs w:val="21"/>
          <w:lang w:val="en-US" w:eastAsia="zh-CN"/>
        </w:rPr>
        <w:t>苗期（出苗～定苗）侧重控水蹲苗、少浇勤浇、保持土壤湿度60</w:t>
      </w:r>
      <w:r>
        <w:rPr>
          <w:rFonts w:hint="eastAsia"/>
          <w:sz w:val="11"/>
          <w:szCs w:val="11"/>
          <w:lang w:val="en-US" w:eastAsia="zh-CN"/>
        </w:rPr>
        <w:t xml:space="preserve"> </w:t>
      </w:r>
      <w:r>
        <w:rPr>
          <w:rFonts w:hint="eastAsia"/>
          <w:sz w:val="21"/>
          <w:szCs w:val="21"/>
          <w:lang w:val="en-US" w:eastAsia="zh-CN"/>
        </w:rPr>
        <w:t>%～70</w:t>
      </w:r>
      <w:r>
        <w:rPr>
          <w:rFonts w:hint="eastAsia"/>
          <w:sz w:val="11"/>
          <w:szCs w:val="11"/>
          <w:lang w:val="en-US" w:eastAsia="zh-CN"/>
        </w:rPr>
        <w:t xml:space="preserve"> </w:t>
      </w:r>
      <w:r>
        <w:rPr>
          <w:rFonts w:hint="eastAsia"/>
          <w:sz w:val="21"/>
          <w:szCs w:val="21"/>
          <w:lang w:val="en-US" w:eastAsia="zh-CN"/>
        </w:rPr>
        <w:t>%，促根下扎、防徒长；肉质根膨大初期（定苗后10～15天）</w:t>
      </w:r>
      <w:r>
        <w:rPr>
          <w:rFonts w:ascii="宋体" w:hAnsi="宋体" w:eastAsia="宋体" w:cs="宋体"/>
          <w:sz w:val="21"/>
          <w:szCs w:val="21"/>
        </w:rPr>
        <w:t>结合浇水开展一次追肥作业</w:t>
      </w:r>
      <w:r>
        <w:rPr>
          <w:rFonts w:hint="eastAsia"/>
          <w:sz w:val="21"/>
          <w:szCs w:val="21"/>
          <w:lang w:val="en-US" w:eastAsia="zh-CN"/>
        </w:rPr>
        <w:t>，尿素5～8</w:t>
      </w:r>
      <w:r>
        <w:rPr>
          <w:rFonts w:hint="eastAsia"/>
          <w:sz w:val="11"/>
          <w:szCs w:val="11"/>
          <w:lang w:val="en-US" w:eastAsia="zh-CN"/>
        </w:rPr>
        <w:t xml:space="preserve"> </w:t>
      </w:r>
      <w:r>
        <w:rPr>
          <w:rFonts w:hint="eastAsia"/>
          <w:sz w:val="21"/>
          <w:szCs w:val="21"/>
          <w:lang w:val="en-US" w:eastAsia="zh-CN"/>
        </w:rPr>
        <w:t>kg/667</w:t>
      </w:r>
      <w:r>
        <w:rPr>
          <w:rFonts w:hint="eastAsia"/>
          <w:sz w:val="11"/>
          <w:szCs w:val="11"/>
          <w:lang w:val="en-US" w:eastAsia="zh-CN"/>
        </w:rPr>
        <w:t xml:space="preserve"> </w:t>
      </w:r>
      <w:r>
        <w:rPr>
          <w:rFonts w:hint="eastAsia"/>
          <w:sz w:val="21"/>
          <w:szCs w:val="21"/>
          <w:lang w:val="en-US" w:eastAsia="zh-CN"/>
        </w:rPr>
        <w:t>㎡、硫酸钾5</w:t>
      </w:r>
      <w:r>
        <w:rPr>
          <w:rFonts w:hint="eastAsia"/>
          <w:sz w:val="11"/>
          <w:szCs w:val="11"/>
          <w:lang w:val="en-US" w:eastAsia="zh-CN"/>
        </w:rPr>
        <w:t xml:space="preserve"> </w:t>
      </w:r>
      <w:r>
        <w:rPr>
          <w:rFonts w:hint="eastAsia"/>
          <w:sz w:val="21"/>
          <w:szCs w:val="21"/>
          <w:lang w:val="en-US" w:eastAsia="zh-CN"/>
        </w:rPr>
        <w:t>kg/667㎡，促进膨大；肉质根膨大盛期（关键期）维持土壤湿度75</w:t>
      </w:r>
      <w:r>
        <w:rPr>
          <w:rFonts w:hint="eastAsia"/>
          <w:sz w:val="11"/>
          <w:szCs w:val="11"/>
          <w:lang w:val="en-US" w:eastAsia="zh-CN"/>
        </w:rPr>
        <w:t xml:space="preserve"> </w:t>
      </w:r>
      <w:r>
        <w:rPr>
          <w:rFonts w:hint="eastAsia"/>
          <w:sz w:val="21"/>
          <w:szCs w:val="21"/>
          <w:lang w:val="en-US" w:eastAsia="zh-CN"/>
        </w:rPr>
        <w:t>%～85</w:t>
      </w:r>
      <w:r>
        <w:rPr>
          <w:rFonts w:hint="eastAsia"/>
          <w:sz w:val="13"/>
          <w:szCs w:val="13"/>
          <w:lang w:val="en-US" w:eastAsia="zh-CN"/>
        </w:rPr>
        <w:t xml:space="preserve"> </w:t>
      </w:r>
      <w:r>
        <w:rPr>
          <w:rFonts w:hint="eastAsia"/>
          <w:sz w:val="21"/>
          <w:szCs w:val="21"/>
          <w:lang w:val="en-US" w:eastAsia="zh-CN"/>
        </w:rPr>
        <w:t>%、均匀供水、不旱不涝；追施高钾复合肥10～15</w:t>
      </w:r>
      <w:r>
        <w:rPr>
          <w:rFonts w:hint="eastAsia"/>
          <w:sz w:val="11"/>
          <w:szCs w:val="11"/>
          <w:lang w:val="en-US" w:eastAsia="zh-CN"/>
        </w:rPr>
        <w:t xml:space="preserve"> </w:t>
      </w:r>
      <w:r>
        <w:rPr>
          <w:rFonts w:hint="eastAsia"/>
          <w:sz w:val="21"/>
          <w:szCs w:val="21"/>
          <w:lang w:val="en-US" w:eastAsia="zh-CN"/>
        </w:rPr>
        <w:t>kg/667</w:t>
      </w:r>
      <w:r>
        <w:rPr>
          <w:rFonts w:hint="eastAsia"/>
          <w:sz w:val="11"/>
          <w:szCs w:val="11"/>
          <w:lang w:val="en-US" w:eastAsia="zh-CN"/>
        </w:rPr>
        <w:t xml:space="preserve"> </w:t>
      </w:r>
      <w:r>
        <w:rPr>
          <w:rFonts w:hint="eastAsia"/>
          <w:sz w:val="21"/>
          <w:szCs w:val="21"/>
          <w:lang w:val="en-US" w:eastAsia="zh-CN"/>
        </w:rPr>
        <w:t>㎡，提高甜度、脆度、耐贮性；采收前7～10天停水，控水增糖、减少开裂、提高耐储运性；灌溉方式采用滴灌、喷灌、小水勤浇、避免大水漫灌、避免干湿剧变，防止开裂、糠心、软腐。</w:t>
      </w:r>
    </w:p>
    <w:p w14:paraId="320BE1CD">
      <w:pPr>
        <w:pStyle w:val="79"/>
        <w:bidi w:val="0"/>
        <w:spacing w:before="0" w:beforeLines="0" w:after="0" w:afterLines="0"/>
        <w:rPr>
          <w:rFonts w:hint="eastAsia"/>
          <w:lang w:val="en-US" w:eastAsia="zh-CN"/>
        </w:rPr>
      </w:pPr>
      <w:r>
        <w:rPr>
          <w:rFonts w:hint="eastAsia" w:ascii="黑体" w:hAnsi="黑体" w:eastAsia="黑体" w:cs="黑体"/>
          <w:lang w:val="en-US" w:eastAsia="zh-CN"/>
        </w:rPr>
        <w:t>植株调整</w:t>
      </w:r>
    </w:p>
    <w:p w14:paraId="24C945A7">
      <w:pPr>
        <w:pStyle w:val="79"/>
        <w:numPr>
          <w:ilvl w:val="2"/>
          <w:numId w:val="0"/>
        </w:numPr>
        <w:bidi w:val="0"/>
        <w:spacing w:before="0" w:beforeLines="0" w:after="0" w:afterLines="0"/>
        <w:ind w:leftChars="0" w:firstLine="420" w:firstLineChars="200"/>
        <w:rPr>
          <w:rFonts w:hint="eastAsia"/>
          <w:lang w:val="en-US" w:eastAsia="zh-CN"/>
        </w:rPr>
      </w:pPr>
      <w:r>
        <w:rPr>
          <w:rFonts w:hint="eastAsia"/>
          <w:lang w:val="en-US" w:eastAsia="zh-CN"/>
        </w:rPr>
        <w:t>及时摘除下部老叶、黄叶、病叶，通风透光、减少病害；肉质根膨大后期适度培土，防止露根、绿皮不均、品质下降。</w:t>
      </w:r>
    </w:p>
    <w:p w14:paraId="16BA762F">
      <w:pPr>
        <w:pStyle w:val="78"/>
        <w:bidi w:val="0"/>
        <w:spacing w:before="0" w:beforeLines="0" w:after="0" w:afterLines="0"/>
        <w:rPr>
          <w:rFonts w:hint="eastAsia"/>
          <w:lang w:val="en-US" w:eastAsia="zh-CN"/>
        </w:rPr>
      </w:pPr>
      <w:r>
        <w:rPr>
          <w:rFonts w:hint="eastAsia" w:ascii="黑体" w:hAnsi="黑体" w:eastAsia="黑体" w:cs="黑体"/>
          <w:lang w:val="en-US" w:eastAsia="zh-CN"/>
        </w:rPr>
        <w:t>病虫害绿色防控</w:t>
      </w:r>
    </w:p>
    <w:p w14:paraId="05BE5953">
      <w:pPr>
        <w:pStyle w:val="79"/>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主要病虫害</w:t>
      </w:r>
    </w:p>
    <w:p w14:paraId="6EE9F242">
      <w:pPr>
        <w:pStyle w:val="79"/>
        <w:numPr>
          <w:ilvl w:val="2"/>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病害主要包含霜霉病、软腐病、黑斑病及白斑病四类，虫害主要涵盖蚜虫、菜青虫、小菜蛾、黄条跳甲及地老虎五类。</w:t>
      </w:r>
    </w:p>
    <w:p w14:paraId="7C338AD3">
      <w:pPr>
        <w:pStyle w:val="79"/>
        <w:bidi w:val="0"/>
        <w:spacing w:before="0" w:beforeLines="0" w:after="0" w:afterLines="0"/>
        <w:outlineLvl w:val="9"/>
        <w:rPr>
          <w:rFonts w:hint="eastAsia" w:ascii="黑体" w:hAnsi="黑体" w:eastAsia="黑体" w:cs="黑体"/>
          <w:lang w:val="en-US" w:eastAsia="zh-CN"/>
        </w:rPr>
      </w:pPr>
      <w:r>
        <w:rPr>
          <w:rFonts w:hint="eastAsia" w:ascii="黑体" w:hAnsi="黑体" w:eastAsia="黑体" w:cs="黑体"/>
          <w:lang w:val="en-US" w:eastAsia="zh-CN"/>
        </w:rPr>
        <w:t>防控原则</w:t>
      </w:r>
    </w:p>
    <w:p w14:paraId="3A24A6E1">
      <w:pPr>
        <w:pStyle w:val="79"/>
        <w:numPr>
          <w:ilvl w:val="2"/>
          <w:numId w:val="0"/>
        </w:numPr>
        <w:bidi w:val="0"/>
        <w:spacing w:before="0" w:beforeLines="0" w:after="0" w:afterLines="0"/>
        <w:ind w:leftChars="0" w:firstLine="420" w:firstLineChars="200"/>
        <w:jc w:val="left"/>
        <w:rPr>
          <w:rFonts w:hint="eastAsia"/>
          <w:lang w:val="en-US" w:eastAsia="zh-CN"/>
        </w:rPr>
      </w:pPr>
      <w:r>
        <w:rPr>
          <w:rFonts w:hint="eastAsia"/>
          <w:lang w:val="en-US" w:eastAsia="zh-CN"/>
        </w:rPr>
        <w:t>预防为主、综合防治、绿色优先、安全第一；优先农业防治、物理防治、生物防治，合理、限量、规范使用化学农药，严格执行GB/T 8321、NY/T 1276，安全间隔期达标、农残不超标。</w:t>
      </w:r>
    </w:p>
    <w:p w14:paraId="3EA9FFAB">
      <w:pPr>
        <w:pStyle w:val="79"/>
        <w:bidi w:val="0"/>
        <w:spacing w:before="0" w:beforeLines="0" w:after="0" w:afterLines="0"/>
        <w:outlineLvl w:val="9"/>
        <w:rPr>
          <w:rFonts w:hint="eastAsia" w:ascii="黑体" w:hAnsi="黑体" w:eastAsia="黑体" w:cs="黑体"/>
          <w:lang w:val="en-US" w:eastAsia="zh-CN"/>
        </w:rPr>
      </w:pPr>
      <w:r>
        <w:rPr>
          <w:rFonts w:hint="eastAsia" w:ascii="黑体" w:hAnsi="黑体" w:eastAsia="黑体" w:cs="黑体"/>
          <w:lang w:val="en-US" w:eastAsia="zh-CN"/>
        </w:rPr>
        <w:t>农业防治</w:t>
      </w:r>
    </w:p>
    <w:p w14:paraId="4F8310D5">
      <w:pPr>
        <w:pStyle w:val="79"/>
        <w:numPr>
          <w:ilvl w:val="2"/>
          <w:numId w:val="0"/>
        </w:numPr>
        <w:bidi w:val="0"/>
        <w:spacing w:before="0" w:beforeLines="0" w:after="0" w:afterLines="0"/>
        <w:ind w:leftChars="0" w:firstLine="420" w:firstLineChars="200"/>
        <w:jc w:val="left"/>
        <w:rPr>
          <w:rFonts w:hint="eastAsia"/>
          <w:lang w:val="en-US" w:eastAsia="zh-CN"/>
        </w:rPr>
      </w:pPr>
      <w:r>
        <w:rPr>
          <w:rFonts w:hint="eastAsia"/>
          <w:lang w:val="en-US" w:eastAsia="zh-CN"/>
        </w:rPr>
        <w:t>轮作倒茬、清洁田园、清除残株杂草；选用抗病品种、合理密植、通风透光；增施有机肥、磷钾肥，增强植株抗性。</w:t>
      </w:r>
    </w:p>
    <w:p w14:paraId="416AEC03">
      <w:pPr>
        <w:pStyle w:val="79"/>
        <w:bidi w:val="0"/>
        <w:spacing w:before="0" w:beforeLines="0" w:after="0" w:afterLines="0"/>
        <w:rPr>
          <w:rFonts w:hint="eastAsia"/>
          <w:lang w:val="en-US" w:eastAsia="zh-CN"/>
        </w:rPr>
      </w:pPr>
      <w:r>
        <w:rPr>
          <w:rFonts w:hint="eastAsia" w:ascii="黑体" w:hAnsi="黑体" w:eastAsia="黑体" w:cs="黑体"/>
          <w:lang w:val="en-US" w:eastAsia="zh-CN"/>
        </w:rPr>
        <w:t>物理防治</w:t>
      </w:r>
    </w:p>
    <w:p w14:paraId="4AA65F1D">
      <w:pPr>
        <w:pStyle w:val="79"/>
        <w:numPr>
          <w:ilvl w:val="2"/>
          <w:numId w:val="0"/>
        </w:numPr>
        <w:bidi w:val="0"/>
        <w:spacing w:before="0" w:beforeLines="0" w:after="0" w:afterLines="0"/>
        <w:ind w:leftChars="0" w:firstLine="420" w:firstLineChars="200"/>
        <w:rPr>
          <w:rFonts w:hint="eastAsia"/>
          <w:sz w:val="21"/>
          <w:szCs w:val="21"/>
          <w:lang w:val="en-US" w:eastAsia="zh-CN"/>
        </w:rPr>
      </w:pPr>
      <w:r>
        <w:rPr>
          <w:rFonts w:ascii="宋体" w:hAnsi="宋体" w:eastAsia="宋体" w:cs="宋体"/>
          <w:sz w:val="21"/>
          <w:szCs w:val="21"/>
        </w:rPr>
        <w:t>采用黄板诱杀蚜虫及粉虱</w:t>
      </w:r>
      <w:r>
        <w:rPr>
          <w:rFonts w:hint="eastAsia"/>
          <w:sz w:val="21"/>
          <w:szCs w:val="21"/>
          <w:lang w:val="en-US" w:eastAsia="zh-CN"/>
        </w:rPr>
        <w:t>每亩挂20～25块，高于植株20</w:t>
      </w:r>
      <w:r>
        <w:rPr>
          <w:rFonts w:hint="eastAsia"/>
          <w:sz w:val="11"/>
          <w:szCs w:val="11"/>
          <w:lang w:val="en-US" w:eastAsia="zh-CN"/>
        </w:rPr>
        <w:t xml:space="preserve"> </w:t>
      </w:r>
      <w:r>
        <w:rPr>
          <w:rFonts w:hint="eastAsia"/>
          <w:sz w:val="21"/>
          <w:szCs w:val="21"/>
          <w:lang w:val="en-US" w:eastAsia="zh-CN"/>
        </w:rPr>
        <w:t>cm～30</w:t>
      </w:r>
      <w:r>
        <w:rPr>
          <w:rFonts w:hint="eastAsia"/>
          <w:sz w:val="11"/>
          <w:szCs w:val="11"/>
          <w:lang w:val="en-US" w:eastAsia="zh-CN"/>
        </w:rPr>
        <w:t xml:space="preserve"> </w:t>
      </w:r>
      <w:r>
        <w:rPr>
          <w:rFonts w:hint="eastAsia"/>
          <w:sz w:val="21"/>
          <w:szCs w:val="21"/>
          <w:lang w:val="en-US" w:eastAsia="zh-CN"/>
        </w:rPr>
        <w:t>cm；利用杀虫灯蛾类、夜蛾、地老虎，每50亩1台，夜间开灯；通过人工捕捉菜青虫、地老虎幼虫。</w:t>
      </w:r>
    </w:p>
    <w:p w14:paraId="3C3FE5BC">
      <w:pPr>
        <w:pStyle w:val="79"/>
        <w:bidi w:val="0"/>
        <w:spacing w:before="0" w:beforeLines="0" w:after="0" w:afterLines="0"/>
        <w:outlineLvl w:val="9"/>
        <w:rPr>
          <w:rFonts w:hint="eastAsia" w:ascii="黑体" w:hAnsi="黑体" w:eastAsia="黑体" w:cs="黑体"/>
          <w:lang w:val="en-US" w:eastAsia="zh-CN"/>
        </w:rPr>
      </w:pPr>
      <w:r>
        <w:rPr>
          <w:rFonts w:hint="eastAsia" w:ascii="黑体" w:hAnsi="黑体" w:eastAsia="黑体" w:cs="黑体"/>
          <w:lang w:val="en-US" w:eastAsia="zh-CN"/>
        </w:rPr>
        <w:t>生物防治</w:t>
      </w:r>
    </w:p>
    <w:p w14:paraId="333924FF">
      <w:pPr>
        <w:pStyle w:val="79"/>
        <w:numPr>
          <w:ilvl w:val="2"/>
          <w:numId w:val="0"/>
        </w:numPr>
        <w:bidi w:val="0"/>
        <w:spacing w:before="0" w:beforeLines="0" w:after="0" w:afterLines="0"/>
        <w:ind w:leftChars="0" w:firstLine="420" w:firstLineChars="200"/>
        <w:rPr>
          <w:rFonts w:hint="eastAsia"/>
          <w:sz w:val="21"/>
          <w:szCs w:val="21"/>
          <w:lang w:val="en-US" w:eastAsia="zh-CN"/>
        </w:rPr>
      </w:pPr>
      <w:r>
        <w:rPr>
          <w:rFonts w:ascii="宋体" w:hAnsi="宋体" w:eastAsia="宋体" w:cs="宋体"/>
          <w:sz w:val="21"/>
          <w:szCs w:val="21"/>
        </w:rPr>
        <w:t>选用苏云金杆菌、苦参碱、印楝素及春雷霉素等生物农药开展病虫害防治作业。保护田间瓢虫、草蛉及蚜茧蜂等天敌生物，发挥自然控害作用</w:t>
      </w:r>
      <w:r>
        <w:rPr>
          <w:rFonts w:hint="eastAsia"/>
          <w:sz w:val="21"/>
          <w:szCs w:val="21"/>
          <w:lang w:val="en-US" w:eastAsia="zh-CN"/>
        </w:rPr>
        <w:t>。</w:t>
      </w:r>
    </w:p>
    <w:p w14:paraId="3C9C0531">
      <w:pPr>
        <w:pStyle w:val="79"/>
        <w:bidi w:val="0"/>
        <w:spacing w:before="0" w:beforeLines="0" w:after="0" w:afterLines="0"/>
        <w:outlineLvl w:val="9"/>
        <w:rPr>
          <w:rFonts w:hint="eastAsia" w:ascii="黑体" w:hAnsi="黑体" w:eastAsia="黑体" w:cs="黑体"/>
          <w:lang w:val="en-US" w:eastAsia="zh-CN"/>
        </w:rPr>
      </w:pPr>
      <w:r>
        <w:rPr>
          <w:rFonts w:hint="eastAsia" w:ascii="黑体" w:hAnsi="黑体" w:eastAsia="黑体" w:cs="黑体"/>
          <w:lang w:val="en-US" w:eastAsia="zh-CN"/>
        </w:rPr>
        <w:t>化学防治</w:t>
      </w:r>
    </w:p>
    <w:p w14:paraId="3071925D">
      <w:pPr>
        <w:pStyle w:val="79"/>
        <w:numPr>
          <w:ilvl w:val="2"/>
          <w:numId w:val="0"/>
        </w:numPr>
        <w:bidi w:val="0"/>
        <w:spacing w:before="0" w:beforeLines="0" w:after="0" w:afterLines="0"/>
        <w:ind w:leftChars="0" w:firstLine="420" w:firstLineChars="200"/>
        <w:jc w:val="left"/>
        <w:rPr>
          <w:rFonts w:hint="eastAsia"/>
          <w:lang w:val="en-US" w:eastAsia="zh-CN"/>
        </w:rPr>
      </w:pPr>
      <w:r>
        <w:rPr>
          <w:rFonts w:hint="eastAsia"/>
          <w:lang w:val="en-US" w:eastAsia="zh-CN"/>
        </w:rPr>
        <w:t>严格按NY/T 2199、GB/T 8321；选用低毒、低残留、短安全间隔期药剂；轮换用药、避免抗药性；采收前严格执行安全间隔期。</w:t>
      </w:r>
    </w:p>
    <w:p w14:paraId="0F5CF31D">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采收</w:t>
      </w:r>
    </w:p>
    <w:p w14:paraId="5BCB93D6">
      <w:pPr>
        <w:pStyle w:val="79"/>
        <w:bidi w:val="0"/>
        <w:spacing w:before="0" w:beforeLines="0" w:after="0" w:afterLines="0"/>
        <w:rPr>
          <w:rFonts w:hint="eastAsia"/>
          <w:lang w:val="en-US" w:eastAsia="zh-CN"/>
        </w:rPr>
      </w:pPr>
      <w:r>
        <w:rPr>
          <w:rFonts w:hint="eastAsia" w:ascii="黑体" w:hAnsi="黑体" w:eastAsia="黑体" w:cs="黑体"/>
          <w:lang w:val="en-US" w:eastAsia="zh-CN"/>
        </w:rPr>
        <w:t>采收期</w:t>
      </w:r>
    </w:p>
    <w:p w14:paraId="0F5F06AD">
      <w:pPr>
        <w:pStyle w:val="79"/>
        <w:numPr>
          <w:ilvl w:val="2"/>
          <w:numId w:val="0"/>
        </w:numPr>
        <w:bidi w:val="0"/>
        <w:spacing w:before="0" w:beforeLines="0" w:after="0" w:afterLines="0"/>
        <w:ind w:leftChars="0" w:firstLine="420" w:firstLineChars="200"/>
        <w:jc w:val="left"/>
        <w:rPr>
          <w:rFonts w:hint="eastAsia"/>
          <w:sz w:val="21"/>
          <w:szCs w:val="21"/>
          <w:lang w:val="en-US" w:eastAsia="zh-CN"/>
        </w:rPr>
      </w:pPr>
      <w:r>
        <w:rPr>
          <w:rFonts w:hint="eastAsia"/>
          <w:sz w:val="21"/>
          <w:szCs w:val="21"/>
          <w:lang w:val="en-US" w:eastAsia="zh-CN"/>
        </w:rPr>
        <w:t>采收时间播种后65～80天；采收成熟度以肉质根充分膨大、表皮鲜亮、叶色转淡、基部叶片变黄、不开裂、无糠心；</w:t>
      </w:r>
      <w:r>
        <w:rPr>
          <w:rFonts w:ascii="宋体" w:hAnsi="宋体" w:eastAsia="宋体" w:cs="宋体"/>
          <w:sz w:val="21"/>
          <w:szCs w:val="21"/>
        </w:rPr>
        <w:t>早熟品种在霜降前完成采收，晚熟品种在霜降后开展采收作业，霜降后采收产品耐贮性能更优、风味品质更佳。规避霜冻、冻害天气及雨后立即开展采收作业。</w:t>
      </w:r>
    </w:p>
    <w:p w14:paraId="071498DC">
      <w:pPr>
        <w:pStyle w:val="79"/>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采收方法</w:t>
      </w:r>
    </w:p>
    <w:p w14:paraId="49B7D833">
      <w:pPr>
        <w:pStyle w:val="79"/>
        <w:numPr>
          <w:ilvl w:val="2"/>
          <w:numId w:val="0"/>
        </w:numPr>
        <w:bidi w:val="0"/>
        <w:spacing w:before="0" w:beforeLines="0" w:after="0" w:afterLines="0"/>
        <w:ind w:leftChars="0" w:firstLine="420" w:firstLineChars="200"/>
        <w:jc w:val="left"/>
        <w:rPr>
          <w:rFonts w:hint="eastAsia"/>
          <w:sz w:val="21"/>
          <w:szCs w:val="21"/>
          <w:lang w:val="en-US" w:eastAsia="zh-CN"/>
        </w:rPr>
      </w:pPr>
      <w:r>
        <w:rPr>
          <w:rFonts w:ascii="宋体" w:hAnsi="宋体" w:eastAsia="宋体" w:cs="宋体"/>
          <w:sz w:val="21"/>
          <w:szCs w:val="21"/>
        </w:rPr>
        <w:t>人工采收采用轻挖、轻拔、轻放的操作方式，规避机械损伤，保障表皮完整无破损。采收后及时清理肉质根表面泥土、残叶、老叶及病叶。按照产品大小、形状、色泽及完整度开展分级筛选作业，剔除开裂、畸形、病斑、损伤及糠心个体。</w:t>
      </w:r>
    </w:p>
    <w:p w14:paraId="5A3991AC">
      <w:pPr>
        <w:pStyle w:val="78"/>
        <w:bidi w:val="0"/>
        <w:spacing w:before="0" w:beforeLines="0" w:after="0" w:afterLines="0"/>
        <w:rPr>
          <w:rFonts w:hint="eastAsia"/>
          <w:lang w:val="en-US" w:eastAsia="zh-CN"/>
        </w:rPr>
      </w:pPr>
      <w:r>
        <w:rPr>
          <w:rFonts w:hint="eastAsia" w:ascii="黑体" w:hAnsi="黑体" w:eastAsia="黑体" w:cs="黑体"/>
          <w:lang w:val="en-US" w:eastAsia="zh-CN"/>
        </w:rPr>
        <w:t>生产档案</w:t>
      </w:r>
    </w:p>
    <w:p w14:paraId="418F32E8">
      <w:pPr>
        <w:pStyle w:val="78"/>
        <w:numPr>
          <w:ilvl w:val="1"/>
          <w:numId w:val="0"/>
        </w:numPr>
        <w:bidi w:val="0"/>
        <w:spacing w:before="0" w:beforeLines="0" w:after="0" w:afterLines="0"/>
        <w:ind w:leftChars="0" w:firstLine="420" w:firstLineChars="200"/>
        <w:rPr>
          <w:rFonts w:hint="eastAsia"/>
          <w:sz w:val="21"/>
          <w:szCs w:val="21"/>
          <w:lang w:val="en-US" w:eastAsia="zh-CN"/>
        </w:rPr>
      </w:pPr>
      <w:r>
        <w:rPr>
          <w:rFonts w:hint="eastAsia"/>
          <w:sz w:val="21"/>
          <w:szCs w:val="21"/>
          <w:lang w:val="en-US" w:eastAsia="zh-CN"/>
        </w:rPr>
        <w:t>建立一户一档、一田一档、全程可追溯；详细记录产地、地块、面积、品种、播种日期、种子来源、基肥、追肥、灌溉、中耕除草、病虫害发生与防治、农药名称、用量、施药日期、采收日期、产量、分级、销售去向；</w:t>
      </w:r>
      <w:r>
        <w:rPr>
          <w:rFonts w:ascii="宋体" w:hAnsi="宋体" w:eastAsia="宋体" w:cs="宋体"/>
          <w:sz w:val="21"/>
          <w:szCs w:val="21"/>
        </w:rPr>
        <w:t>档案记录需保证</w:t>
      </w:r>
      <w:r>
        <w:rPr>
          <w:rFonts w:hint="eastAsia"/>
          <w:sz w:val="21"/>
          <w:szCs w:val="21"/>
          <w:lang w:val="en-US" w:eastAsia="zh-CN"/>
        </w:rPr>
        <w:t>真实、准确、及时、完整、签字确认、归档保存；保存期限不少于3年，便于追溯、监管、认证、核查。</w:t>
      </w:r>
    </w:p>
    <w:p w14:paraId="00C762D0">
      <w:pPr>
        <w:pStyle w:val="72"/>
        <w:bidi w:val="0"/>
        <w:rPr>
          <w:rFonts w:hint="eastAsia"/>
          <w:lang w:val="en-US" w:eastAsia="zh-CN"/>
        </w:rPr>
      </w:pPr>
      <w:bookmarkStart w:id="26" w:name="_Toc32585"/>
      <w:r>
        <w:rPr>
          <w:rFonts w:hint="eastAsia"/>
          <w:lang w:val="en-US" w:eastAsia="zh-CN"/>
        </w:rPr>
        <w:t>质量要求</w:t>
      </w:r>
      <w:bookmarkEnd w:id="26"/>
    </w:p>
    <w:p w14:paraId="783E84FE">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感官要求</w:t>
      </w:r>
    </w:p>
    <w:p w14:paraId="74225B39">
      <w:pPr>
        <w:pStyle w:val="24"/>
        <w:bidi w:val="0"/>
        <w:rPr>
          <w:rFonts w:hint="eastAsia"/>
          <w:lang w:val="en-US" w:eastAsia="zh-CN"/>
        </w:rPr>
      </w:pPr>
      <w:r>
        <w:rPr>
          <w:rFonts w:hint="eastAsia"/>
          <w:lang w:val="en-US" w:eastAsia="zh-CN"/>
        </w:rPr>
        <w:t>应符合表1。</w:t>
      </w:r>
    </w:p>
    <w:p w14:paraId="6BB6117F">
      <w:pPr>
        <w:pStyle w:val="113"/>
        <w:bidi w:val="0"/>
        <w:rPr>
          <w:rFonts w:hint="eastAsia"/>
          <w:lang w:val="en-US" w:eastAsia="zh-CN"/>
        </w:rPr>
      </w:pPr>
      <w:r>
        <w:rPr>
          <w:rFonts w:hint="eastAsia"/>
          <w:lang w:val="en-US" w:eastAsia="zh-CN"/>
        </w:rPr>
        <w:t>感官要求</w:t>
      </w:r>
    </w:p>
    <w:tbl>
      <w:tblPr>
        <w:tblStyle w:val="20"/>
        <w:tblW w:w="9374"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314"/>
        <w:gridCol w:w="2862"/>
        <w:gridCol w:w="2395"/>
        <w:gridCol w:w="2803"/>
      </w:tblGrid>
      <w:tr w14:paraId="1C1340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16" w:hRule="atLeast"/>
        </w:trPr>
        <w:tc>
          <w:tcPr>
            <w:tcW w:w="1314" w:type="dxa"/>
            <w:tcBorders>
              <w:bottom w:val="single" w:color="auto" w:sz="8" w:space="0"/>
              <w:tl2br w:val="nil"/>
              <w:tr2bl w:val="nil"/>
            </w:tcBorders>
            <w:vAlign w:val="center"/>
          </w:tcPr>
          <w:p w14:paraId="40507E73">
            <w:pPr>
              <w:pStyle w:val="24"/>
              <w:widowControl w:val="0"/>
              <w:bidi w:val="0"/>
              <w:spacing w:line="240" w:lineRule="auto"/>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lang w:val="en-US" w:eastAsia="zh-CN"/>
              </w:rPr>
              <w:t>项目</w:t>
            </w:r>
          </w:p>
        </w:tc>
        <w:tc>
          <w:tcPr>
            <w:tcW w:w="2862" w:type="dxa"/>
            <w:tcBorders>
              <w:bottom w:val="single" w:color="auto" w:sz="8" w:space="0"/>
              <w:tl2br w:val="nil"/>
              <w:tr2bl w:val="nil"/>
            </w:tcBorders>
            <w:vAlign w:val="center"/>
          </w:tcPr>
          <w:p w14:paraId="260745E2">
            <w:pPr>
              <w:pStyle w:val="24"/>
              <w:widowControl w:val="0"/>
              <w:bidi w:val="0"/>
              <w:spacing w:line="240" w:lineRule="auto"/>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特级</w:t>
            </w:r>
          </w:p>
        </w:tc>
        <w:tc>
          <w:tcPr>
            <w:tcW w:w="2395" w:type="dxa"/>
            <w:tcBorders>
              <w:bottom w:val="single" w:color="auto" w:sz="8" w:space="0"/>
              <w:tl2br w:val="nil"/>
              <w:tr2bl w:val="nil"/>
            </w:tcBorders>
            <w:vAlign w:val="center"/>
          </w:tcPr>
          <w:p w14:paraId="673CBEA5">
            <w:pPr>
              <w:pStyle w:val="24"/>
              <w:widowControl w:val="0"/>
              <w:bidi w:val="0"/>
              <w:spacing w:line="240" w:lineRule="auto"/>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一级</w:t>
            </w:r>
          </w:p>
        </w:tc>
        <w:tc>
          <w:tcPr>
            <w:tcW w:w="2803" w:type="dxa"/>
            <w:tcBorders>
              <w:bottom w:val="single" w:color="auto" w:sz="8" w:space="0"/>
              <w:tl2br w:val="nil"/>
              <w:tr2bl w:val="nil"/>
            </w:tcBorders>
            <w:vAlign w:val="center"/>
          </w:tcPr>
          <w:p w14:paraId="3F732F84">
            <w:pPr>
              <w:pStyle w:val="24"/>
              <w:widowControl w:val="0"/>
              <w:bidi w:val="0"/>
              <w:spacing w:line="240" w:lineRule="auto"/>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二级</w:t>
            </w:r>
          </w:p>
        </w:tc>
      </w:tr>
      <w:tr w14:paraId="5CCEA9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4" w:hRule="atLeast"/>
        </w:trPr>
        <w:tc>
          <w:tcPr>
            <w:tcW w:w="1314" w:type="dxa"/>
            <w:tcBorders>
              <w:top w:val="single" w:color="auto" w:sz="8" w:space="0"/>
              <w:tl2br w:val="nil"/>
              <w:tr2bl w:val="nil"/>
            </w:tcBorders>
            <w:vAlign w:val="center"/>
          </w:tcPr>
          <w:p w14:paraId="7F2A9617">
            <w:pPr>
              <w:pStyle w:val="24"/>
              <w:widowControl w:val="0"/>
              <w:bidi w:val="0"/>
              <w:spacing w:line="240" w:lineRule="auto"/>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形状</w:t>
            </w:r>
          </w:p>
        </w:tc>
        <w:tc>
          <w:tcPr>
            <w:tcW w:w="2862" w:type="dxa"/>
            <w:tcBorders>
              <w:top w:val="single" w:color="auto" w:sz="8" w:space="0"/>
              <w:tl2br w:val="nil"/>
              <w:tr2bl w:val="nil"/>
            </w:tcBorders>
            <w:vAlign w:val="center"/>
          </w:tcPr>
          <w:p w14:paraId="52564139">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长圆筒形、端正、顺直、匀称、无弯曲、无分叉、无畸形</w:t>
            </w:r>
          </w:p>
        </w:tc>
        <w:tc>
          <w:tcPr>
            <w:tcW w:w="2395" w:type="dxa"/>
            <w:tcBorders>
              <w:top w:val="single" w:color="auto" w:sz="8" w:space="0"/>
              <w:tl2br w:val="nil"/>
              <w:tr2bl w:val="nil"/>
            </w:tcBorders>
            <w:vAlign w:val="center"/>
          </w:tcPr>
          <w:p w14:paraId="5A2586C7">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长圆筒形、基本端正、微弯、轻微不均、无分叉</w:t>
            </w:r>
          </w:p>
        </w:tc>
        <w:tc>
          <w:tcPr>
            <w:tcW w:w="2803" w:type="dxa"/>
            <w:tcBorders>
              <w:top w:val="single" w:color="auto" w:sz="8" w:space="0"/>
              <w:tl2br w:val="nil"/>
              <w:tr2bl w:val="nil"/>
            </w:tcBorders>
            <w:vAlign w:val="center"/>
          </w:tcPr>
          <w:p w14:paraId="3E36B2D8">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长圆筒形、轻度弯曲、轻微分叉、不影响商品性</w:t>
            </w:r>
          </w:p>
        </w:tc>
      </w:tr>
      <w:tr w14:paraId="6CF3D6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4" w:hRule="atLeast"/>
        </w:trPr>
        <w:tc>
          <w:tcPr>
            <w:tcW w:w="1314" w:type="dxa"/>
            <w:tcBorders>
              <w:tl2br w:val="nil"/>
              <w:tr2bl w:val="nil"/>
            </w:tcBorders>
            <w:vAlign w:val="center"/>
          </w:tcPr>
          <w:p w14:paraId="50897B08">
            <w:pPr>
              <w:pStyle w:val="24"/>
              <w:widowControl w:val="0"/>
              <w:bidi w:val="0"/>
              <w:spacing w:line="240" w:lineRule="auto"/>
              <w:ind w:left="0" w:lef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大小（单根）</w:t>
            </w:r>
          </w:p>
        </w:tc>
        <w:tc>
          <w:tcPr>
            <w:tcW w:w="2862" w:type="dxa"/>
            <w:tcBorders>
              <w:tl2br w:val="nil"/>
              <w:tr2bl w:val="nil"/>
            </w:tcBorders>
            <w:vAlign w:val="center"/>
          </w:tcPr>
          <w:p w14:paraId="24B7E169">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长18～20 cm、横径8～9cm、净重 380～450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g</w:t>
            </w:r>
          </w:p>
        </w:tc>
        <w:tc>
          <w:tcPr>
            <w:tcW w:w="2395" w:type="dxa"/>
            <w:tcBorders>
              <w:tl2br w:val="nil"/>
              <w:tr2bl w:val="nil"/>
            </w:tcBorders>
            <w:vAlign w:val="center"/>
          </w:tcPr>
          <w:p w14:paraId="092A0A06">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长17～22 cm、横径7～10 cm、净重350～500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g</w:t>
            </w:r>
          </w:p>
        </w:tc>
        <w:tc>
          <w:tcPr>
            <w:tcW w:w="2803" w:type="dxa"/>
            <w:tcBorders>
              <w:tl2br w:val="nil"/>
              <w:tr2bl w:val="nil"/>
            </w:tcBorders>
            <w:vAlign w:val="center"/>
          </w:tcPr>
          <w:p w14:paraId="04A859AB">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长16～23</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cm、横径6.5～10.5</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cm、净重300～550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g</w:t>
            </w:r>
          </w:p>
        </w:tc>
      </w:tr>
    </w:tbl>
    <w:p w14:paraId="5B4D4A95">
      <w:pPr>
        <w:pStyle w:val="24"/>
        <w:spacing w:before="157" w:beforeLines="50" w:after="157" w:afterLines="50"/>
        <w:jc w:val="center"/>
        <w:rPr>
          <w:rFonts w:hint="eastAsia" w:ascii="宋体" w:hAnsi="宋体" w:eastAsia="宋体" w:cs="宋体"/>
          <w:lang w:val="en-US" w:eastAsia="zh-CN"/>
        </w:rPr>
      </w:pPr>
      <w:r>
        <w:rPr>
          <w:rFonts w:hint="eastAsia" w:ascii="黑体" w:hAnsi="黑体" w:eastAsia="黑体" w:cs="黑体"/>
          <w:lang w:val="en-US" w:eastAsia="zh-CN"/>
        </w:rPr>
        <w:t>表1  感官要求</w:t>
      </w:r>
      <w:r>
        <w:rPr>
          <w:rFonts w:hint="eastAsia" w:ascii="宋体" w:hAnsi="宋体" w:eastAsia="宋体" w:cs="宋体"/>
          <w:lang w:val="en-US" w:eastAsia="zh-CN"/>
        </w:rPr>
        <w:t>（续）</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315"/>
        <w:gridCol w:w="2858"/>
        <w:gridCol w:w="2391"/>
        <w:gridCol w:w="2800"/>
      </w:tblGrid>
      <w:tr w14:paraId="066AE2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16" w:hRule="atLeast"/>
        </w:trPr>
        <w:tc>
          <w:tcPr>
            <w:tcW w:w="1331" w:type="dxa"/>
            <w:tcBorders>
              <w:tl2br w:val="nil"/>
              <w:tr2bl w:val="nil"/>
            </w:tcBorders>
            <w:vAlign w:val="center"/>
          </w:tcPr>
          <w:p w14:paraId="47DF8819">
            <w:pPr>
              <w:pStyle w:val="24"/>
              <w:widowControl w:val="0"/>
              <w:bidi w:val="0"/>
              <w:spacing w:line="240" w:lineRule="auto"/>
              <w:ind w:left="0" w:lef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外皮颜色</w:t>
            </w:r>
          </w:p>
        </w:tc>
        <w:tc>
          <w:tcPr>
            <w:tcW w:w="2915" w:type="dxa"/>
            <w:tcBorders>
              <w:tl2br w:val="nil"/>
              <w:tr2bl w:val="nil"/>
            </w:tcBorders>
            <w:vAlign w:val="center"/>
          </w:tcPr>
          <w:p w14:paraId="195006AB">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2/</w:t>
            </w:r>
            <w:r>
              <w:rPr>
                <w:rFonts w:hint="eastAsia" w:ascii="宋体" w:hAnsi="宋体" w:eastAsia="宋体" w:cs="宋体"/>
                <w:b w:val="0"/>
                <w:bCs/>
                <w:sz w:val="18"/>
                <w:szCs w:val="18"/>
                <w:lang w:val="en-US" w:eastAsia="zh-CN"/>
              </w:rPr>
              <w:t>3</w:t>
            </w:r>
            <w:r>
              <w:rPr>
                <w:rFonts w:hint="eastAsia" w:ascii="宋体" w:hAnsi="宋体" w:eastAsia="宋体" w:cs="宋体"/>
                <w:b w:val="0"/>
                <w:bCs/>
                <w:sz w:val="18"/>
                <w:szCs w:val="18"/>
              </w:rPr>
              <w:t>以上鲜绿、均匀、光亮、无白斑、无黄化、无污点</w:t>
            </w:r>
          </w:p>
        </w:tc>
        <w:tc>
          <w:tcPr>
            <w:tcW w:w="2437" w:type="dxa"/>
            <w:tcBorders>
              <w:tl2br w:val="nil"/>
              <w:tr2bl w:val="nil"/>
            </w:tcBorders>
            <w:vAlign w:val="center"/>
          </w:tcPr>
          <w:p w14:paraId="778168A2">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2/3以上绿色、基本均匀、少量浅色斑点</w:t>
            </w:r>
          </w:p>
        </w:tc>
        <w:tc>
          <w:tcPr>
            <w:tcW w:w="2855" w:type="dxa"/>
            <w:tcBorders>
              <w:tl2br w:val="nil"/>
              <w:tr2bl w:val="nil"/>
            </w:tcBorders>
            <w:vAlign w:val="center"/>
          </w:tcPr>
          <w:p w14:paraId="00DF07FA">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1/2以上绿色、允许轻微色差、少量斑点</w:t>
            </w:r>
          </w:p>
        </w:tc>
      </w:tr>
      <w:tr w14:paraId="1A25E6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4" w:hRule="atLeast"/>
        </w:trPr>
        <w:tc>
          <w:tcPr>
            <w:tcW w:w="1331" w:type="dxa"/>
            <w:tcBorders>
              <w:tl2br w:val="nil"/>
              <w:tr2bl w:val="nil"/>
            </w:tcBorders>
            <w:vAlign w:val="center"/>
          </w:tcPr>
          <w:p w14:paraId="28CB3823">
            <w:pPr>
              <w:pStyle w:val="24"/>
              <w:widowControl w:val="0"/>
              <w:bidi w:val="0"/>
              <w:spacing w:line="240" w:lineRule="auto"/>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肉色</w:t>
            </w:r>
          </w:p>
        </w:tc>
        <w:tc>
          <w:tcPr>
            <w:tcW w:w="2915" w:type="dxa"/>
            <w:tcBorders>
              <w:tl2br w:val="nil"/>
              <w:tr2bl w:val="nil"/>
            </w:tcBorders>
            <w:vAlign w:val="center"/>
          </w:tcPr>
          <w:p w14:paraId="12454774">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浅绿、均匀、通透、无白心、无黄心、无杂色</w:t>
            </w:r>
          </w:p>
        </w:tc>
        <w:tc>
          <w:tcPr>
            <w:tcW w:w="2437" w:type="dxa"/>
            <w:tcBorders>
              <w:tl2br w:val="nil"/>
              <w:tr2bl w:val="nil"/>
            </w:tcBorders>
            <w:vAlign w:val="center"/>
          </w:tcPr>
          <w:p w14:paraId="4C1996BD">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浅绿、基本均匀、中心略浅、无杂色</w:t>
            </w:r>
          </w:p>
        </w:tc>
        <w:tc>
          <w:tcPr>
            <w:tcW w:w="2855" w:type="dxa"/>
            <w:tcBorders>
              <w:tl2br w:val="nil"/>
              <w:tr2bl w:val="nil"/>
            </w:tcBorders>
            <w:vAlign w:val="center"/>
          </w:tcPr>
          <w:p w14:paraId="379B32BE">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浅绿、局部略白、无杂色</w:t>
            </w:r>
          </w:p>
        </w:tc>
      </w:tr>
      <w:tr w14:paraId="1C55C2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4" w:hRule="atLeast"/>
        </w:trPr>
        <w:tc>
          <w:tcPr>
            <w:tcW w:w="1331" w:type="dxa"/>
            <w:tcBorders>
              <w:tl2br w:val="nil"/>
              <w:tr2bl w:val="nil"/>
            </w:tcBorders>
            <w:vAlign w:val="center"/>
          </w:tcPr>
          <w:p w14:paraId="18778899">
            <w:pPr>
              <w:pStyle w:val="24"/>
              <w:widowControl w:val="0"/>
              <w:bidi w:val="0"/>
              <w:spacing w:line="240" w:lineRule="auto"/>
              <w:ind w:left="0" w:lef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质地口感</w:t>
            </w:r>
          </w:p>
        </w:tc>
        <w:tc>
          <w:tcPr>
            <w:tcW w:w="2915" w:type="dxa"/>
            <w:tcBorders>
              <w:tl2br w:val="nil"/>
              <w:tr2bl w:val="nil"/>
            </w:tcBorders>
            <w:vAlign w:val="center"/>
          </w:tcPr>
          <w:p w14:paraId="5D1E659D">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肉质细嫩、脆、甜、多汁、无渣、粗纤维极少、无糠心</w:t>
            </w:r>
          </w:p>
        </w:tc>
        <w:tc>
          <w:tcPr>
            <w:tcW w:w="2437" w:type="dxa"/>
            <w:tcBorders>
              <w:tl2br w:val="nil"/>
              <w:tr2bl w:val="nil"/>
            </w:tcBorders>
            <w:vAlign w:val="center"/>
          </w:tcPr>
          <w:p w14:paraId="59F30E3C">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细嫩、脆、甜、多汁、少量细纤维、无糠心</w:t>
            </w:r>
          </w:p>
        </w:tc>
        <w:tc>
          <w:tcPr>
            <w:tcW w:w="2855" w:type="dxa"/>
            <w:tcBorders>
              <w:tl2br w:val="nil"/>
              <w:tr2bl w:val="nil"/>
            </w:tcBorders>
            <w:vAlign w:val="center"/>
          </w:tcPr>
          <w:p w14:paraId="14BC8470">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较脆、甜、多汁、纤维稍多、无明显糠心</w:t>
            </w:r>
          </w:p>
        </w:tc>
      </w:tr>
      <w:tr w14:paraId="4B889DC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39" w:hRule="atLeast"/>
        </w:trPr>
        <w:tc>
          <w:tcPr>
            <w:tcW w:w="1331" w:type="dxa"/>
            <w:tcBorders>
              <w:tl2br w:val="nil"/>
              <w:tr2bl w:val="nil"/>
            </w:tcBorders>
            <w:vAlign w:val="center"/>
          </w:tcPr>
          <w:p w14:paraId="4A118D1A">
            <w:pPr>
              <w:pStyle w:val="24"/>
              <w:widowControl w:val="0"/>
              <w:bidi w:val="0"/>
              <w:spacing w:line="240" w:lineRule="auto"/>
              <w:ind w:left="0" w:leftChars="0" w:firstLine="0" w:firstLineChars="0"/>
              <w:jc w:val="center"/>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外观完整性</w:t>
            </w:r>
          </w:p>
        </w:tc>
        <w:tc>
          <w:tcPr>
            <w:tcW w:w="2915" w:type="dxa"/>
            <w:tcBorders>
              <w:tl2br w:val="nil"/>
              <w:tr2bl w:val="nil"/>
            </w:tcBorders>
            <w:vAlign w:val="center"/>
          </w:tcPr>
          <w:p w14:paraId="579E12CD">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表皮光滑、洁净、无破损、无裂口、无病斑、无虫眼、无机械伤</w:t>
            </w:r>
          </w:p>
        </w:tc>
        <w:tc>
          <w:tcPr>
            <w:tcW w:w="2437" w:type="dxa"/>
            <w:tcBorders>
              <w:tl2br w:val="nil"/>
              <w:tr2bl w:val="nil"/>
            </w:tcBorders>
            <w:vAlign w:val="center"/>
          </w:tcPr>
          <w:p w14:paraId="08CDAE81">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表皮基本光滑、轻微擦伤、无裂口、无明显病斑</w:t>
            </w:r>
          </w:p>
        </w:tc>
        <w:tc>
          <w:tcPr>
            <w:tcW w:w="2855" w:type="dxa"/>
            <w:tcBorders>
              <w:tl2br w:val="nil"/>
              <w:tr2bl w:val="nil"/>
            </w:tcBorders>
            <w:vAlign w:val="center"/>
          </w:tcPr>
          <w:p w14:paraId="7D819FEE">
            <w:pPr>
              <w:pStyle w:val="24"/>
              <w:widowControl w:val="0"/>
              <w:bidi w:val="0"/>
              <w:spacing w:line="240" w:lineRule="auto"/>
              <w:ind w:left="0" w:leftChars="0" w:firstLine="0" w:firstLineChars="0"/>
              <w:jc w:val="left"/>
              <w:rPr>
                <w:rFonts w:hint="eastAsia" w:ascii="宋体" w:hAnsi="宋体" w:eastAsia="宋体" w:cs="宋体"/>
                <w:b w:val="0"/>
                <w:bCs/>
                <w:sz w:val="18"/>
                <w:szCs w:val="18"/>
                <w:lang w:val="en-US" w:eastAsia="zh-CN"/>
              </w:rPr>
            </w:pPr>
            <w:r>
              <w:rPr>
                <w:rFonts w:hint="eastAsia" w:ascii="宋体" w:hAnsi="宋体" w:eastAsia="宋体" w:cs="宋体"/>
                <w:b w:val="0"/>
                <w:bCs/>
                <w:sz w:val="18"/>
                <w:szCs w:val="18"/>
              </w:rPr>
              <w:t>表皮轻度粗糙、轻微擦伤、无裂口、无严重病斑</w:t>
            </w:r>
          </w:p>
        </w:tc>
      </w:tr>
    </w:tbl>
    <w:p w14:paraId="3C7C5F36">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理化指标</w:t>
      </w:r>
    </w:p>
    <w:p w14:paraId="0BF065F7">
      <w:pPr>
        <w:pStyle w:val="78"/>
        <w:numPr>
          <w:ilvl w:val="1"/>
          <w:numId w:val="0"/>
        </w:numPr>
        <w:bidi w:val="0"/>
        <w:spacing w:before="0" w:beforeLines="0" w:after="0" w:afterLines="0"/>
        <w:ind w:leftChars="0"/>
        <w:rPr>
          <w:rFonts w:hint="eastAsia" w:ascii="宋体" w:hAnsi="宋体" w:eastAsia="宋体" w:cs="宋体"/>
          <w:lang w:val="en-US" w:eastAsia="zh-CN"/>
        </w:rPr>
      </w:pPr>
      <w:r>
        <w:rPr>
          <w:rFonts w:hint="eastAsia" w:ascii="宋体" w:hAnsi="宋体" w:eastAsia="宋体" w:cs="宋体"/>
          <w:lang w:val="en-US" w:eastAsia="zh-CN"/>
        </w:rPr>
        <w:t>应符合表 2。</w:t>
      </w:r>
    </w:p>
    <w:p w14:paraId="2C2A0F1F">
      <w:pPr>
        <w:pStyle w:val="113"/>
        <w:bidi w:val="0"/>
        <w:rPr>
          <w:rFonts w:hint="eastAsia"/>
          <w:lang w:val="en-US" w:eastAsia="zh-CN"/>
        </w:rPr>
      </w:pPr>
      <w:r>
        <w:rPr>
          <w:rFonts w:hint="eastAsia"/>
          <w:lang w:val="en-US" w:eastAsia="zh-CN"/>
        </w:rPr>
        <w:t>理化指标</w:t>
      </w:r>
    </w:p>
    <w:tbl>
      <w:tblPr>
        <w:tblStyle w:val="2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715"/>
        <w:gridCol w:w="2104"/>
      </w:tblGrid>
      <w:tr w14:paraId="69C5B5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tcBorders>
              <w:bottom w:val="single" w:color="auto" w:sz="8" w:space="0"/>
            </w:tcBorders>
            <w:vAlign w:val="center"/>
          </w:tcPr>
          <w:p w14:paraId="48F6BE05">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项目</w:t>
            </w:r>
          </w:p>
        </w:tc>
        <w:tc>
          <w:tcPr>
            <w:tcW w:w="2104" w:type="dxa"/>
            <w:tcBorders>
              <w:bottom w:val="single" w:color="auto" w:sz="8" w:space="0"/>
            </w:tcBorders>
            <w:vAlign w:val="center"/>
          </w:tcPr>
          <w:p w14:paraId="4A6C175D">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指标</w:t>
            </w:r>
          </w:p>
        </w:tc>
      </w:tr>
      <w:tr w14:paraId="33D8BD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tcBorders>
              <w:top w:val="single" w:color="auto" w:sz="8" w:space="0"/>
            </w:tcBorders>
            <w:vAlign w:val="center"/>
          </w:tcPr>
          <w:p w14:paraId="6924C983">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含水量</w:t>
            </w:r>
          </w:p>
        </w:tc>
        <w:tc>
          <w:tcPr>
            <w:tcW w:w="2104" w:type="dxa"/>
            <w:tcBorders>
              <w:top w:val="single" w:color="auto" w:sz="8" w:space="0"/>
            </w:tcBorders>
            <w:vAlign w:val="center"/>
          </w:tcPr>
          <w:p w14:paraId="656801C7">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90.0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%～94.0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w:t>
            </w:r>
          </w:p>
        </w:tc>
      </w:tr>
      <w:tr w14:paraId="6E891A7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vAlign w:val="center"/>
          </w:tcPr>
          <w:p w14:paraId="474E1F70">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vertAlign w:val="baseline"/>
                <w:lang w:val="en-US" w:eastAsia="zh-CN"/>
              </w:rPr>
              <w:t>维生素C</w:t>
            </w:r>
          </w:p>
        </w:tc>
        <w:tc>
          <w:tcPr>
            <w:tcW w:w="2104" w:type="dxa"/>
            <w:vAlign w:val="center"/>
          </w:tcPr>
          <w:p w14:paraId="1ED47A91">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≥22</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mg/100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g</w:t>
            </w:r>
          </w:p>
        </w:tc>
      </w:tr>
      <w:tr w14:paraId="5AE104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vAlign w:val="center"/>
          </w:tcPr>
          <w:p w14:paraId="421ED96D">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可溶性总糖</w:t>
            </w:r>
          </w:p>
        </w:tc>
        <w:tc>
          <w:tcPr>
            <w:tcW w:w="2104" w:type="dxa"/>
            <w:vAlign w:val="center"/>
          </w:tcPr>
          <w:p w14:paraId="7D07DEE5">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≥2.2</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w:t>
            </w:r>
          </w:p>
        </w:tc>
      </w:tr>
      <w:tr w14:paraId="41F679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vAlign w:val="center"/>
          </w:tcPr>
          <w:p w14:paraId="1F1E04AE">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可溶性多糖</w:t>
            </w:r>
          </w:p>
        </w:tc>
        <w:tc>
          <w:tcPr>
            <w:tcW w:w="2104" w:type="dxa"/>
            <w:vAlign w:val="center"/>
          </w:tcPr>
          <w:p w14:paraId="5C962DA3">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≥4.2</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w:t>
            </w:r>
          </w:p>
        </w:tc>
      </w:tr>
      <w:tr w14:paraId="193F33B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vAlign w:val="center"/>
          </w:tcPr>
          <w:p w14:paraId="579E3AA7">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粗纤维</w:t>
            </w:r>
          </w:p>
        </w:tc>
        <w:tc>
          <w:tcPr>
            <w:tcW w:w="2104" w:type="dxa"/>
            <w:vAlign w:val="center"/>
          </w:tcPr>
          <w:p w14:paraId="7DD64AA8">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≤0.85</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w:t>
            </w:r>
          </w:p>
        </w:tc>
      </w:tr>
      <w:tr w14:paraId="7FCF9D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74" w:hRule="atLeast"/>
          <w:jc w:val="center"/>
        </w:trPr>
        <w:tc>
          <w:tcPr>
            <w:tcW w:w="1715" w:type="dxa"/>
            <w:vAlign w:val="center"/>
          </w:tcPr>
          <w:p w14:paraId="2658598C">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可溶性固形物</w:t>
            </w:r>
          </w:p>
        </w:tc>
        <w:tc>
          <w:tcPr>
            <w:tcW w:w="2104" w:type="dxa"/>
            <w:vAlign w:val="center"/>
          </w:tcPr>
          <w:p w14:paraId="4AD081C9">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≥5.5</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w:t>
            </w:r>
          </w:p>
        </w:tc>
      </w:tr>
      <w:tr w14:paraId="02429E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2" w:hRule="atLeast"/>
          <w:jc w:val="center"/>
        </w:trPr>
        <w:tc>
          <w:tcPr>
            <w:tcW w:w="1715" w:type="dxa"/>
            <w:vAlign w:val="center"/>
          </w:tcPr>
          <w:p w14:paraId="093D9099">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干物质</w:t>
            </w:r>
          </w:p>
        </w:tc>
        <w:tc>
          <w:tcPr>
            <w:tcW w:w="2104" w:type="dxa"/>
            <w:vAlign w:val="center"/>
          </w:tcPr>
          <w:p w14:paraId="3BD81B1A">
            <w:pPr>
              <w:pStyle w:val="78"/>
              <w:widowControl w:val="0"/>
              <w:numPr>
                <w:ilvl w:val="1"/>
                <w:numId w:val="0"/>
              </w:numPr>
              <w:bidi w:val="0"/>
              <w:spacing w:before="0" w:beforeLines="0" w:after="0" w:afterLines="0" w:line="240" w:lineRule="auto"/>
              <w:jc w:val="center"/>
              <w:outlineLvl w:val="9"/>
              <w:rPr>
                <w:rFonts w:hint="eastAsia" w:ascii="宋体" w:hAnsi="宋体" w:eastAsia="宋体" w:cs="宋体"/>
                <w:b w:val="0"/>
                <w:bCs/>
                <w:sz w:val="18"/>
                <w:szCs w:val="18"/>
                <w:vertAlign w:val="baseline"/>
                <w:lang w:val="en-US" w:eastAsia="zh-CN"/>
              </w:rPr>
            </w:pPr>
            <w:r>
              <w:rPr>
                <w:rFonts w:hint="eastAsia" w:ascii="宋体" w:hAnsi="宋体" w:eastAsia="宋体" w:cs="宋体"/>
                <w:b w:val="0"/>
                <w:bCs/>
                <w:sz w:val="18"/>
                <w:szCs w:val="18"/>
              </w:rPr>
              <w:t>≥6.0</w:t>
            </w:r>
            <w:r>
              <w:rPr>
                <w:rFonts w:hint="eastAsia" w:ascii="宋体" w:hAnsi="宋体" w:eastAsia="宋体" w:cs="宋体"/>
                <w:b w:val="0"/>
                <w:bCs/>
                <w:sz w:val="18"/>
                <w:szCs w:val="11"/>
                <w:lang w:val="en-US" w:eastAsia="zh-CN"/>
              </w:rPr>
              <w:t xml:space="preserve"> </w:t>
            </w:r>
            <w:r>
              <w:rPr>
                <w:rFonts w:hint="eastAsia" w:ascii="宋体" w:hAnsi="宋体" w:eastAsia="宋体" w:cs="宋体"/>
                <w:b w:val="0"/>
                <w:bCs/>
                <w:sz w:val="18"/>
                <w:szCs w:val="18"/>
              </w:rPr>
              <w:t>%</w:t>
            </w:r>
          </w:p>
        </w:tc>
      </w:tr>
    </w:tbl>
    <w:p w14:paraId="129512B9">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安全指标</w:t>
      </w:r>
    </w:p>
    <w:p w14:paraId="1CF37AFF">
      <w:pPr>
        <w:pStyle w:val="78"/>
        <w:numPr>
          <w:ilvl w:val="1"/>
          <w:numId w:val="0"/>
        </w:numPr>
        <w:bidi w:val="0"/>
        <w:spacing w:before="0" w:beforeLines="0" w:after="0" w:afterLines="0"/>
        <w:ind w:leftChars="0" w:firstLine="420" w:firstLineChars="200"/>
        <w:rPr>
          <w:rFonts w:hint="eastAsia" w:ascii="宋体" w:hAnsi="宋体" w:eastAsia="宋体" w:cs="宋体"/>
          <w:lang w:val="en-US" w:eastAsia="zh-CN"/>
        </w:rPr>
      </w:pPr>
      <w:r>
        <w:rPr>
          <w:rFonts w:hint="eastAsia" w:ascii="宋体" w:hAnsi="宋体" w:eastAsia="宋体" w:cs="宋体"/>
          <w:lang w:val="en-US" w:eastAsia="zh-CN"/>
        </w:rPr>
        <w:t>重金属</w:t>
      </w:r>
      <w:r>
        <w:rPr>
          <w:rFonts w:hint="eastAsia" w:cs="宋体"/>
          <w:lang w:val="en-US" w:eastAsia="zh-CN"/>
        </w:rPr>
        <w:t>指标要求</w:t>
      </w:r>
      <w:r>
        <w:rPr>
          <w:rFonts w:hint="eastAsia" w:ascii="宋体" w:hAnsi="宋体" w:eastAsia="宋体" w:cs="宋体"/>
          <w:lang w:val="en-US" w:eastAsia="zh-CN"/>
        </w:rPr>
        <w:t>铅</w:t>
      </w:r>
      <w:r>
        <w:rPr>
          <w:rFonts w:hint="eastAsia" w:cs="宋体"/>
          <w:lang w:val="en-US" w:eastAsia="zh-CN"/>
        </w:rPr>
        <w:t>含量不超过</w:t>
      </w:r>
      <w:r>
        <w:rPr>
          <w:rFonts w:hint="eastAsia" w:ascii="宋体" w:hAnsi="宋体" w:eastAsia="宋体" w:cs="宋体"/>
          <w:lang w:val="en-US" w:eastAsia="zh-CN"/>
        </w:rPr>
        <w:t>0.1</w:t>
      </w:r>
      <w:r>
        <w:rPr>
          <w:rFonts w:hint="eastAsia" w:cs="宋体"/>
          <w:sz w:val="11"/>
          <w:szCs w:val="11"/>
          <w:lang w:val="en-US" w:eastAsia="zh-CN"/>
        </w:rPr>
        <w:t xml:space="preserve"> </w:t>
      </w:r>
      <w:r>
        <w:rPr>
          <w:rFonts w:hint="eastAsia" w:ascii="宋体" w:hAnsi="宋体" w:eastAsia="宋体" w:cs="宋体"/>
          <w:lang w:val="en-US" w:eastAsia="zh-CN"/>
        </w:rPr>
        <w:t>mg/kg、镉</w:t>
      </w:r>
      <w:r>
        <w:rPr>
          <w:rFonts w:hint="eastAsia" w:cs="宋体"/>
          <w:lang w:val="en-US" w:eastAsia="zh-CN"/>
        </w:rPr>
        <w:t>含量不超过0.05</w:t>
      </w:r>
      <w:r>
        <w:rPr>
          <w:rFonts w:hint="eastAsia" w:cs="宋体"/>
          <w:sz w:val="11"/>
          <w:szCs w:val="11"/>
          <w:lang w:val="en-US" w:eastAsia="zh-CN"/>
        </w:rPr>
        <w:t xml:space="preserve"> </w:t>
      </w:r>
      <w:r>
        <w:rPr>
          <w:rFonts w:hint="eastAsia" w:ascii="宋体" w:hAnsi="宋体" w:eastAsia="宋体" w:cs="宋体"/>
          <w:lang w:val="en-US" w:eastAsia="zh-CN"/>
        </w:rPr>
        <w:t>mg/kg、汞</w:t>
      </w:r>
      <w:r>
        <w:rPr>
          <w:rFonts w:hint="eastAsia" w:cs="宋体"/>
          <w:lang w:val="en-US" w:eastAsia="zh-CN"/>
        </w:rPr>
        <w:t>含量不超过0.01</w:t>
      </w:r>
      <w:r>
        <w:rPr>
          <w:rFonts w:hint="eastAsia" w:cs="宋体"/>
          <w:sz w:val="11"/>
          <w:szCs w:val="11"/>
          <w:lang w:val="en-US" w:eastAsia="zh-CN"/>
        </w:rPr>
        <w:t xml:space="preserve"> </w:t>
      </w:r>
      <w:r>
        <w:rPr>
          <w:rFonts w:hint="eastAsia" w:ascii="宋体" w:hAnsi="宋体" w:eastAsia="宋体" w:cs="宋体"/>
          <w:lang w:val="en-US" w:eastAsia="zh-CN"/>
        </w:rPr>
        <w:t>mg/kg、砷</w:t>
      </w:r>
      <w:r>
        <w:rPr>
          <w:rFonts w:hint="eastAsia" w:cs="宋体"/>
          <w:lang w:val="en-US" w:eastAsia="zh-CN"/>
        </w:rPr>
        <w:t>含量不超过</w:t>
      </w:r>
      <w:r>
        <w:rPr>
          <w:rFonts w:hint="eastAsia" w:ascii="宋体" w:hAnsi="宋体" w:eastAsia="宋体" w:cs="宋体"/>
          <w:lang w:val="en-US" w:eastAsia="zh-CN"/>
        </w:rPr>
        <w:t>0.2</w:t>
      </w:r>
      <w:r>
        <w:rPr>
          <w:rFonts w:hint="eastAsia" w:cs="宋体"/>
          <w:sz w:val="11"/>
          <w:szCs w:val="11"/>
          <w:lang w:val="en-US" w:eastAsia="zh-CN"/>
        </w:rPr>
        <w:t xml:space="preserve"> </w:t>
      </w:r>
      <w:r>
        <w:rPr>
          <w:rFonts w:hint="eastAsia" w:ascii="宋体" w:hAnsi="宋体" w:eastAsia="宋体" w:cs="宋体"/>
          <w:lang w:val="en-US" w:eastAsia="zh-CN"/>
        </w:rPr>
        <w:t>mg/kg、铬</w:t>
      </w:r>
      <w:r>
        <w:rPr>
          <w:rFonts w:hint="eastAsia" w:cs="宋体"/>
          <w:lang w:val="en-US" w:eastAsia="zh-CN"/>
        </w:rPr>
        <w:t>含量不超过0.5</w:t>
      </w:r>
      <w:r>
        <w:rPr>
          <w:rFonts w:hint="eastAsia" w:cs="宋体"/>
          <w:sz w:val="11"/>
          <w:szCs w:val="11"/>
          <w:lang w:val="en-US" w:eastAsia="zh-CN"/>
        </w:rPr>
        <w:t xml:space="preserve"> </w:t>
      </w:r>
      <w:r>
        <w:rPr>
          <w:rFonts w:hint="eastAsia" w:ascii="宋体" w:hAnsi="宋体" w:eastAsia="宋体" w:cs="宋体"/>
          <w:lang w:val="en-US" w:eastAsia="zh-CN"/>
        </w:rPr>
        <w:t>mg/kg；农药残留</w:t>
      </w:r>
      <w:r>
        <w:rPr>
          <w:rFonts w:hint="eastAsia" w:cs="宋体"/>
          <w:lang w:val="en-US" w:eastAsia="zh-CN"/>
        </w:rPr>
        <w:t>指标</w:t>
      </w:r>
      <w:r>
        <w:rPr>
          <w:rFonts w:hint="eastAsia" w:ascii="宋体" w:hAnsi="宋体" w:eastAsia="宋体" w:cs="宋体"/>
          <w:lang w:val="en-US" w:eastAsia="zh-CN"/>
        </w:rPr>
        <w:t>符合 NY/T 745、国家食品安全标准，无禁用农药、限量达标；微生物</w:t>
      </w:r>
      <w:r>
        <w:rPr>
          <w:rFonts w:hint="eastAsia" w:cs="宋体"/>
          <w:lang w:val="en-US" w:eastAsia="zh-CN"/>
        </w:rPr>
        <w:t>指标</w:t>
      </w:r>
      <w:r>
        <w:rPr>
          <w:rFonts w:hint="eastAsia" w:ascii="宋体" w:hAnsi="宋体" w:eastAsia="宋体" w:cs="宋体"/>
          <w:lang w:val="en-US" w:eastAsia="zh-CN"/>
        </w:rPr>
        <w:t>符合生食蔬菜安全标准，无致病菌。</w:t>
      </w:r>
    </w:p>
    <w:p w14:paraId="097B3215">
      <w:pPr>
        <w:pStyle w:val="72"/>
        <w:bidi w:val="0"/>
        <w:rPr>
          <w:rFonts w:hint="eastAsia"/>
          <w:lang w:val="en-US" w:eastAsia="zh-CN"/>
        </w:rPr>
      </w:pPr>
      <w:bookmarkStart w:id="27" w:name="_Toc28696"/>
      <w:r>
        <w:rPr>
          <w:rFonts w:hint="eastAsia"/>
          <w:lang w:val="en-US" w:eastAsia="zh-CN"/>
        </w:rPr>
        <w:t>检验方法</w:t>
      </w:r>
      <w:bookmarkEnd w:id="27"/>
    </w:p>
    <w:p w14:paraId="6DE7B72D">
      <w:pPr>
        <w:pStyle w:val="78"/>
        <w:bidi w:val="0"/>
        <w:spacing w:before="0" w:beforeLines="0" w:after="0" w:afterLines="0"/>
        <w:rPr>
          <w:rFonts w:hint="eastAsia"/>
          <w:lang w:val="en-US" w:eastAsia="zh-CN"/>
        </w:rPr>
      </w:pPr>
      <w:r>
        <w:rPr>
          <w:rFonts w:hint="eastAsia" w:ascii="黑体" w:hAnsi="黑体" w:eastAsia="黑体" w:cs="黑体"/>
          <w:sz w:val="21"/>
          <w:szCs w:val="21"/>
        </w:rPr>
        <w:t>感官检验</w:t>
      </w:r>
    </w:p>
    <w:p w14:paraId="1342C65E">
      <w:pPr>
        <w:pStyle w:val="78"/>
        <w:numPr>
          <w:ilvl w:val="1"/>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感官检验需在自然光环境下开展，保证光线均匀无直射强光干扰。检验方式采用目测、手摸、称重、尺量及品尝综合判定。形状色泽及完整性指标通过逐样目测方式记录判定，大小指标通过直尺测量长度、游标卡尺测量直径、电子秤称重方式测定，质地口感指标通过横切观察肉色及糠心情况、品尝脆度甜度多汁性及纤维感方式判定，检验过程参照 NY/T 745 相关标准执行。</w:t>
      </w:r>
    </w:p>
    <w:p w14:paraId="391F8D03">
      <w:pPr>
        <w:pStyle w:val="78"/>
        <w:bidi w:val="0"/>
        <w:spacing w:before="0" w:beforeLines="0" w:after="0" w:afterLines="0"/>
        <w:rPr>
          <w:rFonts w:hint="eastAsia"/>
          <w:lang w:val="en-US" w:eastAsia="zh-CN"/>
        </w:rPr>
      </w:pPr>
      <w:r>
        <w:rPr>
          <w:rFonts w:hint="eastAsia" w:ascii="黑体" w:hAnsi="黑体" w:eastAsia="黑体" w:cs="黑体"/>
          <w:sz w:val="21"/>
          <w:szCs w:val="21"/>
          <w:lang w:val="en-US" w:eastAsia="zh-CN"/>
        </w:rPr>
        <w:t>理化检测</w:t>
      </w:r>
    </w:p>
    <w:p w14:paraId="4E847E3B">
      <w:pPr>
        <w:pStyle w:val="78"/>
        <w:numPr>
          <w:ilvl w:val="1"/>
          <w:numId w:val="0"/>
        </w:numPr>
        <w:bidi w:val="0"/>
        <w:spacing w:before="0" w:beforeLines="0" w:after="0" w:afterLines="0"/>
        <w:ind w:leftChars="0" w:firstLine="420" w:firstLineChars="200"/>
        <w:outlineLvl w:val="9"/>
        <w:rPr>
          <w:rFonts w:ascii="宋体" w:hAnsi="宋体" w:eastAsia="宋体" w:cs="宋体"/>
          <w:sz w:val="21"/>
          <w:szCs w:val="21"/>
        </w:rPr>
      </w:pPr>
      <w:r>
        <w:rPr>
          <w:rFonts w:ascii="宋体" w:hAnsi="宋体" w:eastAsia="宋体" w:cs="宋体"/>
          <w:sz w:val="21"/>
          <w:szCs w:val="21"/>
        </w:rPr>
        <w:t>含水量测定采用直接干燥法</w:t>
      </w:r>
      <w:r>
        <w:rPr>
          <w:rFonts w:hint="eastAsia" w:cs="宋体"/>
          <w:sz w:val="21"/>
          <w:szCs w:val="21"/>
          <w:lang w:eastAsia="zh-CN"/>
        </w:rPr>
        <w:t>；</w:t>
      </w:r>
      <w:r>
        <w:rPr>
          <w:rFonts w:ascii="宋体" w:hAnsi="宋体" w:eastAsia="宋体" w:cs="宋体"/>
          <w:sz w:val="21"/>
          <w:szCs w:val="21"/>
        </w:rPr>
        <w:t>维生素C含量测定采用高效液相色谱法</w:t>
      </w:r>
      <w:r>
        <w:rPr>
          <w:rFonts w:hint="eastAsia" w:cs="宋体"/>
          <w:sz w:val="21"/>
          <w:szCs w:val="21"/>
          <w:lang w:eastAsia="zh-CN"/>
        </w:rPr>
        <w:t>；</w:t>
      </w:r>
      <w:r>
        <w:rPr>
          <w:rFonts w:ascii="宋体" w:hAnsi="宋体" w:eastAsia="宋体" w:cs="宋体"/>
          <w:sz w:val="21"/>
          <w:szCs w:val="21"/>
        </w:rPr>
        <w:t>可溶性总糖含量测定采用蒽酮比色法，可溶性多糖含量测定采用苯酚硫酸法，粗纤维含量测定采用酸碱消煮法，可溶性固形物含量测定采用手持折光仪法。</w:t>
      </w:r>
    </w:p>
    <w:p w14:paraId="5611916F">
      <w:pPr>
        <w:pStyle w:val="78"/>
        <w:bidi w:val="0"/>
        <w:spacing w:before="0" w:beforeLines="0" w:after="0" w:afterLines="0"/>
        <w:rPr>
          <w:rFonts w:hint="eastAsia" w:ascii="黑体" w:hAnsi="黑体" w:eastAsia="黑体" w:cs="黑体"/>
          <w:lang w:val="en-US" w:eastAsia="zh-CN"/>
        </w:rPr>
      </w:pPr>
      <w:r>
        <w:rPr>
          <w:rFonts w:hint="eastAsia" w:ascii="黑体" w:hAnsi="黑体" w:eastAsia="黑体" w:cs="黑体"/>
          <w:lang w:val="en-US" w:eastAsia="zh-CN"/>
        </w:rPr>
        <w:t>安全检验</w:t>
      </w:r>
    </w:p>
    <w:p w14:paraId="272253E5">
      <w:pPr>
        <w:pStyle w:val="78"/>
        <w:numPr>
          <w:ilvl w:val="1"/>
          <w:numId w:val="0"/>
        </w:numPr>
        <w:bidi w:val="0"/>
        <w:spacing w:before="0" w:beforeLines="0" w:after="0" w:afterLines="0"/>
        <w:ind w:firstLine="420" w:firstLineChars="200"/>
        <w:rPr>
          <w:rFonts w:ascii="宋体" w:hAnsi="宋体" w:eastAsia="宋体" w:cs="宋体"/>
          <w:sz w:val="21"/>
          <w:szCs w:val="21"/>
        </w:rPr>
      </w:pPr>
      <w:r>
        <w:rPr>
          <w:rFonts w:ascii="宋体" w:hAnsi="宋体" w:eastAsia="宋体" w:cs="宋体"/>
          <w:sz w:val="21"/>
          <w:szCs w:val="21"/>
        </w:rPr>
        <w:t>重金属含量测定采用原子吸收光谱法、原子荧光光谱法及电感耦合等离子体质谱法，农药残留量测定采用气相色谱法、液相色谱法及质谱联用法，整体检验过程符合 NY/T</w:t>
      </w:r>
      <w:r>
        <w:rPr>
          <w:rFonts w:hint="eastAsia" w:cs="宋体"/>
          <w:sz w:val="21"/>
          <w:szCs w:val="21"/>
          <w:lang w:val="en-US" w:eastAsia="zh-CN"/>
        </w:rPr>
        <w:t xml:space="preserve"> </w:t>
      </w:r>
      <w:r>
        <w:rPr>
          <w:rFonts w:ascii="宋体" w:hAnsi="宋体" w:eastAsia="宋体" w:cs="宋体"/>
          <w:sz w:val="21"/>
          <w:szCs w:val="21"/>
        </w:rPr>
        <w:t>745 及国家食品安全标准相关规定。</w:t>
      </w:r>
    </w:p>
    <w:p w14:paraId="3C4EC532">
      <w:pPr>
        <w:pStyle w:val="72"/>
        <w:bidi w:val="0"/>
        <w:rPr>
          <w:rFonts w:hint="eastAsia"/>
          <w:lang w:val="en-US" w:eastAsia="zh-CN"/>
        </w:rPr>
      </w:pPr>
      <w:bookmarkStart w:id="28" w:name="_Toc11576"/>
      <w:r>
        <w:rPr>
          <w:rFonts w:hint="eastAsia"/>
          <w:lang w:val="en-US" w:eastAsia="zh-CN"/>
        </w:rPr>
        <w:t>检验规则</w:t>
      </w:r>
      <w:bookmarkEnd w:id="28"/>
    </w:p>
    <w:p w14:paraId="11D2E008">
      <w:pPr>
        <w:pStyle w:val="78"/>
        <w:bidi w:val="0"/>
        <w:spacing w:before="0" w:beforeLines="0" w:after="0" w:afterLines="0"/>
        <w:rPr>
          <w:rFonts w:hint="eastAsia"/>
          <w:lang w:val="en-US" w:eastAsia="zh-CN"/>
        </w:rPr>
      </w:pPr>
      <w:r>
        <w:rPr>
          <w:rFonts w:hint="eastAsia" w:ascii="黑体" w:hAnsi="黑体" w:eastAsia="黑体" w:cs="黑体"/>
          <w:lang w:val="en-US" w:eastAsia="zh-CN"/>
        </w:rPr>
        <w:t>组批原则</w:t>
      </w:r>
    </w:p>
    <w:p w14:paraId="0DBE3B81">
      <w:pPr>
        <w:pStyle w:val="78"/>
        <w:numPr>
          <w:ilvl w:val="1"/>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同一产地、同一品种、同一栽培方式、同一采收时期、同一等级的乐都绿萝卜，可组成一个检验批次；每批次重量不超过</w:t>
      </w:r>
      <w:r>
        <w:rPr>
          <w:rFonts w:hint="eastAsia" w:cs="宋体"/>
          <w:sz w:val="21"/>
          <w:szCs w:val="21"/>
          <w:lang w:val="en-US" w:eastAsia="zh-CN"/>
        </w:rPr>
        <w:t>50</w:t>
      </w:r>
      <w:r>
        <w:rPr>
          <w:rFonts w:ascii="宋体" w:hAnsi="宋体" w:eastAsia="宋体" w:cs="宋体"/>
          <w:sz w:val="21"/>
          <w:szCs w:val="21"/>
        </w:rPr>
        <w:t>吨。</w:t>
      </w:r>
    </w:p>
    <w:p w14:paraId="008781BF">
      <w:pPr>
        <w:pStyle w:val="78"/>
        <w:bidi w:val="0"/>
        <w:spacing w:before="0" w:beforeLines="0" w:after="0" w:afterLines="0"/>
        <w:rPr>
          <w:rFonts w:hint="eastAsia"/>
          <w:lang w:val="en-US" w:eastAsia="zh-CN"/>
        </w:rPr>
      </w:pPr>
      <w:r>
        <w:rPr>
          <w:rFonts w:hint="eastAsia" w:ascii="黑体" w:hAnsi="黑体" w:eastAsia="黑体" w:cs="黑体"/>
          <w:lang w:val="en-US" w:eastAsia="zh-CN"/>
        </w:rPr>
        <w:t>抽样方法</w:t>
      </w:r>
    </w:p>
    <w:p w14:paraId="5EBA5E01">
      <w:pPr>
        <w:pStyle w:val="78"/>
        <w:numPr>
          <w:ilvl w:val="1"/>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批量不超过十吨时随机抽取</w:t>
      </w:r>
      <w:r>
        <w:rPr>
          <w:rFonts w:hint="eastAsia" w:cs="宋体"/>
          <w:sz w:val="21"/>
          <w:szCs w:val="21"/>
          <w:lang w:val="en-US" w:eastAsia="zh-CN"/>
        </w:rPr>
        <w:t>5</w:t>
      </w:r>
      <w:r>
        <w:rPr>
          <w:rFonts w:ascii="宋体" w:hAnsi="宋体" w:eastAsia="宋体" w:cs="宋体"/>
          <w:sz w:val="21"/>
          <w:szCs w:val="21"/>
        </w:rPr>
        <w:t>个采样点，样品总重量不少于</w:t>
      </w:r>
      <w:r>
        <w:rPr>
          <w:rFonts w:hint="eastAsia" w:cs="宋体"/>
          <w:sz w:val="21"/>
          <w:szCs w:val="21"/>
          <w:lang w:val="en-US" w:eastAsia="zh-CN"/>
        </w:rPr>
        <w:t>5</w:t>
      </w:r>
      <w:r>
        <w:rPr>
          <w:rFonts w:ascii="宋体" w:hAnsi="宋体" w:eastAsia="宋体" w:cs="宋体"/>
          <w:sz w:val="21"/>
          <w:szCs w:val="21"/>
        </w:rPr>
        <w:t>千克。批量在十吨至</w:t>
      </w:r>
      <w:r>
        <w:rPr>
          <w:rFonts w:hint="eastAsia" w:cs="宋体"/>
          <w:sz w:val="21"/>
          <w:szCs w:val="21"/>
          <w:lang w:val="en-US" w:eastAsia="zh-CN"/>
        </w:rPr>
        <w:t>50</w:t>
      </w:r>
      <w:r>
        <w:rPr>
          <w:rFonts w:ascii="宋体" w:hAnsi="宋体" w:eastAsia="宋体" w:cs="宋体"/>
          <w:sz w:val="21"/>
          <w:szCs w:val="21"/>
        </w:rPr>
        <w:t>吨区间时随机抽取</w:t>
      </w:r>
      <w:r>
        <w:rPr>
          <w:rFonts w:hint="eastAsia" w:cs="宋体"/>
          <w:sz w:val="21"/>
          <w:szCs w:val="21"/>
          <w:lang w:val="en-US" w:eastAsia="zh-CN"/>
        </w:rPr>
        <w:t>8</w:t>
      </w:r>
      <w:r>
        <w:rPr>
          <w:rFonts w:ascii="宋体" w:hAnsi="宋体" w:eastAsia="宋体" w:cs="宋体"/>
          <w:sz w:val="21"/>
          <w:szCs w:val="21"/>
        </w:rPr>
        <w:t>个采样点，样品总重量不少于</w:t>
      </w:r>
      <w:r>
        <w:rPr>
          <w:rFonts w:hint="eastAsia" w:cs="宋体"/>
          <w:sz w:val="21"/>
          <w:szCs w:val="21"/>
          <w:lang w:val="en-US" w:eastAsia="zh-CN"/>
        </w:rPr>
        <w:t>8</w:t>
      </w:r>
      <w:r>
        <w:rPr>
          <w:rFonts w:ascii="宋体" w:hAnsi="宋体" w:eastAsia="宋体" w:cs="宋体"/>
          <w:sz w:val="21"/>
          <w:szCs w:val="21"/>
        </w:rPr>
        <w:t>千克。抽样过程保证样品具有代表性、分布均匀、无损伤、随机选取且全程可追溯，样品划分为检验样、复检样及留样三部分，留样保存期限不少于</w:t>
      </w:r>
      <w:r>
        <w:rPr>
          <w:rFonts w:hint="eastAsia" w:cs="宋体"/>
          <w:sz w:val="21"/>
          <w:szCs w:val="21"/>
          <w:lang w:val="en-US" w:eastAsia="zh-CN"/>
        </w:rPr>
        <w:t>3</w:t>
      </w:r>
      <w:r>
        <w:rPr>
          <w:rFonts w:ascii="宋体" w:hAnsi="宋体" w:eastAsia="宋体" w:cs="宋体"/>
          <w:sz w:val="21"/>
          <w:szCs w:val="21"/>
        </w:rPr>
        <w:t>个月。</w:t>
      </w:r>
    </w:p>
    <w:p w14:paraId="6C40C984">
      <w:pPr>
        <w:pStyle w:val="78"/>
        <w:bidi w:val="0"/>
        <w:spacing w:before="0" w:beforeLines="0" w:after="0" w:afterLines="0"/>
        <w:rPr>
          <w:rFonts w:hint="eastAsia"/>
          <w:lang w:val="en-US" w:eastAsia="zh-CN"/>
        </w:rPr>
      </w:pPr>
      <w:r>
        <w:rPr>
          <w:rFonts w:hint="eastAsia" w:ascii="黑体" w:hAnsi="黑体" w:eastAsia="黑体" w:cs="黑体"/>
          <w:lang w:val="en-US" w:eastAsia="zh-CN"/>
        </w:rPr>
        <w:t>检验分类</w:t>
      </w:r>
    </w:p>
    <w:p w14:paraId="3A25C450">
      <w:pPr>
        <w:pStyle w:val="78"/>
        <w:numPr>
          <w:ilvl w:val="1"/>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出厂检验逐批进行，含感官、单根重量、含水量及外观完整性。型式检验在产地环境、品种、技术发生重大变化、满一年、质量异常或监管要求时开展全项检验。</w:t>
      </w:r>
    </w:p>
    <w:p w14:paraId="458C9F3B">
      <w:pPr>
        <w:pStyle w:val="78"/>
        <w:bidi w:val="0"/>
        <w:spacing w:before="0" w:beforeLines="0" w:after="0" w:afterLines="0"/>
        <w:rPr>
          <w:rFonts w:hint="eastAsia"/>
          <w:lang w:val="en-US" w:eastAsia="zh-CN"/>
        </w:rPr>
      </w:pPr>
      <w:r>
        <w:rPr>
          <w:rFonts w:hint="eastAsia" w:ascii="黑体" w:hAnsi="黑体" w:eastAsia="黑体" w:cs="黑体"/>
          <w:lang w:val="en-US" w:eastAsia="zh-CN"/>
        </w:rPr>
        <w:t>判定规则</w:t>
      </w:r>
    </w:p>
    <w:p w14:paraId="1794129D">
      <w:pPr>
        <w:pStyle w:val="78"/>
        <w:numPr>
          <w:ilvl w:val="1"/>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所有项目合格判定为合格。感官任一项不合格直接判定不合格。理化或安全任一项不合格可加倍复检，复检仍不合格判定不合格，不得作为地理标志产品销售。</w:t>
      </w:r>
    </w:p>
    <w:p w14:paraId="62BAAC4F">
      <w:pPr>
        <w:pStyle w:val="72"/>
        <w:bidi w:val="0"/>
        <w:rPr>
          <w:rFonts w:hint="eastAsia"/>
          <w:lang w:val="en-US" w:eastAsia="zh-CN"/>
        </w:rPr>
      </w:pPr>
      <w:bookmarkStart w:id="29" w:name="_Toc20512"/>
      <w:r>
        <w:rPr>
          <w:rFonts w:hint="eastAsia"/>
          <w:lang w:val="en-US" w:eastAsia="zh-CN"/>
        </w:rPr>
        <w:t>标志标签与地理标志使用</w:t>
      </w:r>
      <w:bookmarkEnd w:id="29"/>
    </w:p>
    <w:p w14:paraId="13AF971C">
      <w:pPr>
        <w:pStyle w:val="24"/>
        <w:rPr>
          <w:rFonts w:hint="eastAsia"/>
          <w:lang w:val="en-US" w:eastAsia="zh-CN"/>
        </w:rPr>
      </w:pPr>
      <w:r>
        <w:rPr>
          <w:rFonts w:hint="eastAsia"/>
          <w:lang w:val="en-US" w:eastAsia="zh-CN"/>
        </w:rPr>
        <w:t>符合本文件要求的产品方可在产品标签或包装物上标注地理标志产品名称及本文件编号，并应同时使用经国务院知识产权行政管理部门核准公告的地理标志专用标志；标签应标明产品名称、地理标志、产地、生产者、采收日期、净含量、执行标准编号等。</w:t>
      </w:r>
    </w:p>
    <w:p w14:paraId="2E69287E">
      <w:pPr>
        <w:pStyle w:val="72"/>
        <w:bidi w:val="0"/>
        <w:rPr>
          <w:rFonts w:hint="eastAsia"/>
          <w:lang w:val="en-US" w:eastAsia="zh-CN"/>
        </w:rPr>
      </w:pPr>
      <w:bookmarkStart w:id="30" w:name="_Toc32194"/>
      <w:r>
        <w:rPr>
          <w:rFonts w:hint="eastAsia"/>
          <w:lang w:val="en-US" w:eastAsia="zh-CN"/>
        </w:rPr>
        <w:t>包装运输与贮存</w:t>
      </w:r>
      <w:bookmarkEnd w:id="30"/>
    </w:p>
    <w:p w14:paraId="0625F920">
      <w:pPr>
        <w:pStyle w:val="78"/>
        <w:bidi w:val="0"/>
        <w:spacing w:before="0" w:beforeLines="0" w:after="0" w:afterLines="0"/>
        <w:rPr>
          <w:rFonts w:hint="eastAsia"/>
          <w:lang w:val="en-US" w:eastAsia="zh-CN"/>
        </w:rPr>
      </w:pPr>
      <w:r>
        <w:rPr>
          <w:rFonts w:hint="eastAsia" w:ascii="黑体" w:hAnsi="黑体" w:eastAsia="黑体" w:cs="黑体"/>
        </w:rPr>
        <w:t>包装</w:t>
      </w:r>
    </w:p>
    <w:p w14:paraId="0798C797">
      <w:pPr>
        <w:pStyle w:val="24"/>
        <w:rPr>
          <w:rFonts w:hint="eastAsia" w:hAnsi="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采用食品级透气防潮无毒材料，可用网袋、纸箱、竹筐、塑料筐。规格为</w:t>
      </w:r>
      <w:r>
        <w:rPr>
          <w:rFonts w:hint="eastAsia" w:hAnsi="宋体" w:cs="宋体"/>
          <w:color w:val="000000"/>
          <w:kern w:val="0"/>
          <w:sz w:val="21"/>
          <w:szCs w:val="21"/>
          <w:lang w:val="en-US" w:eastAsia="zh-CN" w:bidi="ar"/>
        </w:rPr>
        <w:t>5kg</w:t>
      </w:r>
      <w:r>
        <w:rPr>
          <w:rFonts w:hint="eastAsia" w:ascii="宋体" w:hAnsi="宋体" w:eastAsia="宋体" w:cs="宋体"/>
          <w:color w:val="000000"/>
          <w:kern w:val="0"/>
          <w:sz w:val="21"/>
          <w:szCs w:val="21"/>
          <w:lang w:val="en-US" w:eastAsia="zh-CN" w:bidi="ar"/>
        </w:rPr>
        <w:t>、</w:t>
      </w:r>
      <w:r>
        <w:rPr>
          <w:rFonts w:hint="eastAsia" w:hAnsi="宋体" w:cs="宋体"/>
          <w:color w:val="000000"/>
          <w:kern w:val="0"/>
          <w:sz w:val="21"/>
          <w:szCs w:val="21"/>
          <w:lang w:val="en-US" w:eastAsia="zh-CN" w:bidi="ar"/>
        </w:rPr>
        <w:t>10kg</w:t>
      </w:r>
      <w:r>
        <w:rPr>
          <w:rFonts w:hint="eastAsia" w:ascii="宋体" w:hAnsi="宋体" w:eastAsia="宋体" w:cs="宋体"/>
          <w:color w:val="000000"/>
          <w:kern w:val="0"/>
          <w:sz w:val="21"/>
          <w:szCs w:val="21"/>
          <w:lang w:val="en-US" w:eastAsia="zh-CN" w:bidi="ar"/>
        </w:rPr>
        <w:t>、</w:t>
      </w:r>
      <w:r>
        <w:rPr>
          <w:rFonts w:hint="eastAsia" w:hAnsi="宋体" w:cs="宋体"/>
          <w:color w:val="000000"/>
          <w:kern w:val="0"/>
          <w:sz w:val="21"/>
          <w:szCs w:val="21"/>
          <w:lang w:val="en-US" w:eastAsia="zh-CN" w:bidi="ar"/>
        </w:rPr>
        <w:t>20kg</w:t>
      </w:r>
      <w:r>
        <w:rPr>
          <w:rFonts w:hint="eastAsia" w:ascii="宋体" w:hAnsi="宋体" w:eastAsia="宋体" w:cs="宋体"/>
          <w:color w:val="000000"/>
          <w:kern w:val="0"/>
          <w:sz w:val="21"/>
          <w:szCs w:val="21"/>
          <w:lang w:val="en-US" w:eastAsia="zh-CN" w:bidi="ar"/>
        </w:rPr>
        <w:t>，包装牢固透气防挤压，箱内可衬垫防护</w:t>
      </w:r>
      <w:r>
        <w:rPr>
          <w:rFonts w:hint="eastAsia" w:hAnsi="宋体" w:cs="宋体"/>
          <w:color w:val="000000"/>
          <w:kern w:val="0"/>
          <w:sz w:val="21"/>
          <w:szCs w:val="21"/>
          <w:lang w:val="en-US" w:eastAsia="zh-CN" w:bidi="ar"/>
        </w:rPr>
        <w:t>。</w:t>
      </w:r>
    </w:p>
    <w:p w14:paraId="1B5F820B">
      <w:pPr>
        <w:pStyle w:val="78"/>
        <w:bidi w:val="0"/>
        <w:spacing w:before="0" w:beforeLines="0" w:after="0" w:afterLines="0"/>
        <w:rPr>
          <w:rFonts w:hint="eastAsia"/>
          <w:lang w:val="en-US" w:eastAsia="zh-CN"/>
        </w:rPr>
      </w:pPr>
      <w:r>
        <w:rPr>
          <w:rFonts w:hint="eastAsia" w:ascii="黑体" w:hAnsi="黑体" w:eastAsia="黑体" w:cs="黑体"/>
          <w:lang w:val="en-US" w:eastAsia="zh-CN"/>
        </w:rPr>
        <w:t>运输</w:t>
      </w:r>
    </w:p>
    <w:p w14:paraId="0654107B">
      <w:pPr>
        <w:pStyle w:val="78"/>
        <w:numPr>
          <w:ilvl w:val="1"/>
          <w:numId w:val="0"/>
        </w:numPr>
        <w:bidi w:val="0"/>
        <w:spacing w:before="0" w:beforeLines="0" w:after="0" w:afterLines="0"/>
        <w:ind w:leftChars="0" w:firstLine="420" w:firstLineChars="200"/>
        <w:rPr>
          <w:rFonts w:ascii="宋体" w:hAnsi="宋体" w:eastAsia="宋体" w:cs="宋体"/>
          <w:sz w:val="21"/>
          <w:szCs w:val="21"/>
        </w:rPr>
      </w:pPr>
      <w:r>
        <w:rPr>
          <w:rFonts w:ascii="宋体" w:hAnsi="宋体" w:eastAsia="宋体" w:cs="宋体"/>
          <w:sz w:val="21"/>
          <w:szCs w:val="21"/>
        </w:rPr>
        <w:t>运输工具清洁干燥通风无异味，温度控制在零摄氏度至十摄氏度，防晒防雨防冻防挤压，轻装轻卸，严禁混运有毒有害物质，长途运输建议冷藏。</w:t>
      </w:r>
    </w:p>
    <w:p w14:paraId="0B476EC8">
      <w:pPr>
        <w:pStyle w:val="78"/>
        <w:bidi w:val="0"/>
        <w:spacing w:before="0" w:beforeLines="0" w:after="0" w:afterLines="0"/>
        <w:rPr>
          <w:rFonts w:hint="eastAsia"/>
          <w:lang w:val="en-US" w:eastAsia="zh-CN"/>
        </w:rPr>
      </w:pPr>
      <w:r>
        <w:rPr>
          <w:rFonts w:hint="eastAsia" w:ascii="黑体" w:hAnsi="黑体" w:eastAsia="黑体" w:cs="黑体"/>
          <w:lang w:val="en-US" w:eastAsia="zh-CN"/>
        </w:rPr>
        <w:t>贮存</w:t>
      </w:r>
    </w:p>
    <w:p w14:paraId="6FE31472">
      <w:pPr>
        <w:pStyle w:val="78"/>
        <w:numPr>
          <w:ilvl w:val="1"/>
          <w:numId w:val="0"/>
        </w:numPr>
        <w:bidi w:val="0"/>
        <w:spacing w:before="0" w:beforeLines="0" w:after="0" w:afterLines="0"/>
        <w:ind w:leftChars="0" w:firstLine="420" w:firstLineChars="200"/>
        <w:rPr>
          <w:rFonts w:hint="eastAsia" w:ascii="宋体" w:hAnsi="宋体" w:eastAsia="宋体" w:cs="宋体"/>
          <w:sz w:val="21"/>
          <w:szCs w:val="21"/>
          <w:lang w:val="en-US" w:eastAsia="zh-CN"/>
        </w:rPr>
      </w:pPr>
      <w:r>
        <w:rPr>
          <w:rFonts w:hint="eastAsia" w:ascii="宋体" w:hAnsi="宋体" w:eastAsia="宋体" w:cs="宋体"/>
          <w:sz w:val="21"/>
          <w:szCs w:val="21"/>
        </w:rPr>
        <w:t>常温贮存阴凉通风干燥，温度</w:t>
      </w:r>
      <w:r>
        <w:rPr>
          <w:rFonts w:hint="eastAsia" w:ascii="宋体" w:hAnsi="宋体" w:eastAsia="宋体" w:cs="宋体"/>
          <w:sz w:val="21"/>
          <w:szCs w:val="21"/>
          <w:lang w:val="en-US" w:eastAsia="zh-CN"/>
        </w:rPr>
        <w:t>5</w:t>
      </w:r>
      <w:r>
        <w:rPr>
          <w:rFonts w:hint="eastAsia" w:cs="宋体"/>
          <w:sz w:val="11"/>
          <w:szCs w:val="11"/>
          <w:lang w:val="en-US" w:eastAsia="zh-CN"/>
        </w:rPr>
        <w:t xml:space="preserve"> </w:t>
      </w:r>
      <w:r>
        <w:rPr>
          <w:rFonts w:hint="eastAsia" w:ascii="宋体" w:hAnsi="宋体" w:eastAsia="宋体" w:cs="宋体"/>
          <w:sz w:val="21"/>
          <w:szCs w:val="21"/>
          <w:lang w:val="en-US"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15</w:t>
      </w:r>
      <w:r>
        <w:rPr>
          <w:rFonts w:hint="eastAsia" w:cs="宋体"/>
          <w:sz w:val="11"/>
          <w:szCs w:val="11"/>
          <w:lang w:val="en-US" w:eastAsia="zh-CN"/>
        </w:rPr>
        <w:t xml:space="preserve"> </w:t>
      </w:r>
      <w:r>
        <w:rPr>
          <w:rFonts w:hint="eastAsia" w:ascii="宋体" w:hAnsi="宋体" w:eastAsia="宋体" w:cs="宋体"/>
          <w:sz w:val="21"/>
          <w:szCs w:val="21"/>
          <w:lang w:val="en-US" w:eastAsia="zh-CN"/>
        </w:rPr>
        <w:t>℃</w:t>
      </w:r>
      <w:r>
        <w:rPr>
          <w:rFonts w:hint="eastAsia" w:ascii="宋体" w:hAnsi="宋体" w:eastAsia="宋体" w:cs="宋体"/>
          <w:sz w:val="21"/>
          <w:szCs w:val="21"/>
        </w:rPr>
        <w:t>，湿度</w:t>
      </w:r>
      <w:r>
        <w:rPr>
          <w:rFonts w:hint="eastAsia" w:ascii="宋体" w:hAnsi="宋体" w:eastAsia="宋体" w:cs="宋体"/>
          <w:sz w:val="21"/>
          <w:szCs w:val="21"/>
          <w:lang w:val="en-US" w:eastAsia="zh-CN"/>
        </w:rPr>
        <w:t>保持在85</w:t>
      </w:r>
      <w:r>
        <w:rPr>
          <w:rFonts w:hint="eastAsia" w:cs="宋体"/>
          <w:sz w:val="11"/>
          <w:szCs w:val="11"/>
          <w:lang w:val="en-US" w:eastAsia="zh-CN"/>
        </w:rPr>
        <w:t xml:space="preserve"> </w:t>
      </w:r>
      <w:r>
        <w:rPr>
          <w:rFonts w:hint="eastAsia" w:ascii="宋体" w:hAnsi="宋体" w:eastAsia="宋体" w:cs="宋体"/>
          <w:sz w:val="21"/>
          <w:szCs w:val="21"/>
          <w:lang w:val="en-US" w:eastAsia="zh-CN"/>
        </w:rPr>
        <w:t>%～95</w:t>
      </w:r>
      <w:r>
        <w:rPr>
          <w:rFonts w:hint="eastAsia" w:cs="宋体"/>
          <w:sz w:val="11"/>
          <w:szCs w:val="11"/>
          <w:lang w:val="en-US" w:eastAsia="zh-CN"/>
        </w:rPr>
        <w:t xml:space="preserve"> </w:t>
      </w:r>
      <w:r>
        <w:rPr>
          <w:rFonts w:hint="eastAsia" w:ascii="宋体" w:hAnsi="宋体" w:eastAsia="宋体" w:cs="宋体"/>
          <w:sz w:val="21"/>
          <w:szCs w:val="21"/>
          <w:lang w:val="en-US" w:eastAsia="zh-CN"/>
        </w:rPr>
        <w:t>%</w:t>
      </w:r>
      <w:r>
        <w:rPr>
          <w:rFonts w:hint="eastAsia" w:ascii="宋体" w:hAnsi="宋体" w:eastAsia="宋体" w:cs="宋体"/>
          <w:sz w:val="21"/>
          <w:szCs w:val="21"/>
        </w:rPr>
        <w:t>，保质期</w:t>
      </w:r>
      <w:r>
        <w:rPr>
          <w:rFonts w:hint="eastAsia" w:ascii="宋体" w:hAnsi="宋体" w:eastAsia="宋体" w:cs="宋体"/>
          <w:sz w:val="21"/>
          <w:szCs w:val="21"/>
          <w:lang w:val="en-US" w:eastAsia="zh-CN"/>
        </w:rPr>
        <w:t>在常温下7～15</w:t>
      </w:r>
      <w:r>
        <w:rPr>
          <w:rFonts w:hint="eastAsia" w:ascii="宋体" w:hAnsi="宋体" w:eastAsia="宋体" w:cs="宋体"/>
          <w:sz w:val="21"/>
          <w:szCs w:val="21"/>
        </w:rPr>
        <w:t>天。冷藏贮存0～5</w:t>
      </w:r>
      <w:r>
        <w:rPr>
          <w:rFonts w:hint="eastAsia" w:cs="宋体"/>
          <w:sz w:val="11"/>
          <w:szCs w:val="11"/>
          <w:lang w:val="en-US" w:eastAsia="zh-CN"/>
        </w:rPr>
        <w:t xml:space="preserve"> </w:t>
      </w:r>
      <w:r>
        <w:rPr>
          <w:rFonts w:hint="eastAsia" w:ascii="宋体" w:hAnsi="宋体" w:eastAsia="宋体" w:cs="宋体"/>
          <w:sz w:val="21"/>
          <w:szCs w:val="21"/>
        </w:rPr>
        <w:t>℃，湿度85</w:t>
      </w:r>
      <w:r>
        <w:rPr>
          <w:rFonts w:hint="eastAsia" w:cs="宋体"/>
          <w:sz w:val="11"/>
          <w:szCs w:val="11"/>
          <w:lang w:val="en-US" w:eastAsia="zh-CN"/>
        </w:rPr>
        <w:t xml:space="preserve"> </w:t>
      </w:r>
      <w:r>
        <w:rPr>
          <w:rFonts w:hint="eastAsia" w:ascii="宋体" w:hAnsi="宋体" w:eastAsia="宋体" w:cs="宋体"/>
          <w:sz w:val="21"/>
          <w:szCs w:val="21"/>
        </w:rPr>
        <w:t>%～95</w:t>
      </w:r>
      <w:r>
        <w:rPr>
          <w:rFonts w:hint="eastAsia" w:cs="宋体"/>
          <w:sz w:val="21"/>
          <w:szCs w:val="21"/>
          <w:lang w:val="en-US" w:eastAsia="zh-CN"/>
        </w:rPr>
        <w:t xml:space="preserve"> </w:t>
      </w:r>
      <w:r>
        <w:rPr>
          <w:rFonts w:hint="eastAsia" w:ascii="宋体" w:hAnsi="宋体" w:eastAsia="宋体" w:cs="宋体"/>
          <w:sz w:val="21"/>
          <w:szCs w:val="21"/>
        </w:rPr>
        <w:t>%</w:t>
      </w:r>
      <w:r>
        <w:rPr>
          <w:rFonts w:hint="eastAsia" w:ascii="宋体" w:hAnsi="宋体" w:eastAsia="宋体" w:cs="宋体"/>
          <w:sz w:val="21"/>
          <w:szCs w:val="21"/>
          <w:lang w:val="en-US" w:eastAsia="zh-CN"/>
        </w:rPr>
        <w:t>保质期为</w:t>
      </w:r>
      <w:r>
        <w:rPr>
          <w:rFonts w:hint="eastAsia" w:ascii="宋体" w:hAnsi="宋体" w:eastAsia="宋体" w:cs="宋体"/>
          <w:sz w:val="21"/>
          <w:szCs w:val="21"/>
        </w:rPr>
        <w:t>30～</w:t>
      </w:r>
      <w:r>
        <w:rPr>
          <w:rFonts w:hint="eastAsia" w:cs="宋体"/>
          <w:sz w:val="21"/>
          <w:szCs w:val="21"/>
          <w:lang w:val="en-US" w:eastAsia="zh-CN"/>
        </w:rPr>
        <w:t>60</w:t>
      </w:r>
      <w:r>
        <w:rPr>
          <w:rFonts w:hint="eastAsia" w:ascii="宋体" w:hAnsi="宋体" w:eastAsia="宋体" w:cs="宋体"/>
          <w:sz w:val="21"/>
          <w:szCs w:val="21"/>
        </w:rPr>
        <w:t>天。窖藏</w:t>
      </w:r>
      <w:r>
        <w:rPr>
          <w:rStyle w:val="22"/>
          <w:rFonts w:hint="eastAsia" w:ascii="宋体" w:hAnsi="宋体" w:eastAsia="宋体" w:cs="宋体"/>
          <w:b w:val="0"/>
          <w:bCs w:val="0"/>
          <w:color w:val="000000"/>
          <w:sz w:val="21"/>
          <w:szCs w:val="21"/>
        </w:rPr>
        <w:t>0～8</w:t>
      </w:r>
      <w:r>
        <w:rPr>
          <w:rStyle w:val="22"/>
          <w:rFonts w:hint="eastAsia" w:cs="宋体"/>
          <w:b w:val="0"/>
          <w:bCs w:val="0"/>
          <w:color w:val="000000"/>
          <w:sz w:val="11"/>
          <w:szCs w:val="11"/>
          <w:lang w:val="en-US" w:eastAsia="zh-CN"/>
        </w:rPr>
        <w:t xml:space="preserve"> </w:t>
      </w:r>
      <w:r>
        <w:rPr>
          <w:rStyle w:val="22"/>
          <w:rFonts w:hint="eastAsia" w:ascii="宋体" w:hAnsi="宋体" w:eastAsia="宋体" w:cs="宋体"/>
          <w:b w:val="0"/>
          <w:bCs w:val="0"/>
          <w:color w:val="000000"/>
          <w:sz w:val="21"/>
          <w:szCs w:val="21"/>
        </w:rPr>
        <w:t>℃，湿度80</w:t>
      </w:r>
      <w:r>
        <w:rPr>
          <w:rStyle w:val="22"/>
          <w:rFonts w:hint="eastAsia" w:cs="宋体"/>
          <w:b w:val="0"/>
          <w:bCs w:val="0"/>
          <w:color w:val="000000"/>
          <w:sz w:val="13"/>
          <w:szCs w:val="13"/>
          <w:lang w:val="en-US" w:eastAsia="zh-CN"/>
        </w:rPr>
        <w:t xml:space="preserve"> </w:t>
      </w:r>
      <w:r>
        <w:rPr>
          <w:rStyle w:val="22"/>
          <w:rFonts w:hint="eastAsia" w:ascii="宋体" w:hAnsi="宋体" w:eastAsia="宋体" w:cs="宋体"/>
          <w:b w:val="0"/>
          <w:bCs w:val="0"/>
          <w:color w:val="000000"/>
          <w:sz w:val="21"/>
          <w:szCs w:val="21"/>
        </w:rPr>
        <w:t>%～90</w:t>
      </w:r>
      <w:r>
        <w:rPr>
          <w:rStyle w:val="22"/>
          <w:rFonts w:hint="eastAsia" w:cs="宋体"/>
          <w:b w:val="0"/>
          <w:bCs w:val="0"/>
          <w:color w:val="000000"/>
          <w:sz w:val="11"/>
          <w:szCs w:val="11"/>
          <w:lang w:val="en-US" w:eastAsia="zh-CN"/>
        </w:rPr>
        <w:t xml:space="preserve"> </w:t>
      </w:r>
      <w:r>
        <w:rPr>
          <w:rStyle w:val="22"/>
          <w:rFonts w:hint="eastAsia" w:ascii="宋体" w:hAnsi="宋体" w:eastAsia="宋体" w:cs="宋体"/>
          <w:b w:val="0"/>
          <w:bCs w:val="0"/>
          <w:color w:val="000000"/>
          <w:sz w:val="21"/>
          <w:szCs w:val="21"/>
        </w:rPr>
        <w:t>%</w:t>
      </w:r>
      <w:r>
        <w:rPr>
          <w:rStyle w:val="22"/>
          <w:rFonts w:hint="eastAsia" w:cs="宋体"/>
          <w:b w:val="0"/>
          <w:bCs w:val="0"/>
          <w:color w:val="000000"/>
          <w:sz w:val="21"/>
          <w:szCs w:val="21"/>
          <w:lang w:val="en-US" w:eastAsia="zh-CN"/>
        </w:rPr>
        <w:t>保质期在</w:t>
      </w:r>
      <w:r>
        <w:rPr>
          <w:rStyle w:val="22"/>
          <w:rFonts w:hint="eastAsia" w:ascii="宋体" w:hAnsi="宋体" w:eastAsia="宋体" w:cs="宋体"/>
          <w:b w:val="0"/>
          <w:bCs w:val="0"/>
          <w:color w:val="000000"/>
          <w:sz w:val="21"/>
          <w:szCs w:val="21"/>
        </w:rPr>
        <w:t>2～4 个月</w:t>
      </w:r>
      <w:r>
        <w:rPr>
          <w:rFonts w:hint="eastAsia" w:ascii="宋体" w:hAnsi="宋体" w:eastAsia="宋体" w:cs="宋体"/>
          <w:b w:val="0"/>
          <w:bCs w:val="0"/>
          <w:sz w:val="21"/>
          <w:szCs w:val="21"/>
        </w:rPr>
        <w:t>，</w:t>
      </w:r>
      <w:r>
        <w:rPr>
          <w:rFonts w:hint="eastAsia" w:ascii="宋体" w:hAnsi="宋体" w:eastAsia="宋体" w:cs="宋体"/>
          <w:sz w:val="21"/>
          <w:szCs w:val="21"/>
          <w:lang w:val="en-US" w:eastAsia="zh-CN"/>
        </w:rPr>
        <w:t>定期检查剔除病烂个体。</w:t>
      </w:r>
    </w:p>
    <w:p w14:paraId="08499CD3">
      <w:pPr>
        <w:pStyle w:val="78"/>
        <w:numPr>
          <w:ilvl w:val="1"/>
          <w:numId w:val="0"/>
        </w:numPr>
        <w:bidi w:val="0"/>
        <w:spacing w:before="0" w:beforeLines="0" w:after="0" w:afterLines="0"/>
        <w:ind w:leftChars="0"/>
        <w:rPr>
          <w:rFonts w:hint="eastAsia"/>
          <w:lang w:val="en-US" w:eastAsia="zh-CN"/>
        </w:rPr>
      </w:pPr>
    </w:p>
    <w:p w14:paraId="135C25C3">
      <w:pPr>
        <w:rPr>
          <w:rFonts w:hint="eastAsia"/>
          <w:lang w:val="en-US" w:eastAsia="zh-CN"/>
        </w:rPr>
      </w:pPr>
      <w:r>
        <w:rPr>
          <w:rFonts w:hint="eastAsia"/>
          <w:lang w:val="en-US" w:eastAsia="zh-CN"/>
        </w:rPr>
        <w:br w:type="page"/>
      </w:r>
      <w:bookmarkStart w:id="31" w:name="BKFL"/>
    </w:p>
    <w:p w14:paraId="15C5970B">
      <w:pPr>
        <w:pStyle w:val="99"/>
        <w:bidi w:val="0"/>
        <w:rPr>
          <w:rFonts w:hint="eastAsia"/>
          <w:lang w:val="en-US" w:eastAsia="zh-CN"/>
        </w:rPr>
      </w:pPr>
    </w:p>
    <w:p w14:paraId="5C1C5363">
      <w:pPr>
        <w:pStyle w:val="101"/>
        <w:bidi w:val="0"/>
        <w:rPr>
          <w:rFonts w:hint="eastAsia"/>
          <w:lang w:val="en-US" w:eastAsia="zh-CN"/>
        </w:rPr>
      </w:pPr>
    </w:p>
    <w:p w14:paraId="2199850D">
      <w:pPr>
        <w:pStyle w:val="88"/>
        <w:bidi w:val="0"/>
        <w:rPr>
          <w:rFonts w:hint="eastAsia"/>
          <w:lang w:val="en-US" w:eastAsia="zh-CN"/>
        </w:rPr>
      </w:pPr>
      <w:bookmarkStart w:id="32" w:name="_Toc575"/>
      <w:r>
        <w:rPr>
          <w:rFonts w:hint="eastAsia"/>
          <w:lang w:val="en-US" w:eastAsia="zh-CN"/>
        </w:rPr>
        <w:br w:type="textWrapping"/>
      </w:r>
      <w:r>
        <w:rPr>
          <w:rFonts w:hint="eastAsia"/>
          <w:lang w:val="en-US" w:eastAsia="zh-CN"/>
        </w:rPr>
        <w:t>（资料性）</w:t>
      </w:r>
      <w:r>
        <w:rPr>
          <w:rFonts w:hint="eastAsia"/>
          <w:lang w:val="en-US" w:eastAsia="zh-CN"/>
        </w:rPr>
        <w:br w:type="textWrapping"/>
      </w:r>
      <w:r>
        <w:rPr>
          <w:rFonts w:hint="eastAsia"/>
          <w:lang w:val="en-US" w:eastAsia="zh-CN"/>
        </w:rPr>
        <w:t>地理标志产品质量要求乐都绿萝卜产地范围</w:t>
      </w:r>
      <w:bookmarkEnd w:id="32"/>
    </w:p>
    <w:bookmarkEnd w:id="31"/>
    <w:p w14:paraId="7E91BD18">
      <w:pPr>
        <w:pStyle w:val="24"/>
        <w:bidi w:val="0"/>
        <w:jc w:val="center"/>
        <w:rPr>
          <w:rFonts w:hint="default"/>
          <w:lang w:val="en-US" w:eastAsia="zh-CN"/>
        </w:rPr>
      </w:pPr>
      <w:r>
        <w:rPr>
          <w:rFonts w:hint="default"/>
          <w:lang w:val="en-US" w:eastAsia="zh-CN"/>
        </w:rPr>
        <w:drawing>
          <wp:inline distT="0" distB="0" distL="114300" distR="114300">
            <wp:extent cx="4631690" cy="7068185"/>
            <wp:effectExtent l="0" t="0" r="16510" b="18415"/>
            <wp:docPr id="1" name="图片 1" descr="微信图片_20260525163414_288_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微信图片_20260525163414_288_26"/>
                    <pic:cNvPicPr>
                      <a:picLocks noChangeAspect="1"/>
                    </pic:cNvPicPr>
                  </pic:nvPicPr>
                  <pic:blipFill>
                    <a:blip r:embed="rId8"/>
                    <a:stretch>
                      <a:fillRect/>
                    </a:stretch>
                  </pic:blipFill>
                  <pic:spPr>
                    <a:xfrm>
                      <a:off x="0" y="0"/>
                      <a:ext cx="4631690" cy="7068185"/>
                    </a:xfrm>
                    <a:prstGeom prst="rect">
                      <a:avLst/>
                    </a:prstGeom>
                  </pic:spPr>
                </pic:pic>
              </a:graphicData>
            </a:graphic>
          </wp:inline>
        </w:drawing>
      </w:r>
    </w:p>
    <w:p w14:paraId="38E34FD2">
      <w:pPr>
        <w:pStyle w:val="114"/>
        <w:bidi w:val="0"/>
        <w:rPr>
          <w:rFonts w:hint="eastAsia"/>
          <w:lang w:val="en-US" w:eastAsia="zh-CN"/>
        </w:rPr>
      </w:pPr>
      <w:r>
        <w:rPr>
          <w:rFonts w:hint="eastAsia"/>
          <w:lang w:val="en-US" w:eastAsia="zh-CN"/>
        </w:rPr>
        <w:t>乐都绿萝卜产地范围</w:t>
      </w:r>
    </w:p>
    <w:p w14:paraId="5E24D827">
      <w:pPr>
        <w:pStyle w:val="34"/>
        <w:bidi w:val="0"/>
        <w:rPr>
          <w:rFonts w:hint="eastAsia"/>
          <w:lang w:val="en-US" w:eastAsia="zh-CN"/>
        </w:rPr>
      </w:pPr>
      <w:bookmarkStart w:id="33" w:name="_Toc6988"/>
      <w:r>
        <w:rPr>
          <w:rFonts w:hint="eastAsia"/>
          <w:spacing w:val="108"/>
          <w:lang w:val="en-US" w:eastAsia="zh-CN"/>
        </w:rPr>
        <w:t>参</w:t>
      </w:r>
      <w:bookmarkStart w:id="34" w:name="BKCKWX"/>
      <w:r>
        <w:rPr>
          <w:rFonts w:hint="eastAsia"/>
          <w:spacing w:val="108"/>
          <w:lang w:val="en-US" w:eastAsia="zh-CN"/>
        </w:rPr>
        <w:t>考文</w:t>
      </w:r>
      <w:r>
        <w:rPr>
          <w:rFonts w:hint="eastAsia"/>
          <w:lang w:val="en-US" w:eastAsia="zh-CN"/>
        </w:rPr>
        <w:t>献</w:t>
      </w:r>
      <w:bookmarkEnd w:id="33"/>
    </w:p>
    <w:p w14:paraId="040311BD">
      <w:pPr>
        <w:pStyle w:val="78"/>
        <w:numPr>
          <w:ilvl w:val="1"/>
          <w:numId w:val="0"/>
        </w:numPr>
        <w:bidi w:val="0"/>
        <w:spacing w:before="0" w:beforeLines="0" w:after="0" w:afterLines="0"/>
        <w:ind w:leftChars="0" w:firstLine="420" w:firstLineChars="200"/>
        <w:rPr>
          <w:rFonts w:hint="eastAsia"/>
          <w:sz w:val="21"/>
          <w:szCs w:val="21"/>
          <w:lang w:val="en-US" w:eastAsia="zh-CN"/>
        </w:rPr>
      </w:pPr>
      <w:r>
        <w:rPr>
          <w:rFonts w:hint="eastAsia"/>
          <w:sz w:val="21"/>
          <w:szCs w:val="21"/>
          <w:lang w:val="en-US" w:eastAsia="zh-CN"/>
        </w:rPr>
        <w:t>[1] 地理标志产品保护办法（国家知识产权局令第 80 号）</w:t>
      </w:r>
    </w:p>
    <w:p w14:paraId="2AB5F303">
      <w:pPr>
        <w:pStyle w:val="24"/>
        <w:bidi w:val="0"/>
        <w:rPr>
          <w:rFonts w:hint="eastAsia"/>
          <w:lang w:val="en-US" w:eastAsia="zh-CN"/>
        </w:rPr>
      </w:pPr>
      <w:r>
        <w:rPr>
          <w:rFonts w:hint="eastAsia"/>
          <w:sz w:val="21"/>
          <w:szCs w:val="21"/>
          <w:lang w:val="en-US" w:eastAsia="zh-CN"/>
        </w:rPr>
        <w:t>[2] 地理标志专用标志使用管理办法（试行）（国家知识产权局公告第 354 号）</w:t>
      </w:r>
      <w:bookmarkEnd w:id="34"/>
    </w:p>
    <w:p w14:paraId="60BCCA36">
      <w:pPr>
        <w:pStyle w:val="24"/>
        <w:bidi w:val="0"/>
        <w:jc w:val="center"/>
        <w:rPr>
          <w:rFonts w:hint="eastAsia"/>
          <w:lang w:val="en-US" w:eastAsia="zh-CN"/>
        </w:rPr>
      </w:pPr>
      <w:bookmarkStart w:id="35" w:name="EndLine"/>
      <w:r>
        <w:rPr>
          <w:rFonts w:hint="eastAsia"/>
          <w:lang w:val="en-US" w:eastAsia="zh-CN"/>
        </w:rPr>
        <w:drawing>
          <wp:inline distT="0" distB="0" distL="114300" distR="114300">
            <wp:extent cx="1485900" cy="317500"/>
            <wp:effectExtent l="0" t="0" r="0" b="6350"/>
            <wp:docPr id="2" name="图片 2" descr="EndLine"/>
            <wp:cNvGraphicFramePr/>
            <a:graphic xmlns:a="http://schemas.openxmlformats.org/drawingml/2006/main">
              <a:graphicData uri="http://schemas.openxmlformats.org/drawingml/2006/picture">
                <pic:pic xmlns:pic="http://schemas.openxmlformats.org/drawingml/2006/picture">
                  <pic:nvPicPr>
                    <pic:cNvPr id="2" name="图片 2" descr="EndLine"/>
                    <pic:cNvPicPr/>
                  </pic:nvPicPr>
                  <pic:blipFill>
                    <a:blip r:embed="rId9"/>
                    <a:stretch>
                      <a:fillRect/>
                    </a:stretch>
                  </pic:blipFill>
                  <pic:spPr>
                    <a:xfrm>
                      <a:off x="0" y="0"/>
                      <a:ext cx="1485900" cy="317500"/>
                    </a:xfrm>
                    <a:prstGeom prst="rect">
                      <a:avLst/>
                    </a:prstGeom>
                  </pic:spPr>
                </pic:pic>
              </a:graphicData>
            </a:graphic>
          </wp:inline>
        </w:drawing>
      </w:r>
      <w:bookmarkEnd w:id="35"/>
    </w:p>
    <w:sectPr>
      <w:pgSz w:w="11906" w:h="16838"/>
      <w:pgMar w:top="2410" w:right="1134" w:bottom="1134" w:left="1134" w:header="1418" w:footer="1134" w:gutter="284"/>
      <w:lnNumType w:countBy="0" w:restart="continuou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2C7D7">
    <w:pPr>
      <w:pStyle w:val="12"/>
      <w:rPr>
        <w:rFonts w:hint="eastAsia"/>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C4154">
    <w:pPr>
      <w:pStyle w:val="30"/>
      <w:bidi w:val="0"/>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7D8B4">
    <w:pPr>
      <w:pStyle w:val="24"/>
      <w:bidi w:val="0"/>
      <w:rPr>
        <w:rFonts w:hint="eastAsia"/>
        <w:lang w:eastAsia="zh-C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A493E">
    <w:pPr>
      <w:pStyle w:val="32"/>
      <w:bidi w:val="0"/>
      <w:rPr>
        <w:rFonts w:hint="eastAsia" w:eastAsia="黑体"/>
        <w:lang w:eastAsia="zh-CN"/>
      </w:rPr>
    </w:pPr>
    <w:r>
      <w:rPr>
        <w:rFonts w:hint="eastAsia"/>
        <w:lang w:eastAsia="zh-CN"/>
      </w:rPr>
      <w:t>T/QAS XXX—2026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0FA307"/>
    <w:multiLevelType w:val="multilevel"/>
    <w:tmpl w:val="8B0FA307"/>
    <w:lvl w:ilvl="0" w:tentative="0">
      <w:start w:val="1"/>
      <w:numFmt w:val="upperLetter"/>
      <w:pStyle w:val="101"/>
      <w:lvlText w:val="%1"/>
      <w:lvlJc w:val="left"/>
      <w:pPr>
        <w:tabs>
          <w:tab w:val="left" w:pos="0"/>
        </w:tabs>
        <w:ind w:left="0" w:leftChars="0" w:firstLine="0" w:firstLineChars="0"/>
      </w:pPr>
      <w:rPr>
        <w:rFonts w:hint="default"/>
      </w:rPr>
    </w:lvl>
    <w:lvl w:ilvl="1" w:tentative="0">
      <w:start w:val="1"/>
      <w:numFmt w:val="decimal"/>
      <w:pStyle w:val="102"/>
      <w:suff w:val="nothing"/>
      <w:lvlText w:val="表%1.%2　"/>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
    <w:nsid w:val="97F636DA"/>
    <w:multiLevelType w:val="multilevel"/>
    <w:tmpl w:val="97F636DA"/>
    <w:lvl w:ilvl="0" w:tentative="0">
      <w:start w:val="1"/>
      <w:numFmt w:val="none"/>
      <w:pStyle w:val="106"/>
      <w:suff w:val="nothing"/>
      <w:lvlText w:val="注："/>
      <w:lvlJc w:val="left"/>
      <w:pPr>
        <w:ind w:left="737" w:leftChars="0" w:hanging="374"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
    <w:nsid w:val="A1751BAB"/>
    <w:multiLevelType w:val="multilevel"/>
    <w:tmpl w:val="A1751BAB"/>
    <w:lvl w:ilvl="0" w:tentative="0">
      <w:start w:val="1"/>
      <w:numFmt w:val="lowerLetter"/>
      <w:pStyle w:val="60"/>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pStyle w:val="61"/>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pStyle w:val="59"/>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3">
    <w:nsid w:val="AD2945C4"/>
    <w:multiLevelType w:val="multilevel"/>
    <w:tmpl w:val="AD2945C4"/>
    <w:lvl w:ilvl="0" w:tentative="0">
      <w:start w:val="1"/>
      <w:numFmt w:val="decimal"/>
      <w:pStyle w:val="72"/>
      <w:suff w:val="nothing"/>
      <w:lvlText w:val="%1　"/>
      <w:lvlJc w:val="left"/>
      <w:pPr>
        <w:ind w:left="0" w:leftChars="0" w:firstLine="0" w:firstLineChars="0"/>
      </w:pPr>
      <w:rPr>
        <w:rFonts w:hint="default" w:ascii="黑体" w:hAnsi="黑体" w:eastAsia="黑体" w:cs="黑体"/>
        <w:sz w:val="20"/>
      </w:rPr>
    </w:lvl>
    <w:lvl w:ilvl="1" w:tentative="0">
      <w:start w:val="1"/>
      <w:numFmt w:val="decimal"/>
      <w:pStyle w:val="73"/>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74"/>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75"/>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76"/>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77"/>
      <w:suff w:val="nothing"/>
      <w:lvlText w:val="%1.%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4">
    <w:nsid w:val="AF05CD55"/>
    <w:multiLevelType w:val="multilevel"/>
    <w:tmpl w:val="AF05CD55"/>
    <w:lvl w:ilvl="0" w:tentative="0">
      <w:start w:val="1"/>
      <w:numFmt w:val="upperLetter"/>
      <w:lvlText w:val="%1"/>
      <w:lvlJc w:val="left"/>
      <w:pPr>
        <w:tabs>
          <w:tab w:val="left" w:pos="0"/>
        </w:tabs>
        <w:ind w:left="0" w:leftChars="0" w:firstLine="0" w:firstLineChars="0"/>
      </w:pPr>
      <w:rPr>
        <w:rFonts w:hint="default"/>
      </w:rPr>
    </w:lvl>
    <w:lvl w:ilvl="1" w:tentative="0">
      <w:start w:val="1"/>
      <w:numFmt w:val="decimal"/>
      <w:pStyle w:val="2"/>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5">
    <w:nsid w:val="C9E811B9"/>
    <w:multiLevelType w:val="multilevel"/>
    <w:tmpl w:val="C9E811B9"/>
    <w:lvl w:ilvl="0" w:tentative="0">
      <w:start w:val="1"/>
      <w:numFmt w:val="decimal"/>
      <w:pStyle w:val="107"/>
      <w:suff w:val="nothing"/>
      <w:lvlText w:val="注%1："/>
      <w:lvlJc w:val="left"/>
      <w:pPr>
        <w:ind w:left="811" w:leftChars="0" w:hanging="448"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6">
    <w:nsid w:val="E4D9C6FF"/>
    <w:multiLevelType w:val="multilevel"/>
    <w:tmpl w:val="E4D9C6FF"/>
    <w:lvl w:ilvl="0" w:tentative="0">
      <w:start w:val="1"/>
      <w:numFmt w:val="decimal"/>
      <w:pStyle w:val="119"/>
      <w:suff w:val="nothing"/>
      <w:lvlText w:val="[%1]  "/>
      <w:lvlJc w:val="left"/>
      <w:pPr>
        <w:ind w:left="0" w:leftChars="0" w:firstLine="363" w:firstLineChars="0"/>
      </w:pPr>
      <w:rPr>
        <w:rFonts w:hint="eastAsia" w:ascii="黑体" w:hAnsi="黑体" w:eastAsia="黑体" w:cs="黑体"/>
        <w:sz w:val="18"/>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abstractNum w:abstractNumId="7">
    <w:nsid w:val="E7FD4F6A"/>
    <w:multiLevelType w:val="multilevel"/>
    <w:tmpl w:val="E7FD4F6A"/>
    <w:lvl w:ilvl="0" w:tentative="0">
      <w:start w:val="1"/>
      <w:numFmt w:val="upperLetter"/>
      <w:pStyle w:val="88"/>
      <w:suff w:val="nothing"/>
      <w:lvlText w:val="附录%1"/>
      <w:lvlJc w:val="left"/>
      <w:pPr>
        <w:ind w:left="0" w:leftChars="0" w:firstLine="0" w:firstLineChars="0"/>
      </w:pPr>
      <w:rPr>
        <w:rFonts w:hint="default"/>
        <w:spacing w:val="102"/>
      </w:rPr>
    </w:lvl>
    <w:lvl w:ilvl="1" w:tentative="0">
      <w:start w:val="1"/>
      <w:numFmt w:val="decimal"/>
      <w:pStyle w:val="89"/>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90"/>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91"/>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92"/>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93"/>
      <w:suff w:val="nothing"/>
      <w:lvlText w:val="%1.%2.%3.%4.%5.%6　"/>
      <w:lvlJc w:val="left"/>
      <w:pPr>
        <w:ind w:left="0" w:leftChars="0" w:firstLine="0" w:firstLineChars="0"/>
      </w:pPr>
      <w:rPr>
        <w:rFonts w:hint="default" w:ascii="黑体" w:hAnsi="黑体" w:eastAsia="黑体" w:cs="黑体"/>
        <w:sz w:val="20"/>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F511C596"/>
    <w:multiLevelType w:val="multilevel"/>
    <w:tmpl w:val="F511C596"/>
    <w:lvl w:ilvl="0" w:tentative="0">
      <w:start w:val="1"/>
      <w:numFmt w:val="none"/>
      <w:pStyle w:val="55"/>
      <w:suff w:val="nothing"/>
      <w:lvlText w:val="%1"/>
      <w:lvlJc w:val="left"/>
      <w:pPr>
        <w:ind w:left="425" w:leftChars="0" w:hanging="425" w:firstLineChars="0"/>
      </w:pPr>
      <w:rPr>
        <w:rFonts w:hint="default"/>
      </w:rPr>
    </w:lvl>
    <w:lvl w:ilvl="1" w:tentative="0">
      <w:start w:val="1"/>
      <w:numFmt w:val="decimal"/>
      <w:pStyle w:val="62"/>
      <w:suff w:val="nothing"/>
      <w:lvlText w:val="%10.%2 "/>
      <w:lvlJc w:val="left"/>
      <w:pPr>
        <w:ind w:left="0" w:leftChars="0" w:firstLine="0" w:firstLineChars="0"/>
      </w:pPr>
      <w:rPr>
        <w:rFonts w:hint="default" w:ascii="黑体" w:hAnsi="黑体" w:eastAsia="黑体" w:cs="黑体"/>
        <w:sz w:val="20"/>
      </w:rPr>
    </w:lvl>
    <w:lvl w:ilvl="2" w:tentative="0">
      <w:start w:val="1"/>
      <w:numFmt w:val="decimal"/>
      <w:pStyle w:val="63"/>
      <w:suff w:val="nothing"/>
      <w:lvlText w:val="%10.%2.%3 "/>
      <w:lvlJc w:val="left"/>
      <w:pPr>
        <w:ind w:left="0" w:leftChars="0" w:firstLine="0" w:firstLineChars="0"/>
      </w:pPr>
      <w:rPr>
        <w:rFonts w:hint="default" w:ascii="黑体" w:hAnsi="黑体" w:eastAsia="黑体" w:cs="黑体"/>
        <w:sz w:val="20"/>
      </w:rPr>
    </w:lvl>
    <w:lvl w:ilvl="3" w:tentative="0">
      <w:start w:val="1"/>
      <w:numFmt w:val="decimal"/>
      <w:pStyle w:val="64"/>
      <w:suff w:val="nothing"/>
      <w:lvlText w:val="%10.%2.%3.%4 "/>
      <w:lvlJc w:val="left"/>
      <w:pPr>
        <w:ind w:left="0" w:leftChars="0" w:firstLine="0" w:firstLineChars="0"/>
      </w:pPr>
      <w:rPr>
        <w:rFonts w:hint="default" w:ascii="黑体" w:hAnsi="黑体" w:eastAsia="黑体" w:cs="黑体"/>
        <w:sz w:val="20"/>
      </w:rPr>
    </w:lvl>
    <w:lvl w:ilvl="4" w:tentative="0">
      <w:start w:val="1"/>
      <w:numFmt w:val="decimal"/>
      <w:pStyle w:val="65"/>
      <w:suff w:val="nothing"/>
      <w:lvlText w:val="%10.%2.%3.%4.%5 "/>
      <w:lvlJc w:val="left"/>
      <w:pPr>
        <w:ind w:left="0" w:leftChars="0" w:firstLine="0" w:firstLineChars="0"/>
      </w:pPr>
      <w:rPr>
        <w:rFonts w:hint="default" w:ascii="黑体" w:hAnsi="黑体" w:eastAsia="黑体" w:cs="黑体"/>
        <w:sz w:val="20"/>
      </w:rPr>
    </w:lvl>
    <w:lvl w:ilvl="5" w:tentative="0">
      <w:start w:val="1"/>
      <w:numFmt w:val="decimal"/>
      <w:pStyle w:val="66"/>
      <w:suff w:val="nothing"/>
      <w:lvlText w:val="%10.%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9">
    <w:nsid w:val="FB76FDFB"/>
    <w:multiLevelType w:val="multilevel"/>
    <w:tmpl w:val="FB76FDFB"/>
    <w:lvl w:ilvl="0" w:tentative="0">
      <w:start w:val="1"/>
      <w:numFmt w:val="decimal"/>
      <w:pStyle w:val="113"/>
      <w:suff w:val="nothing"/>
      <w:lvlText w:val="表%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0">
    <w:nsid w:val="FF1EF15D"/>
    <w:multiLevelType w:val="multilevel"/>
    <w:tmpl w:val="FF1EF15D"/>
    <w:lvl w:ilvl="0" w:tentative="0">
      <w:start w:val="1"/>
      <w:numFmt w:val="upperLetter"/>
      <w:pStyle w:val="99"/>
      <w:lvlText w:val="%1"/>
      <w:lvlJc w:val="left"/>
      <w:pPr>
        <w:tabs>
          <w:tab w:val="left" w:pos="0"/>
        </w:tabs>
        <w:ind w:left="0" w:leftChars="0" w:firstLine="0" w:firstLineChars="0"/>
      </w:pPr>
      <w:rPr>
        <w:rFonts w:hint="default"/>
      </w:rPr>
    </w:lvl>
    <w:lvl w:ilvl="1" w:tentative="0">
      <w:start w:val="1"/>
      <w:numFmt w:val="decimal"/>
      <w:pStyle w:val="100"/>
      <w:suff w:val="nothing"/>
      <w:lvlText w:val="图%1.%2　"/>
      <w:lvlJc w:val="left"/>
      <w:pPr>
        <w:ind w:left="0" w:leftChars="0" w:firstLine="0" w:firstLineChars="0"/>
      </w:pPr>
      <w:rPr>
        <w:rFonts w:hint="default"/>
      </w:rPr>
    </w:lvl>
    <w:lvl w:ilvl="2" w:tentative="0">
      <w:start w:val="1"/>
      <w:numFmt w:val="decimal"/>
      <w:pStyle w:val="3"/>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lvlText w:val="%1.%2.%3.%4.%5."/>
      <w:lvlJc w:val="left"/>
      <w:pPr>
        <w:ind w:left="1008" w:hanging="1008"/>
      </w:pPr>
      <w:rPr>
        <w:rFonts w:hint="default"/>
      </w:rPr>
    </w:lvl>
    <w:lvl w:ilvl="5" w:tentative="0">
      <w:start w:val="1"/>
      <w:numFmt w:val="decimal"/>
      <w:pStyle w:val="6"/>
      <w:lvlText w:val="%1.%2.%3.%4.%5.%6."/>
      <w:lvlJc w:val="left"/>
      <w:pPr>
        <w:ind w:left="1151" w:hanging="1151"/>
      </w:pPr>
      <w:rPr>
        <w:rFonts w:hint="default"/>
      </w:rPr>
    </w:lvl>
    <w:lvl w:ilvl="6" w:tentative="0">
      <w:start w:val="1"/>
      <w:numFmt w:val="decimal"/>
      <w:pStyle w:val="7"/>
      <w:lvlText w:val="%1.%2.%3.%4.%5.%6.%7."/>
      <w:lvlJc w:val="left"/>
      <w:pPr>
        <w:ind w:left="1296" w:hanging="1296"/>
      </w:pPr>
      <w:rPr>
        <w:rFonts w:hint="default"/>
      </w:rPr>
    </w:lvl>
    <w:lvl w:ilvl="7" w:tentative="0">
      <w:start w:val="1"/>
      <w:numFmt w:val="decimal"/>
      <w:pStyle w:val="8"/>
      <w:lvlText w:val="%1.%2.%3.%4.%5.%6.%7.%8."/>
      <w:lvlJc w:val="left"/>
      <w:pPr>
        <w:ind w:left="1440" w:hanging="1440"/>
      </w:pPr>
      <w:rPr>
        <w:rFonts w:hint="default"/>
      </w:rPr>
    </w:lvl>
    <w:lvl w:ilvl="8" w:tentative="0">
      <w:start w:val="1"/>
      <w:numFmt w:val="decimal"/>
      <w:pStyle w:val="9"/>
      <w:lvlText w:val="%1.%2.%3.%4.%5.%6.%7.%8.%9."/>
      <w:lvlJc w:val="left"/>
      <w:pPr>
        <w:ind w:left="1583" w:hanging="1583"/>
      </w:pPr>
      <w:rPr>
        <w:rFonts w:hint="default"/>
      </w:rPr>
    </w:lvl>
  </w:abstractNum>
  <w:abstractNum w:abstractNumId="11">
    <w:nsid w:val="20F04C7D"/>
    <w:multiLevelType w:val="multilevel"/>
    <w:tmpl w:val="20F04C7D"/>
    <w:lvl w:ilvl="0" w:tentative="0">
      <w:start w:val="1"/>
      <w:numFmt w:val="none"/>
      <w:pStyle w:val="57"/>
      <w:lvlText w:val="%1——"/>
      <w:lvlJc w:val="left"/>
      <w:pPr>
        <w:tabs>
          <w:tab w:val="left" w:pos="851"/>
        </w:tabs>
        <w:ind w:left="851" w:leftChars="0" w:hanging="426" w:firstLineChars="0"/>
      </w:pPr>
      <w:rPr>
        <w:rFonts w:hint="default" w:ascii="Times New Roman" w:hAnsi="Times New Roman" w:cs="Times New Roman"/>
        <w:sz w:val="20"/>
      </w:rPr>
    </w:lvl>
    <w:lvl w:ilvl="1" w:tentative="0">
      <w:start w:val="1"/>
      <w:numFmt w:val="bullet"/>
      <w:pStyle w:val="58"/>
      <w:lvlText w:val=""/>
      <w:lvlJc w:val="left"/>
      <w:pPr>
        <w:tabs>
          <w:tab w:val="left" w:pos="851"/>
        </w:tabs>
        <w:ind w:left="1270" w:leftChars="0" w:hanging="419" w:firstLineChars="0"/>
      </w:pPr>
      <w:rPr>
        <w:rFonts w:hint="default" w:ascii="Symbol" w:hAnsi="Symbol" w:cs="Symbol"/>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2">
    <w:nsid w:val="3C9C4F47"/>
    <w:multiLevelType w:val="multilevel"/>
    <w:tmpl w:val="3C9C4F47"/>
    <w:lvl w:ilvl="0" w:tentative="0">
      <w:start w:val="1"/>
      <w:numFmt w:val="none"/>
      <w:pStyle w:val="104"/>
      <w:suff w:val="nothing"/>
      <w:lvlText w:val="示例："/>
      <w:lvlJc w:val="left"/>
      <w:pPr>
        <w:ind w:left="0" w:leftChars="0" w:firstLine="363"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3">
    <w:nsid w:val="4C9DB78F"/>
    <w:multiLevelType w:val="multilevel"/>
    <w:tmpl w:val="4C9DB78F"/>
    <w:lvl w:ilvl="0" w:tentative="0">
      <w:start w:val="1"/>
      <w:numFmt w:val="decimal"/>
      <w:pStyle w:val="16"/>
      <w:lvlText w:val="%1)"/>
      <w:lvlJc w:val="left"/>
      <w:pPr>
        <w:tabs>
          <w:tab w:val="left" w:pos="0"/>
        </w:tabs>
        <w:ind w:left="720" w:leftChars="0" w:hanging="357" w:firstLineChars="0"/>
      </w:pPr>
      <w:rPr>
        <w:rFonts w:hint="eastAsia" w:ascii="宋体" w:hAnsi="宋体" w:eastAsia="宋体" w:cs="宋体"/>
        <w:sz w:val="15"/>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4">
    <w:nsid w:val="63D16B2D"/>
    <w:multiLevelType w:val="multilevel"/>
    <w:tmpl w:val="63D16B2D"/>
    <w:lvl w:ilvl="0" w:tentative="0">
      <w:start w:val="1"/>
      <w:numFmt w:val="decimal"/>
      <w:pStyle w:val="114"/>
      <w:suff w:val="nothing"/>
      <w:lvlText w:val="图%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5">
    <w:nsid w:val="6BF3F109"/>
    <w:multiLevelType w:val="multilevel"/>
    <w:tmpl w:val="6BF3F109"/>
    <w:lvl w:ilvl="0" w:tentative="0">
      <w:start w:val="1"/>
      <w:numFmt w:val="lowerLetter"/>
      <w:pStyle w:val="108"/>
      <w:lvlText w:val="%1"/>
      <w:lvlJc w:val="left"/>
      <w:pPr>
        <w:tabs>
          <w:tab w:val="left" w:pos="539"/>
        </w:tabs>
        <w:ind w:left="539" w:leftChars="0" w:hanging="119" w:firstLineChars="0"/>
      </w:pPr>
      <w:rPr>
        <w:rFonts w:hint="eastAsia" w:ascii="宋体" w:hAnsi="宋体" w:eastAsia="宋体" w:cs="宋体"/>
        <w:sz w:val="15"/>
        <w:vertAlign w:val="superscript"/>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6">
    <w:nsid w:val="6FABA554"/>
    <w:multiLevelType w:val="multilevel"/>
    <w:tmpl w:val="6FABA554"/>
    <w:lvl w:ilvl="0" w:tentative="0">
      <w:start w:val="1"/>
      <w:numFmt w:val="decimal"/>
      <w:pStyle w:val="105"/>
      <w:suff w:val="nothing"/>
      <w:lvlText w:val="示例%1："/>
      <w:lvlJc w:val="left"/>
      <w:pPr>
        <w:ind w:left="0" w:leftChars="0" w:firstLine="363" w:firstLineChars="0"/>
      </w:pPr>
      <w:rPr>
        <w:rFonts w:hint="eastAsia" w:ascii="黑体" w:hAnsi="黑体" w:eastAsia="黑体" w:cs="黑体"/>
        <w:sz w:val="18"/>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num w:numId="1">
    <w:abstractNumId w:val="4"/>
  </w:num>
  <w:num w:numId="2">
    <w:abstractNumId w:val="10"/>
  </w:num>
  <w:num w:numId="3">
    <w:abstractNumId w:val="13"/>
  </w:num>
  <w:num w:numId="4">
    <w:abstractNumId w:val="8"/>
  </w:num>
  <w:num w:numId="5">
    <w:abstractNumId w:val="11"/>
  </w:num>
  <w:num w:numId="6">
    <w:abstractNumId w:val="2"/>
  </w:num>
  <w:num w:numId="7">
    <w:abstractNumId w:val="3"/>
  </w:num>
  <w:num w:numId="8">
    <w:abstractNumId w:val="7"/>
  </w:num>
  <w:num w:numId="9">
    <w:abstractNumId w:val="0"/>
  </w:num>
  <w:num w:numId="10">
    <w:abstractNumId w:val="12"/>
  </w:num>
  <w:num w:numId="11">
    <w:abstractNumId w:val="16"/>
  </w:num>
  <w:num w:numId="12">
    <w:abstractNumId w:val="1"/>
  </w:num>
  <w:num w:numId="13">
    <w:abstractNumId w:val="5"/>
  </w:num>
  <w:num w:numId="14">
    <w:abstractNumId w:val="15"/>
  </w:num>
  <w:num w:numId="15">
    <w:abstractNumId w:val="9"/>
  </w:num>
  <w:num w:numId="16">
    <w:abstractNumId w:val="14"/>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283720"/>
    <w:rsid w:val="094E7F09"/>
    <w:rsid w:val="2F283720"/>
    <w:rsid w:val="33627341"/>
    <w:rsid w:val="41C276F1"/>
    <w:rsid w:val="46D508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宋体" w:hAnsi="Times New Roman" w:eastAsia="宋体" w:cs="宋体"/>
      <w:kern w:val="2"/>
      <w:sz w:val="21"/>
      <w:szCs w:val="24"/>
      <w:lang w:val="en-US" w:eastAsia="zh-CN" w:bidi="ar-SA"/>
    </w:rPr>
  </w:style>
  <w:style w:type="paragraph" w:styleId="2">
    <w:name w:val="heading 2"/>
    <w:basedOn w:val="1"/>
    <w:next w:val="1"/>
    <w:semiHidden/>
    <w:unhideWhenUsed/>
    <w:qFormat/>
    <w:uiPriority w:val="0"/>
    <w:pPr>
      <w:keepNext/>
      <w:keepLines/>
      <w:numPr>
        <w:ilvl w:val="1"/>
        <w:numId w:val="1"/>
      </w:numPr>
      <w:spacing w:before="260" w:beforeLines="0" w:beforeAutospacing="0" w:after="260" w:afterLines="0" w:afterAutospacing="0" w:line="413" w:lineRule="auto"/>
      <w:ind w:left="575" w:hanging="575"/>
      <w:outlineLvl w:val="1"/>
    </w:pPr>
    <w:rPr>
      <w:rFonts w:ascii="Arial" w:hAnsi="Arial" w:eastAsia="黑体"/>
      <w:b/>
      <w:sz w:val="32"/>
    </w:rPr>
  </w:style>
  <w:style w:type="paragraph" w:styleId="3">
    <w:name w:val="heading 3"/>
    <w:basedOn w:val="1"/>
    <w:next w:val="1"/>
    <w:semiHidden/>
    <w:unhideWhenUsed/>
    <w:qFormat/>
    <w:uiPriority w:val="0"/>
    <w:pPr>
      <w:keepNext/>
      <w:keepLines/>
      <w:numPr>
        <w:ilvl w:val="2"/>
        <w:numId w:val="2"/>
      </w:numPr>
      <w:spacing w:before="260" w:beforeLines="0" w:beforeAutospacing="0" w:after="260" w:afterLines="0" w:afterAutospacing="0" w:line="413" w:lineRule="auto"/>
      <w:ind w:left="720" w:hanging="720"/>
      <w:outlineLvl w:val="2"/>
    </w:pPr>
    <w:rPr>
      <w:b/>
      <w:sz w:val="32"/>
    </w:rPr>
  </w:style>
  <w:style w:type="paragraph" w:styleId="4">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5">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6">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7">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8">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9">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1">
    <w:name w:val="Default Paragraph Font"/>
    <w:semiHidden/>
    <w:qFormat/>
    <w:uiPriority w:val="0"/>
    <w:rPr>
      <w:rFonts w:hint="eastAsia" w:ascii="宋体" w:hAnsi="Times New Roman" w:eastAsia="宋体" w:cs="Times New Roman"/>
      <w:sz w:val="21"/>
    </w:rPr>
  </w:style>
  <w:style w:type="table" w:default="1" w:styleId="19">
    <w:name w:val="Normal Table"/>
    <w:semiHidden/>
    <w:qFormat/>
    <w:uiPriority w:val="0"/>
    <w:tblPr>
      <w:tblCellMar>
        <w:top w:w="0" w:type="dxa"/>
        <w:left w:w="108" w:type="dxa"/>
        <w:bottom w:w="0" w:type="dxa"/>
        <w:right w:w="108" w:type="dxa"/>
      </w:tblCellMar>
    </w:tblPr>
  </w:style>
  <w:style w:type="paragraph" w:styleId="10">
    <w:name w:val="toc 5"/>
    <w:basedOn w:val="1"/>
    <w:next w:val="1"/>
    <w:uiPriority w:val="0"/>
    <w:pPr>
      <w:spacing w:line="300" w:lineRule="exact"/>
      <w:ind w:left="1680" w:leftChars="800"/>
    </w:pPr>
    <w:rPr>
      <w:rFonts w:hAnsi="宋体"/>
    </w:rPr>
  </w:style>
  <w:style w:type="paragraph" w:styleId="11">
    <w:name w:val="toc 3"/>
    <w:basedOn w:val="1"/>
    <w:next w:val="1"/>
    <w:qFormat/>
    <w:uiPriority w:val="0"/>
    <w:pPr>
      <w:spacing w:line="300" w:lineRule="exact"/>
      <w:ind w:left="840" w:leftChars="400"/>
    </w:pPr>
    <w:rPr>
      <w:rFonts w:hAnsi="宋体"/>
    </w:r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4">
    <w:name w:val="toc 1"/>
    <w:basedOn w:val="1"/>
    <w:next w:val="1"/>
    <w:qFormat/>
    <w:uiPriority w:val="0"/>
    <w:pPr>
      <w:spacing w:line="400" w:lineRule="exact"/>
    </w:pPr>
    <w:rPr>
      <w:rFonts w:hAnsi="宋体"/>
    </w:rPr>
  </w:style>
  <w:style w:type="paragraph" w:styleId="15">
    <w:name w:val="toc 4"/>
    <w:basedOn w:val="1"/>
    <w:next w:val="1"/>
    <w:qFormat/>
    <w:uiPriority w:val="0"/>
    <w:pPr>
      <w:spacing w:line="300" w:lineRule="exact"/>
      <w:ind w:left="1260" w:leftChars="600"/>
    </w:pPr>
    <w:rPr>
      <w:rFonts w:hAnsi="宋体"/>
    </w:rPr>
  </w:style>
  <w:style w:type="paragraph" w:styleId="16">
    <w:name w:val="footnote text"/>
    <w:basedOn w:val="1"/>
    <w:qFormat/>
    <w:uiPriority w:val="0"/>
    <w:pPr>
      <w:widowControl/>
      <w:numPr>
        <w:ilvl w:val="0"/>
        <w:numId w:val="3"/>
      </w:numPr>
      <w:autoSpaceDE w:val="0"/>
      <w:autoSpaceDN w:val="0"/>
      <w:snapToGrid/>
      <w:ind w:left="840" w:leftChars="200" w:hanging="420" w:hangingChars="200"/>
      <w:jc w:val="both"/>
    </w:pPr>
    <w:rPr>
      <w:rFonts w:hAnsi="宋体"/>
      <w:sz w:val="15"/>
    </w:rPr>
  </w:style>
  <w:style w:type="paragraph" w:styleId="17">
    <w:name w:val="toc 6"/>
    <w:basedOn w:val="1"/>
    <w:next w:val="1"/>
    <w:qFormat/>
    <w:uiPriority w:val="0"/>
    <w:pPr>
      <w:spacing w:line="300" w:lineRule="exact"/>
      <w:ind w:left="2100" w:leftChars="1000"/>
    </w:pPr>
    <w:rPr>
      <w:rFonts w:hAnsi="宋体"/>
    </w:rPr>
  </w:style>
  <w:style w:type="paragraph" w:styleId="18">
    <w:name w:val="toc 2"/>
    <w:basedOn w:val="1"/>
    <w:next w:val="1"/>
    <w:qFormat/>
    <w:uiPriority w:val="0"/>
    <w:pPr>
      <w:spacing w:line="300" w:lineRule="exact"/>
      <w:ind w:left="420" w:leftChars="200"/>
    </w:pPr>
    <w:rPr>
      <w:rFonts w:hAnsi="宋体"/>
    </w:r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rPr>
  </w:style>
  <w:style w:type="character" w:styleId="23">
    <w:name w:val="footnote reference"/>
    <w:basedOn w:val="21"/>
    <w:qFormat/>
    <w:uiPriority w:val="0"/>
    <w:rPr>
      <w:rFonts w:hAnsi="宋体" w:cs="宋体"/>
      <w:sz w:val="18"/>
      <w:vertAlign w:val="superscript"/>
    </w:rPr>
  </w:style>
  <w:style w:type="paragraph" w:customStyle="1" w:styleId="24">
    <w:name w:val="标准文件_段"/>
    <w:qFormat/>
    <w:uiPriority w:val="0"/>
    <w:pPr>
      <w:ind w:firstLine="1280" w:firstLineChars="200"/>
      <w:jc w:val="both"/>
    </w:pPr>
    <w:rPr>
      <w:rFonts w:hint="eastAsia" w:ascii="宋体" w:hAnsi="Times New Roman" w:eastAsia="宋体" w:cs="宋体"/>
      <w:sz w:val="21"/>
    </w:rPr>
  </w:style>
  <w:style w:type="paragraph" w:customStyle="1" w:styleId="25">
    <w:name w:val="标准标志"/>
    <w:next w:val="1"/>
    <w:qFormat/>
    <w:uiPriority w:val="0"/>
    <w:pPr>
      <w:framePr w:w="2546" w:h="1134" w:hRule="exact" w:hSpace="181" w:wrap="around" w:vAnchor="margin" w:hAnchor="margin" w:x="6521" w:y="421" w:anchorLock="1"/>
      <w:shd w:val="clear" w:fill="FFFFFF"/>
      <w:spacing w:line="0" w:lineRule="atLeast"/>
      <w:jc w:val="right"/>
    </w:pPr>
    <w:rPr>
      <w:rFonts w:hint="eastAsia" w:ascii="Times New Roman" w:hAnsi="Times New Roman" w:eastAsia="宋体" w:cs="Times New Roman"/>
      <w:b/>
      <w:w w:val="170"/>
      <w:sz w:val="96"/>
    </w:rPr>
  </w:style>
  <w:style w:type="paragraph" w:customStyle="1" w:styleId="26">
    <w:name w:val="标准标志2"/>
    <w:next w:val="1"/>
    <w:qFormat/>
    <w:uiPriority w:val="0"/>
    <w:pPr>
      <w:framePr w:wrap="around" w:vAnchor="margin" w:hAnchor="margin" w:x="5614" w:y="398" w:anchorLock="1"/>
      <w:spacing w:line="0" w:lineRule="atLeast"/>
      <w:jc w:val="right"/>
    </w:pPr>
    <w:rPr>
      <w:rFonts w:hint="eastAsia" w:ascii="Times New Roman" w:hAnsi="Times New Roman" w:eastAsia="宋体" w:cs="Times New Roman"/>
      <w:b/>
      <w:w w:val="130"/>
      <w:sz w:val="96"/>
    </w:rPr>
  </w:style>
  <w:style w:type="paragraph" w:customStyle="1" w:styleId="27">
    <w:name w:val="标准称谓"/>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宋体" w:hAnsi="Times New Roman" w:eastAsia="宋体" w:cs="Times New Roman"/>
      <w:b/>
      <w:w w:val="148"/>
      <w:sz w:val="48"/>
    </w:rPr>
  </w:style>
  <w:style w:type="paragraph" w:customStyle="1" w:styleId="28">
    <w:name w:val="标准称谓2"/>
    <w:next w:val="1"/>
    <w:qFormat/>
    <w:uiPriority w:val="0"/>
    <w:pPr>
      <w:framePr w:w="6781" w:h="907" w:hRule="exact" w:hSpace="181" w:vSpace="181" w:wrap="around" w:vAnchor="page" w:hAnchor="page" w:xAlign="center" w:y="2269" w:anchorLock="1"/>
      <w:widowControl w:val="0"/>
      <w:kinsoku w:val="0"/>
      <w:overflowPunct w:val="0"/>
      <w:autoSpaceDE w:val="0"/>
      <w:autoSpaceDN w:val="0"/>
      <w:spacing w:line="0" w:lineRule="atLeast"/>
      <w:jc w:val="distribute"/>
    </w:pPr>
    <w:rPr>
      <w:rFonts w:hint="eastAsia" w:ascii="Times New Roman" w:hAnsi="Times New Roman" w:eastAsia="黑体" w:cs="Times New Roman"/>
      <w:spacing w:val="-40"/>
      <w:kern w:val="2"/>
      <w:sz w:val="72"/>
      <w:szCs w:val="72"/>
    </w:rPr>
  </w:style>
  <w:style w:type="paragraph" w:customStyle="1" w:styleId="29">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rPr>
  </w:style>
  <w:style w:type="paragraph" w:customStyle="1" w:styleId="30">
    <w:name w:val="标准书脚_奇数页"/>
    <w:qFormat/>
    <w:uiPriority w:val="0"/>
    <w:pPr>
      <w:ind w:right="227"/>
      <w:jc w:val="right"/>
    </w:pPr>
    <w:rPr>
      <w:rFonts w:hint="eastAsia" w:ascii="宋体" w:hAnsi="Times New Roman" w:eastAsia="宋体" w:cs="宋体"/>
      <w:sz w:val="18"/>
    </w:rPr>
  </w:style>
  <w:style w:type="paragraph" w:customStyle="1" w:styleId="31">
    <w:name w:val="标准书脚_偶数页"/>
    <w:qFormat/>
    <w:uiPriority w:val="0"/>
    <w:pPr>
      <w:ind w:left="227"/>
    </w:pPr>
    <w:rPr>
      <w:rFonts w:hint="eastAsia" w:ascii="宋体" w:hAnsi="Times New Roman" w:eastAsia="宋体" w:cs="宋体"/>
      <w:sz w:val="18"/>
    </w:rPr>
  </w:style>
  <w:style w:type="paragraph" w:customStyle="1" w:styleId="32">
    <w:name w:val="标准书眉_奇数页"/>
    <w:next w:val="1"/>
    <w:qFormat/>
    <w:uiPriority w:val="0"/>
    <w:pPr>
      <w:tabs>
        <w:tab w:val="center" w:pos="4153"/>
        <w:tab w:val="right" w:pos="8306"/>
      </w:tabs>
      <w:spacing w:after="120"/>
      <w:jc w:val="right"/>
    </w:pPr>
    <w:rPr>
      <w:rFonts w:hint="eastAsia" w:ascii="黑体" w:hAnsi="Times New Roman" w:eastAsia="黑体" w:cs="黑体"/>
      <w:sz w:val="21"/>
    </w:rPr>
  </w:style>
  <w:style w:type="paragraph" w:customStyle="1" w:styleId="33">
    <w:name w:val="标准书眉_偶数页"/>
    <w:next w:val="1"/>
    <w:qFormat/>
    <w:uiPriority w:val="0"/>
    <w:pPr>
      <w:spacing w:after="120"/>
    </w:pPr>
    <w:rPr>
      <w:rFonts w:hint="eastAsia" w:ascii="黑体" w:hAnsi="Times New Roman" w:eastAsia="黑体" w:cs="黑体"/>
      <w:sz w:val="21"/>
    </w:rPr>
  </w:style>
  <w:style w:type="paragraph" w:customStyle="1" w:styleId="34">
    <w:name w:val="标准文件_参考文献标题"/>
    <w:basedOn w:val="1"/>
    <w:next w:val="1"/>
    <w:qFormat/>
    <w:uiPriority w:val="0"/>
    <w:pPr>
      <w:widowControl/>
      <w:spacing w:before="126" w:beforeLines="40" w:after="157" w:afterLines="50"/>
      <w:jc w:val="center"/>
      <w:outlineLvl w:val="0"/>
    </w:pPr>
    <w:rPr>
      <w:rFonts w:ascii="黑体" w:hAnsi="Times New Roman" w:eastAsia="黑体" w:cs="黑体"/>
      <w:kern w:val="0"/>
    </w:rPr>
  </w:style>
  <w:style w:type="paragraph" w:customStyle="1" w:styleId="35">
    <w:name w:val="封面标准顶部线"/>
    <w:qFormat/>
    <w:uiPriority w:val="0"/>
    <w:pPr>
      <w:framePr w:w="9673" w:hSpace="181" w:wrap="around" w:vAnchor="page" w:hAnchor="page" w:x="1390" w:y="4242"/>
      <w:spacing w:line="0" w:lineRule="atLeast"/>
    </w:pPr>
    <w:rPr>
      <w:rFonts w:hint="eastAsia" w:ascii="宋体" w:hAnsi="Times New Roman" w:eastAsia="宋体" w:cs="Times New Roman"/>
      <w:sz w:val="21"/>
    </w:rPr>
  </w:style>
  <w:style w:type="paragraph" w:customStyle="1" w:styleId="36">
    <w:name w:val="发布部门"/>
    <w:next w:val="24"/>
    <w:qFormat/>
    <w:uiPriority w:val="0"/>
    <w:pPr>
      <w:framePr w:w="7938" w:h="1134" w:hRule="exact" w:hSpace="125" w:vSpace="181" w:wrap="around" w:vAnchor="page" w:hAnchor="page" w:x="2150" w:y="14630" w:anchorLock="1"/>
      <w:spacing w:before="100"/>
      <w:jc w:val="center"/>
    </w:pPr>
    <w:rPr>
      <w:rFonts w:hint="eastAsia" w:ascii="宋体" w:hAnsi="Times New Roman" w:eastAsia="宋体" w:cs="Times New Roman"/>
      <w:spacing w:val="20"/>
      <w:w w:val="135"/>
      <w:sz w:val="28"/>
    </w:rPr>
  </w:style>
  <w:style w:type="paragraph" w:customStyle="1" w:styleId="37">
    <w:name w:val="发布日期"/>
    <w:qFormat/>
    <w:uiPriority w:val="0"/>
    <w:pPr>
      <w:framePr w:w="3997" w:h="471" w:hRule="exact" w:hSpace="181" w:vSpace="181" w:wrap="around" w:vAnchor="margin" w:hAnchor="page" w:y="14080" w:anchorLock="1"/>
      <w:spacing w:line="360" w:lineRule="exact"/>
    </w:pPr>
    <w:rPr>
      <w:rFonts w:hint="eastAsia" w:ascii="黑体" w:hAnsi="Times New Roman" w:eastAsia="黑体" w:cs="Times New Roman"/>
      <w:sz w:val="28"/>
    </w:rPr>
  </w:style>
  <w:style w:type="paragraph" w:customStyle="1" w:styleId="38">
    <w:name w:val="实施日期"/>
    <w:basedOn w:val="37"/>
    <w:qFormat/>
    <w:uiPriority w:val="0"/>
    <w:pPr>
      <w:framePr w:hSpace="0" w:wrap="around" w:vAnchor="page" w:hAnchor="page" w:x="7089" w:y="14176"/>
      <w:jc w:val="right"/>
    </w:pPr>
  </w:style>
  <w:style w:type="paragraph" w:customStyle="1" w:styleId="39">
    <w:name w:val="封面日期"/>
    <w:qFormat/>
    <w:uiPriority w:val="0"/>
    <w:pPr>
      <w:framePr w:w="9673" w:vSpace="181" w:wrap="around" w:vAnchor="page" w:hAnchor="page" w:x="1419" w:y="14176" w:anchorLock="1"/>
      <w:spacing w:line="360" w:lineRule="exact"/>
    </w:pPr>
    <w:rPr>
      <w:rFonts w:hint="eastAsia" w:ascii="黑体" w:hAnsi="Times New Roman" w:eastAsia="黑体" w:cs="Times New Roman"/>
      <w:sz w:val="28"/>
    </w:rPr>
  </w:style>
  <w:style w:type="paragraph" w:customStyle="1" w:styleId="40">
    <w:name w:val="封面标准代替信息"/>
    <w:qFormat/>
    <w:uiPriority w:val="0"/>
    <w:pPr>
      <w:framePr w:w="9355" w:h="624" w:hRule="exact" w:hSpace="181" w:vSpace="181" w:wrap="around" w:vAnchor="page" w:hAnchor="page" w:x="1419" w:y="3284"/>
      <w:spacing w:before="57" w:line="280" w:lineRule="exact"/>
      <w:jc w:val="right"/>
    </w:pPr>
    <w:rPr>
      <w:rFonts w:hint="eastAsia" w:ascii="黑体" w:hAnsi="Times New Roman" w:eastAsia="黑体" w:cs="Times New Roman"/>
      <w:sz w:val="21"/>
    </w:rPr>
  </w:style>
  <w:style w:type="paragraph" w:customStyle="1" w:styleId="41">
    <w:name w:val="封面标准号2"/>
    <w:qFormat/>
    <w:uiPriority w:val="0"/>
    <w:pPr>
      <w:framePr w:w="9355" w:h="624" w:hRule="exact" w:hSpace="181" w:vSpace="181" w:wrap="around" w:vAnchor="page" w:hAnchor="page" w:x="1419" w:y="3284"/>
      <w:spacing w:line="280" w:lineRule="exact"/>
      <w:jc w:val="right"/>
    </w:pPr>
    <w:rPr>
      <w:rFonts w:hint="eastAsia" w:ascii="黑体" w:hAnsi="Times New Roman" w:eastAsia="黑体" w:cs="Times New Roman"/>
      <w:sz w:val="28"/>
    </w:rPr>
  </w:style>
  <w:style w:type="paragraph" w:customStyle="1" w:styleId="42">
    <w:name w:val="封面标准名称"/>
    <w:uiPriority w:val="0"/>
    <w:pPr>
      <w:framePr w:w="9639" w:h="6974" w:hRule="exact" w:wrap="around" w:vAnchor="page" w:hAnchor="page" w:x="1419" w:y="6408"/>
      <w:spacing w:line="700" w:lineRule="exact"/>
      <w:jc w:val="center"/>
    </w:pPr>
    <w:rPr>
      <w:rFonts w:hint="eastAsia" w:ascii="黑体" w:hAnsi="Times New Roman" w:eastAsia="黑体" w:cs="Times New Roman"/>
      <w:sz w:val="52"/>
    </w:rPr>
  </w:style>
  <w:style w:type="paragraph" w:customStyle="1" w:styleId="43">
    <w:name w:val="封面标准英文名称"/>
    <w:basedOn w:val="42"/>
    <w:qFormat/>
    <w:uiPriority w:val="0"/>
    <w:pPr>
      <w:widowControl w:val="0"/>
      <w:spacing w:before="410" w:line="360" w:lineRule="exact"/>
      <w:textAlignment w:val="bottom"/>
    </w:pPr>
    <w:rPr>
      <w:rFonts w:ascii="Times New Roman" w:hAnsi="Times New Roman" w:cs="Times New Roman"/>
      <w:sz w:val="28"/>
    </w:rPr>
  </w:style>
  <w:style w:type="paragraph" w:customStyle="1" w:styleId="44">
    <w:name w:val="封面一致性程度标识"/>
    <w:basedOn w:val="43"/>
    <w:qFormat/>
    <w:uiPriority w:val="0"/>
    <w:pPr>
      <w:spacing w:before="760"/>
    </w:pPr>
  </w:style>
  <w:style w:type="paragraph" w:customStyle="1" w:styleId="45">
    <w:name w:val="封面标准文稿类别"/>
    <w:basedOn w:val="44"/>
    <w:qFormat/>
    <w:uiPriority w:val="0"/>
    <w:pPr>
      <w:spacing w:before="440" w:after="160"/>
    </w:pPr>
    <w:rPr>
      <w:rFonts w:ascii="黑体" w:hAnsi="黑体" w:cs="黑体"/>
      <w:sz w:val="24"/>
    </w:rPr>
  </w:style>
  <w:style w:type="paragraph" w:customStyle="1" w:styleId="46">
    <w:name w:val="封面标准文稿编辑信息"/>
    <w:basedOn w:val="45"/>
    <w:qFormat/>
    <w:uiPriority w:val="0"/>
    <w:pPr>
      <w:spacing w:before="180" w:line="240" w:lineRule="atLeast"/>
    </w:pPr>
    <w:rPr>
      <w:sz w:val="21"/>
    </w:rPr>
  </w:style>
  <w:style w:type="paragraph" w:customStyle="1" w:styleId="47">
    <w:name w:val="封面标准文稿附件"/>
    <w:basedOn w:val="45"/>
    <w:qFormat/>
    <w:uiPriority w:val="0"/>
    <w:pPr>
      <w:spacing w:before="937" w:beforeLines="300" w:afterLines="30" w:line="240" w:lineRule="auto"/>
    </w:pPr>
    <w:rPr>
      <w:rFonts w:ascii="Times New Roman" w:hAnsi="Times New Roman" w:cs="Times New Roman"/>
      <w:b/>
      <w:sz w:val="21"/>
    </w:rPr>
  </w:style>
  <w:style w:type="paragraph" w:customStyle="1" w:styleId="48">
    <w:name w:val="其他发布部门"/>
    <w:basedOn w:val="36"/>
    <w:qFormat/>
    <w:uiPriority w:val="0"/>
    <w:pPr>
      <w:framePr w:wrap="around" w:y="15310"/>
      <w:spacing w:line="0" w:lineRule="atLeast"/>
    </w:pPr>
    <w:rPr>
      <w:rFonts w:ascii="黑体" w:hAnsi="黑体" w:eastAsia="黑体" w:cs="黑体"/>
    </w:rPr>
  </w:style>
  <w:style w:type="paragraph" w:customStyle="1" w:styleId="49">
    <w:name w:val="其他发布部门2"/>
    <w:basedOn w:val="36"/>
    <w:qFormat/>
    <w:uiPriority w:val="0"/>
    <w:pPr>
      <w:framePr w:w="7433" w:h="584" w:hRule="exact" w:hSpace="181" w:wrap="around" w:vAnchor="margin" w:hAnchor="margin" w:xAlign="center" w:y="15027"/>
      <w:spacing w:line="0" w:lineRule="atLeast"/>
    </w:pPr>
    <w:rPr>
      <w:rFonts w:ascii="黑体" w:hAnsi="黑体" w:eastAsia="黑体" w:cs="Times New Roman"/>
      <w:spacing w:val="0"/>
      <w:w w:val="100"/>
    </w:rPr>
  </w:style>
  <w:style w:type="paragraph" w:customStyle="1" w:styleId="50">
    <w:name w:val="其他发布部门3"/>
    <w:qFormat/>
    <w:uiPriority w:val="0"/>
    <w:pPr>
      <w:framePr w:w="9248" w:h="1259" w:hRule="exact" w:hSpace="181" w:vSpace="181" w:wrap="auto" w:vAnchor="margin" w:hAnchor="margin" w:xAlign="center" w:y="14545"/>
      <w:spacing w:line="0" w:lineRule="atLeast"/>
      <w:jc w:val="center"/>
    </w:pPr>
    <w:rPr>
      <w:rFonts w:hint="eastAsia" w:ascii="黑体" w:hAnsi="Times New Roman" w:eastAsia="黑体" w:cs="Times New Roman"/>
      <w:sz w:val="28"/>
    </w:rPr>
  </w:style>
  <w:style w:type="paragraph" w:customStyle="1" w:styleId="51">
    <w:name w:val="其他发布日期"/>
    <w:basedOn w:val="37"/>
    <w:qFormat/>
    <w:uiPriority w:val="0"/>
    <w:pPr>
      <w:framePr w:hSpace="0" w:wrap="around" w:vAnchor="page" w:hAnchor="page" w:x="1419" w:y="14176"/>
    </w:pPr>
  </w:style>
  <w:style w:type="paragraph" w:customStyle="1" w:styleId="52">
    <w:name w:val="其他实施日期"/>
    <w:basedOn w:val="38"/>
    <w:qFormat/>
    <w:uiPriority w:val="0"/>
  </w:style>
  <w:style w:type="paragraph" w:customStyle="1" w:styleId="53">
    <w:name w:val="文献分类号"/>
    <w:qFormat/>
    <w:uiPriority w:val="0"/>
    <w:pPr>
      <w:framePr w:wrap="around" w:vAnchor="page" w:hAnchor="page" w:x="1373" w:y="568"/>
      <w:widowControl w:val="0"/>
      <w:textAlignment w:val="center"/>
    </w:pPr>
    <w:rPr>
      <w:rFonts w:hint="eastAsia" w:ascii="黑体" w:hAnsi="Times New Roman" w:eastAsia="黑体" w:cs="Times New Roman"/>
      <w:kern w:val="21"/>
      <w:sz w:val="21"/>
    </w:rPr>
  </w:style>
  <w:style w:type="paragraph" w:customStyle="1" w:styleId="54">
    <w:name w:val="标准文件_目录标题"/>
    <w:basedOn w:val="1"/>
    <w:qFormat/>
    <w:uiPriority w:val="0"/>
    <w:pPr>
      <w:shd w:val="clear" w:fill="FFFFFF"/>
      <w:spacing w:after="469" w:afterLines="150"/>
      <w:jc w:val="center"/>
    </w:pPr>
    <w:rPr>
      <w:rFonts w:ascii="黑体" w:hAnsi="Times New Roman" w:eastAsia="黑体" w:cs="黑体"/>
      <w:kern w:val="0"/>
      <w:sz w:val="32"/>
    </w:rPr>
  </w:style>
  <w:style w:type="paragraph" w:customStyle="1" w:styleId="55">
    <w:name w:val="标准文件_前言、引言标题"/>
    <w:next w:val="1"/>
    <w:qFormat/>
    <w:uiPriority w:val="0"/>
    <w:pPr>
      <w:numPr>
        <w:ilvl w:val="0"/>
        <w:numId w:val="4"/>
      </w:numPr>
      <w:suppressAutoHyphens w:val="0"/>
      <w:spacing w:after="469" w:afterLines="150"/>
      <w:ind w:left="0" w:firstLine="0"/>
      <w:jc w:val="center"/>
      <w:outlineLvl w:val="0"/>
    </w:pPr>
    <w:rPr>
      <w:rFonts w:hint="eastAsia" w:ascii="黑体" w:hAnsi="Times New Roman" w:eastAsia="黑体" w:cs="黑体"/>
      <w:sz w:val="32"/>
    </w:rPr>
  </w:style>
  <w:style w:type="paragraph" w:customStyle="1" w:styleId="56">
    <w:name w:val="标准文件_正文标准名称"/>
    <w:basedOn w:val="1"/>
    <w:link w:val="120"/>
    <w:qFormat/>
    <w:uiPriority w:val="0"/>
    <w:pPr>
      <w:widowControl/>
      <w:suppressAutoHyphens w:val="0"/>
      <w:spacing w:after="640" w:line="400" w:lineRule="exact"/>
      <w:jc w:val="center"/>
    </w:pPr>
    <w:rPr>
      <w:rFonts w:ascii="黑体" w:hAnsi="黑体" w:eastAsia="黑体" w:cs="黑体"/>
      <w:sz w:val="32"/>
    </w:rPr>
  </w:style>
  <w:style w:type="paragraph" w:customStyle="1" w:styleId="57">
    <w:name w:val="标准文件_一级项"/>
    <w:next w:val="24"/>
    <w:qFormat/>
    <w:uiPriority w:val="0"/>
    <w:pPr>
      <w:numPr>
        <w:ilvl w:val="0"/>
        <w:numId w:val="5"/>
      </w:numPr>
      <w:suppressAutoHyphens w:val="0"/>
      <w:ind w:left="851" w:hanging="426"/>
    </w:pPr>
    <w:rPr>
      <w:rFonts w:hint="eastAsia" w:ascii="宋体" w:hAnsi="Times New Roman" w:eastAsia="宋体" w:cs="宋体"/>
      <w:sz w:val="21"/>
    </w:rPr>
  </w:style>
  <w:style w:type="paragraph" w:customStyle="1" w:styleId="58">
    <w:name w:val="标准文件_二级项2"/>
    <w:basedOn w:val="24"/>
    <w:next w:val="24"/>
    <w:qFormat/>
    <w:uiPriority w:val="0"/>
    <w:pPr>
      <w:numPr>
        <w:ilvl w:val="1"/>
        <w:numId w:val="5"/>
      </w:numPr>
      <w:suppressAutoHyphens w:val="0"/>
      <w:ind w:left="1270" w:hanging="419"/>
    </w:pPr>
    <w:rPr>
      <w:rFonts w:hint="eastAsia" w:ascii="宋体" w:hAnsi="Times New Roman" w:eastAsia="宋体" w:cs="Times New Roman"/>
      <w:sz w:val="21"/>
    </w:rPr>
  </w:style>
  <w:style w:type="paragraph" w:customStyle="1" w:styleId="59">
    <w:name w:val="标准文件_三级项"/>
    <w:basedOn w:val="1"/>
    <w:next w:val="24"/>
    <w:qFormat/>
    <w:uiPriority w:val="0"/>
    <w:pPr>
      <w:numPr>
        <w:ilvl w:val="2"/>
        <w:numId w:val="6"/>
      </w:numPr>
      <w:suppressAutoHyphens w:val="0"/>
      <w:spacing w:line="300" w:lineRule="exact"/>
      <w:ind w:left="1678" w:hanging="414"/>
    </w:pPr>
    <w:rPr>
      <w:rFonts w:hAnsi="+西文正文"/>
    </w:rPr>
  </w:style>
  <w:style w:type="paragraph" w:customStyle="1" w:styleId="60">
    <w:name w:val="标准文件_字母编号列项（一级）"/>
    <w:next w:val="24"/>
    <w:qFormat/>
    <w:uiPriority w:val="0"/>
    <w:pPr>
      <w:numPr>
        <w:ilvl w:val="0"/>
        <w:numId w:val="6"/>
      </w:numPr>
      <w:tabs>
        <w:tab w:val="left" w:pos="839"/>
      </w:tabs>
      <w:ind w:left="851" w:hanging="426"/>
      <w:jc w:val="both"/>
    </w:pPr>
    <w:rPr>
      <w:rFonts w:hint="eastAsia" w:ascii="宋体" w:hAnsi="Times New Roman" w:eastAsia="宋体" w:cs="宋体"/>
      <w:sz w:val="21"/>
    </w:rPr>
  </w:style>
  <w:style w:type="paragraph" w:customStyle="1" w:styleId="61">
    <w:name w:val="标准文件_数字编号列项（二级）"/>
    <w:next w:val="24"/>
    <w:qFormat/>
    <w:uiPriority w:val="0"/>
    <w:pPr>
      <w:numPr>
        <w:ilvl w:val="1"/>
        <w:numId w:val="6"/>
      </w:numPr>
      <w:tabs>
        <w:tab w:val="left" w:pos="1259"/>
        <w:tab w:val="clear" w:pos="1276"/>
      </w:tabs>
      <w:ind w:left="1259" w:hanging="419"/>
      <w:jc w:val="both"/>
    </w:pPr>
    <w:rPr>
      <w:rFonts w:hint="eastAsia" w:ascii="宋体" w:hAnsi="Times New Roman" w:eastAsia="宋体" w:cs="Times New Roman"/>
      <w:sz w:val="21"/>
    </w:rPr>
  </w:style>
  <w:style w:type="paragraph" w:customStyle="1" w:styleId="62">
    <w:name w:val="标准文件_引言一级条标题"/>
    <w:basedOn w:val="24"/>
    <w:next w:val="24"/>
    <w:qFormat/>
    <w:uiPriority w:val="0"/>
    <w:pPr>
      <w:numPr>
        <w:ilvl w:val="1"/>
        <w:numId w:val="4"/>
      </w:numPr>
      <w:spacing w:before="157" w:beforeLines="50" w:after="157" w:afterLines="50"/>
    </w:pPr>
    <w:rPr>
      <w:rFonts w:ascii="黑体" w:hAnsi="黑体" w:eastAsia="黑体" w:cs="黑体"/>
    </w:rPr>
  </w:style>
  <w:style w:type="paragraph" w:customStyle="1" w:styleId="63">
    <w:name w:val="标准文件_引言二级条标题"/>
    <w:basedOn w:val="24"/>
    <w:next w:val="24"/>
    <w:qFormat/>
    <w:uiPriority w:val="0"/>
    <w:pPr>
      <w:numPr>
        <w:ilvl w:val="2"/>
        <w:numId w:val="4"/>
      </w:numPr>
      <w:spacing w:before="157" w:beforeLines="50" w:after="157" w:afterLines="50"/>
    </w:pPr>
    <w:rPr>
      <w:rFonts w:ascii="黑体" w:hAnsi="黑体" w:eastAsia="黑体" w:cs="黑体"/>
    </w:rPr>
  </w:style>
  <w:style w:type="paragraph" w:customStyle="1" w:styleId="64">
    <w:name w:val="标准文件_引言三级条标题"/>
    <w:basedOn w:val="24"/>
    <w:next w:val="24"/>
    <w:qFormat/>
    <w:uiPriority w:val="0"/>
    <w:pPr>
      <w:numPr>
        <w:ilvl w:val="3"/>
        <w:numId w:val="4"/>
      </w:numPr>
      <w:spacing w:before="157" w:beforeLines="50" w:after="157" w:afterLines="50"/>
    </w:pPr>
    <w:rPr>
      <w:rFonts w:ascii="黑体" w:hAnsi="黑体" w:eastAsia="黑体" w:cs="黑体"/>
    </w:rPr>
  </w:style>
  <w:style w:type="paragraph" w:customStyle="1" w:styleId="65">
    <w:name w:val="标准文件_引言四级条标题"/>
    <w:basedOn w:val="24"/>
    <w:next w:val="24"/>
    <w:qFormat/>
    <w:uiPriority w:val="0"/>
    <w:pPr>
      <w:numPr>
        <w:ilvl w:val="4"/>
        <w:numId w:val="4"/>
      </w:numPr>
      <w:spacing w:before="157" w:beforeLines="50" w:after="157" w:afterLines="50"/>
    </w:pPr>
    <w:rPr>
      <w:rFonts w:ascii="黑体" w:hAnsi="黑体" w:eastAsia="黑体" w:cs="黑体"/>
    </w:rPr>
  </w:style>
  <w:style w:type="paragraph" w:customStyle="1" w:styleId="66">
    <w:name w:val="标准文件_引言五级条标题"/>
    <w:basedOn w:val="24"/>
    <w:next w:val="24"/>
    <w:qFormat/>
    <w:uiPriority w:val="0"/>
    <w:pPr>
      <w:numPr>
        <w:ilvl w:val="5"/>
        <w:numId w:val="4"/>
      </w:numPr>
      <w:spacing w:before="157" w:beforeLines="50" w:after="157" w:afterLines="50"/>
    </w:pPr>
    <w:rPr>
      <w:rFonts w:ascii="黑体" w:hAnsi="黑体" w:eastAsia="黑体" w:cs="黑体"/>
    </w:rPr>
  </w:style>
  <w:style w:type="paragraph" w:customStyle="1" w:styleId="67">
    <w:name w:val="标准文件_引言一级无标题"/>
    <w:basedOn w:val="62"/>
    <w:next w:val="24"/>
    <w:qFormat/>
    <w:uiPriority w:val="0"/>
    <w:pPr>
      <w:spacing w:before="4" w:beforeLines="1" w:after="4" w:afterLines="1" w:line="276" w:lineRule="auto"/>
    </w:pPr>
    <w:rPr>
      <w:rFonts w:ascii="宋体" w:hAnsi="宋体" w:eastAsia="宋体" w:cs="宋体"/>
    </w:rPr>
  </w:style>
  <w:style w:type="paragraph" w:customStyle="1" w:styleId="68">
    <w:name w:val="标准文件_引言二级无标题"/>
    <w:basedOn w:val="63"/>
    <w:next w:val="24"/>
    <w:qFormat/>
    <w:uiPriority w:val="0"/>
    <w:pPr>
      <w:spacing w:before="4" w:beforeLines="1" w:after="4" w:afterLines="1" w:line="276" w:lineRule="auto"/>
    </w:pPr>
    <w:rPr>
      <w:rFonts w:ascii="宋体" w:hAnsi="宋体" w:eastAsia="宋体" w:cs="宋体"/>
    </w:rPr>
  </w:style>
  <w:style w:type="paragraph" w:customStyle="1" w:styleId="69">
    <w:name w:val="标准文件_引言三级无标题"/>
    <w:basedOn w:val="64"/>
    <w:next w:val="24"/>
    <w:qFormat/>
    <w:uiPriority w:val="0"/>
    <w:pPr>
      <w:spacing w:before="4" w:beforeLines="1" w:after="4" w:afterLines="1" w:line="276" w:lineRule="auto"/>
    </w:pPr>
    <w:rPr>
      <w:rFonts w:ascii="宋体" w:hAnsi="宋体" w:eastAsia="宋体" w:cs="宋体"/>
    </w:rPr>
  </w:style>
  <w:style w:type="paragraph" w:customStyle="1" w:styleId="70">
    <w:name w:val="标准文件_引言四级无标题"/>
    <w:basedOn w:val="65"/>
    <w:next w:val="24"/>
    <w:qFormat/>
    <w:uiPriority w:val="0"/>
    <w:pPr>
      <w:spacing w:before="4" w:beforeLines="1" w:after="4" w:afterLines="1" w:line="276" w:lineRule="auto"/>
    </w:pPr>
    <w:rPr>
      <w:rFonts w:ascii="宋体" w:hAnsi="宋体" w:eastAsia="宋体" w:cs="宋体"/>
    </w:rPr>
  </w:style>
  <w:style w:type="paragraph" w:customStyle="1" w:styleId="71">
    <w:name w:val="标准文件_引言五级无标题"/>
    <w:basedOn w:val="66"/>
    <w:next w:val="24"/>
    <w:qFormat/>
    <w:uiPriority w:val="0"/>
    <w:pPr>
      <w:spacing w:before="4" w:beforeLines="1" w:after="4" w:afterLines="1" w:line="276" w:lineRule="auto"/>
    </w:pPr>
    <w:rPr>
      <w:rFonts w:ascii="宋体" w:hAnsi="宋体" w:eastAsia="宋体" w:cs="宋体"/>
    </w:rPr>
  </w:style>
  <w:style w:type="paragraph" w:customStyle="1" w:styleId="72">
    <w:name w:val="标准文件_章标题"/>
    <w:next w:val="24"/>
    <w:qFormat/>
    <w:uiPriority w:val="0"/>
    <w:pPr>
      <w:numPr>
        <w:ilvl w:val="0"/>
        <w:numId w:val="7"/>
      </w:numPr>
      <w:suppressAutoHyphens w:val="0"/>
      <w:spacing w:before="313" w:beforeLines="100" w:after="313" w:afterLines="100"/>
      <w:jc w:val="both"/>
      <w:outlineLvl w:val="0"/>
    </w:pPr>
    <w:rPr>
      <w:rFonts w:hint="eastAsia" w:ascii="黑体" w:hAnsi="Times New Roman" w:eastAsia="黑体" w:cs="黑体"/>
      <w:sz w:val="21"/>
    </w:rPr>
  </w:style>
  <w:style w:type="paragraph" w:customStyle="1" w:styleId="73">
    <w:name w:val="标准文件_一级条标题"/>
    <w:basedOn w:val="72"/>
    <w:next w:val="24"/>
    <w:qFormat/>
    <w:uiPriority w:val="0"/>
    <w:pPr>
      <w:numPr>
        <w:ilvl w:val="1"/>
      </w:numPr>
      <w:spacing w:before="157" w:beforeLines="50" w:after="157" w:afterLines="50"/>
      <w:outlineLvl w:val="1"/>
    </w:pPr>
    <w:rPr>
      <w:rFonts w:hAnsi="Times New Roman"/>
    </w:rPr>
  </w:style>
  <w:style w:type="paragraph" w:customStyle="1" w:styleId="74">
    <w:name w:val="标准文件_二级条标题"/>
    <w:next w:val="24"/>
    <w:qFormat/>
    <w:uiPriority w:val="0"/>
    <w:pPr>
      <w:numPr>
        <w:ilvl w:val="2"/>
        <w:numId w:val="7"/>
      </w:numPr>
      <w:suppressAutoHyphens w:val="0"/>
      <w:spacing w:before="157" w:beforeLines="50" w:after="157" w:afterLines="50"/>
      <w:jc w:val="both"/>
      <w:outlineLvl w:val="2"/>
    </w:pPr>
    <w:rPr>
      <w:rFonts w:hint="eastAsia" w:ascii="黑体" w:hAnsi="黑体" w:eastAsia="黑体" w:cs="黑体"/>
      <w:sz w:val="21"/>
    </w:rPr>
  </w:style>
  <w:style w:type="paragraph" w:customStyle="1" w:styleId="75">
    <w:name w:val="标准文件_三级条标题"/>
    <w:basedOn w:val="74"/>
    <w:next w:val="24"/>
    <w:uiPriority w:val="0"/>
    <w:pPr>
      <w:numPr>
        <w:ilvl w:val="3"/>
      </w:numPr>
      <w:spacing w:before="157" w:after="157"/>
      <w:outlineLvl w:val="3"/>
    </w:pPr>
  </w:style>
  <w:style w:type="paragraph" w:customStyle="1" w:styleId="76">
    <w:name w:val="标准文件_四级条标题"/>
    <w:next w:val="24"/>
    <w:qFormat/>
    <w:uiPriority w:val="0"/>
    <w:pPr>
      <w:numPr>
        <w:ilvl w:val="4"/>
        <w:numId w:val="7"/>
      </w:numPr>
      <w:suppressAutoHyphens w:val="0"/>
      <w:spacing w:before="157" w:beforeLines="50" w:after="157" w:afterLines="50"/>
      <w:jc w:val="both"/>
      <w:outlineLvl w:val="4"/>
    </w:pPr>
    <w:rPr>
      <w:rFonts w:hint="eastAsia" w:ascii="黑体" w:hAnsi="黑体" w:eastAsia="黑体" w:cs="黑体"/>
      <w:sz w:val="21"/>
    </w:rPr>
  </w:style>
  <w:style w:type="paragraph" w:customStyle="1" w:styleId="77">
    <w:name w:val="标准文件_五级条标题"/>
    <w:next w:val="24"/>
    <w:qFormat/>
    <w:uiPriority w:val="0"/>
    <w:pPr>
      <w:numPr>
        <w:ilvl w:val="5"/>
        <w:numId w:val="7"/>
      </w:numPr>
      <w:suppressAutoHyphens w:val="0"/>
      <w:spacing w:before="157" w:beforeLines="50" w:after="157" w:afterLines="50"/>
      <w:jc w:val="both"/>
      <w:outlineLvl w:val="4"/>
    </w:pPr>
    <w:rPr>
      <w:rFonts w:hint="eastAsia" w:ascii="黑体" w:hAnsi="黑体" w:eastAsia="黑体" w:cs="黑体"/>
      <w:sz w:val="21"/>
    </w:rPr>
  </w:style>
  <w:style w:type="paragraph" w:customStyle="1" w:styleId="78">
    <w:name w:val="标准文件_一级无标题"/>
    <w:basedOn w:val="73"/>
    <w:qFormat/>
    <w:uiPriority w:val="0"/>
    <w:pPr>
      <w:spacing w:before="4" w:beforeLines="1" w:after="4" w:afterLines="1"/>
      <w:outlineLvl w:val="9"/>
    </w:pPr>
    <w:rPr>
      <w:rFonts w:ascii="宋体" w:hAnsi="宋体" w:eastAsia="宋体" w:cs="宋体"/>
    </w:rPr>
  </w:style>
  <w:style w:type="paragraph" w:customStyle="1" w:styleId="79">
    <w:name w:val="标准文件_二级无标题"/>
    <w:basedOn w:val="74"/>
    <w:qFormat/>
    <w:uiPriority w:val="0"/>
    <w:pPr>
      <w:spacing w:before="4" w:beforeLines="1" w:after="4" w:afterLines="1"/>
      <w:outlineLvl w:val="9"/>
    </w:pPr>
    <w:rPr>
      <w:rFonts w:ascii="宋体" w:hAnsi="宋体" w:eastAsia="宋体" w:cs="宋体"/>
    </w:rPr>
  </w:style>
  <w:style w:type="paragraph" w:customStyle="1" w:styleId="80">
    <w:name w:val="标准文件_三级无标题"/>
    <w:basedOn w:val="75"/>
    <w:qFormat/>
    <w:uiPriority w:val="0"/>
    <w:pPr>
      <w:spacing w:before="4" w:beforeLines="1" w:after="4" w:afterLines="1"/>
      <w:outlineLvl w:val="9"/>
    </w:pPr>
    <w:rPr>
      <w:rFonts w:ascii="宋体" w:hAnsi="宋体" w:eastAsia="宋体" w:cs="宋体"/>
    </w:rPr>
  </w:style>
  <w:style w:type="paragraph" w:customStyle="1" w:styleId="81">
    <w:name w:val="标准文件_四级无标题"/>
    <w:basedOn w:val="76"/>
    <w:qFormat/>
    <w:uiPriority w:val="0"/>
    <w:pPr>
      <w:spacing w:before="4" w:beforeLines="1" w:after="4" w:afterLines="1"/>
      <w:outlineLvl w:val="9"/>
    </w:pPr>
    <w:rPr>
      <w:rFonts w:ascii="宋体" w:hAnsi="宋体" w:eastAsia="宋体" w:cs="宋体"/>
    </w:rPr>
  </w:style>
  <w:style w:type="paragraph" w:customStyle="1" w:styleId="82">
    <w:name w:val="标准文件_五级无标题"/>
    <w:basedOn w:val="77"/>
    <w:qFormat/>
    <w:uiPriority w:val="0"/>
    <w:pPr>
      <w:spacing w:before="4" w:beforeLines="1" w:after="4" w:afterLines="1"/>
      <w:outlineLvl w:val="9"/>
    </w:pPr>
    <w:rPr>
      <w:rFonts w:ascii="宋体" w:hAnsi="宋体" w:eastAsia="宋体" w:cs="宋体"/>
    </w:rPr>
  </w:style>
  <w:style w:type="paragraph" w:customStyle="1" w:styleId="83">
    <w:name w:val="标准文件_术语条一"/>
    <w:basedOn w:val="78"/>
    <w:next w:val="24"/>
    <w:qFormat/>
    <w:uiPriority w:val="0"/>
    <w:pPr>
      <w:ind w:left="1280" w:hanging="1280" w:hangingChars="200"/>
    </w:pPr>
    <w:rPr>
      <w:rFonts w:ascii="黑体" w:hAnsi="黑体" w:eastAsia="黑体" w:cs="黑体"/>
    </w:rPr>
  </w:style>
  <w:style w:type="paragraph" w:customStyle="1" w:styleId="84">
    <w:name w:val="标准文件_术语条二"/>
    <w:basedOn w:val="79"/>
    <w:next w:val="24"/>
    <w:qFormat/>
    <w:uiPriority w:val="0"/>
    <w:pPr>
      <w:ind w:left="420" w:hanging="420" w:hangingChars="200"/>
    </w:pPr>
    <w:rPr>
      <w:rFonts w:ascii="黑体" w:hAnsi="黑体" w:eastAsia="黑体" w:cs="黑体"/>
    </w:rPr>
  </w:style>
  <w:style w:type="paragraph" w:customStyle="1" w:styleId="85">
    <w:name w:val="标准文件_术语条三"/>
    <w:basedOn w:val="80"/>
    <w:next w:val="24"/>
    <w:uiPriority w:val="0"/>
    <w:pPr>
      <w:ind w:left="420" w:hanging="420" w:hangingChars="200"/>
    </w:pPr>
    <w:rPr>
      <w:rFonts w:ascii="黑体" w:hAnsi="黑体" w:eastAsia="黑体" w:cs="黑体"/>
    </w:rPr>
  </w:style>
  <w:style w:type="paragraph" w:customStyle="1" w:styleId="86">
    <w:name w:val="标准文件_术语条四"/>
    <w:basedOn w:val="81"/>
    <w:next w:val="24"/>
    <w:qFormat/>
    <w:uiPriority w:val="0"/>
    <w:pPr>
      <w:ind w:left="420" w:hanging="420" w:hangingChars="200"/>
    </w:pPr>
    <w:rPr>
      <w:rFonts w:ascii="黑体" w:hAnsi="黑体" w:eastAsia="黑体" w:cs="黑体"/>
    </w:rPr>
  </w:style>
  <w:style w:type="paragraph" w:customStyle="1" w:styleId="87">
    <w:name w:val="标准文件_术语条五"/>
    <w:basedOn w:val="82"/>
    <w:next w:val="24"/>
    <w:qFormat/>
    <w:uiPriority w:val="0"/>
    <w:pPr>
      <w:ind w:left="420" w:hanging="420" w:hangingChars="200"/>
    </w:pPr>
    <w:rPr>
      <w:rFonts w:ascii="黑体" w:hAnsi="黑体" w:eastAsia="黑体" w:cs="黑体"/>
    </w:rPr>
  </w:style>
  <w:style w:type="paragraph" w:customStyle="1" w:styleId="88">
    <w:name w:val="标准文件_附录标识"/>
    <w:basedOn w:val="1"/>
    <w:next w:val="24"/>
    <w:uiPriority w:val="0"/>
    <w:pPr>
      <w:widowControl/>
      <w:numPr>
        <w:ilvl w:val="0"/>
        <w:numId w:val="8"/>
      </w:numPr>
      <w:suppressAutoHyphens w:val="0"/>
      <w:spacing w:before="79" w:beforeLines="25" w:after="157" w:afterLines="50"/>
      <w:jc w:val="center"/>
      <w:outlineLvl w:val="0"/>
    </w:pPr>
    <w:rPr>
      <w:rFonts w:ascii="黑体" w:hAnsi="黑体" w:eastAsia="黑体" w:cs="黑体"/>
    </w:rPr>
  </w:style>
  <w:style w:type="paragraph" w:customStyle="1" w:styleId="89">
    <w:name w:val="标准文件_附录一级条标题"/>
    <w:next w:val="24"/>
    <w:qFormat/>
    <w:uiPriority w:val="0"/>
    <w:pPr>
      <w:numPr>
        <w:ilvl w:val="1"/>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0">
    <w:name w:val="标准文件_附录二级条标题"/>
    <w:next w:val="24"/>
    <w:qFormat/>
    <w:uiPriority w:val="0"/>
    <w:pPr>
      <w:numPr>
        <w:ilvl w:val="2"/>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1">
    <w:name w:val="标准文件_附录三级条标题"/>
    <w:next w:val="24"/>
    <w:qFormat/>
    <w:uiPriority w:val="0"/>
    <w:pPr>
      <w:numPr>
        <w:ilvl w:val="3"/>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2">
    <w:name w:val="标准文件_附录四级条标题"/>
    <w:next w:val="24"/>
    <w:qFormat/>
    <w:uiPriority w:val="0"/>
    <w:pPr>
      <w:numPr>
        <w:ilvl w:val="4"/>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3">
    <w:name w:val="标准文件_附录五级条标题"/>
    <w:next w:val="24"/>
    <w:qFormat/>
    <w:uiPriority w:val="0"/>
    <w:pPr>
      <w:numPr>
        <w:ilvl w:val="5"/>
        <w:numId w:val="8"/>
      </w:numPr>
      <w:suppressAutoHyphens w:val="0"/>
      <w:spacing w:before="157" w:beforeLines="50" w:after="157" w:afterLines="50"/>
      <w:jc w:val="both"/>
      <w:outlineLvl w:val="2"/>
    </w:pPr>
    <w:rPr>
      <w:rFonts w:hint="eastAsia" w:ascii="黑体" w:hAnsi="黑体" w:eastAsia="黑体" w:cs="黑体"/>
      <w:sz w:val="21"/>
    </w:rPr>
  </w:style>
  <w:style w:type="paragraph" w:customStyle="1" w:styleId="94">
    <w:name w:val="标准文件_附录一级无标题"/>
    <w:basedOn w:val="89"/>
    <w:qFormat/>
    <w:uiPriority w:val="0"/>
    <w:pPr>
      <w:spacing w:before="4" w:beforeLines="1" w:after="4" w:afterLines="1" w:line="276" w:lineRule="auto"/>
    </w:pPr>
    <w:rPr>
      <w:rFonts w:ascii="宋体" w:hAnsi="宋体" w:eastAsia="宋体" w:cs="宋体"/>
    </w:rPr>
  </w:style>
  <w:style w:type="paragraph" w:customStyle="1" w:styleId="95">
    <w:name w:val="标准文件_附录二级无标题"/>
    <w:basedOn w:val="90"/>
    <w:qFormat/>
    <w:uiPriority w:val="0"/>
    <w:pPr>
      <w:spacing w:before="4" w:beforeLines="1" w:after="4" w:afterLines="1" w:line="276" w:lineRule="auto"/>
    </w:pPr>
    <w:rPr>
      <w:rFonts w:ascii="宋体" w:hAnsi="宋体" w:eastAsia="宋体" w:cs="宋体"/>
    </w:rPr>
  </w:style>
  <w:style w:type="paragraph" w:customStyle="1" w:styleId="96">
    <w:name w:val="标准文件_附录三级无标题"/>
    <w:basedOn w:val="91"/>
    <w:qFormat/>
    <w:uiPriority w:val="0"/>
    <w:pPr>
      <w:spacing w:before="4" w:beforeLines="1" w:after="4" w:afterLines="1" w:line="276" w:lineRule="auto"/>
    </w:pPr>
    <w:rPr>
      <w:rFonts w:ascii="宋体" w:hAnsi="宋体" w:eastAsia="宋体" w:cs="宋体"/>
    </w:rPr>
  </w:style>
  <w:style w:type="paragraph" w:customStyle="1" w:styleId="97">
    <w:name w:val="标准文件_附录四级无标题"/>
    <w:basedOn w:val="92"/>
    <w:uiPriority w:val="0"/>
    <w:pPr>
      <w:spacing w:before="4" w:beforeLines="1" w:after="4" w:afterLines="1" w:line="276" w:lineRule="auto"/>
    </w:pPr>
    <w:rPr>
      <w:rFonts w:ascii="宋体" w:hAnsi="宋体" w:eastAsia="宋体" w:cs="宋体"/>
    </w:rPr>
  </w:style>
  <w:style w:type="paragraph" w:customStyle="1" w:styleId="98">
    <w:name w:val="标准文件_附录五级无标题"/>
    <w:basedOn w:val="93"/>
    <w:qFormat/>
    <w:uiPriority w:val="0"/>
    <w:pPr>
      <w:spacing w:before="4" w:beforeLines="1" w:after="4" w:afterLines="1" w:line="276" w:lineRule="auto"/>
    </w:pPr>
    <w:rPr>
      <w:rFonts w:ascii="宋体" w:hAnsi="宋体" w:eastAsia="宋体" w:cs="宋体"/>
    </w:rPr>
  </w:style>
  <w:style w:type="paragraph" w:customStyle="1" w:styleId="99">
    <w:name w:val="附录图标号"/>
    <w:basedOn w:val="24"/>
    <w:next w:val="24"/>
    <w:qFormat/>
    <w:uiPriority w:val="0"/>
    <w:pPr>
      <w:numPr>
        <w:ilvl w:val="0"/>
        <w:numId w:val="2"/>
      </w:numPr>
      <w:spacing w:line="14" w:lineRule="exact"/>
      <w:ind w:left="425"/>
      <w:jc w:val="center"/>
    </w:pPr>
    <w:rPr>
      <w:sz w:val="2"/>
    </w:rPr>
  </w:style>
  <w:style w:type="paragraph" w:customStyle="1" w:styleId="100">
    <w:name w:val="附录图标题"/>
    <w:next w:val="24"/>
    <w:uiPriority w:val="0"/>
    <w:pPr>
      <w:numPr>
        <w:ilvl w:val="1"/>
        <w:numId w:val="2"/>
      </w:numPr>
      <w:spacing w:before="157" w:beforeLines="50" w:after="157" w:afterLines="50"/>
      <w:jc w:val="center"/>
    </w:pPr>
    <w:rPr>
      <w:rFonts w:hint="eastAsia" w:ascii="黑体" w:hAnsi="黑体" w:eastAsia="黑体" w:cs="黑体"/>
      <w:sz w:val="21"/>
    </w:rPr>
  </w:style>
  <w:style w:type="paragraph" w:customStyle="1" w:styleId="101">
    <w:name w:val="附录表标号"/>
    <w:basedOn w:val="24"/>
    <w:next w:val="24"/>
    <w:qFormat/>
    <w:uiPriority w:val="0"/>
    <w:pPr>
      <w:numPr>
        <w:ilvl w:val="0"/>
        <w:numId w:val="9"/>
      </w:numPr>
      <w:spacing w:line="14" w:lineRule="exact"/>
      <w:ind w:left="425"/>
      <w:jc w:val="center"/>
    </w:pPr>
    <w:rPr>
      <w:sz w:val="2"/>
    </w:rPr>
  </w:style>
  <w:style w:type="paragraph" w:customStyle="1" w:styleId="102">
    <w:name w:val="附录表标题"/>
    <w:next w:val="24"/>
    <w:uiPriority w:val="0"/>
    <w:pPr>
      <w:numPr>
        <w:ilvl w:val="1"/>
        <w:numId w:val="9"/>
      </w:numPr>
      <w:spacing w:before="157" w:beforeLines="50" w:after="157" w:afterLines="50"/>
      <w:jc w:val="center"/>
    </w:pPr>
    <w:rPr>
      <w:rFonts w:hint="eastAsia" w:ascii="黑体" w:hAnsi="黑体" w:eastAsia="黑体" w:cs="黑体"/>
      <w:sz w:val="21"/>
    </w:rPr>
  </w:style>
  <w:style w:type="paragraph" w:customStyle="1" w:styleId="103">
    <w:name w:val="标准文件_示例内容"/>
    <w:basedOn w:val="24"/>
    <w:qFormat/>
    <w:uiPriority w:val="0"/>
    <w:pPr>
      <w:suppressAutoHyphens w:val="0"/>
    </w:pPr>
    <w:rPr>
      <w:rFonts w:hAnsi="宋体"/>
      <w:sz w:val="18"/>
    </w:rPr>
  </w:style>
  <w:style w:type="paragraph" w:customStyle="1" w:styleId="104">
    <w:name w:val="标准文件_示例"/>
    <w:next w:val="103"/>
    <w:qFormat/>
    <w:uiPriority w:val="0"/>
    <w:pPr>
      <w:numPr>
        <w:ilvl w:val="0"/>
        <w:numId w:val="10"/>
      </w:numPr>
      <w:suppressAutoHyphens w:val="0"/>
      <w:jc w:val="both"/>
    </w:pPr>
    <w:rPr>
      <w:rFonts w:hint="eastAsia" w:ascii="宋体" w:hAnsi="宋体" w:eastAsia="宋体" w:cs="宋体"/>
      <w:sz w:val="18"/>
    </w:rPr>
  </w:style>
  <w:style w:type="paragraph" w:customStyle="1" w:styleId="105">
    <w:name w:val="标准文件_示例×"/>
    <w:basedOn w:val="1"/>
    <w:next w:val="103"/>
    <w:qFormat/>
    <w:uiPriority w:val="0"/>
    <w:pPr>
      <w:widowControl/>
      <w:numPr>
        <w:ilvl w:val="0"/>
        <w:numId w:val="11"/>
      </w:numPr>
      <w:suppressAutoHyphens w:val="0"/>
      <w:ind w:firstLine="363"/>
    </w:pPr>
    <w:rPr>
      <w:rFonts w:hAnsi="Times New Roman"/>
      <w:sz w:val="18"/>
    </w:rPr>
  </w:style>
  <w:style w:type="paragraph" w:customStyle="1" w:styleId="106">
    <w:name w:val="标准文件_注"/>
    <w:next w:val="24"/>
    <w:qFormat/>
    <w:uiPriority w:val="0"/>
    <w:pPr>
      <w:numPr>
        <w:ilvl w:val="0"/>
        <w:numId w:val="12"/>
      </w:numPr>
      <w:autoSpaceDE w:val="0"/>
      <w:autoSpaceDN w:val="0"/>
      <w:jc w:val="both"/>
    </w:pPr>
    <w:rPr>
      <w:rFonts w:hint="eastAsia" w:ascii="宋体" w:hAnsi="宋体" w:eastAsia="宋体" w:cs="宋体"/>
      <w:sz w:val="18"/>
    </w:rPr>
  </w:style>
  <w:style w:type="paragraph" w:customStyle="1" w:styleId="107">
    <w:name w:val="标准文件_注×"/>
    <w:next w:val="24"/>
    <w:qFormat/>
    <w:uiPriority w:val="0"/>
    <w:pPr>
      <w:numPr>
        <w:ilvl w:val="0"/>
        <w:numId w:val="13"/>
      </w:numPr>
      <w:jc w:val="both"/>
    </w:pPr>
    <w:rPr>
      <w:rFonts w:hint="eastAsia" w:ascii="宋体" w:hAnsi="宋体" w:eastAsia="宋体" w:cs="宋体"/>
      <w:sz w:val="18"/>
    </w:rPr>
  </w:style>
  <w:style w:type="paragraph" w:customStyle="1" w:styleId="108">
    <w:name w:val="标准文件_图表脚注"/>
    <w:basedOn w:val="1"/>
    <w:next w:val="24"/>
    <w:qFormat/>
    <w:uiPriority w:val="0"/>
    <w:pPr>
      <w:numPr>
        <w:ilvl w:val="0"/>
        <w:numId w:val="14"/>
      </w:numPr>
      <w:suppressAutoHyphens w:val="0"/>
      <w:adjustRightInd w:val="0"/>
      <w:jc w:val="left"/>
    </w:pPr>
    <w:rPr>
      <w:rFonts w:hAnsi="宋体"/>
      <w:sz w:val="18"/>
    </w:rPr>
  </w:style>
  <w:style w:type="paragraph" w:customStyle="1" w:styleId="109">
    <w:name w:val="标准文件_标准正文"/>
    <w:basedOn w:val="1"/>
    <w:next w:val="24"/>
    <w:qFormat/>
    <w:uiPriority w:val="0"/>
    <w:pPr>
      <w:ind w:firstLine="420" w:firstLineChars="200"/>
    </w:pPr>
  </w:style>
  <w:style w:type="paragraph" w:customStyle="1" w:styleId="110">
    <w:name w:val="标准文件_正文公式"/>
    <w:basedOn w:val="1"/>
    <w:next w:val="109"/>
    <w:qFormat/>
    <w:uiPriority w:val="0"/>
    <w:pPr>
      <w:tabs>
        <w:tab w:val="center" w:pos="4678"/>
        <w:tab w:val="right" w:leader="middleDot" w:pos="9355"/>
      </w:tabs>
    </w:pPr>
  </w:style>
  <w:style w:type="paragraph" w:customStyle="1" w:styleId="111">
    <w:name w:val="标准文件_表格"/>
    <w:basedOn w:val="24"/>
    <w:qFormat/>
    <w:uiPriority w:val="0"/>
    <w:pPr>
      <w:jc w:val="center"/>
    </w:pPr>
    <w:rPr>
      <w:sz w:val="18"/>
    </w:rPr>
  </w:style>
  <w:style w:type="paragraph" w:customStyle="1" w:styleId="112">
    <w:name w:val="终结线"/>
    <w:basedOn w:val="1"/>
    <w:qFormat/>
    <w:uiPriority w:val="0"/>
    <w:pPr>
      <w:framePr w:hSpace="181" w:vSpace="181" w:wrap="around" w:vAnchor="text" w:hAnchor="margin" w:xAlign="center" w:y="285"/>
    </w:pPr>
    <w:rPr>
      <w:rFonts w:ascii="Times New Roman" w:hAnsi="Times New Roman" w:cs="Times New Roman"/>
      <w:b/>
      <w:sz w:val="34"/>
    </w:rPr>
  </w:style>
  <w:style w:type="paragraph" w:customStyle="1" w:styleId="113">
    <w:name w:val="标准文件_正文表标题"/>
    <w:next w:val="24"/>
    <w:qFormat/>
    <w:uiPriority w:val="0"/>
    <w:pPr>
      <w:numPr>
        <w:ilvl w:val="0"/>
        <w:numId w:val="15"/>
      </w:numPr>
      <w:spacing w:before="157" w:beforeLines="50" w:after="157" w:afterLines="50"/>
      <w:jc w:val="center"/>
    </w:pPr>
    <w:rPr>
      <w:rFonts w:hint="eastAsia" w:ascii="黑体" w:hAnsi="黑体" w:eastAsia="黑体" w:cs="黑体"/>
      <w:sz w:val="21"/>
    </w:rPr>
  </w:style>
  <w:style w:type="paragraph" w:customStyle="1" w:styleId="114">
    <w:name w:val="标准文件_正文图标题"/>
    <w:next w:val="24"/>
    <w:qFormat/>
    <w:uiPriority w:val="0"/>
    <w:pPr>
      <w:numPr>
        <w:ilvl w:val="0"/>
        <w:numId w:val="16"/>
      </w:numPr>
      <w:spacing w:before="157" w:beforeLines="50" w:after="157" w:afterLines="50"/>
      <w:jc w:val="center"/>
    </w:pPr>
    <w:rPr>
      <w:rFonts w:hint="eastAsia" w:ascii="黑体" w:hAnsi="黑体" w:eastAsia="黑体" w:cs="黑体"/>
      <w:sz w:val="21"/>
    </w:rPr>
  </w:style>
  <w:style w:type="paragraph" w:customStyle="1" w:styleId="115">
    <w:name w:val="标准文件_索引标题"/>
    <w:basedOn w:val="34"/>
    <w:next w:val="24"/>
    <w:qFormat/>
    <w:uiPriority w:val="0"/>
    <w:rPr>
      <w:rFonts w:hAnsi="黑体"/>
    </w:rPr>
  </w:style>
  <w:style w:type="paragraph" w:customStyle="1" w:styleId="116">
    <w:name w:val="标准文件_索引项"/>
    <w:basedOn w:val="24"/>
    <w:next w:val="24"/>
    <w:qFormat/>
    <w:uiPriority w:val="0"/>
    <w:pPr>
      <w:tabs>
        <w:tab w:val="right" w:leader="dot" w:pos="9355"/>
      </w:tabs>
      <w:autoSpaceDE w:val="0"/>
      <w:autoSpaceDN w:val="0"/>
      <w:ind w:left="77" w:hanging="77" w:hangingChars="37"/>
      <w:jc w:val="left"/>
    </w:pPr>
  </w:style>
  <w:style w:type="paragraph" w:customStyle="1" w:styleId="117">
    <w:name w:val="标准文件_索引字母"/>
    <w:next w:val="24"/>
    <w:qFormat/>
    <w:uiPriority w:val="0"/>
    <w:pPr>
      <w:jc w:val="center"/>
    </w:pPr>
    <w:rPr>
      <w:rFonts w:hint="eastAsia" w:ascii="宋体" w:hAnsi="宋体" w:eastAsia="宋体" w:cs="宋体"/>
      <w:b/>
      <w:kern w:val="2"/>
      <w:sz w:val="21"/>
    </w:rPr>
  </w:style>
  <w:style w:type="paragraph" w:customStyle="1" w:styleId="118">
    <w:name w:val="标准文件_提示"/>
    <w:basedOn w:val="1"/>
    <w:qFormat/>
    <w:uiPriority w:val="0"/>
    <w:pPr>
      <w:ind w:firstLine="420" w:firstLineChars="200"/>
    </w:pPr>
    <w:rPr>
      <w:rFonts w:ascii="黑体" w:hAnsi="黑体" w:eastAsia="黑体" w:cs="黑体"/>
    </w:rPr>
  </w:style>
  <w:style w:type="paragraph" w:customStyle="1" w:styleId="119">
    <w:name w:val="标准文件_参考文献编号"/>
    <w:basedOn w:val="24"/>
    <w:qFormat/>
    <w:uiPriority w:val="0"/>
    <w:pPr>
      <w:numPr>
        <w:ilvl w:val="0"/>
        <w:numId w:val="17"/>
      </w:numPr>
    </w:pPr>
  </w:style>
  <w:style w:type="character" w:customStyle="1" w:styleId="120">
    <w:name w:val="标准文件_正文标准名称 Char"/>
    <w:link w:val="56"/>
    <w:qFormat/>
    <w:uiPriority w:val="0"/>
    <w:rPr>
      <w:rFonts w:ascii="黑体" w:hAnsi="黑体" w:eastAsia="黑体" w:cs="黑体"/>
      <w:sz w:val="32"/>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glossaryDocument" Target="glossary/document.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c1f906f-b74c-4c02-9104-68a263a4b936}"/>
        <w:style w:val=""/>
        <w:category>
          <w:name w:val="常规"/>
          <w:gallery w:val="placeholder"/>
        </w:category>
        <w:types>
          <w:type w:val="bbPlcHdr"/>
        </w:types>
        <w:behaviors>
          <w:behavior w:val="content"/>
        </w:behaviors>
        <w:description w:val=""/>
        <w:guid w:val="{3c1f906f-b74c-4c02-9104-68a263a4b936}"/>
      </w:docPartPr>
      <w:docPartBody>
        <w:p w14:paraId="3F6E276F">
          <w:r>
            <w:rPr>
              <w:color w:val="808080"/>
            </w:rPr>
            <w:t>选择一项。</w:t>
          </w:r>
        </w:p>
      </w:docPartBody>
    </w:docPart>
    <w:docPart>
      <w:docPartPr>
        <w:name w:val="{cbb62363-5dfc-4cb1-84f4-6a1d9a9fc3b9}"/>
        <w:style w:val=""/>
        <w:category>
          <w:name w:val="常规"/>
          <w:gallery w:val="placeholder"/>
        </w:category>
        <w:types>
          <w:type w:val="bbPlcHdr"/>
        </w:types>
        <w:behaviors>
          <w:behavior w:val="content"/>
        </w:behaviors>
        <w:description w:val=""/>
        <w:guid w:val="{cbb62363-5dfc-4cb1-84f4-6a1d9a9fc3b9}"/>
      </w:docPartPr>
      <w:docPartBody>
        <w:p w14:paraId="3901B17F">
          <w:r>
            <w:rPr>
              <w:color w:val="808080"/>
            </w:rPr>
            <w:t>选择一项。</w:t>
          </w:r>
        </w:p>
      </w:docPartBody>
    </w:docPart>
    <w:docPart>
      <w:docPartPr>
        <w:name w:val="{559ed55d-5274-4e92-b7ab-aae3b58585b8}"/>
        <w:style w:val=""/>
        <w:category>
          <w:name w:val="常规"/>
          <w:gallery w:val="placeholder"/>
        </w:category>
        <w:types>
          <w:type w:val="bbPlcHdr"/>
        </w:types>
        <w:behaviors>
          <w:behavior w:val="content"/>
        </w:behaviors>
        <w:description w:val=""/>
        <w:guid w:val="{559ed55d-5274-4e92-b7ab-aae3b58585b8}"/>
      </w:docPartPr>
      <w:docPartBody>
        <w:p w14:paraId="0A16EAAF">
          <w:r>
            <w:rPr>
              <w:color w:val="808080"/>
            </w:rPr>
            <w:t>单击此处输入文字。</w:t>
          </w:r>
        </w:p>
      </w:docPartBody>
    </w:docPart>
    <w:docPart>
      <w:docPartPr>
        <w:name w:val="{d1baef30-c9f1-4630-97f8-80a4bfaafc83}"/>
        <w:style w:val=""/>
        <w:category>
          <w:name w:val="常规"/>
          <w:gallery w:val="placeholder"/>
        </w:category>
        <w:types>
          <w:type w:val="bbPlcHdr"/>
        </w:types>
        <w:behaviors>
          <w:behavior w:val="content"/>
        </w:behaviors>
        <w:description w:val=""/>
        <w:guid w:val="{d1baef30-c9f1-4630-97f8-80a4bfaafc83}"/>
      </w:docPartPr>
      <w:docPartBody>
        <w:p w14:paraId="7A841271">
          <w:r>
            <w:rPr>
              <w:color w:val="808080"/>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6253</Words>
  <Characters>6891</Characters>
  <Lines>0</Lines>
  <Paragraphs>0</Paragraphs>
  <TotalTime>0</TotalTime>
  <ScaleCrop>false</ScaleCrop>
  <LinksUpToDate>false</LinksUpToDate>
  <CharactersWithSpaces>7153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2026-06-03T04:03:00Z</dcterms:created>
  <dc:creator>小汪</dc:creator>
  <cp:lastModifiedBy>。</cp:lastModifiedBy>
  <dcterms:modified xsi:type="dcterms:W3CDTF">2026-06-17T07:50:48Z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12587015AF9E486D884E6D742B61E27C_13</vt:lpwstr>
  </property>
  <property fmtid="{D5CDD505-2E9C-101B-9397-08002B2CF9AE}" pid="4" name="KSOTemplateDocerSaveRecord">
    <vt:lpwstr>eyJoZGlkIjoiYzkwYzJmZDNiMmRhZjM0NTlkZDY1MmFlNDljZjQ0NWEiLCJ1c2VySWQiOiIyNDIyMjUwNzQifQ==</vt:lpwstr>
  </property>
</Properties>
</file>