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9022B">
      <w:pPr>
        <w:pStyle w:val="27"/>
        <w:bidi w:val="0"/>
        <w:rPr>
          <w:rFonts w:hint="eastAsia"/>
          <w:lang w:val="en-US" w:eastAsia="zh-CN"/>
        </w:rPr>
      </w:pPr>
      <w:r>
        <w:rPr>
          <w:rFonts w:hint="eastAsia"/>
          <w:lang w:val="en-US" w:eastAsia="zh-CN"/>
        </w:rPr>
        <w:t>团体标准</w:t>
      </w:r>
    </w:p>
    <w:p w14:paraId="13DEBE9B">
      <w:pPr>
        <w:pStyle w:val="40"/>
        <w:bidi w:val="0"/>
        <w:rPr>
          <w:rFonts w:hint="eastAsia"/>
          <w:lang w:val="en-US" w:eastAsia="zh-CN"/>
        </w:rPr>
      </w:pPr>
      <w:bookmarkStart w:id="0" w:name="StandNo"/>
      <w:r>
        <w:rPr>
          <w:rFonts w:hint="eastAsia" w:ascii="黑体" w:hAnsi="Times New Roman" w:eastAsia="黑体" w:cs="Times New Roman"/>
          <w:sz w:val="28"/>
          <w:lang w:val="en-US" w:eastAsia="zh-CN"/>
        </w:rPr>
        <w:fldChar w:fldCharType="begin">
          <w:ffData>
            <w:name w:val="StandNo"/>
            <w:enabled/>
            <w:calcOnExit w:val="0"/>
            <w:textInput>
              <w:default w:val="T/QAS XXX—2026"/>
            </w:textInput>
          </w:ffData>
        </w:fldChar>
      </w:r>
      <w:r>
        <w:rPr>
          <w:rFonts w:hint="eastAsia" w:ascii="黑体" w:hAnsi="Times New Roman" w:eastAsia="黑体" w:cs="Times New Roman"/>
          <w:sz w:val="28"/>
          <w:lang w:val="en-US" w:eastAsia="zh-CN"/>
        </w:rPr>
        <w:instrText xml:space="preserve">FORMTEXT</w:instrText>
      </w:r>
      <w:r>
        <w:rPr>
          <w:rFonts w:hint="eastAsia" w:ascii="黑体" w:hAnsi="Times New Roman" w:eastAsia="黑体" w:cs="Times New Roman"/>
          <w:sz w:val="28"/>
          <w:lang w:val="en-US" w:eastAsia="zh-CN"/>
        </w:rPr>
        <w:fldChar w:fldCharType="separate"/>
      </w:r>
      <w:r>
        <w:rPr>
          <w:rFonts w:hint="eastAsia" w:ascii="黑体" w:hAnsi="Times New Roman" w:eastAsia="黑体" w:cs="Times New Roman"/>
          <w:sz w:val="28"/>
          <w:lang w:val="en-US" w:eastAsia="zh-CN"/>
        </w:rPr>
        <w:t>T/QAS XXX—2026</w:t>
      </w:r>
      <w:r>
        <w:rPr>
          <w:rFonts w:hint="eastAsia" w:ascii="黑体" w:hAnsi="Times New Roman" w:eastAsia="黑体" w:cs="Times New Roman"/>
          <w:sz w:val="28"/>
          <w:lang w:val="en-US" w:eastAsia="zh-CN"/>
        </w:rPr>
        <w:fldChar w:fldCharType="end"/>
      </w:r>
      <w:bookmarkEnd w:id="0"/>
    </w:p>
    <w:tbl>
      <w:tblPr>
        <w:tblStyle w:val="20"/>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41"/>
      </w:tblGrid>
      <w:tr w14:paraId="68B8C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9889" w:type="dxa"/>
            <w:tcBorders>
              <w:top w:val="single" w:color="auto" w:sz="8" w:space="0"/>
            </w:tcBorders>
          </w:tcPr>
          <w:p w14:paraId="070F23C6">
            <w:pPr>
              <w:pStyle w:val="34"/>
              <w:widowControl w:val="0"/>
              <w:bidi w:val="0"/>
              <w:jc w:val="both"/>
              <w:rPr>
                <w:rFonts w:hint="eastAsia"/>
                <w:sz w:val="10"/>
                <w:vertAlign w:val="baseline"/>
                <w:lang w:val="en-US" w:eastAsia="zh-CN"/>
              </w:rPr>
            </w:pPr>
          </w:p>
        </w:tc>
      </w:tr>
    </w:tbl>
    <w:p w14:paraId="718BE2C1">
      <w:pPr>
        <w:pStyle w:val="41"/>
        <w:bidi w:val="0"/>
        <w:rPr>
          <w:rFonts w:hint="eastAsia"/>
          <w:lang w:val="en-US" w:eastAsia="zh-CN"/>
        </w:rPr>
      </w:pPr>
      <w:r>
        <w:rPr>
          <w:rFonts w:hint="eastAsia"/>
          <w:lang w:val="en-US" w:eastAsia="zh-CN"/>
        </w:rPr>
        <w:fldChar w:fldCharType="begin">
          <w:ffData>
            <w:name w:val="StdName"/>
            <w:enabled/>
            <w:calcOnExit w:val="0"/>
            <w:textInput>
              <w:default w:val="地理标志产品质量要求湟源青蒜苗"/>
            </w:textInput>
          </w:ffData>
        </w:fldChar>
      </w:r>
      <w:bookmarkStart w:id="1" w:name="StdName"/>
      <w:r>
        <w:rPr>
          <w:rFonts w:hint="eastAsia"/>
          <w:lang w:val="en-US" w:eastAsia="zh-CN"/>
        </w:rPr>
        <w:instrText xml:space="preserve">FORMTEXT</w:instrText>
      </w:r>
      <w:r>
        <w:rPr>
          <w:rFonts w:hint="eastAsia"/>
          <w:lang w:val="en-US" w:eastAsia="zh-CN"/>
        </w:rPr>
        <w:fldChar w:fldCharType="separate"/>
      </w:r>
      <w:r>
        <w:rPr>
          <w:rFonts w:hint="eastAsia"/>
          <w:lang w:val="en-US" w:eastAsia="zh-CN"/>
        </w:rPr>
        <w:t>地理标志产品质量要求湟源青蒜苗</w:t>
      </w:r>
      <w:r>
        <w:rPr>
          <w:rFonts w:hint="eastAsia"/>
          <w:lang w:val="en-US" w:eastAsia="zh-CN"/>
        </w:rPr>
        <w:fldChar w:fldCharType="end"/>
      </w:r>
      <w:bookmarkEnd w:id="1"/>
    </w:p>
    <w:p w14:paraId="16BA6730">
      <w:pPr>
        <w:pStyle w:val="42"/>
        <w:bidi w:val="0"/>
        <w:rPr>
          <w:rFonts w:hint="eastAsia"/>
          <w:lang w:val="en-US" w:eastAsia="zh-CN"/>
        </w:rPr>
      </w:pPr>
    </w:p>
    <w:p w14:paraId="6B291EED">
      <w:pPr>
        <w:pStyle w:val="43"/>
        <w:bidi w:val="0"/>
        <w:rPr>
          <w:rFonts w:hint="eastAsia"/>
          <w:lang w:val="en-US" w:eastAsia="zh-CN"/>
        </w:rPr>
      </w:pPr>
    </w:p>
    <w:p w14:paraId="23F89C06">
      <w:pPr>
        <w:pStyle w:val="45"/>
        <w:bidi w:val="0"/>
        <w:spacing w:before="100"/>
        <w:rPr>
          <w:rFonts w:hint="eastAsia"/>
          <w:lang w:val="en-US" w:eastAsia="zh-CN"/>
        </w:rPr>
      </w:pPr>
    </w:p>
    <w:p w14:paraId="3ADACF23">
      <w:pPr>
        <w:pStyle w:val="46"/>
        <w:bidi w:val="0"/>
        <w:spacing w:before="687" w:beforeLines="220"/>
        <w:rPr>
          <w:rFonts w:hint="default"/>
          <w:b w:val="0"/>
          <w:bCs/>
          <w:sz w:val="24"/>
          <w:szCs w:val="24"/>
          <w:lang w:val="en-US" w:eastAsia="zh-CN"/>
        </w:rPr>
      </w:pPr>
      <w:r>
        <w:rPr>
          <w:rFonts w:hint="eastAsia"/>
          <w:b w:val="0"/>
          <w:bCs/>
          <w:sz w:val="24"/>
          <w:szCs w:val="24"/>
          <w:lang w:val="en-US" w:eastAsia="zh-CN"/>
        </w:rPr>
        <w:t>征求意见稿</w:t>
      </w:r>
    </w:p>
    <w:tbl>
      <w:tblPr>
        <w:tblStyle w:val="20"/>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22880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069494F1">
            <w:pPr>
              <w:pStyle w:val="38"/>
              <w:widowControl w:val="0"/>
              <w:bidi w:val="0"/>
              <w:jc w:val="both"/>
              <w:rPr>
                <w:rFonts w:hint="eastAsia"/>
                <w:vertAlign w:val="baseline"/>
                <w:lang w:val="en-US" w:eastAsia="zh-CN"/>
              </w:rPr>
            </w:pPr>
            <w:r>
              <w:rPr>
                <w:rFonts w:hint="eastAsia"/>
                <w:vertAlign w:val="baseline"/>
                <w:lang w:val="en-US" w:eastAsia="zh-CN"/>
              </w:rPr>
              <w:fldChar w:fldCharType="begin">
                <w:ffData>
                  <w:name w:val="FY"/>
                  <w:enabled/>
                  <w:calcOnExit w:val="0"/>
                  <w:textInput>
                    <w:default w:val="XXXX"/>
                    <w:maxLength w:val="4"/>
                  </w:textInput>
                </w:ffData>
              </w:fldChar>
            </w:r>
            <w:bookmarkStart w:id="2" w:name="FY"/>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XXXX</w:t>
            </w:r>
            <w:r>
              <w:rPr>
                <w:rFonts w:hint="eastAsia"/>
                <w:vertAlign w:val="baseline"/>
                <w:lang w:val="en-US" w:eastAsia="zh-CN"/>
              </w:rPr>
              <w:fldChar w:fldCharType="end"/>
            </w:r>
            <w:bookmarkEnd w:id="2"/>
            <w:r>
              <w:rPr>
                <w:rFonts w:hint="eastAsia"/>
                <w:vertAlign w:val="baseline"/>
                <w:lang w:val="en-US" w:eastAsia="zh-CN"/>
              </w:rPr>
              <w:t xml:space="preserve"> - </w:t>
            </w:r>
            <w:r>
              <w:rPr>
                <w:rFonts w:hint="eastAsia"/>
                <w:vertAlign w:val="baseline"/>
                <w:lang w:val="en-US" w:eastAsia="zh-CN"/>
              </w:rPr>
              <w:fldChar w:fldCharType="begin">
                <w:ffData>
                  <w:name w:val="FM"/>
                  <w:enabled/>
                  <w:calcOnExit w:val="0"/>
                  <w:textInput>
                    <w:default w:val="XX"/>
                    <w:maxLength w:val="2"/>
                  </w:textInput>
                </w:ffData>
              </w:fldChar>
            </w:r>
            <w:bookmarkStart w:id="3" w:name="F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3"/>
            <w:r>
              <w:rPr>
                <w:rFonts w:hint="eastAsia"/>
                <w:vertAlign w:val="baseline"/>
                <w:lang w:val="en-US" w:eastAsia="zh-CN"/>
              </w:rPr>
              <w:t xml:space="preserve"> - </w:t>
            </w:r>
            <w:r>
              <w:rPr>
                <w:rFonts w:hint="eastAsia"/>
                <w:vertAlign w:val="baseline"/>
                <w:lang w:val="en-US" w:eastAsia="zh-CN"/>
              </w:rPr>
              <w:fldChar w:fldCharType="begin">
                <w:ffData>
                  <w:name w:val="FD"/>
                  <w:enabled/>
                  <w:calcOnExit w:val="0"/>
                  <w:textInput>
                    <w:default w:val="XX"/>
                    <w:maxLength w:val="2"/>
                  </w:textInput>
                </w:ffData>
              </w:fldChar>
            </w:r>
            <w:bookmarkStart w:id="4" w:name="F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4"/>
            <w:r>
              <w:rPr>
                <w:rFonts w:hint="eastAsia"/>
                <w:vertAlign w:val="baseline"/>
                <w:lang w:val="en-US" w:eastAsia="zh-CN"/>
              </w:rPr>
              <w:t xml:space="preserve"> 发布</w:t>
            </w:r>
          </w:p>
        </w:tc>
        <w:tc>
          <w:tcPr>
            <w:tcW w:w="4945" w:type="dxa"/>
            <w:tcBorders>
              <w:bottom w:val="single" w:color="auto" w:sz="8" w:space="0"/>
            </w:tcBorders>
            <w:tcMar>
              <w:right w:w="57" w:type="dxa"/>
            </w:tcMar>
          </w:tcPr>
          <w:p w14:paraId="47A0C54E">
            <w:pPr>
              <w:pStyle w:val="38"/>
              <w:widowControl w:val="0"/>
              <w:bidi w:val="0"/>
              <w:jc w:val="right"/>
              <w:rPr>
                <w:rFonts w:hint="eastAsia"/>
                <w:vertAlign w:val="baseline"/>
                <w:lang w:val="en-US" w:eastAsia="zh-CN"/>
              </w:rPr>
            </w:pPr>
            <w:r>
              <w:rPr>
                <w:rFonts w:hint="eastAsia"/>
                <w:vertAlign w:val="baseline"/>
                <w:lang w:val="en-US" w:eastAsia="zh-CN"/>
              </w:rPr>
              <w:fldChar w:fldCharType="begin">
                <w:ffData>
                  <w:name w:val="SY"/>
                  <w:enabled/>
                  <w:calcOnExit w:val="0"/>
                  <w:textInput>
                    <w:default w:val="XXXX"/>
                    <w:maxLength w:val="4"/>
                  </w:textInput>
                </w:ffData>
              </w:fldChar>
            </w:r>
            <w:bookmarkStart w:id="5" w:name="SY"/>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XXXX</w:t>
            </w:r>
            <w:r>
              <w:rPr>
                <w:rFonts w:hint="eastAsia"/>
                <w:vertAlign w:val="baseline"/>
                <w:lang w:val="en-US" w:eastAsia="zh-CN"/>
              </w:rPr>
              <w:fldChar w:fldCharType="end"/>
            </w:r>
            <w:bookmarkEnd w:id="5"/>
            <w:r>
              <w:rPr>
                <w:rFonts w:hint="eastAsia"/>
                <w:vertAlign w:val="baseline"/>
                <w:lang w:val="en-US" w:eastAsia="zh-CN"/>
              </w:rPr>
              <w:t xml:space="preserve"> - </w:t>
            </w:r>
            <w:r>
              <w:rPr>
                <w:rFonts w:hint="eastAsia"/>
                <w:vertAlign w:val="baseline"/>
                <w:lang w:val="en-US" w:eastAsia="zh-CN"/>
              </w:rPr>
              <w:fldChar w:fldCharType="begin">
                <w:ffData>
                  <w:name w:val="SM"/>
                  <w:enabled/>
                  <w:calcOnExit w:val="0"/>
                  <w:textInput>
                    <w:default w:val="XX"/>
                    <w:maxLength w:val="2"/>
                  </w:textInput>
                </w:ffData>
              </w:fldChar>
            </w:r>
            <w:bookmarkStart w:id="6" w:name="S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6"/>
            <w:r>
              <w:rPr>
                <w:rFonts w:hint="eastAsia"/>
                <w:vertAlign w:val="baseline"/>
                <w:lang w:val="en-US" w:eastAsia="zh-CN"/>
              </w:rPr>
              <w:t xml:space="preserve"> - </w:t>
            </w:r>
            <w:r>
              <w:rPr>
                <w:rFonts w:hint="eastAsia"/>
                <w:vertAlign w:val="baseline"/>
                <w:lang w:val="en-US" w:eastAsia="zh-CN"/>
              </w:rPr>
              <w:fldChar w:fldCharType="begin">
                <w:ffData>
                  <w:name w:val="SD"/>
                  <w:enabled/>
                  <w:calcOnExit w:val="0"/>
                  <w:textInput>
                    <w:default w:val="XX"/>
                    <w:maxLength w:val="2"/>
                  </w:textInput>
                </w:ffData>
              </w:fldChar>
            </w:r>
            <w:bookmarkStart w:id="7" w:name="S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7"/>
            <w:r>
              <w:rPr>
                <w:rFonts w:hint="eastAsia"/>
                <w:vertAlign w:val="baseline"/>
                <w:lang w:val="en-US" w:eastAsia="zh-CN"/>
              </w:rPr>
              <w:t xml:space="preserve"> 实施</w:t>
            </w:r>
          </w:p>
        </w:tc>
      </w:tr>
    </w:tbl>
    <w:p w14:paraId="125AD05E">
      <w:pPr>
        <w:pStyle w:val="48"/>
        <w:bidi w:val="0"/>
        <w:spacing w:before="0"/>
        <w:rPr>
          <w:rFonts w:hint="eastAsia"/>
          <w:spacing w:val="0"/>
          <w:w w:val="100"/>
          <w:sz w:val="28"/>
          <w:lang w:val="en-US" w:eastAsia="zh-CN"/>
        </w:rPr>
      </w:pPr>
      <w:r>
        <w:rPr>
          <w:rFonts w:hint="eastAsia"/>
          <w:sz w:val="28"/>
          <w:lang w:val="en-US" w:eastAsia="zh-CN"/>
        </w:rPr>
        <w:t>青海省标准化协会  </w:t>
      </w:r>
      <w:r>
        <w:rPr>
          <w:rFonts w:hint="eastAsia"/>
          <w:spacing w:val="85"/>
          <w:w w:val="100"/>
          <w:sz w:val="28"/>
          <w:lang w:val="en-US" w:eastAsia="zh-CN"/>
        </w:rPr>
        <w:t>发</w:t>
      </w:r>
      <w:r>
        <w:rPr>
          <w:rFonts w:hint="eastAsia"/>
          <w:spacing w:val="0"/>
          <w:w w:val="100"/>
          <w:sz w:val="28"/>
          <w:lang w:val="en-US" w:eastAsia="zh-CN"/>
        </w:rPr>
        <w:t>布</w:t>
      </w:r>
    </w:p>
    <w:tbl>
      <w:tblPr>
        <w:tblStyle w:val="20"/>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63"/>
        <w:gridCol w:w="9107"/>
      </w:tblGrid>
      <w:tr w14:paraId="073DF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469741DB">
            <w:pPr>
              <w:pStyle w:val="52"/>
              <w:bidi w:val="0"/>
              <w:jc w:val="both"/>
              <w:rPr>
                <w:rFonts w:hint="eastAsia"/>
                <w:vertAlign w:val="baseline"/>
                <w:lang w:val="en-US" w:eastAsia="zh-CN"/>
              </w:rPr>
            </w:pPr>
            <w:r>
              <w:rPr>
                <w:rFonts w:hint="eastAsia"/>
                <w:vertAlign w:val="baseline"/>
                <w:lang w:val="en-US" w:eastAsia="zh-CN"/>
              </w:rPr>
              <w:t>ICS</w:t>
            </w:r>
          </w:p>
        </w:tc>
        <w:tc>
          <w:tcPr>
            <w:tcW w:w="9107" w:type="dxa"/>
          </w:tcPr>
          <w:p w14:paraId="07E85BA9">
            <w:pPr>
              <w:pStyle w:val="52"/>
              <w:bidi w:val="0"/>
              <w:jc w:val="both"/>
              <w:rPr>
                <w:rFonts w:hint="default"/>
                <w:vertAlign w:val="baseline"/>
                <w:lang w:val="en-US" w:eastAsia="zh-CN"/>
              </w:rPr>
            </w:pPr>
            <w:r>
              <w:rPr>
                <w:rFonts w:hint="eastAsia"/>
                <w:vertAlign w:val="baseline"/>
                <w:lang w:val="en-US" w:eastAsia="zh-CN"/>
              </w:rPr>
              <w:t>65.020.20</w:t>
            </w:r>
          </w:p>
        </w:tc>
      </w:tr>
      <w:tr w14:paraId="260B2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5CBF71FE">
            <w:pPr>
              <w:pStyle w:val="52"/>
              <w:bidi w:val="0"/>
              <w:jc w:val="both"/>
              <w:rPr>
                <w:rFonts w:hint="eastAsia"/>
                <w:vertAlign w:val="baseline"/>
                <w:lang w:val="en-US" w:eastAsia="zh-CN"/>
              </w:rPr>
            </w:pPr>
            <w:r>
              <w:rPr>
                <w:rFonts w:hint="eastAsia"/>
                <w:vertAlign w:val="baseline"/>
                <w:lang w:val="en-US" w:eastAsia="zh-CN"/>
              </w:rPr>
              <w:t>CCS</w:t>
            </w:r>
          </w:p>
        </w:tc>
        <w:tc>
          <w:tcPr>
            <w:tcW w:w="9107" w:type="dxa"/>
          </w:tcPr>
          <w:p w14:paraId="68CC0522">
            <w:pPr>
              <w:pStyle w:val="52"/>
              <w:bidi w:val="0"/>
              <w:jc w:val="both"/>
              <w:rPr>
                <w:rFonts w:hint="default"/>
                <w:vertAlign w:val="baseline"/>
                <w:lang w:val="en-US" w:eastAsia="zh-CN"/>
              </w:rPr>
            </w:pPr>
            <w:r>
              <w:rPr>
                <w:rFonts w:hint="eastAsia"/>
                <w:vertAlign w:val="baseline"/>
                <w:lang w:val="en-US" w:eastAsia="zh-CN"/>
              </w:rPr>
              <w:t>B 31</w:t>
            </w:r>
          </w:p>
        </w:tc>
      </w:tr>
    </w:tbl>
    <w:p w14:paraId="6E74D2C5">
      <w:pPr>
        <w:pStyle w:val="52"/>
        <w:bidi w:val="0"/>
        <w:rPr>
          <w:rFonts w:hint="eastAsia"/>
          <w:lang w:val="en-US" w:eastAsia="zh-CN"/>
        </w:rPr>
        <w:sectPr>
          <w:pgSz w:w="11906" w:h="16838"/>
          <w:pgMar w:top="-340" w:right="1134" w:bottom="1021" w:left="1134" w:header="0" w:footer="0" w:gutter="284"/>
          <w:lnNumType w:countBy="0" w:restart="continuous"/>
          <w:pgNumType w:fmt="decimal" w:start="1"/>
          <w:cols w:space="425" w:num="1"/>
          <w:titlePg/>
          <w:docGrid w:type="lines" w:linePitch="312" w:charSpace="0"/>
        </w:sectPr>
      </w:pPr>
    </w:p>
    <w:p w14:paraId="417BA198">
      <w:pPr>
        <w:pStyle w:val="53"/>
        <w:bidi w:val="0"/>
        <w:rPr>
          <w:rFonts w:hint="eastAsia" w:ascii="宋体" w:hAnsi="宋体" w:eastAsia="宋体" w:cs="宋体"/>
          <w:spacing w:val="0"/>
          <w:kern w:val="2"/>
          <w:szCs w:val="24"/>
          <w:lang w:val="en-US" w:eastAsia="zh-CN" w:bidi="ar-SA"/>
        </w:rPr>
      </w:pPr>
      <w:r>
        <w:rPr>
          <w:rFonts w:hint="eastAsia"/>
          <w:spacing w:val="317"/>
          <w:lang w:val="en-US" w:eastAsia="zh-CN"/>
        </w:rPr>
        <w:t>目</w:t>
      </w:r>
      <w:bookmarkStart w:id="8" w:name="BKML"/>
      <w:r>
        <w:rPr>
          <w:rFonts w:hint="eastAsia"/>
          <w:lang w:val="en-US" w:eastAsia="zh-CN"/>
        </w:rPr>
        <w:t>次</w:t>
      </w:r>
      <w:bookmarkEnd w:id="8"/>
    </w:p>
    <w:p w14:paraId="534073E5">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TOC \t "标准文件_前言、引言标题,1,标准文件_章标题,1,标准文件_附录标识,1,标准文件_参考文献标题,1,标准文件_索引标题,1,标准文件_一级条标题,2" \h</w:instrText>
      </w:r>
      <w:r>
        <w:rPr>
          <w:rFonts w:hint="eastAsia" w:ascii="宋体" w:hAnsi="宋体" w:eastAsia="宋体" w:cs="宋体"/>
          <w:spacing w:val="0"/>
        </w:rPr>
        <w:fldChar w:fldCharType="separate"/>
      </w: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_Toc5481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_Toc5481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2A16373D">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_Toc24979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1</w:t>
      </w:r>
      <w:r>
        <w:rPr>
          <w:rFonts w:hint="eastAsia" w:cs="宋体"/>
          <w:spacing w:val="0"/>
          <w:lang w:val="en-US" w:eastAsia="zh-CN"/>
        </w:rPr>
        <w:t xml:space="preserve"> </w:t>
      </w:r>
      <w:r>
        <w:rPr>
          <w:rFonts w:hint="eastAsia" w:ascii="宋体" w:hAnsi="宋体" w:eastAsia="宋体" w:cs="宋体"/>
          <w:spacing w:val="0"/>
          <w:lang w:val="en-US" w:eastAsia="zh-CN"/>
        </w:rPr>
        <w:t xml:space="preserve"> 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_Toc24979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3DBDAE4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_Toc7568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2</w:t>
      </w:r>
      <w:r>
        <w:rPr>
          <w:rFonts w:hint="eastAsia" w:cs="宋体"/>
          <w:spacing w:val="0"/>
          <w:lang w:val="en-US" w:eastAsia="zh-CN"/>
        </w:rPr>
        <w:t xml:space="preserve"> </w:t>
      </w:r>
      <w:r>
        <w:rPr>
          <w:rFonts w:hint="eastAsia" w:ascii="宋体" w:hAnsi="宋体" w:eastAsia="宋体" w:cs="宋体"/>
          <w:spacing w:val="0"/>
          <w:lang w:val="en-US" w:eastAsia="zh-CN"/>
        </w:rPr>
        <w:t xml:space="preserve"> 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_Toc7568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1E100A16">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_Toc3994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3</w:t>
      </w:r>
      <w:r>
        <w:rPr>
          <w:rFonts w:hint="eastAsia" w:cs="宋体"/>
          <w:spacing w:val="0"/>
          <w:lang w:val="en-US" w:eastAsia="zh-CN"/>
        </w:rPr>
        <w:t xml:space="preserve"> </w:t>
      </w:r>
      <w:r>
        <w:rPr>
          <w:rFonts w:hint="eastAsia" w:ascii="宋体" w:hAnsi="宋体" w:eastAsia="宋体" w:cs="宋体"/>
          <w:spacing w:val="0"/>
          <w:lang w:val="en-US" w:eastAsia="zh-CN"/>
        </w:rPr>
        <w:t xml:space="preserve"> 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_Toc3994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1315748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_Toc28976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4</w:t>
      </w:r>
      <w:r>
        <w:rPr>
          <w:rFonts w:hint="eastAsia" w:cs="宋体"/>
          <w:spacing w:val="0"/>
          <w:lang w:val="en-US" w:eastAsia="zh-CN"/>
        </w:rPr>
        <w:t xml:space="preserve"> </w:t>
      </w:r>
      <w:r>
        <w:rPr>
          <w:rFonts w:hint="eastAsia" w:ascii="宋体" w:hAnsi="宋体" w:eastAsia="宋体" w:cs="宋体"/>
          <w:spacing w:val="0"/>
          <w:lang w:val="en-US" w:eastAsia="zh-CN"/>
        </w:rPr>
        <w:t xml:space="preserve"> 产地范围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_Toc28976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1599D328">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_Toc26690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5</w:t>
      </w:r>
      <w:r>
        <w:rPr>
          <w:rFonts w:hint="eastAsia" w:cs="宋体"/>
          <w:spacing w:val="0"/>
          <w:lang w:val="en-US" w:eastAsia="zh-CN"/>
        </w:rPr>
        <w:t xml:space="preserve"> </w:t>
      </w:r>
      <w:r>
        <w:rPr>
          <w:rFonts w:hint="eastAsia" w:ascii="宋体" w:hAnsi="宋体" w:eastAsia="宋体" w:cs="宋体"/>
          <w:spacing w:val="0"/>
          <w:lang w:val="en-US" w:eastAsia="zh-CN"/>
        </w:rPr>
        <w:t xml:space="preserve"> 产地环境</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_Toc26690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402E36CD">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_Toc9919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6</w:t>
      </w:r>
      <w:r>
        <w:rPr>
          <w:rFonts w:hint="eastAsia" w:cs="宋体"/>
          <w:spacing w:val="0"/>
          <w:lang w:val="en-US" w:eastAsia="zh-CN"/>
        </w:rPr>
        <w:t xml:space="preserve"> </w:t>
      </w:r>
      <w:r>
        <w:rPr>
          <w:rFonts w:hint="eastAsia" w:ascii="宋体" w:hAnsi="宋体" w:eastAsia="宋体" w:cs="宋体"/>
          <w:spacing w:val="0"/>
          <w:lang w:val="en-US" w:eastAsia="zh-CN"/>
        </w:rPr>
        <w:t xml:space="preserve"> 技术要求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_Toc9919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0480A208">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_Toc23196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7</w:t>
      </w:r>
      <w:r>
        <w:rPr>
          <w:rFonts w:hint="eastAsia" w:cs="宋体"/>
          <w:spacing w:val="0"/>
          <w:lang w:val="en-US" w:eastAsia="zh-CN"/>
        </w:rPr>
        <w:t xml:space="preserve"> </w:t>
      </w:r>
      <w:r>
        <w:rPr>
          <w:rFonts w:hint="eastAsia" w:ascii="宋体" w:hAnsi="宋体" w:eastAsia="宋体" w:cs="宋体"/>
          <w:spacing w:val="0"/>
          <w:lang w:val="en-US" w:eastAsia="zh-CN"/>
        </w:rPr>
        <w:t xml:space="preserve"> 质量要求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_Toc23196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6BAE032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_Toc8631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8</w:t>
      </w:r>
      <w:r>
        <w:rPr>
          <w:rFonts w:hint="eastAsia" w:cs="宋体"/>
          <w:spacing w:val="0"/>
          <w:lang w:val="en-US" w:eastAsia="zh-CN"/>
        </w:rPr>
        <w:t xml:space="preserve"> </w:t>
      </w:r>
      <w:r>
        <w:rPr>
          <w:rFonts w:hint="eastAsia" w:ascii="宋体" w:hAnsi="宋体" w:eastAsia="宋体" w:cs="宋体"/>
          <w:spacing w:val="0"/>
          <w:lang w:val="en-US" w:eastAsia="zh-CN"/>
        </w:rPr>
        <w:t xml:space="preserve"> 检验方法</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_Toc8631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1100A660">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_Toc21054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9</w:t>
      </w:r>
      <w:r>
        <w:rPr>
          <w:rFonts w:hint="eastAsia" w:cs="宋体"/>
          <w:spacing w:val="0"/>
          <w:lang w:val="en-US" w:eastAsia="zh-CN"/>
        </w:rPr>
        <w:t xml:space="preserve"> </w:t>
      </w:r>
      <w:r>
        <w:rPr>
          <w:rFonts w:hint="eastAsia" w:ascii="宋体" w:hAnsi="宋体" w:eastAsia="宋体" w:cs="宋体"/>
          <w:spacing w:val="0"/>
          <w:lang w:val="en-US" w:eastAsia="zh-CN"/>
        </w:rPr>
        <w:t xml:space="preserve"> 检验规则</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_Toc21054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6B38D38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_Toc25939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10</w:t>
      </w:r>
      <w:r>
        <w:rPr>
          <w:rFonts w:hint="eastAsia" w:cs="宋体"/>
          <w:spacing w:val="0"/>
          <w:lang w:val="en-US" w:eastAsia="zh-CN"/>
        </w:rPr>
        <w:t xml:space="preserve"> </w:t>
      </w:r>
      <w:r>
        <w:rPr>
          <w:rFonts w:hint="eastAsia" w:ascii="宋体" w:hAnsi="宋体" w:eastAsia="宋体" w:cs="宋体"/>
          <w:spacing w:val="0"/>
          <w:lang w:val="en-US" w:eastAsia="zh-CN"/>
        </w:rPr>
        <w:t xml:space="preserve"> 标志、标签</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_Toc25939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39664B2B">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_Toc23434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11</w:t>
      </w:r>
      <w:r>
        <w:rPr>
          <w:rFonts w:hint="eastAsia" w:cs="宋体"/>
          <w:spacing w:val="0"/>
          <w:lang w:val="en-US" w:eastAsia="zh-CN"/>
        </w:rPr>
        <w:t xml:space="preserve"> </w:t>
      </w:r>
      <w:r>
        <w:rPr>
          <w:rFonts w:hint="eastAsia" w:ascii="宋体" w:hAnsi="宋体" w:eastAsia="宋体" w:cs="宋体"/>
          <w:spacing w:val="0"/>
          <w:lang w:val="en-US" w:eastAsia="zh-CN"/>
        </w:rPr>
        <w:t xml:space="preserve"> 包装、运输和贮存</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_Toc23434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71289692">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_Toc21043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附录A</w:t>
      </w:r>
      <w:r>
        <w:rPr>
          <w:rFonts w:hint="eastAsia" w:cs="宋体"/>
          <w:spacing w:val="0"/>
          <w:lang w:val="en-US" w:eastAsia="zh-CN"/>
        </w:rPr>
        <w:t xml:space="preserve"> </w:t>
      </w:r>
      <w:r>
        <w:rPr>
          <w:rFonts w:hint="eastAsia" w:ascii="宋体" w:hAnsi="宋体" w:eastAsia="宋体" w:cs="宋体"/>
          <w:spacing w:val="0"/>
          <w:lang w:val="en-US" w:eastAsia="zh-CN"/>
        </w:rPr>
        <w:t>（资料性） 地理标志产品质量要求湟源青蒜苗</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_Toc21043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359A11B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rPr>
        <w:fldChar w:fldCharType="begin"/>
      </w:r>
      <w:r>
        <w:rPr>
          <w:rFonts w:hint="eastAsia" w:ascii="宋体" w:hAnsi="宋体" w:eastAsia="宋体" w:cs="宋体"/>
          <w:spacing w:val="0"/>
        </w:rPr>
        <w:instrText xml:space="preserve"> HYPERLINK \l _Toc27454 </w:instrText>
      </w:r>
      <w:r>
        <w:rPr>
          <w:rFonts w:hint="eastAsia" w:ascii="宋体" w:hAnsi="宋体" w:eastAsia="宋体" w:cs="宋体"/>
          <w:spacing w:val="0"/>
        </w:rPr>
        <w:fldChar w:fldCharType="separate"/>
      </w:r>
      <w:r>
        <w:rPr>
          <w:rFonts w:hint="eastAsia" w:ascii="宋体" w:hAnsi="宋体" w:eastAsia="宋体" w:cs="宋体"/>
          <w:spacing w:val="0"/>
          <w:lang w:val="en-US" w:eastAsia="zh-CN"/>
        </w:rPr>
        <w:t>参考文献</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_Toc27454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rPr>
        <w:fldChar w:fldCharType="end"/>
      </w:r>
    </w:p>
    <w:p w14:paraId="0406FF29">
      <w:pPr>
        <w:ind w:left="0" w:leftChars="0" w:firstLine="0" w:firstLineChars="0"/>
        <w:rPr>
          <w:rFonts w:hint="eastAsia"/>
          <w:lang w:val="en-US" w:eastAsia="zh-CN"/>
        </w:rPr>
      </w:pPr>
      <w:r>
        <w:rPr>
          <w:rFonts w:hint="eastAsia" w:ascii="宋体" w:hAnsi="宋体" w:eastAsia="宋体" w:cs="宋体"/>
          <w:spacing w:val="0"/>
        </w:rPr>
        <w:fldChar w:fldCharType="end"/>
      </w:r>
      <w:r>
        <w:rPr>
          <w:rFonts w:hint="eastAsia"/>
          <w:lang w:val="en-US" w:eastAsia="zh-CN"/>
        </w:rPr>
        <w:br w:type="page"/>
      </w:r>
    </w:p>
    <w:p w14:paraId="170EABFD">
      <w:pPr>
        <w:pStyle w:val="54"/>
        <w:bidi w:val="0"/>
        <w:rPr>
          <w:rFonts w:hint="eastAsia"/>
          <w:lang w:val="en-US" w:eastAsia="zh-CN"/>
        </w:rPr>
      </w:pPr>
      <w:bookmarkStart w:id="9" w:name="_Toc28402"/>
      <w:bookmarkStart w:id="10" w:name="_Toc10476"/>
      <w:bookmarkStart w:id="11" w:name="_Toc10540"/>
      <w:bookmarkStart w:id="12" w:name="_Toc27991"/>
      <w:bookmarkStart w:id="13" w:name="_Toc5481"/>
      <w:bookmarkStart w:id="14" w:name="_Toc11108"/>
      <w:r>
        <w:rPr>
          <w:rFonts w:hint="eastAsia"/>
          <w:spacing w:val="317"/>
          <w:lang w:val="en-US" w:eastAsia="zh-CN"/>
        </w:rPr>
        <w:t>前</w:t>
      </w:r>
      <w:bookmarkStart w:id="15" w:name="BKQY"/>
      <w:r>
        <w:rPr>
          <w:rFonts w:hint="eastAsia"/>
          <w:lang w:val="en-US" w:eastAsia="zh-CN"/>
        </w:rPr>
        <w:t>言</w:t>
      </w:r>
      <w:bookmarkEnd w:id="9"/>
      <w:bookmarkEnd w:id="10"/>
      <w:bookmarkEnd w:id="11"/>
      <w:bookmarkEnd w:id="12"/>
      <w:bookmarkEnd w:id="13"/>
      <w:bookmarkEnd w:id="14"/>
    </w:p>
    <w:p w14:paraId="6FBF2640">
      <w:pPr>
        <w:pStyle w:val="23"/>
        <w:bidi w:val="0"/>
        <w:rPr>
          <w:rFonts w:hint="eastAsia"/>
          <w:lang w:val="en-US" w:eastAsia="zh-CN"/>
        </w:rPr>
      </w:pPr>
      <w:r>
        <w:rPr>
          <w:rFonts w:hint="eastAsia"/>
          <w:lang w:val="en-US" w:eastAsia="zh-CN"/>
        </w:rPr>
        <w:t>本文件按照GB/T 1.1—2020《标准化工作导则  第1部分：标准化文件的结构和起草规则》的规定起草。</w:t>
      </w:r>
    </w:p>
    <w:p w14:paraId="37E38273">
      <w:pPr>
        <w:pStyle w:val="23"/>
        <w:bidi w:val="0"/>
        <w:rPr>
          <w:rFonts w:hint="eastAsia"/>
          <w:lang w:val="en-US" w:eastAsia="zh-CN"/>
        </w:rPr>
      </w:pPr>
      <w:r>
        <w:rPr>
          <w:rFonts w:hint="eastAsia"/>
          <w:lang w:val="en-US" w:eastAsia="zh-CN"/>
        </w:rPr>
        <w:t>请注意本文件的某些内容可能涉及专利。本文件的发布机构不承担识别专利的责任。</w:t>
      </w:r>
    </w:p>
    <w:p w14:paraId="0A71804E">
      <w:pPr>
        <w:pStyle w:val="23"/>
        <w:bidi w:val="0"/>
        <w:rPr>
          <w:rFonts w:hint="eastAsia"/>
          <w:lang w:val="en-US" w:eastAsia="zh-CN"/>
        </w:rPr>
      </w:pPr>
      <w:r>
        <w:rPr>
          <w:rFonts w:hint="eastAsia"/>
          <w:lang w:val="en-US" w:eastAsia="zh-CN"/>
        </w:rPr>
        <w:t>本文件由青海省标准化协会提出并归口。</w:t>
      </w:r>
    </w:p>
    <w:p w14:paraId="5DE45436">
      <w:pPr>
        <w:pStyle w:val="23"/>
        <w:bidi w:val="0"/>
        <w:rPr>
          <w:rFonts w:hint="default"/>
          <w:lang w:val="en-US" w:eastAsia="zh-CN"/>
        </w:rPr>
      </w:pPr>
      <w:r>
        <w:rPr>
          <w:rFonts w:hint="eastAsia"/>
          <w:lang w:val="en-US" w:eastAsia="zh-CN"/>
        </w:rPr>
        <w:t>本文件起草单位：日月藏族乡社会经济综合发展服务中心、青海省农牧机械推广总站……</w:t>
      </w:r>
    </w:p>
    <w:p w14:paraId="38C4B464">
      <w:pPr>
        <w:pStyle w:val="23"/>
        <w:bidi w:val="0"/>
        <w:rPr>
          <w:rFonts w:hint="eastAsia"/>
          <w:lang w:val="en-US" w:eastAsia="zh-CN"/>
        </w:rPr>
      </w:pPr>
      <w:r>
        <w:rPr>
          <w:rFonts w:hint="eastAsia"/>
          <w:lang w:val="en-US" w:eastAsia="zh-CN"/>
        </w:rPr>
        <w:t>本文件主要起草人：</w:t>
      </w:r>
    </w:p>
    <w:p w14:paraId="192EA4C6">
      <w:pPr>
        <w:pStyle w:val="23"/>
        <w:bidi w:val="0"/>
        <w:rPr>
          <w:rFonts w:hint="eastAsia"/>
          <w:lang w:val="en-US" w:eastAsia="zh-CN"/>
        </w:rPr>
      </w:pPr>
      <w:bookmarkStart w:id="100" w:name="_GoBack"/>
      <w:bookmarkEnd w:id="100"/>
    </w:p>
    <w:bookmarkEnd w:id="15"/>
    <w:p w14:paraId="24C3EB0F">
      <w:pPr>
        <w:rPr>
          <w:rFonts w:hint="eastAsia"/>
          <w:lang w:val="en-US" w:eastAsia="zh-CN"/>
        </w:rPr>
      </w:pPr>
    </w:p>
    <w:p w14:paraId="61B14B10">
      <w:pPr>
        <w:rPr>
          <w:rFonts w:hint="eastAsia"/>
          <w:lang w:val="en-US" w:eastAsia="zh-CN"/>
        </w:rPr>
      </w:pPr>
    </w:p>
    <w:p w14:paraId="386B2ECB">
      <w:pPr>
        <w:rPr>
          <w:rFonts w:hint="eastAsia"/>
          <w:lang w:val="en-US" w:eastAsia="zh-CN"/>
        </w:rPr>
        <w:sectPr>
          <w:headerReference r:id="rId3" w:type="default"/>
          <w:footerReference r:id="rId4" w:type="default"/>
          <w:pgSz w:w="11906" w:h="16838"/>
          <w:pgMar w:top="2410" w:right="1134" w:bottom="1134" w:left="1134" w:header="1418" w:footer="1134" w:gutter="284"/>
          <w:lnNumType w:countBy="0" w:restart="continuous"/>
          <w:pgNumType w:fmt="upperRoman" w:start="1"/>
          <w:cols w:space="425" w:num="1"/>
          <w:docGrid w:type="lines" w:linePitch="312" w:charSpace="0"/>
        </w:sectPr>
      </w:pPr>
    </w:p>
    <w:sdt>
      <w:sdtPr>
        <w:rPr>
          <w:rStyle w:val="119"/>
          <w:rFonts w:hint="eastAsia"/>
          <w:lang w:val="en-US" w:eastAsia="zh-CN"/>
        </w:rPr>
        <w:tag w:val="StandardName"/>
        <w:id w:val="147455106"/>
        <w:lock w:val="sdtLocked"/>
        <w:placeholder>
          <w:docPart w:val="{617a9850-9814-454e-9efc-ab7eeb901854}"/>
        </w:placeholder>
      </w:sdtPr>
      <w:sdtEndPr>
        <w:rPr>
          <w:rStyle w:val="119"/>
          <w:rFonts w:hint="eastAsia"/>
          <w:lang w:val="en-US" w:eastAsia="zh-CN"/>
        </w:rPr>
      </w:sdtEndPr>
      <w:sdtContent>
        <w:p w14:paraId="38CD90D9">
          <w:pPr>
            <w:pStyle w:val="60"/>
            <w:bidi w:val="0"/>
            <w:rPr>
              <w:rStyle w:val="119"/>
              <w:rFonts w:hint="eastAsia"/>
              <w:lang w:val="en-US" w:eastAsia="zh-CN"/>
            </w:rPr>
          </w:pPr>
          <w:bookmarkStart w:id="16" w:name="StandardName"/>
          <w:r>
            <w:rPr>
              <w:rStyle w:val="119"/>
              <w:rFonts w:hint="eastAsia"/>
              <w:lang w:val="en-US" w:eastAsia="zh-CN"/>
            </w:rPr>
            <w:t>地理标志产品质量要求湟源青蒜苗</w:t>
          </w:r>
          <w:bookmarkEnd w:id="16"/>
        </w:p>
      </w:sdtContent>
    </w:sdt>
    <w:p w14:paraId="04E583AE">
      <w:pPr>
        <w:pStyle w:val="71"/>
        <w:bidi w:val="0"/>
        <w:rPr>
          <w:rFonts w:hint="eastAsia"/>
          <w:lang w:val="en-US" w:eastAsia="zh-CN"/>
        </w:rPr>
      </w:pPr>
      <w:bookmarkStart w:id="17" w:name="_Toc26663"/>
      <w:bookmarkStart w:id="18" w:name="_Toc24802"/>
      <w:bookmarkStart w:id="19" w:name="_Toc26650"/>
      <w:bookmarkStart w:id="20" w:name="_Toc6094"/>
      <w:bookmarkStart w:id="21" w:name="_Toc24979"/>
      <w:bookmarkStart w:id="22" w:name="_Toc27366"/>
      <w:r>
        <w:rPr>
          <w:rFonts w:hint="eastAsia"/>
          <w:lang w:val="en-US" w:eastAsia="zh-CN"/>
        </w:rPr>
        <w:t>范围</w:t>
      </w:r>
      <w:bookmarkEnd w:id="17"/>
      <w:bookmarkEnd w:id="18"/>
      <w:bookmarkEnd w:id="19"/>
      <w:bookmarkEnd w:id="20"/>
      <w:bookmarkEnd w:id="21"/>
      <w:bookmarkEnd w:id="22"/>
    </w:p>
    <w:p w14:paraId="793F8E96">
      <w:pPr>
        <w:pStyle w:val="23"/>
        <w:rPr>
          <w:rFonts w:hint="eastAsia"/>
          <w:lang w:val="en-US" w:eastAsia="zh-CN"/>
        </w:rPr>
      </w:pPr>
      <w:r>
        <w:rPr>
          <w:rFonts w:hint="eastAsia"/>
          <w:lang w:val="en-US" w:eastAsia="zh-CN"/>
        </w:rPr>
        <w:t>本文件界定了地理标志产品湟源青蒜苗的术语和定义，规定了产地范围、产地环境、技术要求、质量要求、检验方法、检验规则、标志、标签、包装、运输和贮存。</w:t>
      </w:r>
    </w:p>
    <w:p w14:paraId="0554C5CD">
      <w:pPr>
        <w:pStyle w:val="23"/>
        <w:rPr>
          <w:rFonts w:hint="eastAsia"/>
          <w:lang w:val="en-US" w:eastAsia="zh-CN"/>
        </w:rPr>
      </w:pPr>
      <w:r>
        <w:rPr>
          <w:rFonts w:hint="eastAsia"/>
          <w:lang w:val="en-US" w:eastAsia="zh-CN"/>
        </w:rPr>
        <w:t>本文件适用于地理标志产品湟源青蒜苗的生产、加工、流通、检验，亦适用于地理标志产品湟源青蒜苗的保护和管理。</w:t>
      </w:r>
    </w:p>
    <w:p w14:paraId="40CD5704">
      <w:pPr>
        <w:pStyle w:val="71"/>
        <w:bidi w:val="0"/>
        <w:rPr>
          <w:rFonts w:hint="eastAsia"/>
          <w:lang w:val="en-US" w:eastAsia="zh-CN"/>
        </w:rPr>
      </w:pPr>
      <w:bookmarkStart w:id="23" w:name="_Toc19970"/>
      <w:bookmarkStart w:id="24" w:name="_Toc29930"/>
      <w:bookmarkStart w:id="25" w:name="_Toc22022"/>
      <w:bookmarkStart w:id="26" w:name="_Toc24243"/>
      <w:bookmarkStart w:id="27" w:name="_Toc7568"/>
      <w:bookmarkStart w:id="28" w:name="_Toc8492"/>
      <w:r>
        <w:rPr>
          <w:rFonts w:hint="eastAsia"/>
          <w:lang w:val="en-US" w:eastAsia="zh-CN"/>
        </w:rPr>
        <w:t>规范性引用文件</w:t>
      </w:r>
      <w:bookmarkEnd w:id="23"/>
      <w:bookmarkEnd w:id="24"/>
      <w:bookmarkEnd w:id="25"/>
      <w:bookmarkEnd w:id="26"/>
      <w:bookmarkEnd w:id="27"/>
      <w:bookmarkEnd w:id="28"/>
    </w:p>
    <w:sdt>
      <w:sdtPr>
        <w:rPr>
          <w:rFonts w:hint="eastAsia" w:ascii="宋体" w:hAnsi="Times New Roman" w:eastAsia="宋体" w:cs="宋体"/>
          <w:sz w:val="21"/>
          <w:lang w:val="en-US" w:eastAsia="zh-CN"/>
        </w:rPr>
        <w:tag w:val="StandNameFile"/>
        <w:id w:val="147472846"/>
        <w:placeholder>
          <w:docPart w:val="{0f3274e2-7428-47d6-aab2-ec78ebb101c5}"/>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EndPr>
        <w:rPr>
          <w:rFonts w:hint="eastAsia" w:ascii="宋体" w:hAnsi="Times New Roman" w:eastAsia="宋体" w:cs="宋体"/>
          <w:sz w:val="21"/>
          <w:lang w:val="en-US" w:eastAsia="zh-CN"/>
        </w:rPr>
      </w:sdtEndPr>
      <w:sdtContent>
        <w:p w14:paraId="4602D64C">
          <w:pPr>
            <w:pStyle w:val="23"/>
            <w:bidi w:val="0"/>
            <w:rPr>
              <w:rFonts w:hint="eastAsia" w:ascii="宋体" w:hAnsi="Times New Roman" w:eastAsia="宋体" w:cs="宋体"/>
              <w:sz w:val="21"/>
              <w:lang w:val="en-US" w:eastAsia="zh-CN"/>
            </w:rPr>
          </w:pPr>
          <w:r>
            <w:rPr>
              <w:rFonts w:hint="eastAsia" w:ascii="宋体" w:hAnsi="Times New Roman" w:eastAsia="宋体" w:cs="宋体"/>
              <w:sz w:val="21"/>
              <w:lang w:val="en-US" w:eastAsia="zh-C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B876275">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GB 3095</w:t>
      </w:r>
      <w:r>
        <w:rPr>
          <w:rFonts w:hint="eastAsia" w:hAnsi="宋体" w:cs="宋体"/>
          <w:sz w:val="21"/>
          <w:lang w:val="en-US" w:eastAsia="zh-CN"/>
        </w:rPr>
        <w:t xml:space="preserve">  </w:t>
      </w:r>
      <w:r>
        <w:rPr>
          <w:rFonts w:hint="eastAsia" w:ascii="宋体" w:hAnsi="宋体" w:eastAsia="宋体" w:cs="宋体"/>
          <w:sz w:val="21"/>
          <w:lang w:val="en-US" w:eastAsia="zh-CN"/>
        </w:rPr>
        <w:t>环境空气质量标准</w:t>
      </w:r>
    </w:p>
    <w:p w14:paraId="12ACE9A3">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 5084 </w:t>
      </w:r>
      <w:r>
        <w:rPr>
          <w:rFonts w:hint="eastAsia" w:hAnsi="宋体" w:cs="宋体"/>
          <w:sz w:val="21"/>
          <w:lang w:val="en-US" w:eastAsia="zh-CN"/>
        </w:rPr>
        <w:t xml:space="preserve"> </w:t>
      </w:r>
      <w:r>
        <w:rPr>
          <w:rFonts w:hint="eastAsia" w:ascii="宋体" w:hAnsi="宋体" w:eastAsia="宋体" w:cs="宋体"/>
          <w:sz w:val="21"/>
          <w:lang w:val="en-US" w:eastAsia="zh-CN"/>
        </w:rPr>
        <w:t>农田灌溉水质标准</w:t>
      </w:r>
    </w:p>
    <w:p w14:paraId="7615F137">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 15618 </w:t>
      </w:r>
      <w:r>
        <w:rPr>
          <w:rFonts w:hint="eastAsia" w:hAnsi="宋体" w:cs="宋体"/>
          <w:sz w:val="21"/>
          <w:lang w:val="en-US" w:eastAsia="zh-CN"/>
        </w:rPr>
        <w:t xml:space="preserve"> </w:t>
      </w:r>
      <w:r>
        <w:rPr>
          <w:rFonts w:hint="eastAsia" w:ascii="宋体" w:hAnsi="宋体" w:eastAsia="宋体" w:cs="宋体"/>
          <w:sz w:val="21"/>
          <w:lang w:val="en-US" w:eastAsia="zh-CN"/>
        </w:rPr>
        <w:t>土壤环境质量 农用地土壤污染风险管控标准</w:t>
      </w:r>
    </w:p>
    <w:p w14:paraId="7D02101D">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GB/T 1.1 </w:t>
      </w:r>
      <w:r>
        <w:rPr>
          <w:rFonts w:hint="eastAsia" w:hAnsi="宋体" w:cs="宋体"/>
          <w:sz w:val="21"/>
          <w:lang w:val="en-US" w:eastAsia="zh-CN"/>
        </w:rPr>
        <w:t xml:space="preserve"> </w:t>
      </w:r>
      <w:r>
        <w:rPr>
          <w:rFonts w:hint="eastAsia" w:ascii="宋体" w:hAnsi="宋体" w:eastAsia="宋体" w:cs="宋体"/>
          <w:sz w:val="21"/>
          <w:lang w:val="en-US" w:eastAsia="zh-CN"/>
        </w:rPr>
        <w:t>标准化工作导则 第 1 部分：标准化文件的结构和起草规则</w:t>
      </w:r>
    </w:p>
    <w:p w14:paraId="552048DE">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GB/T 8321 </w:t>
      </w:r>
      <w:r>
        <w:rPr>
          <w:rFonts w:hint="eastAsia" w:hAnsi="宋体" w:cs="宋体"/>
          <w:sz w:val="21"/>
          <w:lang w:val="en-US" w:eastAsia="zh-CN"/>
        </w:rPr>
        <w:t xml:space="preserve"> </w:t>
      </w:r>
      <w:r>
        <w:rPr>
          <w:rFonts w:hint="eastAsia" w:ascii="宋体" w:hAnsi="宋体" w:eastAsia="宋体" w:cs="宋体"/>
          <w:sz w:val="21"/>
          <w:lang w:val="en-US" w:eastAsia="zh-CN"/>
        </w:rPr>
        <w:t>农药合理使用准则</w:t>
      </w:r>
    </w:p>
    <w:p w14:paraId="210BA72F">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GB/T 17924 </w:t>
      </w:r>
      <w:r>
        <w:rPr>
          <w:rFonts w:hint="eastAsia" w:hAnsi="宋体" w:cs="宋体"/>
          <w:sz w:val="21"/>
          <w:lang w:val="en-US" w:eastAsia="zh-CN"/>
        </w:rPr>
        <w:t xml:space="preserve"> </w:t>
      </w:r>
      <w:r>
        <w:rPr>
          <w:rFonts w:hint="eastAsia" w:ascii="宋体" w:hAnsi="宋体" w:eastAsia="宋体" w:cs="宋体"/>
          <w:sz w:val="21"/>
          <w:lang w:val="en-US" w:eastAsia="zh-CN"/>
        </w:rPr>
        <w:t>地理标志产品质量要求标准编制通则</w:t>
      </w:r>
    </w:p>
    <w:p w14:paraId="1267E8D2">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GB/T 44584 </w:t>
      </w:r>
      <w:r>
        <w:rPr>
          <w:rFonts w:hint="eastAsia" w:hAnsi="宋体" w:cs="宋体"/>
          <w:sz w:val="21"/>
          <w:lang w:val="en-US" w:eastAsia="zh-CN"/>
        </w:rPr>
        <w:t xml:space="preserve"> </w:t>
      </w:r>
      <w:r>
        <w:rPr>
          <w:rFonts w:hint="eastAsia" w:ascii="宋体" w:hAnsi="宋体" w:eastAsia="宋体" w:cs="宋体"/>
          <w:sz w:val="21"/>
          <w:lang w:val="en-US" w:eastAsia="zh-CN"/>
        </w:rPr>
        <w:t>地理标志 基础术语</w:t>
      </w:r>
    </w:p>
    <w:p w14:paraId="67F57D05">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NY/T 393 </w:t>
      </w:r>
      <w:r>
        <w:rPr>
          <w:rFonts w:hint="eastAsia" w:hAnsi="宋体" w:cs="宋体"/>
          <w:sz w:val="21"/>
          <w:lang w:val="en-US" w:eastAsia="zh-CN"/>
        </w:rPr>
        <w:t xml:space="preserve"> </w:t>
      </w:r>
      <w:r>
        <w:rPr>
          <w:rFonts w:hint="eastAsia" w:ascii="宋体" w:hAnsi="宋体" w:eastAsia="宋体" w:cs="宋体"/>
          <w:sz w:val="21"/>
          <w:lang w:val="en-US" w:eastAsia="zh-CN"/>
        </w:rPr>
        <w:t>绿色食品 农药使用准则</w:t>
      </w:r>
    </w:p>
    <w:p w14:paraId="3D22902C">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NY/T 394 </w:t>
      </w:r>
      <w:r>
        <w:rPr>
          <w:rFonts w:hint="eastAsia" w:hAnsi="宋体" w:cs="宋体"/>
          <w:sz w:val="21"/>
          <w:lang w:val="en-US" w:eastAsia="zh-CN"/>
        </w:rPr>
        <w:t xml:space="preserve"> </w:t>
      </w:r>
      <w:r>
        <w:rPr>
          <w:rFonts w:hint="eastAsia" w:ascii="宋体" w:hAnsi="宋体" w:eastAsia="宋体" w:cs="宋体"/>
          <w:sz w:val="21"/>
          <w:lang w:val="en-US" w:eastAsia="zh-CN"/>
        </w:rPr>
        <w:t>绿色食品 肥料使用准则</w:t>
      </w:r>
    </w:p>
    <w:p w14:paraId="3ECEDCA1">
      <w:pPr>
        <w:pStyle w:val="23"/>
        <w:bidi w:val="0"/>
        <w:rPr>
          <w:rFonts w:hint="eastAsia" w:ascii="宋体" w:hAnsi="宋体" w:eastAsia="宋体" w:cs="宋体"/>
          <w:sz w:val="21"/>
          <w:lang w:val="en-US" w:eastAsia="zh-CN"/>
        </w:rPr>
      </w:pPr>
      <w:r>
        <w:rPr>
          <w:rFonts w:hint="eastAsia" w:ascii="宋体" w:hAnsi="宋体" w:eastAsia="宋体" w:cs="宋体"/>
          <w:sz w:val="21"/>
          <w:lang w:val="en-US" w:eastAsia="zh-CN"/>
        </w:rPr>
        <w:t xml:space="preserve">NY/T 744 </w:t>
      </w:r>
      <w:r>
        <w:rPr>
          <w:rFonts w:hint="eastAsia" w:hAnsi="宋体" w:cs="宋体"/>
          <w:sz w:val="21"/>
          <w:lang w:val="en-US" w:eastAsia="zh-CN"/>
        </w:rPr>
        <w:t xml:space="preserve"> </w:t>
      </w:r>
      <w:r>
        <w:rPr>
          <w:rFonts w:hint="eastAsia" w:ascii="宋体" w:hAnsi="宋体" w:eastAsia="宋体" w:cs="宋体"/>
          <w:sz w:val="21"/>
          <w:lang w:val="en-US" w:eastAsia="zh-CN"/>
        </w:rPr>
        <w:t>绿色食品 葱蒜类蔬菜</w:t>
      </w:r>
    </w:p>
    <w:p w14:paraId="27297CCF">
      <w:pPr>
        <w:pStyle w:val="71"/>
        <w:bidi w:val="0"/>
        <w:rPr>
          <w:rFonts w:hint="eastAsia"/>
          <w:lang w:val="en-US" w:eastAsia="zh-CN"/>
        </w:rPr>
      </w:pPr>
      <w:bookmarkStart w:id="29" w:name="_Toc6974"/>
      <w:bookmarkStart w:id="30" w:name="_Toc4206"/>
      <w:bookmarkStart w:id="31" w:name="_Toc30788"/>
      <w:bookmarkStart w:id="32" w:name="_Toc3994"/>
      <w:bookmarkStart w:id="33" w:name="_Toc21816"/>
      <w:bookmarkStart w:id="34" w:name="_Toc14241"/>
      <w:r>
        <w:rPr>
          <w:rFonts w:hint="eastAsia"/>
          <w:lang w:val="en-US" w:eastAsia="zh-CN"/>
        </w:rPr>
        <w:t>术语和定义</w:t>
      </w:r>
      <w:bookmarkEnd w:id="29"/>
      <w:bookmarkEnd w:id="30"/>
      <w:bookmarkEnd w:id="31"/>
      <w:bookmarkEnd w:id="32"/>
      <w:bookmarkEnd w:id="33"/>
      <w:bookmarkEnd w:id="34"/>
    </w:p>
    <w:sdt>
      <w:sdtPr>
        <w:rPr>
          <w:rFonts w:hint="eastAsia" w:ascii="宋体" w:hAnsi="Times New Roman" w:eastAsia="宋体" w:cs="宋体"/>
          <w:sz w:val="21"/>
          <w:lang w:val="en-US" w:eastAsia="zh-CN"/>
        </w:rPr>
        <w:tag w:val="TermContent"/>
        <w:id w:val="147460108"/>
        <w:placeholder>
          <w:docPart w:val="{e008379e-d67b-48df-bde3-ab8fbf77757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宋体" w:hAnsi="Times New Roman" w:eastAsia="宋体" w:cs="宋体"/>
          <w:sz w:val="21"/>
          <w:lang w:val="en-US" w:eastAsia="zh-CN"/>
        </w:rPr>
      </w:sdtEndPr>
      <w:sdtContent>
        <w:sdt>
          <w:sdtPr>
            <w:rPr>
              <w:rFonts w:hint="eastAsia" w:ascii="宋体" w:hAnsi="Times New Roman" w:eastAsia="宋体" w:cs="宋体"/>
              <w:sz w:val="21"/>
              <w:lang w:val="en-US" w:eastAsia="zh-CN"/>
            </w:rPr>
            <w:tag w:val="TermContent"/>
            <w:id w:val="147479056"/>
            <w:placeholder>
              <w:docPart w:val="{7139f5a1-3460-454c-bfbc-ccc0e4211351}"/>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宋体" w:hAnsi="Times New Roman" w:eastAsia="宋体" w:cs="宋体"/>
              <w:sz w:val="21"/>
              <w:lang w:val="en-US" w:eastAsia="zh-CN"/>
            </w:rPr>
          </w:sdtEndPr>
          <w:sdtContent>
            <w:p w14:paraId="5A9AFEE2">
              <w:pPr>
                <w:pStyle w:val="23"/>
                <w:rPr>
                  <w:rFonts w:hint="eastAsia"/>
                  <w:lang w:val="en-US" w:eastAsia="zh-CN"/>
                </w:rPr>
              </w:pPr>
              <w:r>
                <w:rPr>
                  <w:rFonts w:hint="eastAsia" w:cs="宋体"/>
                  <w:sz w:val="21"/>
                  <w:lang w:val="en-US" w:eastAsia="zh-CN"/>
                </w:rPr>
                <w:t>下列</w:t>
              </w:r>
              <w:r>
                <w:rPr>
                  <w:rFonts w:hint="eastAsia" w:ascii="宋体" w:hAnsi="Times New Roman" w:eastAsia="宋体" w:cs="宋体"/>
                  <w:sz w:val="21"/>
                  <w:lang w:val="en-US" w:eastAsia="zh-CN"/>
                </w:rPr>
                <w:t>术语和定义适用于本文件。</w:t>
              </w:r>
            </w:p>
          </w:sdtContent>
        </w:sdt>
      </w:sdtContent>
    </w:sdt>
    <w:p w14:paraId="5E59653A">
      <w:pPr>
        <w:pStyle w:val="82"/>
        <w:bidi w:val="0"/>
        <w:spacing w:after="0" w:afterLines="0"/>
        <w:ind w:left="420" w:hanging="420" w:hangingChars="200"/>
        <w:rPr>
          <w:rFonts w:hint="eastAsia" w:ascii="黑体" w:hAnsi="黑体" w:eastAsia="黑体" w:cs="黑体"/>
          <w:lang w:val="en-US" w:eastAsia="zh-CN"/>
        </w:rPr>
      </w:pPr>
    </w:p>
    <w:p w14:paraId="3B96281B">
      <w:pPr>
        <w:pStyle w:val="82"/>
        <w:numPr>
          <w:ilvl w:val="1"/>
          <w:numId w:val="0"/>
        </w:numPr>
        <w:bidi w:val="0"/>
        <w:spacing w:after="0" w:afterLines="0"/>
        <w:ind w:firstLine="420" w:firstLineChars="200"/>
        <w:rPr>
          <w:rFonts w:hint="eastAsia"/>
          <w:lang w:val="en-US" w:eastAsia="zh-CN"/>
        </w:rPr>
      </w:pPr>
      <w:r>
        <w:rPr>
          <w:rFonts w:hint="eastAsia"/>
          <w:lang w:val="en-US" w:eastAsia="zh-CN"/>
        </w:rPr>
        <w:t>湟源青蒜苗</w:t>
      </w:r>
    </w:p>
    <w:p w14:paraId="471B6E9F">
      <w:pPr>
        <w:pStyle w:val="23"/>
        <w:rPr>
          <w:rFonts w:hint="eastAsia"/>
          <w:lang w:val="en-US" w:eastAsia="zh-CN"/>
        </w:rPr>
      </w:pPr>
      <w:r>
        <w:rPr>
          <w:rFonts w:hint="eastAsia"/>
          <w:lang w:val="en-US" w:eastAsia="zh-CN"/>
        </w:rPr>
        <w:t>青海省湟源县地理标志保护范围内，以当地适宜大蒜品种为种源，按照特定栽培技术生产，具有叶色深绿、假茎粗长、蒜香浓郁、营养含量高等品质特征的鲜嫩青蒜苗。</w:t>
      </w:r>
    </w:p>
    <w:p w14:paraId="65C461A3">
      <w:pPr>
        <w:pStyle w:val="82"/>
        <w:bidi w:val="0"/>
        <w:spacing w:after="0" w:afterLines="0"/>
        <w:ind w:left="420" w:hanging="420" w:hangingChars="200"/>
        <w:rPr>
          <w:rFonts w:hint="eastAsia" w:ascii="黑体" w:hAnsi="黑体" w:eastAsia="黑体" w:cs="黑体"/>
          <w:lang w:val="en-US" w:eastAsia="zh-CN"/>
        </w:rPr>
      </w:pPr>
    </w:p>
    <w:p w14:paraId="5D17AE01">
      <w:pPr>
        <w:pStyle w:val="82"/>
        <w:numPr>
          <w:ilvl w:val="1"/>
          <w:numId w:val="0"/>
        </w:numPr>
        <w:bidi w:val="0"/>
        <w:spacing w:after="0" w:afterLines="0"/>
        <w:ind w:firstLine="420" w:firstLineChars="200"/>
        <w:rPr>
          <w:rFonts w:hint="eastAsia"/>
          <w:lang w:val="en-US" w:eastAsia="zh-CN"/>
        </w:rPr>
      </w:pPr>
      <w:r>
        <w:rPr>
          <w:rFonts w:hint="eastAsia"/>
          <w:lang w:val="en-US" w:eastAsia="zh-CN"/>
        </w:rPr>
        <w:t>种瓣</w:t>
      </w:r>
    </w:p>
    <w:p w14:paraId="71CFBB23">
      <w:pPr>
        <w:pStyle w:val="23"/>
        <w:rPr>
          <w:rFonts w:hint="eastAsia"/>
          <w:lang w:val="en-US" w:eastAsia="zh-CN"/>
        </w:rPr>
      </w:pPr>
      <w:r>
        <w:rPr>
          <w:rFonts w:hint="eastAsia"/>
          <w:lang w:val="en-US" w:eastAsia="zh-CN"/>
        </w:rPr>
        <w:t>用于播种的健康蒜瓣，剔除病、虫、伤、烂瓣，要求完整饱满、无病虫损伤、根眼完好。</w:t>
      </w:r>
    </w:p>
    <w:p w14:paraId="19B1F7B1">
      <w:pPr>
        <w:pStyle w:val="82"/>
        <w:bidi w:val="0"/>
        <w:spacing w:after="0" w:afterLines="0"/>
        <w:ind w:left="420" w:hanging="420" w:hangingChars="200"/>
        <w:rPr>
          <w:rFonts w:hint="eastAsia" w:ascii="黑体" w:hAnsi="黑体" w:eastAsia="黑体" w:cs="黑体"/>
          <w:lang w:val="en-US" w:eastAsia="zh-CN"/>
        </w:rPr>
      </w:pPr>
    </w:p>
    <w:p w14:paraId="1C3042AA">
      <w:pPr>
        <w:pStyle w:val="82"/>
        <w:numPr>
          <w:ilvl w:val="1"/>
          <w:numId w:val="0"/>
        </w:numPr>
        <w:bidi w:val="0"/>
        <w:spacing w:after="0" w:afterLines="0"/>
        <w:ind w:firstLine="420" w:firstLineChars="200"/>
        <w:rPr>
          <w:rFonts w:hint="eastAsia"/>
          <w:lang w:val="en-US" w:eastAsia="zh-CN"/>
        </w:rPr>
      </w:pPr>
      <w:r>
        <w:rPr>
          <w:rFonts w:hint="eastAsia"/>
          <w:lang w:val="en-US" w:eastAsia="zh-CN"/>
        </w:rPr>
        <w:t>假茎</w:t>
      </w:r>
    </w:p>
    <w:p w14:paraId="5AD43A83">
      <w:pPr>
        <w:pStyle w:val="23"/>
        <w:rPr>
          <w:rFonts w:hint="eastAsia"/>
          <w:lang w:val="en-US" w:eastAsia="zh-CN"/>
        </w:rPr>
      </w:pPr>
      <w:r>
        <w:rPr>
          <w:rFonts w:hint="eastAsia"/>
          <w:lang w:val="en-US" w:eastAsia="zh-CN"/>
        </w:rPr>
        <w:t>由多层叶鞘相互抱合形成的柱状结构，是湟源青蒜苗的主要食用部位。</w:t>
      </w:r>
    </w:p>
    <w:p w14:paraId="2046C139">
      <w:pPr>
        <w:pStyle w:val="71"/>
        <w:bidi w:val="0"/>
        <w:rPr>
          <w:rFonts w:hint="eastAsia"/>
          <w:lang w:val="en-US" w:eastAsia="zh-CN"/>
        </w:rPr>
      </w:pPr>
      <w:bookmarkStart w:id="35" w:name="_Toc8762"/>
      <w:bookmarkStart w:id="36" w:name="_Toc15059"/>
      <w:bookmarkStart w:id="37" w:name="_Toc6898"/>
      <w:bookmarkStart w:id="38" w:name="_Toc26837"/>
      <w:bookmarkStart w:id="39" w:name="_Toc28976"/>
      <w:r>
        <w:rPr>
          <w:rFonts w:hint="eastAsia"/>
          <w:lang w:val="en-US" w:eastAsia="zh-CN"/>
        </w:rPr>
        <w:t>产地范围</w:t>
      </w:r>
      <w:bookmarkEnd w:id="35"/>
      <w:bookmarkEnd w:id="36"/>
      <w:bookmarkEnd w:id="37"/>
      <w:bookmarkEnd w:id="38"/>
      <w:bookmarkEnd w:id="39"/>
    </w:p>
    <w:p w14:paraId="15BEC7F6">
      <w:pPr>
        <w:pStyle w:val="23"/>
        <w:rPr>
          <w:rFonts w:hint="eastAsia"/>
          <w:lang w:val="en-US" w:eastAsia="zh-CN"/>
        </w:rPr>
      </w:pPr>
      <w:r>
        <w:rPr>
          <w:rFonts w:hint="eastAsia"/>
          <w:lang w:val="en-US" w:eastAsia="zh-CN"/>
        </w:rPr>
        <w:t>湟源青蒜苗产地范围为青海省湟源县所辖行政区域，地理坐标为北纬36°20′～36°53′，东经100°54′～101°25′，涵盖日月乡、寺寨乡、申中乡、大华镇、和平乡、巴燕乡、东峡乡、波航乡、城关镇等七乡两镇，见附录A。</w:t>
      </w:r>
    </w:p>
    <w:p w14:paraId="6798D770">
      <w:pPr>
        <w:pStyle w:val="71"/>
        <w:bidi w:val="0"/>
        <w:rPr>
          <w:rFonts w:hint="eastAsia"/>
          <w:lang w:val="en-US" w:eastAsia="zh-CN"/>
        </w:rPr>
      </w:pPr>
      <w:bookmarkStart w:id="40" w:name="_Toc30844"/>
      <w:bookmarkStart w:id="41" w:name="_Toc26690"/>
      <w:bookmarkStart w:id="42" w:name="_Toc19141"/>
      <w:bookmarkStart w:id="43" w:name="_Toc16290"/>
      <w:bookmarkStart w:id="44" w:name="_Toc31531"/>
      <w:r>
        <w:rPr>
          <w:rFonts w:hint="eastAsia"/>
          <w:lang w:val="en-US" w:eastAsia="zh-CN"/>
        </w:rPr>
        <w:t>产地</w:t>
      </w:r>
      <w:bookmarkEnd w:id="40"/>
      <w:r>
        <w:rPr>
          <w:rFonts w:hint="eastAsia"/>
          <w:lang w:val="en-US" w:eastAsia="zh-CN"/>
        </w:rPr>
        <w:t>环境</w:t>
      </w:r>
      <w:bookmarkEnd w:id="41"/>
      <w:bookmarkEnd w:id="42"/>
      <w:bookmarkEnd w:id="43"/>
      <w:bookmarkEnd w:id="44"/>
    </w:p>
    <w:p w14:paraId="791DE222">
      <w:pPr>
        <w:pStyle w:val="77"/>
        <w:bidi w:val="0"/>
        <w:spacing w:before="0" w:beforeLines="0" w:after="0" w:afterLines="0"/>
        <w:rPr>
          <w:rFonts w:hint="eastAsia" w:ascii="黑体" w:hAnsi="黑体" w:eastAsia="黑体" w:cs="黑体"/>
          <w:lang w:val="en-US" w:eastAsia="zh-CN"/>
        </w:rPr>
      </w:pPr>
      <w:bookmarkStart w:id="45" w:name="_Toc12921"/>
      <w:bookmarkStart w:id="46" w:name="_Toc5836"/>
      <w:bookmarkStart w:id="47" w:name="_Toc906"/>
      <w:r>
        <w:rPr>
          <w:rFonts w:hint="eastAsia" w:ascii="黑体" w:hAnsi="黑体" w:eastAsia="黑体" w:cs="黑体"/>
          <w:lang w:val="en-US" w:eastAsia="zh-CN"/>
        </w:rPr>
        <w:t>土壤地貌</w:t>
      </w:r>
      <w:bookmarkEnd w:id="45"/>
      <w:bookmarkEnd w:id="46"/>
      <w:bookmarkEnd w:id="47"/>
    </w:p>
    <w:p w14:paraId="0C20F609">
      <w:pPr>
        <w:pStyle w:val="23"/>
        <w:rPr>
          <w:rFonts w:hint="eastAsia"/>
          <w:lang w:val="en-US" w:eastAsia="zh-CN"/>
        </w:rPr>
      </w:pPr>
      <w:r>
        <w:rPr>
          <w:rFonts w:hint="eastAsia"/>
          <w:lang w:val="en-US" w:eastAsia="zh-CN"/>
        </w:rPr>
        <w:t>产地地处祁连山系，海拔2470</w:t>
      </w:r>
      <w:r>
        <w:rPr>
          <w:rFonts w:hint="eastAsia"/>
          <w:sz w:val="11"/>
          <w:szCs w:val="11"/>
          <w:lang w:val="en-US" w:eastAsia="zh-CN"/>
        </w:rPr>
        <w:t xml:space="preserve"> </w:t>
      </w:r>
      <w:r>
        <w:rPr>
          <w:rFonts w:hint="eastAsia"/>
          <w:lang w:val="en-US" w:eastAsia="zh-CN"/>
        </w:rPr>
        <w:t>m～4898</w:t>
      </w:r>
      <w:r>
        <w:rPr>
          <w:rFonts w:hint="eastAsia"/>
          <w:sz w:val="11"/>
          <w:szCs w:val="11"/>
          <w:lang w:val="en-US" w:eastAsia="zh-CN"/>
        </w:rPr>
        <w:t xml:space="preserve"> </w:t>
      </w:r>
      <w:r>
        <w:rPr>
          <w:rFonts w:hint="eastAsia"/>
          <w:lang w:val="en-US" w:eastAsia="zh-CN"/>
        </w:rPr>
        <w:t>m，地形西高东低，以盆地、丘陵、河谷阶地为主。土壤以黑钙土、栗钙土、潮土、新积土为主，土质疏松、保肥保水能力强、适耕性优良，适宜青蒜苗生长。</w:t>
      </w:r>
    </w:p>
    <w:p w14:paraId="69C23ED2">
      <w:pPr>
        <w:pStyle w:val="77"/>
        <w:bidi w:val="0"/>
        <w:spacing w:before="0" w:beforeLines="0" w:after="0" w:afterLines="0"/>
        <w:rPr>
          <w:rFonts w:hint="eastAsia" w:ascii="黑体" w:hAnsi="黑体" w:eastAsia="黑体" w:cs="黑体"/>
          <w:lang w:val="en-US" w:eastAsia="zh-CN"/>
        </w:rPr>
      </w:pPr>
      <w:bookmarkStart w:id="48" w:name="_Toc15284"/>
      <w:bookmarkStart w:id="49" w:name="_Toc19585"/>
      <w:bookmarkStart w:id="50" w:name="_Toc27851"/>
      <w:r>
        <w:rPr>
          <w:rFonts w:hint="eastAsia" w:ascii="黑体" w:hAnsi="黑体" w:eastAsia="黑体" w:cs="黑体"/>
          <w:lang w:val="en-US" w:eastAsia="zh-CN"/>
        </w:rPr>
        <w:t>水文条件</w:t>
      </w:r>
      <w:bookmarkEnd w:id="48"/>
      <w:bookmarkEnd w:id="49"/>
      <w:bookmarkEnd w:id="50"/>
    </w:p>
    <w:p w14:paraId="68AE9784">
      <w:pPr>
        <w:pStyle w:val="23"/>
        <w:ind w:firstLine="1280"/>
        <w:rPr>
          <w:rFonts w:hint="eastAsia"/>
          <w:lang w:val="en-US" w:eastAsia="zh-CN"/>
        </w:rPr>
      </w:pPr>
      <w:r>
        <w:rPr>
          <w:rFonts w:hint="eastAsia"/>
          <w:lang w:val="en-US" w:eastAsia="zh-CN"/>
        </w:rPr>
        <w:t>产地以湟水河、药水河为主要灌溉水源，水系发达、水质洁净，灌溉用水充足且符合GB 5084要求；湟水河境内全长41.5</w:t>
      </w:r>
      <w:r>
        <w:rPr>
          <w:rFonts w:hint="eastAsia"/>
          <w:sz w:val="11"/>
          <w:szCs w:val="11"/>
          <w:lang w:val="en-US" w:eastAsia="zh-CN"/>
        </w:rPr>
        <w:t xml:space="preserve"> </w:t>
      </w:r>
      <w:r>
        <w:rPr>
          <w:rFonts w:hint="eastAsia"/>
          <w:lang w:val="en-US" w:eastAsia="zh-CN"/>
        </w:rPr>
        <w:t>km，流域面积1461.7</w:t>
      </w:r>
      <w:r>
        <w:rPr>
          <w:rFonts w:hint="eastAsia"/>
          <w:sz w:val="11"/>
          <w:szCs w:val="11"/>
          <w:lang w:val="en-US" w:eastAsia="zh-CN"/>
        </w:rPr>
        <w:t xml:space="preserve"> </w:t>
      </w:r>
      <w:r>
        <w:rPr>
          <w:rFonts w:hint="eastAsia"/>
          <w:lang w:val="en-US" w:eastAsia="zh-CN"/>
        </w:rPr>
        <w:t>km²，多年平均径流量15745.9万</w:t>
      </w:r>
      <w:r>
        <w:rPr>
          <w:rFonts w:hint="eastAsia"/>
          <w:sz w:val="11"/>
          <w:szCs w:val="11"/>
          <w:lang w:val="en-US" w:eastAsia="zh-CN"/>
        </w:rPr>
        <w:t xml:space="preserve"> </w:t>
      </w:r>
      <w:r>
        <w:rPr>
          <w:rFonts w:hint="eastAsia"/>
          <w:lang w:val="en-US" w:eastAsia="zh-CN"/>
        </w:rPr>
        <w:t>m³；药水河全长为51.6</w:t>
      </w:r>
      <w:r>
        <w:rPr>
          <w:rFonts w:hint="eastAsia"/>
          <w:sz w:val="11"/>
          <w:szCs w:val="11"/>
          <w:lang w:val="en-US" w:eastAsia="zh-CN"/>
        </w:rPr>
        <w:t xml:space="preserve"> </w:t>
      </w:r>
      <w:r>
        <w:rPr>
          <w:rFonts w:hint="eastAsia"/>
          <w:lang w:val="en-US" w:eastAsia="zh-CN"/>
        </w:rPr>
        <w:t>km，多年平均径流量8126.56万</w:t>
      </w:r>
      <w:r>
        <w:rPr>
          <w:rFonts w:hint="eastAsia"/>
          <w:sz w:val="11"/>
          <w:szCs w:val="11"/>
          <w:lang w:val="en-US" w:eastAsia="zh-CN"/>
        </w:rPr>
        <w:t xml:space="preserve"> </w:t>
      </w:r>
      <w:r>
        <w:rPr>
          <w:rFonts w:hint="eastAsia"/>
          <w:lang w:val="en-US" w:eastAsia="zh-CN"/>
        </w:rPr>
        <w:t>m³。</w:t>
      </w:r>
    </w:p>
    <w:p w14:paraId="24CB9557">
      <w:pPr>
        <w:pStyle w:val="77"/>
        <w:bidi w:val="0"/>
        <w:spacing w:before="0" w:beforeLines="0" w:after="0" w:afterLines="0"/>
        <w:rPr>
          <w:rFonts w:hint="eastAsia" w:ascii="黑体" w:hAnsi="黑体" w:eastAsia="黑体" w:cs="黑体"/>
          <w:lang w:val="en-US" w:eastAsia="zh-CN"/>
        </w:rPr>
      </w:pPr>
      <w:bookmarkStart w:id="51" w:name="_Toc30532"/>
      <w:bookmarkStart w:id="52" w:name="_Toc6437"/>
      <w:bookmarkStart w:id="53" w:name="_Toc10006"/>
      <w:r>
        <w:rPr>
          <w:rFonts w:hint="eastAsia" w:ascii="黑体" w:hAnsi="黑体" w:eastAsia="黑体" w:cs="黑体"/>
          <w:lang w:val="en-US" w:eastAsia="zh-CN"/>
        </w:rPr>
        <w:t>气候条件</w:t>
      </w:r>
      <w:bookmarkEnd w:id="51"/>
      <w:bookmarkEnd w:id="52"/>
      <w:bookmarkEnd w:id="53"/>
    </w:p>
    <w:p w14:paraId="676F8F42">
      <w:pPr>
        <w:pStyle w:val="23"/>
        <w:rPr>
          <w:rFonts w:hint="default"/>
          <w:lang w:val="en-US" w:eastAsia="zh-CN"/>
        </w:rPr>
      </w:pPr>
      <w:r>
        <w:rPr>
          <w:rFonts w:hint="eastAsia"/>
          <w:lang w:val="en-US" w:eastAsia="zh-CN"/>
        </w:rPr>
        <w:t>大陆性季风气候，日照充足、昼夜温差大、夏季凉爽、无霜期短；年平均日照时数2507</w:t>
      </w:r>
      <w:r>
        <w:rPr>
          <w:rFonts w:hint="eastAsia"/>
          <w:sz w:val="11"/>
          <w:szCs w:val="11"/>
          <w:lang w:val="en-US" w:eastAsia="zh-CN"/>
        </w:rPr>
        <w:t xml:space="preserve"> </w:t>
      </w:r>
      <w:r>
        <w:rPr>
          <w:rFonts w:hint="eastAsia"/>
          <w:lang w:val="en-US" w:eastAsia="zh-CN"/>
        </w:rPr>
        <w:t>h～2772</w:t>
      </w:r>
      <w:r>
        <w:rPr>
          <w:rFonts w:hint="eastAsia"/>
          <w:sz w:val="11"/>
          <w:szCs w:val="11"/>
          <w:lang w:val="en-US" w:eastAsia="zh-CN"/>
        </w:rPr>
        <w:t xml:space="preserve"> </w:t>
      </w:r>
      <w:r>
        <w:rPr>
          <w:rFonts w:hint="eastAsia"/>
          <w:lang w:val="en-US" w:eastAsia="zh-CN"/>
        </w:rPr>
        <w:t>h，日照百分率57</w:t>
      </w:r>
      <w:r>
        <w:rPr>
          <w:rFonts w:hint="eastAsia"/>
          <w:sz w:val="11"/>
          <w:szCs w:val="11"/>
          <w:lang w:val="en-US" w:eastAsia="zh-CN"/>
        </w:rPr>
        <w:t xml:space="preserve"> </w:t>
      </w:r>
      <w:r>
        <w:rPr>
          <w:rFonts w:hint="eastAsia"/>
          <w:lang w:val="en-US" w:eastAsia="zh-CN"/>
        </w:rPr>
        <w:t>%～63</w:t>
      </w:r>
      <w:r>
        <w:rPr>
          <w:rFonts w:hint="eastAsia"/>
          <w:sz w:val="11"/>
          <w:szCs w:val="11"/>
          <w:lang w:val="en-US" w:eastAsia="zh-CN"/>
        </w:rPr>
        <w:t xml:space="preserve"> </w:t>
      </w:r>
      <w:r>
        <w:rPr>
          <w:rFonts w:hint="eastAsia"/>
          <w:lang w:val="en-US" w:eastAsia="zh-CN"/>
        </w:rPr>
        <w:t>%；年均气温均为3.4</w:t>
      </w:r>
      <w:r>
        <w:rPr>
          <w:rFonts w:hint="eastAsia"/>
          <w:sz w:val="11"/>
          <w:szCs w:val="11"/>
          <w:lang w:val="en-US" w:eastAsia="zh-CN"/>
        </w:rPr>
        <w:t xml:space="preserve"> </w:t>
      </w:r>
      <w:r>
        <w:rPr>
          <w:rFonts w:hint="eastAsia"/>
          <w:lang w:val="en-US" w:eastAsia="zh-CN"/>
        </w:rPr>
        <w:t>℃，气温日较差16.5</w:t>
      </w:r>
      <w:r>
        <w:rPr>
          <w:rFonts w:hint="eastAsia"/>
          <w:sz w:val="11"/>
          <w:szCs w:val="11"/>
          <w:lang w:val="en-US" w:eastAsia="zh-CN"/>
        </w:rPr>
        <w:t xml:space="preserve"> </w:t>
      </w:r>
      <w:r>
        <w:rPr>
          <w:rFonts w:hint="eastAsia"/>
          <w:lang w:val="en-US" w:eastAsia="zh-CN"/>
        </w:rPr>
        <w:t>℃；无霜期为77天；昼夜温差大，有利于养分积累，提升品质。</w:t>
      </w:r>
    </w:p>
    <w:p w14:paraId="18CA66F3">
      <w:pPr>
        <w:pStyle w:val="77"/>
        <w:bidi w:val="0"/>
        <w:spacing w:before="0" w:beforeLines="0" w:after="0" w:afterLines="0"/>
        <w:rPr>
          <w:rFonts w:hint="eastAsia" w:ascii="黑体" w:hAnsi="黑体" w:eastAsia="黑体" w:cs="黑体"/>
          <w:lang w:val="en-US" w:eastAsia="zh-CN"/>
        </w:rPr>
      </w:pPr>
      <w:bookmarkStart w:id="54" w:name="_Toc23294"/>
      <w:bookmarkStart w:id="55" w:name="_Toc19167"/>
      <w:bookmarkStart w:id="56" w:name="_Toc26816"/>
      <w:r>
        <w:rPr>
          <w:rFonts w:hint="eastAsia" w:ascii="黑体" w:hAnsi="黑体" w:eastAsia="黑体" w:cs="黑体"/>
          <w:lang w:val="en-US" w:eastAsia="zh-CN"/>
        </w:rPr>
        <w:t>环境质量</w:t>
      </w:r>
      <w:bookmarkEnd w:id="54"/>
      <w:bookmarkEnd w:id="55"/>
      <w:bookmarkEnd w:id="56"/>
    </w:p>
    <w:p w14:paraId="24F2B0F8">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产地应选择生态环境优良、无工业及城市污染源的区域，空气、土壤、灌溉水分别符合GB 3095、GB 15618、GB 5084相关规定。</w:t>
      </w:r>
    </w:p>
    <w:p w14:paraId="138371B2">
      <w:pPr>
        <w:pStyle w:val="71"/>
        <w:bidi w:val="0"/>
        <w:rPr>
          <w:rFonts w:hint="eastAsia"/>
          <w:lang w:val="en-US" w:eastAsia="zh-CN"/>
        </w:rPr>
      </w:pPr>
      <w:bookmarkStart w:id="57" w:name="_Toc12159"/>
      <w:bookmarkStart w:id="58" w:name="_Toc9919"/>
      <w:bookmarkStart w:id="59" w:name="_Toc1979"/>
      <w:bookmarkStart w:id="60" w:name="_Toc32271"/>
      <w:r>
        <w:rPr>
          <w:rFonts w:hint="eastAsia"/>
          <w:lang w:val="en-US" w:eastAsia="zh-CN"/>
        </w:rPr>
        <w:t>技术要求</w:t>
      </w:r>
      <w:bookmarkEnd w:id="57"/>
      <w:bookmarkEnd w:id="58"/>
      <w:bookmarkEnd w:id="59"/>
      <w:bookmarkEnd w:id="60"/>
    </w:p>
    <w:p w14:paraId="5870A5C1">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品种与种源</w:t>
      </w:r>
    </w:p>
    <w:p w14:paraId="3A40E098">
      <w:pPr>
        <w:pStyle w:val="23"/>
        <w:rPr>
          <w:rFonts w:hint="eastAsia"/>
          <w:lang w:val="en-US" w:eastAsia="zh-CN"/>
        </w:rPr>
      </w:pPr>
      <w:r>
        <w:rPr>
          <w:rFonts w:hint="eastAsia"/>
          <w:lang w:val="en-US" w:eastAsia="zh-CN"/>
        </w:rPr>
        <w:t>优先选用适应当地高海拔冷凉气候、出苗整齐、长势稳健、假茎粗长、抗病性好的红蒜、白蒜类优良品系。</w:t>
      </w:r>
    </w:p>
    <w:p w14:paraId="3449B25C">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种瓣质量</w:t>
      </w:r>
    </w:p>
    <w:p w14:paraId="5112CB8B">
      <w:pPr>
        <w:pStyle w:val="23"/>
        <w:rPr>
          <w:rFonts w:hint="eastAsia"/>
          <w:lang w:val="en-US" w:eastAsia="zh-CN"/>
        </w:rPr>
      </w:pPr>
      <w:r>
        <w:rPr>
          <w:rFonts w:hint="eastAsia"/>
          <w:lang w:val="en-US" w:eastAsia="zh-CN"/>
        </w:rPr>
        <w:t>选用籽粒饱满、大小均匀、无病斑、无霉变、无虫蛀、无机械损伤的蒜瓣，芽点完整，剔除畸形、干瘪、受损蒜瓣。</w:t>
      </w:r>
    </w:p>
    <w:p w14:paraId="74BE0248">
      <w:pPr>
        <w:pStyle w:val="77"/>
        <w:bidi w:val="0"/>
        <w:spacing w:before="0" w:beforeLines="0" w:after="0" w:afterLines="0"/>
        <w:rPr>
          <w:rFonts w:hint="eastAsia" w:ascii="黑体" w:hAnsi="黑体" w:eastAsia="黑体" w:cs="黑体"/>
          <w:lang w:val="en-US" w:eastAsia="zh-CN"/>
        </w:rPr>
      </w:pPr>
      <w:bookmarkStart w:id="61" w:name="_Toc11669"/>
      <w:bookmarkStart w:id="62" w:name="_Toc32105"/>
      <w:bookmarkStart w:id="63" w:name="_Toc26901"/>
      <w:r>
        <w:rPr>
          <w:rFonts w:hint="eastAsia" w:ascii="黑体" w:hAnsi="黑体" w:eastAsia="黑体" w:cs="黑体"/>
          <w:lang w:val="en-US" w:eastAsia="zh-CN"/>
        </w:rPr>
        <w:t>种瓣处理</w:t>
      </w:r>
      <w:bookmarkEnd w:id="61"/>
      <w:bookmarkEnd w:id="62"/>
      <w:bookmarkEnd w:id="63"/>
    </w:p>
    <w:p w14:paraId="55AD6242">
      <w:pPr>
        <w:pStyle w:val="23"/>
        <w:rPr>
          <w:rFonts w:hint="eastAsia"/>
          <w:lang w:val="en-US" w:eastAsia="zh-CN"/>
        </w:rPr>
      </w:pPr>
      <w:r>
        <w:rPr>
          <w:rFonts w:hint="eastAsia"/>
          <w:lang w:val="en-US" w:eastAsia="zh-CN"/>
        </w:rPr>
        <w:t>播种前将蒜瓣置于自然光下晾晒 2～3天，人工分瓣并去除基部茎盘，保留外层种皮，避免伤及芽眼与根系萌发部位；播种前一天掰蒜，防止蒜瓣失水、染病。</w:t>
      </w:r>
    </w:p>
    <w:p w14:paraId="43522994">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栽培管理</w:t>
      </w:r>
    </w:p>
    <w:p w14:paraId="0D5576CA">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整地施肥</w:t>
      </w:r>
    </w:p>
    <w:p w14:paraId="5447C5A9">
      <w:pPr>
        <w:pStyle w:val="78"/>
        <w:numPr>
          <w:ilvl w:val="2"/>
          <w:numId w:val="0"/>
        </w:numPr>
        <w:bidi w:val="0"/>
        <w:spacing w:before="0" w:beforeLines="0" w:after="0" w:afterLines="0"/>
        <w:ind w:leftChars="0" w:firstLine="420" w:firstLineChars="200"/>
        <w:rPr>
          <w:rFonts w:hint="eastAsia" w:ascii="宋体" w:hAnsi="Times New Roman" w:eastAsia="宋体" w:cs="宋体"/>
          <w:sz w:val="21"/>
          <w:lang w:val="en-US" w:eastAsia="zh-CN"/>
        </w:rPr>
      </w:pPr>
      <w:r>
        <w:rPr>
          <w:rFonts w:hint="eastAsia" w:ascii="宋体" w:hAnsi="Times New Roman" w:eastAsia="宋体" w:cs="宋体"/>
          <w:sz w:val="21"/>
          <w:lang w:val="en-US" w:eastAsia="zh-CN"/>
        </w:rPr>
        <w:t>选择地势平坦、排灌方便、土层深厚的砂壤土或壤土。播前深耕20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cm～30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cm，每亩施腐熟农家肥 3000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kg～4000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 或商品有机肥200 kg～250 kg、蔬菜配方肥40</w:t>
      </w:r>
      <w:r>
        <w:rPr>
          <w:rFonts w:hint="eastAsia" w:ascii="宋体" w:hAnsi="Times New Roman" w:eastAsia="宋体" w:cs="宋体"/>
          <w:sz w:val="11"/>
          <w:szCs w:val="11"/>
          <w:lang w:val="en-US" w:eastAsia="zh-CN"/>
        </w:rPr>
        <w:t xml:space="preserve"> </w:t>
      </w:r>
      <w:r>
        <w:rPr>
          <w:rFonts w:hint="eastAsia" w:ascii="宋体" w:hAnsi="Times New Roman" w:eastAsia="宋体" w:cs="宋体"/>
          <w:sz w:val="21"/>
          <w:lang w:val="en-US" w:eastAsia="zh-CN"/>
        </w:rPr>
        <w:t>kg～50</w:t>
      </w:r>
      <w:r>
        <w:rPr>
          <w:rFonts w:hint="eastAsia" w:ascii="宋体" w:hAnsi="Times New Roman" w:eastAsia="宋体" w:cs="宋体"/>
          <w:sz w:val="11"/>
          <w:szCs w:val="11"/>
          <w:lang w:val="en-US" w:eastAsia="zh-CN"/>
        </w:rPr>
        <w:t xml:space="preserve"> </w:t>
      </w:r>
      <w:r>
        <w:rPr>
          <w:rFonts w:hint="eastAsia" w:ascii="宋体" w:hAnsi="Times New Roman" w:eastAsia="宋体" w:cs="宋体"/>
          <w:sz w:val="21"/>
          <w:lang w:val="en-US" w:eastAsia="zh-CN"/>
        </w:rPr>
        <w:t>kg，肥料使用符合 NY/T 394。</w:t>
      </w:r>
    </w:p>
    <w:p w14:paraId="36229926">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播种</w:t>
      </w:r>
    </w:p>
    <w:p w14:paraId="75DB33E2">
      <w:pPr>
        <w:pStyle w:val="78"/>
        <w:numPr>
          <w:ilvl w:val="2"/>
          <w:numId w:val="0"/>
        </w:numPr>
        <w:bidi w:val="0"/>
        <w:spacing w:before="0" w:beforeLines="0" w:after="0" w:afterLines="0"/>
        <w:ind w:leftChars="0" w:firstLine="420" w:firstLineChars="200"/>
        <w:outlineLvl w:val="9"/>
        <w:rPr>
          <w:rFonts w:hint="eastAsia" w:ascii="宋体" w:hAnsi="Times New Roman" w:eastAsia="宋体" w:cs="宋体"/>
          <w:sz w:val="21"/>
          <w:lang w:val="en-US" w:eastAsia="zh-CN"/>
        </w:rPr>
      </w:pPr>
      <w:r>
        <w:rPr>
          <w:rFonts w:hint="eastAsia" w:ascii="宋体" w:hAnsi="Times New Roman" w:eastAsia="宋体" w:cs="宋体"/>
          <w:sz w:val="21"/>
          <w:lang w:val="en-US" w:eastAsia="zh-CN"/>
        </w:rPr>
        <w:t>分期播种</w:t>
      </w:r>
      <w:r>
        <w:rPr>
          <w:rFonts w:hint="eastAsia" w:hAnsi="Times New Roman" w:cs="宋体"/>
          <w:sz w:val="21"/>
          <w:lang w:val="en-US" w:eastAsia="zh-CN"/>
        </w:rPr>
        <w:t>时间为</w:t>
      </w:r>
      <w:r>
        <w:rPr>
          <w:rFonts w:hint="eastAsia" w:ascii="宋体" w:hAnsi="Times New Roman" w:eastAsia="宋体" w:cs="宋体"/>
          <w:sz w:val="21"/>
          <w:lang w:val="en-US" w:eastAsia="zh-CN"/>
        </w:rPr>
        <w:t>4月上旬、5月上旬、5月下旬。开沟点播</w:t>
      </w:r>
      <w:r>
        <w:rPr>
          <w:rFonts w:hint="eastAsia" w:hAnsi="Times New Roman" w:cs="宋体"/>
          <w:sz w:val="21"/>
          <w:lang w:val="en-US" w:eastAsia="zh-CN"/>
        </w:rPr>
        <w:t>为</w:t>
      </w:r>
      <w:r>
        <w:rPr>
          <w:rFonts w:hint="eastAsia" w:ascii="宋体" w:hAnsi="Times New Roman" w:eastAsia="宋体" w:cs="宋体"/>
          <w:sz w:val="21"/>
          <w:lang w:val="en-US" w:eastAsia="zh-CN"/>
        </w:rPr>
        <w:t>行距15</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cm～20</w:t>
      </w:r>
      <w:r>
        <w:rPr>
          <w:rFonts w:hint="eastAsia" w:ascii="宋体" w:hAnsi="Times New Roman" w:eastAsia="宋体" w:cs="宋体"/>
          <w:sz w:val="11"/>
          <w:szCs w:val="11"/>
          <w:lang w:val="en-US" w:eastAsia="zh-CN"/>
        </w:rPr>
        <w:t xml:space="preserve"> </w:t>
      </w:r>
      <w:r>
        <w:rPr>
          <w:rFonts w:hint="eastAsia" w:ascii="宋体" w:hAnsi="Times New Roman" w:eastAsia="宋体" w:cs="宋体"/>
          <w:sz w:val="21"/>
          <w:lang w:val="en-US" w:eastAsia="zh-CN"/>
        </w:rPr>
        <w:t>cm，株距</w:t>
      </w:r>
      <w:r>
        <w:rPr>
          <w:rFonts w:hint="eastAsia" w:hAnsi="Times New Roman" w:cs="宋体"/>
          <w:sz w:val="21"/>
          <w:lang w:val="en-US" w:eastAsia="zh-CN"/>
        </w:rPr>
        <w:t>2</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cm～3</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cm，播深8</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cm～10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cm；每亩用种量130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kg～150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kg，每亩留苗</w:t>
      </w:r>
      <w:r>
        <w:rPr>
          <w:rFonts w:hint="eastAsia" w:hAnsi="Times New Roman" w:cs="宋体"/>
          <w:sz w:val="21"/>
          <w:lang w:val="en-US" w:eastAsia="zh-CN"/>
        </w:rPr>
        <w:t>4</w:t>
      </w:r>
      <w:r>
        <w:rPr>
          <w:rFonts w:hint="eastAsia" w:ascii="宋体" w:hAnsi="Times New Roman" w:eastAsia="宋体" w:cs="宋体"/>
          <w:sz w:val="21"/>
          <w:lang w:val="en-US" w:eastAsia="zh-CN"/>
        </w:rPr>
        <w:t>万～5万株。</w:t>
      </w:r>
    </w:p>
    <w:p w14:paraId="703DF794">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田间管理</w:t>
      </w:r>
    </w:p>
    <w:p w14:paraId="785DB1FA">
      <w:pPr>
        <w:pStyle w:val="78"/>
        <w:numPr>
          <w:ilvl w:val="2"/>
          <w:numId w:val="0"/>
        </w:numPr>
        <w:bidi w:val="0"/>
        <w:spacing w:before="0" w:beforeLines="0" w:after="0" w:afterLines="0"/>
        <w:ind w:leftChars="0" w:firstLine="420" w:firstLineChars="200"/>
        <w:outlineLvl w:val="9"/>
        <w:rPr>
          <w:rFonts w:hint="eastAsia" w:ascii="宋体" w:hAnsi="Times New Roman" w:eastAsia="宋体" w:cs="宋体"/>
          <w:sz w:val="21"/>
          <w:lang w:val="en-US" w:eastAsia="zh-CN"/>
        </w:rPr>
      </w:pPr>
      <w:r>
        <w:rPr>
          <w:rFonts w:hint="eastAsia" w:ascii="宋体" w:hAnsi="Times New Roman" w:eastAsia="宋体" w:cs="宋体"/>
          <w:sz w:val="21"/>
          <w:lang w:val="en-US" w:eastAsia="zh-CN"/>
        </w:rPr>
        <w:t>齐苗后约30</w:t>
      </w:r>
      <w:r>
        <w:rPr>
          <w:rFonts w:hint="eastAsia" w:hAnsi="Times New Roman" w:cs="宋体"/>
          <w:sz w:val="21"/>
          <w:lang w:val="en-US" w:eastAsia="zh-CN"/>
        </w:rPr>
        <w:t>天</w:t>
      </w:r>
      <w:r>
        <w:rPr>
          <w:rFonts w:hint="eastAsia" w:ascii="宋体" w:hAnsi="Times New Roman" w:eastAsia="宋体" w:cs="宋体"/>
          <w:sz w:val="21"/>
          <w:lang w:val="en-US" w:eastAsia="zh-CN"/>
        </w:rPr>
        <w:t>，每亩追施纯氮2</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kg～3</w:t>
      </w:r>
      <w:r>
        <w:rPr>
          <w:rFonts w:hint="eastAsia" w:ascii="宋体" w:hAnsi="Times New Roman" w:eastAsia="宋体" w:cs="宋体"/>
          <w:sz w:val="11"/>
          <w:szCs w:val="11"/>
          <w:lang w:val="en-US" w:eastAsia="zh-CN"/>
        </w:rPr>
        <w:t xml:space="preserve"> </w:t>
      </w:r>
      <w:r>
        <w:rPr>
          <w:rFonts w:hint="eastAsia" w:ascii="宋体" w:hAnsi="Times New Roman" w:eastAsia="宋体" w:cs="宋体"/>
          <w:sz w:val="21"/>
          <w:lang w:val="en-US" w:eastAsia="zh-CN"/>
        </w:rPr>
        <w:t>kg、纯磷4</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kg～5</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kg，浇水、松土、除草；生育中期根据长势追肥，保持土壤湿润不积水。</w:t>
      </w:r>
    </w:p>
    <w:p w14:paraId="383B4612">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病虫害防治</w:t>
      </w:r>
    </w:p>
    <w:p w14:paraId="6E7FE5D0">
      <w:pPr>
        <w:pStyle w:val="78"/>
        <w:numPr>
          <w:ilvl w:val="2"/>
          <w:numId w:val="0"/>
        </w:numPr>
        <w:bidi w:val="0"/>
        <w:spacing w:before="0" w:beforeLines="0" w:after="0" w:afterLines="0"/>
        <w:ind w:leftChars="0" w:firstLine="420" w:firstLineChars="200"/>
        <w:outlineLvl w:val="9"/>
        <w:rPr>
          <w:rFonts w:hint="eastAsia" w:ascii="宋体" w:hAnsi="Times New Roman" w:eastAsia="宋体" w:cs="宋体"/>
          <w:sz w:val="21"/>
          <w:lang w:val="en-US" w:eastAsia="zh-CN"/>
        </w:rPr>
      </w:pPr>
      <w:r>
        <w:rPr>
          <w:rFonts w:hint="eastAsia" w:ascii="宋体" w:hAnsi="Times New Roman" w:eastAsia="宋体" w:cs="宋体"/>
          <w:sz w:val="21"/>
          <w:lang w:val="en-US" w:eastAsia="zh-CN"/>
        </w:rPr>
        <w:t>坚持绿色防控，优先农业、物理、生物措施，化学防治符合 GB/T 8321、NY/T 393</w:t>
      </w:r>
      <w:r>
        <w:rPr>
          <w:rFonts w:hint="eastAsia" w:hAnsi="Times New Roman" w:cs="宋体"/>
          <w:sz w:val="21"/>
          <w:lang w:val="en-US" w:eastAsia="zh-CN"/>
        </w:rPr>
        <w:t>；</w:t>
      </w:r>
      <w:r>
        <w:rPr>
          <w:rFonts w:hint="eastAsia" w:ascii="宋体" w:hAnsi="Times New Roman" w:eastAsia="宋体" w:cs="宋体"/>
          <w:sz w:val="21"/>
          <w:lang w:val="en-US" w:eastAsia="zh-CN"/>
        </w:rPr>
        <w:t>农业防治选用健康种瓣、腐熟有机肥、草木灰防蒜蛆；物理防治</w:t>
      </w:r>
      <w:r>
        <w:rPr>
          <w:rFonts w:hint="eastAsia" w:hAnsi="Times New Roman" w:cs="宋体"/>
          <w:sz w:val="21"/>
          <w:lang w:val="en-US" w:eastAsia="zh-CN"/>
        </w:rPr>
        <w:t>采用</w:t>
      </w:r>
      <w:r>
        <w:rPr>
          <w:rFonts w:hint="eastAsia" w:ascii="宋体" w:hAnsi="Times New Roman" w:eastAsia="宋体" w:cs="宋体"/>
          <w:sz w:val="21"/>
          <w:lang w:val="en-US" w:eastAsia="zh-CN"/>
        </w:rPr>
        <w:t>糖醋液、杀虫灯、黄板诱杀；化学防治必要时用 50% 辛硫磷乳油800倍液灌根1～2次，严格执行安全间隔期。</w:t>
      </w:r>
    </w:p>
    <w:p w14:paraId="75A5F31E">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采收</w:t>
      </w:r>
    </w:p>
    <w:p w14:paraId="31693A54">
      <w:pPr>
        <w:pStyle w:val="77"/>
        <w:numPr>
          <w:ilvl w:val="1"/>
          <w:numId w:val="0"/>
        </w:numPr>
        <w:bidi w:val="0"/>
        <w:spacing w:before="0" w:beforeLines="0" w:after="0" w:afterLines="0"/>
        <w:ind w:leftChars="0" w:firstLine="420" w:firstLineChars="200"/>
        <w:rPr>
          <w:rFonts w:hint="eastAsia" w:ascii="宋体" w:hAnsi="Times New Roman" w:eastAsia="宋体" w:cs="宋体"/>
          <w:sz w:val="21"/>
          <w:lang w:val="en-US" w:eastAsia="zh-CN"/>
        </w:rPr>
      </w:pPr>
      <w:r>
        <w:rPr>
          <w:rFonts w:hint="eastAsia" w:ascii="宋体" w:hAnsi="Times New Roman" w:eastAsia="宋体" w:cs="宋体"/>
          <w:sz w:val="21"/>
          <w:lang w:val="en-US" w:eastAsia="zh-CN"/>
        </w:rPr>
        <w:t>播种后约120</w:t>
      </w:r>
      <w:r>
        <w:rPr>
          <w:rFonts w:hint="eastAsia" w:hAnsi="Times New Roman" w:cs="宋体"/>
          <w:sz w:val="21"/>
          <w:lang w:val="en-US" w:eastAsia="zh-CN"/>
        </w:rPr>
        <w:t>天</w:t>
      </w:r>
      <w:r>
        <w:rPr>
          <w:rFonts w:hint="eastAsia" w:ascii="宋体" w:hAnsi="Times New Roman" w:eastAsia="宋体" w:cs="宋体"/>
          <w:sz w:val="21"/>
          <w:lang w:val="en-US" w:eastAsia="zh-CN"/>
        </w:rPr>
        <w:t>、株高40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cm～60</w:t>
      </w:r>
      <w:r>
        <w:rPr>
          <w:rFonts w:hint="eastAsia" w:hAnsi="Times New Roman" w:cs="宋体"/>
          <w:sz w:val="11"/>
          <w:szCs w:val="11"/>
          <w:lang w:val="en-US" w:eastAsia="zh-CN"/>
        </w:rPr>
        <w:t xml:space="preserve"> </w:t>
      </w:r>
      <w:r>
        <w:rPr>
          <w:rFonts w:hint="eastAsia" w:ascii="宋体" w:hAnsi="Times New Roman" w:eastAsia="宋体" w:cs="宋体"/>
          <w:sz w:val="21"/>
          <w:lang w:val="en-US" w:eastAsia="zh-CN"/>
        </w:rPr>
        <w:t>cm、7～8片功能叶时采收；早播8月上旬、晚播</w:t>
      </w:r>
      <w:r>
        <w:rPr>
          <w:rFonts w:hint="eastAsia" w:hAnsi="Times New Roman" w:cs="宋体"/>
          <w:sz w:val="21"/>
          <w:lang w:val="en-US" w:eastAsia="zh-CN"/>
        </w:rPr>
        <w:t>9</w:t>
      </w:r>
      <w:r>
        <w:rPr>
          <w:rFonts w:hint="eastAsia" w:ascii="宋体" w:hAnsi="Times New Roman" w:eastAsia="宋体" w:cs="宋体"/>
          <w:sz w:val="21"/>
          <w:lang w:val="en-US" w:eastAsia="zh-CN"/>
        </w:rPr>
        <w:t>月中下旬采收。整株拔取，去除老叶、清理泥土，避免损伤。</w:t>
      </w:r>
    </w:p>
    <w:p w14:paraId="76BA5F58">
      <w:pPr>
        <w:pStyle w:val="71"/>
        <w:bidi w:val="0"/>
        <w:rPr>
          <w:rFonts w:hint="eastAsia"/>
          <w:lang w:val="en-US" w:eastAsia="zh-CN"/>
        </w:rPr>
      </w:pPr>
      <w:bookmarkStart w:id="64" w:name="_Toc1549"/>
      <w:bookmarkStart w:id="65" w:name="_Toc10398"/>
      <w:bookmarkStart w:id="66" w:name="_Toc23196"/>
      <w:bookmarkStart w:id="67" w:name="_Toc28537"/>
      <w:r>
        <w:rPr>
          <w:rFonts w:hint="eastAsia"/>
          <w:lang w:val="en-US" w:eastAsia="zh-CN"/>
        </w:rPr>
        <w:t>质量要求</w:t>
      </w:r>
      <w:bookmarkEnd w:id="64"/>
      <w:bookmarkEnd w:id="65"/>
      <w:bookmarkEnd w:id="66"/>
      <w:bookmarkEnd w:id="67"/>
    </w:p>
    <w:p w14:paraId="07053664">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感官要求</w:t>
      </w:r>
    </w:p>
    <w:p w14:paraId="7D47A51A">
      <w:pPr>
        <w:pStyle w:val="23"/>
        <w:rPr>
          <w:rFonts w:hint="eastAsia"/>
          <w:lang w:val="en-US" w:eastAsia="zh-CN"/>
        </w:rPr>
      </w:pPr>
      <w:r>
        <w:rPr>
          <w:rFonts w:hint="eastAsia"/>
          <w:lang w:val="en-US" w:eastAsia="zh-CN"/>
        </w:rPr>
        <w:t>植株直立、叶片宽厚深绿，假茎粗壮紧实、粗细均匀；蒜香浓郁纯正，无异味、无腐烂、无病虫痕迹、无泥沙杂质；株高50</w:t>
      </w:r>
      <w:r>
        <w:rPr>
          <w:rFonts w:hint="eastAsia"/>
          <w:sz w:val="11"/>
          <w:szCs w:val="11"/>
          <w:lang w:val="en-US" w:eastAsia="zh-CN"/>
        </w:rPr>
        <w:t xml:space="preserve"> </w:t>
      </w:r>
      <w:r>
        <w:rPr>
          <w:rFonts w:hint="eastAsia"/>
          <w:lang w:val="en-US" w:eastAsia="zh-CN"/>
        </w:rPr>
        <w:t>cm～60</w:t>
      </w:r>
      <w:r>
        <w:rPr>
          <w:rFonts w:hint="eastAsia"/>
          <w:sz w:val="11"/>
          <w:szCs w:val="11"/>
          <w:lang w:val="en-US" w:eastAsia="zh-CN"/>
        </w:rPr>
        <w:t xml:space="preserve"> </w:t>
      </w:r>
      <w:r>
        <w:rPr>
          <w:rFonts w:hint="eastAsia"/>
          <w:lang w:val="en-US" w:eastAsia="zh-CN"/>
        </w:rPr>
        <w:t>cm，单株鲜重0.10</w:t>
      </w:r>
      <w:r>
        <w:rPr>
          <w:rFonts w:hint="eastAsia"/>
          <w:sz w:val="11"/>
          <w:szCs w:val="11"/>
          <w:lang w:val="en-US" w:eastAsia="zh-CN"/>
        </w:rPr>
        <w:t xml:space="preserve"> </w:t>
      </w:r>
      <w:r>
        <w:rPr>
          <w:rFonts w:hint="eastAsia"/>
          <w:lang w:val="en-US" w:eastAsia="zh-CN"/>
        </w:rPr>
        <w:t>kg～0.20</w:t>
      </w:r>
      <w:r>
        <w:rPr>
          <w:rFonts w:hint="eastAsia"/>
          <w:sz w:val="11"/>
          <w:szCs w:val="11"/>
          <w:lang w:val="en-US" w:eastAsia="zh-CN"/>
        </w:rPr>
        <w:t xml:space="preserve"> </w:t>
      </w:r>
      <w:r>
        <w:rPr>
          <w:rFonts w:hint="eastAsia"/>
          <w:lang w:val="en-US" w:eastAsia="zh-CN"/>
        </w:rPr>
        <w:t>kg。</w:t>
      </w:r>
    </w:p>
    <w:p w14:paraId="7F83E4F5">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理化指标</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4360"/>
        <w:gridCol w:w="4360"/>
      </w:tblGrid>
      <w:tr w14:paraId="0636EF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05" w:hRule="atLeast"/>
        </w:trPr>
        <w:tc>
          <w:tcPr>
            <w:tcW w:w="4360" w:type="dxa"/>
            <w:tcBorders>
              <w:bottom w:val="single" w:color="auto" w:sz="8" w:space="0"/>
            </w:tcBorders>
            <w:vAlign w:val="center"/>
          </w:tcPr>
          <w:p w14:paraId="5F76E296">
            <w:pPr>
              <w:pStyle w:val="23"/>
              <w:widowControl w:val="0"/>
              <w:bidi w:val="0"/>
              <w:spacing w:line="240" w:lineRule="auto"/>
              <w:jc w:val="center"/>
              <w:rPr>
                <w:rFonts w:hint="eastAsia" w:ascii="宋体" w:hAnsi="宋体" w:eastAsia="宋体" w:cs="宋体"/>
                <w:b w:val="0"/>
                <w:bCs/>
                <w:sz w:val="18"/>
                <w:szCs w:val="18"/>
                <w:lang w:val="en-US" w:eastAsia="zh-CN"/>
              </w:rPr>
            </w:pPr>
            <w:bookmarkStart w:id="68" w:name="_Toc26307"/>
            <w:r>
              <w:rPr>
                <w:rFonts w:hint="eastAsia" w:ascii="宋体" w:hAnsi="宋体" w:eastAsia="宋体" w:cs="宋体"/>
                <w:b w:val="0"/>
                <w:bCs/>
                <w:sz w:val="18"/>
                <w:szCs w:val="18"/>
                <w:lang w:val="en-US" w:eastAsia="zh-CN"/>
              </w:rPr>
              <w:t>项目</w:t>
            </w:r>
            <w:bookmarkEnd w:id="68"/>
          </w:p>
        </w:tc>
        <w:tc>
          <w:tcPr>
            <w:tcW w:w="4360" w:type="dxa"/>
            <w:tcBorders>
              <w:bottom w:val="single" w:color="auto" w:sz="8" w:space="0"/>
            </w:tcBorders>
            <w:vAlign w:val="center"/>
          </w:tcPr>
          <w:p w14:paraId="3403A49C">
            <w:pPr>
              <w:pStyle w:val="23"/>
              <w:widowControl w:val="0"/>
              <w:bidi w:val="0"/>
              <w:spacing w:line="240" w:lineRule="auto"/>
              <w:jc w:val="center"/>
              <w:rPr>
                <w:rFonts w:hint="eastAsia" w:ascii="宋体" w:hAnsi="宋体" w:eastAsia="宋体" w:cs="宋体"/>
                <w:b w:val="0"/>
                <w:bCs/>
                <w:sz w:val="18"/>
                <w:szCs w:val="18"/>
                <w:lang w:val="en-US" w:eastAsia="zh-CN"/>
              </w:rPr>
            </w:pPr>
            <w:bookmarkStart w:id="69" w:name="_Toc6786"/>
            <w:r>
              <w:rPr>
                <w:rFonts w:hint="eastAsia" w:ascii="宋体" w:hAnsi="宋体" w:eastAsia="宋体" w:cs="宋体"/>
                <w:b w:val="0"/>
                <w:bCs/>
                <w:sz w:val="18"/>
                <w:szCs w:val="18"/>
                <w:lang w:val="en-US" w:eastAsia="zh-CN"/>
              </w:rPr>
              <w:t>指标要求</w:t>
            </w:r>
            <w:bookmarkEnd w:id="69"/>
          </w:p>
        </w:tc>
      </w:tr>
      <w:tr w14:paraId="507AB9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05" w:hRule="atLeast"/>
        </w:trPr>
        <w:tc>
          <w:tcPr>
            <w:tcW w:w="4360" w:type="dxa"/>
            <w:tcBorders>
              <w:top w:val="single" w:color="auto" w:sz="8" w:space="0"/>
            </w:tcBorders>
            <w:vAlign w:val="center"/>
          </w:tcPr>
          <w:p w14:paraId="5C25A429">
            <w:pPr>
              <w:pStyle w:val="23"/>
              <w:widowControl w:val="0"/>
              <w:bidi w:val="0"/>
              <w:spacing w:line="240" w:lineRule="auto"/>
              <w:jc w:val="center"/>
              <w:rPr>
                <w:rFonts w:hint="eastAsia" w:ascii="宋体" w:hAnsi="宋体" w:eastAsia="宋体" w:cs="宋体"/>
                <w:b w:val="0"/>
                <w:bCs/>
                <w:sz w:val="18"/>
                <w:szCs w:val="18"/>
                <w:lang w:val="en-US" w:eastAsia="zh-CN"/>
              </w:rPr>
            </w:pPr>
            <w:bookmarkStart w:id="70" w:name="_Toc32207"/>
            <w:r>
              <w:rPr>
                <w:rFonts w:hint="eastAsia" w:ascii="宋体" w:hAnsi="宋体" w:eastAsia="宋体" w:cs="宋体"/>
                <w:b w:val="0"/>
                <w:bCs/>
                <w:sz w:val="18"/>
                <w:szCs w:val="18"/>
                <w:lang w:val="en-US" w:eastAsia="zh-CN"/>
              </w:rPr>
              <w:t>膳食纤维</w:t>
            </w:r>
            <w:bookmarkEnd w:id="70"/>
          </w:p>
        </w:tc>
        <w:tc>
          <w:tcPr>
            <w:tcW w:w="4360" w:type="dxa"/>
            <w:tcBorders>
              <w:top w:val="single" w:color="auto" w:sz="8" w:space="0"/>
            </w:tcBorders>
            <w:vAlign w:val="center"/>
          </w:tcPr>
          <w:p w14:paraId="46566F9A">
            <w:pPr>
              <w:pStyle w:val="23"/>
              <w:widowControl w:val="0"/>
              <w:bidi w:val="0"/>
              <w:spacing w:line="240" w:lineRule="auto"/>
              <w:jc w:val="center"/>
              <w:rPr>
                <w:rFonts w:hint="eastAsia" w:ascii="宋体" w:hAnsi="宋体" w:eastAsia="宋体" w:cs="宋体"/>
                <w:b w:val="0"/>
                <w:bCs/>
                <w:sz w:val="18"/>
                <w:szCs w:val="18"/>
                <w:lang w:val="en-US" w:eastAsia="zh-CN"/>
              </w:rPr>
            </w:pPr>
            <w:bookmarkStart w:id="71" w:name="_Toc6075"/>
            <w:r>
              <w:rPr>
                <w:rFonts w:hint="eastAsia" w:ascii="宋体" w:hAnsi="宋体" w:eastAsia="宋体" w:cs="宋体"/>
                <w:b w:val="0"/>
                <w:bCs/>
                <w:sz w:val="18"/>
                <w:szCs w:val="18"/>
                <w:lang w:val="en-US" w:eastAsia="zh-CN"/>
              </w:rPr>
              <w:t>≥2.5</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lang w:val="en-US" w:eastAsia="zh-CN"/>
              </w:rPr>
              <w:t>g/100g</w:t>
            </w:r>
            <w:bookmarkEnd w:id="71"/>
          </w:p>
        </w:tc>
      </w:tr>
      <w:tr w14:paraId="280D55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05" w:hRule="atLeast"/>
        </w:trPr>
        <w:tc>
          <w:tcPr>
            <w:tcW w:w="4360" w:type="dxa"/>
            <w:vAlign w:val="center"/>
          </w:tcPr>
          <w:p w14:paraId="1B4FAC93">
            <w:pPr>
              <w:pStyle w:val="23"/>
              <w:widowControl w:val="0"/>
              <w:bidi w:val="0"/>
              <w:spacing w:line="240" w:lineRule="auto"/>
              <w:jc w:val="center"/>
              <w:rPr>
                <w:rFonts w:hint="eastAsia" w:ascii="宋体" w:hAnsi="宋体" w:eastAsia="宋体" w:cs="宋体"/>
                <w:b w:val="0"/>
                <w:bCs/>
                <w:sz w:val="18"/>
                <w:szCs w:val="18"/>
                <w:lang w:val="en-US" w:eastAsia="zh-CN"/>
              </w:rPr>
            </w:pPr>
            <w:bookmarkStart w:id="72" w:name="_Toc42"/>
            <w:r>
              <w:rPr>
                <w:rFonts w:hint="eastAsia" w:ascii="宋体" w:hAnsi="宋体" w:eastAsia="宋体" w:cs="宋体"/>
                <w:b w:val="0"/>
                <w:bCs/>
                <w:sz w:val="18"/>
                <w:szCs w:val="18"/>
                <w:lang w:val="en-US" w:eastAsia="zh-CN"/>
              </w:rPr>
              <w:t>蛋白质</w:t>
            </w:r>
            <w:bookmarkEnd w:id="72"/>
          </w:p>
        </w:tc>
        <w:tc>
          <w:tcPr>
            <w:tcW w:w="4360" w:type="dxa"/>
            <w:vAlign w:val="center"/>
          </w:tcPr>
          <w:p w14:paraId="2706F38E">
            <w:pPr>
              <w:pStyle w:val="23"/>
              <w:widowControl w:val="0"/>
              <w:bidi w:val="0"/>
              <w:spacing w:line="240" w:lineRule="auto"/>
              <w:jc w:val="center"/>
              <w:rPr>
                <w:rFonts w:hint="eastAsia" w:ascii="宋体" w:hAnsi="宋体" w:eastAsia="宋体" w:cs="宋体"/>
                <w:b w:val="0"/>
                <w:bCs/>
                <w:sz w:val="18"/>
                <w:szCs w:val="18"/>
                <w:lang w:val="en-US" w:eastAsia="zh-CN"/>
              </w:rPr>
            </w:pPr>
            <w:bookmarkStart w:id="73" w:name="_Toc24374"/>
            <w:r>
              <w:rPr>
                <w:rFonts w:hint="eastAsia" w:ascii="宋体" w:hAnsi="宋体" w:eastAsia="宋体" w:cs="宋体"/>
                <w:b w:val="0"/>
                <w:bCs/>
                <w:sz w:val="18"/>
                <w:szCs w:val="18"/>
                <w:lang w:val="en-US" w:eastAsia="zh-CN"/>
              </w:rPr>
              <w:t>≥1.5</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lang w:val="en-US" w:eastAsia="zh-CN"/>
              </w:rPr>
              <w:t>g/100g</w:t>
            </w:r>
            <w:bookmarkEnd w:id="73"/>
          </w:p>
        </w:tc>
      </w:tr>
      <w:tr w14:paraId="5D023B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360" w:type="dxa"/>
            <w:vAlign w:val="center"/>
          </w:tcPr>
          <w:p w14:paraId="1CC36D1F">
            <w:pPr>
              <w:pStyle w:val="23"/>
              <w:widowControl w:val="0"/>
              <w:bidi w:val="0"/>
              <w:spacing w:line="240" w:lineRule="auto"/>
              <w:jc w:val="center"/>
              <w:rPr>
                <w:rFonts w:hint="eastAsia" w:ascii="宋体" w:hAnsi="宋体" w:eastAsia="宋体" w:cs="宋体"/>
                <w:b w:val="0"/>
                <w:bCs/>
                <w:sz w:val="18"/>
                <w:szCs w:val="18"/>
                <w:lang w:val="en-US" w:eastAsia="zh-CN"/>
              </w:rPr>
            </w:pPr>
            <w:bookmarkStart w:id="74" w:name="_Toc2100"/>
            <w:r>
              <w:rPr>
                <w:rFonts w:hint="eastAsia" w:ascii="宋体" w:hAnsi="宋体" w:eastAsia="宋体" w:cs="宋体"/>
                <w:b w:val="0"/>
                <w:bCs/>
                <w:sz w:val="18"/>
                <w:szCs w:val="18"/>
                <w:lang w:val="en-US" w:eastAsia="zh-CN"/>
              </w:rPr>
              <w:t>维生素C</w:t>
            </w:r>
            <w:bookmarkEnd w:id="74"/>
          </w:p>
        </w:tc>
        <w:tc>
          <w:tcPr>
            <w:tcW w:w="4360" w:type="dxa"/>
            <w:vAlign w:val="center"/>
          </w:tcPr>
          <w:p w14:paraId="01594F0A">
            <w:pPr>
              <w:pStyle w:val="23"/>
              <w:widowControl w:val="0"/>
              <w:bidi w:val="0"/>
              <w:spacing w:line="240" w:lineRule="auto"/>
              <w:jc w:val="center"/>
              <w:rPr>
                <w:rFonts w:hint="eastAsia" w:ascii="宋体" w:hAnsi="宋体" w:eastAsia="宋体" w:cs="宋体"/>
                <w:b w:val="0"/>
                <w:bCs/>
                <w:sz w:val="18"/>
                <w:szCs w:val="18"/>
                <w:lang w:val="en-US" w:eastAsia="zh-CN"/>
              </w:rPr>
            </w:pPr>
            <w:bookmarkStart w:id="75" w:name="_Toc19781"/>
            <w:r>
              <w:rPr>
                <w:rFonts w:hint="eastAsia" w:ascii="宋体" w:hAnsi="宋体" w:eastAsia="宋体" w:cs="宋体"/>
                <w:b w:val="0"/>
                <w:bCs/>
                <w:sz w:val="18"/>
                <w:szCs w:val="18"/>
                <w:lang w:val="en-US" w:eastAsia="zh-CN"/>
              </w:rPr>
              <w:t>≥7</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lang w:val="en-US" w:eastAsia="zh-CN"/>
              </w:rPr>
              <w:t>mg/100g</w:t>
            </w:r>
            <w:bookmarkEnd w:id="75"/>
          </w:p>
        </w:tc>
      </w:tr>
      <w:tr w14:paraId="1A3E44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14" w:hRule="atLeast"/>
        </w:trPr>
        <w:tc>
          <w:tcPr>
            <w:tcW w:w="4360" w:type="dxa"/>
            <w:vAlign w:val="center"/>
          </w:tcPr>
          <w:p w14:paraId="74F48DE4">
            <w:pPr>
              <w:pStyle w:val="23"/>
              <w:widowControl w:val="0"/>
              <w:bidi w:val="0"/>
              <w:spacing w:line="240" w:lineRule="auto"/>
              <w:jc w:val="center"/>
              <w:rPr>
                <w:rFonts w:hint="eastAsia" w:ascii="宋体" w:hAnsi="宋体" w:eastAsia="宋体" w:cs="宋体"/>
                <w:b w:val="0"/>
                <w:bCs/>
                <w:sz w:val="18"/>
                <w:szCs w:val="18"/>
                <w:lang w:val="en-US" w:eastAsia="zh-CN"/>
              </w:rPr>
            </w:pPr>
            <w:bookmarkStart w:id="76" w:name="_Toc18083"/>
            <w:r>
              <w:rPr>
                <w:rFonts w:hint="eastAsia" w:ascii="宋体" w:hAnsi="宋体" w:eastAsia="宋体" w:cs="宋体"/>
                <w:b w:val="0"/>
                <w:bCs/>
                <w:sz w:val="18"/>
                <w:szCs w:val="18"/>
                <w:lang w:val="en-US" w:eastAsia="zh-CN"/>
              </w:rPr>
              <w:t>氨基酸总量</w:t>
            </w:r>
            <w:bookmarkEnd w:id="76"/>
          </w:p>
        </w:tc>
        <w:tc>
          <w:tcPr>
            <w:tcW w:w="4360" w:type="dxa"/>
            <w:vAlign w:val="center"/>
          </w:tcPr>
          <w:p w14:paraId="2225D95A">
            <w:pPr>
              <w:pStyle w:val="23"/>
              <w:widowControl w:val="0"/>
              <w:bidi w:val="0"/>
              <w:spacing w:line="240" w:lineRule="auto"/>
              <w:jc w:val="center"/>
              <w:rPr>
                <w:rFonts w:hint="eastAsia" w:ascii="宋体" w:hAnsi="宋体" w:eastAsia="宋体" w:cs="宋体"/>
                <w:b w:val="0"/>
                <w:bCs/>
                <w:sz w:val="18"/>
                <w:szCs w:val="18"/>
                <w:lang w:val="en-US" w:eastAsia="zh-CN"/>
              </w:rPr>
            </w:pPr>
            <w:bookmarkStart w:id="77" w:name="_Toc9928"/>
            <w:r>
              <w:rPr>
                <w:rFonts w:hint="eastAsia" w:ascii="宋体" w:hAnsi="宋体" w:eastAsia="宋体" w:cs="宋体"/>
                <w:b w:val="0"/>
                <w:bCs/>
                <w:sz w:val="18"/>
                <w:szCs w:val="18"/>
                <w:lang w:val="en-US" w:eastAsia="zh-CN"/>
              </w:rPr>
              <w:t>≥1.1</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lang w:val="en-US" w:eastAsia="zh-CN"/>
              </w:rPr>
              <w:t>g/100g</w:t>
            </w:r>
            <w:bookmarkEnd w:id="77"/>
          </w:p>
        </w:tc>
      </w:tr>
    </w:tbl>
    <w:p w14:paraId="1E907E9B">
      <w:pPr>
        <w:pStyle w:val="77"/>
        <w:bidi w:val="0"/>
        <w:spacing w:before="0" w:beforeLines="0" w:after="0" w:afterLines="0"/>
        <w:rPr>
          <w:rFonts w:hint="eastAsia" w:ascii="宋体" w:hAnsi="宋体" w:eastAsia="宋体" w:cs="宋体"/>
          <w:color w:val="000000"/>
          <w:sz w:val="21"/>
          <w:szCs w:val="21"/>
        </w:rPr>
      </w:pPr>
      <w:r>
        <w:rPr>
          <w:rFonts w:hint="eastAsia" w:ascii="黑体" w:hAnsi="黑体" w:eastAsia="黑体" w:cs="黑体"/>
          <w:lang w:val="en-US" w:eastAsia="zh-CN"/>
        </w:rPr>
        <w:t>安全要求</w:t>
      </w:r>
      <w:bookmarkStart w:id="78" w:name="_Toc18315"/>
      <w:bookmarkStart w:id="79" w:name="_Toc16463"/>
      <w:bookmarkStart w:id="80" w:name="_Toc28623"/>
      <w:bookmarkStart w:id="81" w:name="_Toc8631"/>
    </w:p>
    <w:p w14:paraId="15FBAB1D">
      <w:pPr>
        <w:pStyle w:val="65"/>
        <w:bidi w:val="0"/>
        <w:ind w:left="1276" w:leftChars="0" w:hanging="425" w:firstLineChars="0"/>
        <w:rPr>
          <w:rFonts w:hint="eastAsia"/>
        </w:rPr>
      </w:pPr>
      <w:r>
        <w:rPr>
          <w:rFonts w:hint="eastAsia"/>
        </w:rPr>
        <w:t>农药残留：各类农药残留限量遵照国家食品安全国标与 NY/T 744 要求；</w:t>
      </w:r>
    </w:p>
    <w:p w14:paraId="57EA1B88">
      <w:pPr>
        <w:pStyle w:val="65"/>
        <w:bidi w:val="0"/>
        <w:ind w:left="1276" w:leftChars="0" w:hanging="425" w:firstLineChars="0"/>
        <w:rPr>
          <w:rFonts w:hint="eastAsia"/>
        </w:rPr>
      </w:pPr>
      <w:r>
        <w:rPr>
          <w:rFonts w:hint="eastAsia"/>
        </w:rPr>
        <w:t>重金属（铅、镉、汞、砷、铬等）限量符合食品安全国标及 NY/T 744 限定；</w:t>
      </w:r>
    </w:p>
    <w:p w14:paraId="6B0498B2">
      <w:pPr>
        <w:pStyle w:val="65"/>
        <w:bidi w:val="0"/>
        <w:ind w:left="1276" w:leftChars="0" w:hanging="425" w:firstLineChars="0"/>
        <w:rPr>
          <w:rFonts w:hint="eastAsia"/>
          <w:lang w:val="en-US" w:eastAsia="zh-CN"/>
        </w:rPr>
      </w:pPr>
      <w:r>
        <w:rPr>
          <w:rFonts w:hint="eastAsia"/>
        </w:rPr>
        <w:t>食品污染物、真菌毒素、有害添加物等指标限值执行国家食品安全强制性标准与 NY/T 744 规定</w:t>
      </w:r>
      <w:r>
        <w:rPr>
          <w:rFonts w:hint="eastAsia"/>
          <w:lang w:eastAsia="zh-CN"/>
        </w:rPr>
        <w:t>；</w:t>
      </w:r>
    </w:p>
    <w:p w14:paraId="4DC49430">
      <w:pPr>
        <w:pStyle w:val="65"/>
        <w:bidi w:val="0"/>
        <w:ind w:left="1276" w:leftChars="0" w:hanging="425" w:firstLineChars="0"/>
        <w:rPr>
          <w:rFonts w:hint="eastAsia"/>
        </w:rPr>
      </w:pPr>
      <w:r>
        <w:rPr>
          <w:rFonts w:hint="eastAsia"/>
        </w:rPr>
        <w:t>不得检出违禁农药、非法添加物质。</w:t>
      </w:r>
    </w:p>
    <w:p w14:paraId="26F9B163">
      <w:pPr>
        <w:pStyle w:val="71"/>
        <w:bidi w:val="0"/>
        <w:rPr>
          <w:rFonts w:hint="eastAsia"/>
          <w:lang w:val="en-US" w:eastAsia="zh-CN"/>
        </w:rPr>
      </w:pPr>
      <w:r>
        <w:rPr>
          <w:rFonts w:hint="eastAsia"/>
          <w:lang w:val="en-US" w:eastAsia="zh-CN"/>
        </w:rPr>
        <w:t>检验方法</w:t>
      </w:r>
      <w:bookmarkEnd w:id="78"/>
      <w:bookmarkEnd w:id="79"/>
      <w:bookmarkEnd w:id="80"/>
      <w:bookmarkEnd w:id="81"/>
    </w:p>
    <w:p w14:paraId="40BCD62D">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感官检验</w:t>
      </w:r>
    </w:p>
    <w:p w14:paraId="019491B0">
      <w:pPr>
        <w:pStyle w:val="23"/>
        <w:rPr>
          <w:rFonts w:hint="eastAsia"/>
          <w:lang w:val="en-US" w:eastAsia="zh-CN"/>
        </w:rPr>
      </w:pPr>
      <w:r>
        <w:rPr>
          <w:rFonts w:hint="eastAsia"/>
          <w:lang w:val="en-US" w:eastAsia="zh-CN"/>
        </w:rPr>
        <w:t>自然光下观察形态、色泽、整齐度、杂质、病斑，嗅气味，手感质地。</w:t>
      </w:r>
    </w:p>
    <w:p w14:paraId="3EA8A8F9">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理化检验</w:t>
      </w:r>
    </w:p>
    <w:p w14:paraId="5C1AE167">
      <w:pPr>
        <w:pStyle w:val="65"/>
        <w:numPr>
          <w:ilvl w:val="1"/>
          <w:numId w:val="18"/>
        </w:numPr>
        <w:bidi w:val="0"/>
        <w:ind w:left="1276" w:leftChars="0" w:hanging="425" w:firstLineChars="0"/>
        <w:rPr>
          <w:rFonts w:hint="eastAsia"/>
          <w:sz w:val="21"/>
          <w:szCs w:val="21"/>
          <w:lang w:val="en-US" w:eastAsia="zh-CN"/>
        </w:rPr>
      </w:pPr>
      <w:r>
        <w:rPr>
          <w:rFonts w:hint="eastAsia"/>
          <w:sz w:val="21"/>
          <w:szCs w:val="21"/>
          <w:lang w:val="en-US" w:eastAsia="zh-CN"/>
        </w:rPr>
        <w:t>膳食纤维:</w:t>
      </w:r>
      <w:r>
        <w:rPr>
          <w:rFonts w:ascii="宋体" w:hAnsi="宋体" w:eastAsia="宋体" w:cs="宋体"/>
          <w:sz w:val="21"/>
          <w:szCs w:val="21"/>
        </w:rPr>
        <w:t>采用酶重量法测定 试样经淀粉酶蛋白酶分步酶解去除淀粉与蛋白 乙醇沉淀分离可溶性膳食纤维 分别称量残渣后核算总膳食纤维含量</w:t>
      </w:r>
      <w:r>
        <w:rPr>
          <w:rFonts w:hint="eastAsia"/>
          <w:sz w:val="21"/>
          <w:szCs w:val="21"/>
        </w:rPr>
        <w:t>。</w:t>
      </w:r>
    </w:p>
    <w:p w14:paraId="526374F9">
      <w:pPr>
        <w:pStyle w:val="65"/>
        <w:numPr>
          <w:ilvl w:val="1"/>
          <w:numId w:val="18"/>
        </w:numPr>
        <w:bidi w:val="0"/>
        <w:ind w:left="1276" w:leftChars="0" w:hanging="425" w:firstLineChars="0"/>
        <w:rPr>
          <w:rFonts w:hint="eastAsia"/>
          <w:sz w:val="21"/>
          <w:szCs w:val="21"/>
          <w:lang w:val="en-US" w:eastAsia="zh-CN"/>
        </w:rPr>
      </w:pPr>
      <w:r>
        <w:rPr>
          <w:rFonts w:hint="eastAsia"/>
          <w:sz w:val="21"/>
          <w:szCs w:val="21"/>
          <w:lang w:val="en-US" w:eastAsia="zh-CN"/>
        </w:rPr>
        <w:t>蛋白质：</w:t>
      </w:r>
      <w:r>
        <w:rPr>
          <w:rFonts w:ascii="宋体" w:hAnsi="宋体" w:eastAsia="宋体" w:cs="宋体"/>
          <w:sz w:val="21"/>
          <w:szCs w:val="21"/>
        </w:rPr>
        <w:t>采用凯氏定氮法测定 样品浓硫酸高温消解转化为铵盐 加碱蒸馏释放氨 硼酸吸收后盐酸滴定 按氮含量折算蛋白质结果</w:t>
      </w:r>
      <w:r>
        <w:rPr>
          <w:rFonts w:hint="eastAsia"/>
          <w:sz w:val="21"/>
          <w:szCs w:val="21"/>
        </w:rPr>
        <w:t>。</w:t>
      </w:r>
    </w:p>
    <w:p w14:paraId="11F7CDD8">
      <w:pPr>
        <w:pStyle w:val="65"/>
        <w:numPr>
          <w:ilvl w:val="1"/>
          <w:numId w:val="18"/>
        </w:numPr>
        <w:bidi w:val="0"/>
        <w:ind w:left="1276" w:leftChars="0" w:hanging="425" w:firstLineChars="0"/>
        <w:rPr>
          <w:rFonts w:hint="eastAsia"/>
          <w:lang w:val="en-US" w:eastAsia="zh-CN"/>
        </w:rPr>
      </w:pPr>
      <w:r>
        <w:rPr>
          <w:rFonts w:hint="eastAsia"/>
          <w:lang w:val="en-US" w:eastAsia="zh-CN"/>
        </w:rPr>
        <w:t>维生素C：</w:t>
      </w:r>
      <w:r>
        <w:rPr>
          <w:rFonts w:ascii="宋体" w:hAnsi="宋体" w:eastAsia="宋体" w:cs="宋体"/>
          <w:sz w:val="21"/>
          <w:szCs w:val="21"/>
        </w:rPr>
        <w:t>采用 2,6</w:t>
      </w:r>
      <w:r>
        <w:rPr>
          <w:rFonts w:ascii="宋体" w:hAnsi="宋体" w:eastAsia="宋体" w:cs="宋体"/>
          <w:sz w:val="21"/>
          <w:szCs w:val="21"/>
        </w:rPr>
        <w:noBreakHyphen/>
      </w:r>
      <w:r>
        <w:rPr>
          <w:rFonts w:ascii="宋体" w:hAnsi="宋体" w:eastAsia="宋体" w:cs="宋体"/>
          <w:sz w:val="21"/>
          <w:szCs w:val="21"/>
        </w:rPr>
        <w:t>二氯酚靛酚滴定法测定 草酸溶液避光提取试样待测液 标准有色溶液滴定至终点 依据试剂消耗量计算含量</w:t>
      </w:r>
      <w:r>
        <w:rPr>
          <w:rFonts w:hint="eastAsia"/>
          <w:sz w:val="21"/>
          <w:szCs w:val="21"/>
        </w:rPr>
        <w:t>。</w:t>
      </w:r>
    </w:p>
    <w:p w14:paraId="330CEAC0">
      <w:pPr>
        <w:pStyle w:val="65"/>
        <w:numPr>
          <w:ilvl w:val="1"/>
          <w:numId w:val="18"/>
        </w:numPr>
        <w:bidi w:val="0"/>
        <w:rPr>
          <w:rFonts w:hint="eastAsia"/>
          <w:sz w:val="21"/>
          <w:szCs w:val="21"/>
          <w:lang w:val="en-US" w:eastAsia="zh-CN"/>
        </w:rPr>
      </w:pPr>
      <w:r>
        <w:rPr>
          <w:rFonts w:hint="eastAsia"/>
          <w:sz w:val="21"/>
          <w:szCs w:val="21"/>
          <w:lang w:val="en-US" w:eastAsia="zh-CN"/>
        </w:rPr>
        <w:t>氨基酸总：</w:t>
      </w:r>
      <w:r>
        <w:rPr>
          <w:rFonts w:ascii="宋体" w:hAnsi="宋体" w:eastAsia="宋体" w:cs="宋体"/>
          <w:sz w:val="21"/>
          <w:szCs w:val="21"/>
        </w:rPr>
        <w:t>采用酸水解高效液相色谱法测定 样品盐酸密封水解得到游离氨基酸 液相色谱逐一测定单体氨基酸含量 累加结果为氨基酸总量</w:t>
      </w:r>
      <w:r>
        <w:rPr>
          <w:rFonts w:hint="eastAsia"/>
          <w:sz w:val="21"/>
          <w:szCs w:val="21"/>
        </w:rPr>
        <w:t>。</w:t>
      </w:r>
    </w:p>
    <w:p w14:paraId="35CA2C65">
      <w:pPr>
        <w:pStyle w:val="71"/>
        <w:bidi w:val="0"/>
        <w:rPr>
          <w:rFonts w:hint="eastAsia"/>
          <w:lang w:val="en-US" w:eastAsia="zh-CN"/>
        </w:rPr>
      </w:pPr>
      <w:bookmarkStart w:id="82" w:name="_Toc21054"/>
      <w:bookmarkStart w:id="83" w:name="_Toc11719"/>
      <w:bookmarkStart w:id="84" w:name="_Toc4063"/>
      <w:bookmarkStart w:id="85" w:name="_Toc6270"/>
      <w:r>
        <w:rPr>
          <w:rFonts w:hint="eastAsia"/>
          <w:lang w:val="en-US" w:eastAsia="zh-CN"/>
        </w:rPr>
        <w:t>检验规则</w:t>
      </w:r>
      <w:bookmarkEnd w:id="82"/>
      <w:bookmarkEnd w:id="83"/>
      <w:bookmarkEnd w:id="84"/>
      <w:bookmarkEnd w:id="85"/>
    </w:p>
    <w:p w14:paraId="25ADE2DA">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组批</w:t>
      </w:r>
    </w:p>
    <w:p w14:paraId="27429111">
      <w:pPr>
        <w:pStyle w:val="23"/>
        <w:outlineLvl w:val="9"/>
        <w:rPr>
          <w:rFonts w:hint="eastAsia"/>
          <w:lang w:val="en-US" w:eastAsia="zh-CN"/>
        </w:rPr>
      </w:pPr>
      <w:r>
        <w:rPr>
          <w:rFonts w:hint="eastAsia"/>
          <w:lang w:val="en-US" w:eastAsia="zh-CN"/>
        </w:rPr>
        <w:t>同一产地、同一品种、同期播种、同期采收、同一包装的产品为一批。</w:t>
      </w:r>
    </w:p>
    <w:p w14:paraId="464D5292">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抽样</w:t>
      </w:r>
    </w:p>
    <w:p w14:paraId="48EF2281">
      <w:pPr>
        <w:pStyle w:val="23"/>
        <w:rPr>
          <w:rFonts w:hint="eastAsia"/>
          <w:lang w:val="en-US" w:eastAsia="zh-CN"/>
        </w:rPr>
      </w:pPr>
      <w:r>
        <w:rPr>
          <w:rFonts w:hint="eastAsia"/>
          <w:lang w:val="en-US" w:eastAsia="zh-CN"/>
        </w:rPr>
        <w:t>按 NY/T 744 规定随机抽样，数量满足检验与复检要求。</w:t>
      </w:r>
    </w:p>
    <w:p w14:paraId="0DAA2ABC">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检验分类</w:t>
      </w:r>
    </w:p>
    <w:p w14:paraId="053B0ABA">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出厂检验感官、净含量、杂质；型式检验本文件全部指标，每年至少一次，或原料、工艺、环境重大变化时进行。</w:t>
      </w:r>
    </w:p>
    <w:p w14:paraId="086B7D89">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判定规则</w:t>
      </w:r>
    </w:p>
    <w:p w14:paraId="19555371">
      <w:pPr>
        <w:pStyle w:val="23"/>
        <w:rPr>
          <w:rFonts w:hint="eastAsia"/>
          <w:lang w:val="en-US" w:eastAsia="zh-CN"/>
        </w:rPr>
      </w:pPr>
      <w:r>
        <w:rPr>
          <w:rFonts w:hint="eastAsia"/>
          <w:lang w:val="en-US" w:eastAsia="zh-CN"/>
        </w:rPr>
        <w:t>所有项目均合格判为合格；不合格项允许复检一次，以复检结果为准。</w:t>
      </w:r>
    </w:p>
    <w:p w14:paraId="2B308C8B">
      <w:pPr>
        <w:pStyle w:val="71"/>
        <w:bidi w:val="0"/>
        <w:rPr>
          <w:rFonts w:hint="eastAsia"/>
          <w:lang w:val="en-US" w:eastAsia="zh-CN"/>
        </w:rPr>
      </w:pPr>
      <w:bookmarkStart w:id="86" w:name="_Toc26729"/>
      <w:bookmarkStart w:id="87" w:name="_Toc25939"/>
      <w:bookmarkStart w:id="88" w:name="_Toc2551"/>
      <w:bookmarkStart w:id="89" w:name="_Toc30941"/>
      <w:r>
        <w:rPr>
          <w:rFonts w:hint="eastAsia"/>
          <w:lang w:val="en-US" w:eastAsia="zh-CN"/>
        </w:rPr>
        <w:t>标志、标签</w:t>
      </w:r>
      <w:bookmarkEnd w:id="86"/>
      <w:bookmarkEnd w:id="87"/>
      <w:bookmarkEnd w:id="88"/>
      <w:bookmarkEnd w:id="89"/>
    </w:p>
    <w:p w14:paraId="0DDD8E8B">
      <w:pPr>
        <w:pStyle w:val="23"/>
        <w:rPr>
          <w:rFonts w:hint="eastAsia"/>
          <w:lang w:val="en-US" w:eastAsia="zh-CN"/>
        </w:rPr>
      </w:pPr>
      <w:r>
        <w:rPr>
          <w:rFonts w:hint="eastAsia"/>
          <w:lang w:val="en-US" w:eastAsia="zh-CN"/>
        </w:rPr>
        <w:t>符合本文件要求的产品方可在产品标签或包装物上标注地理标志产品名称及本文件编号，并应同时使用经国家知识产权局行政管理部门核准公告的地理标志专用标志；标签应标明产品名称、地理标志、产地、生产者、采收日期、执行标准编号等。</w:t>
      </w:r>
    </w:p>
    <w:p w14:paraId="4B4C2261">
      <w:pPr>
        <w:pStyle w:val="71"/>
        <w:bidi w:val="0"/>
        <w:rPr>
          <w:rFonts w:hint="eastAsia"/>
          <w:lang w:val="en-US" w:eastAsia="zh-CN"/>
        </w:rPr>
      </w:pPr>
      <w:bookmarkStart w:id="90" w:name="_Toc5220"/>
      <w:bookmarkStart w:id="91" w:name="_Toc2289"/>
      <w:bookmarkStart w:id="92" w:name="_Toc23434"/>
      <w:bookmarkStart w:id="93" w:name="_Toc23504"/>
      <w:r>
        <w:rPr>
          <w:rFonts w:hint="eastAsia"/>
          <w:lang w:val="en-US" w:eastAsia="zh-CN"/>
        </w:rPr>
        <w:t>包装、运输和贮存</w:t>
      </w:r>
      <w:bookmarkEnd w:id="90"/>
      <w:bookmarkEnd w:id="91"/>
      <w:bookmarkEnd w:id="92"/>
      <w:bookmarkEnd w:id="93"/>
    </w:p>
    <w:p w14:paraId="1F51B6DE">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包装</w:t>
      </w:r>
    </w:p>
    <w:p w14:paraId="711FD1B8">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采用清洁、无毒、无味、透气、牢固的包装材料，避免挤压损伤。</w:t>
      </w:r>
    </w:p>
    <w:p w14:paraId="0180992C">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运输</w:t>
      </w:r>
    </w:p>
    <w:p w14:paraId="0F87241D">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运输工具清洁卫生、无污染；运输中防雨、防晒、防冻、通风，轻装轻卸，防止损伤变质。</w:t>
      </w:r>
    </w:p>
    <w:p w14:paraId="0DBA28F7">
      <w:pPr>
        <w:pStyle w:val="77"/>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贮存</w:t>
      </w:r>
    </w:p>
    <w:p w14:paraId="598B5A9D">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存放于阴凉、通风、干燥、清洁、无异味场所，避免阳光直射、高温高湿；按批次码放，防止腐烂、失水、串味。</w:t>
      </w:r>
      <w:bookmarkStart w:id="94" w:name="BKFL"/>
    </w:p>
    <w:p w14:paraId="4B976845">
      <w:pPr>
        <w:rPr>
          <w:rFonts w:hint="eastAsia"/>
          <w:lang w:val="en-US" w:eastAsia="zh-CN"/>
        </w:rPr>
      </w:pPr>
    </w:p>
    <w:p w14:paraId="222333DF">
      <w:pPr>
        <w:rPr>
          <w:rFonts w:hint="eastAsia"/>
          <w:lang w:val="en-US" w:eastAsia="zh-CN"/>
        </w:rPr>
      </w:pPr>
    </w:p>
    <w:p w14:paraId="085D6852">
      <w:pPr>
        <w:rPr>
          <w:rFonts w:hint="eastAsia"/>
          <w:lang w:val="en-US" w:eastAsia="zh-CN"/>
        </w:rPr>
      </w:pPr>
    </w:p>
    <w:p w14:paraId="5C716ED3">
      <w:pPr>
        <w:rPr>
          <w:rFonts w:hint="eastAsia"/>
          <w:lang w:val="en-US" w:eastAsia="zh-CN"/>
        </w:rPr>
      </w:pPr>
    </w:p>
    <w:p w14:paraId="749C5BDC">
      <w:pPr>
        <w:rPr>
          <w:rFonts w:hint="eastAsia"/>
          <w:lang w:val="en-US" w:eastAsia="zh-CN"/>
        </w:rPr>
      </w:pPr>
    </w:p>
    <w:p w14:paraId="3F0FC3B4">
      <w:pPr>
        <w:rPr>
          <w:rFonts w:hint="eastAsia"/>
          <w:lang w:val="en-US" w:eastAsia="zh-CN"/>
        </w:rPr>
      </w:pPr>
    </w:p>
    <w:p w14:paraId="5E587947">
      <w:pPr>
        <w:rPr>
          <w:rFonts w:hint="eastAsia"/>
          <w:lang w:val="en-US" w:eastAsia="zh-CN"/>
        </w:rPr>
      </w:pPr>
    </w:p>
    <w:p w14:paraId="1F2F59F3">
      <w:pPr>
        <w:rPr>
          <w:rFonts w:hint="eastAsia"/>
          <w:lang w:val="en-US" w:eastAsia="zh-CN"/>
        </w:rPr>
      </w:pPr>
    </w:p>
    <w:p w14:paraId="69F9B54F">
      <w:pPr>
        <w:rPr>
          <w:rFonts w:hint="eastAsia"/>
          <w:lang w:val="en-US" w:eastAsia="zh-CN"/>
        </w:rPr>
      </w:pPr>
    </w:p>
    <w:p w14:paraId="5E511A45">
      <w:pPr>
        <w:rPr>
          <w:rFonts w:hint="eastAsia"/>
          <w:lang w:val="en-US" w:eastAsia="zh-CN"/>
        </w:rPr>
      </w:pPr>
    </w:p>
    <w:p w14:paraId="77B3B2A4">
      <w:pPr>
        <w:rPr>
          <w:rFonts w:hint="eastAsia"/>
          <w:lang w:val="en-US" w:eastAsia="zh-CN"/>
        </w:rPr>
      </w:pPr>
    </w:p>
    <w:p w14:paraId="50C7D017">
      <w:pPr>
        <w:rPr>
          <w:rFonts w:hint="eastAsia"/>
          <w:lang w:val="en-US" w:eastAsia="zh-CN"/>
        </w:rPr>
      </w:pPr>
    </w:p>
    <w:p w14:paraId="7FC965FE">
      <w:pPr>
        <w:rPr>
          <w:rFonts w:hint="eastAsia"/>
          <w:lang w:val="en-US" w:eastAsia="zh-CN"/>
        </w:rPr>
      </w:pPr>
    </w:p>
    <w:p w14:paraId="6D90D886">
      <w:pPr>
        <w:rPr>
          <w:rFonts w:hint="eastAsia"/>
          <w:lang w:val="en-US" w:eastAsia="zh-CN"/>
        </w:rPr>
      </w:pPr>
    </w:p>
    <w:p w14:paraId="56B5F1D6">
      <w:pPr>
        <w:pStyle w:val="98"/>
        <w:bidi w:val="0"/>
        <w:rPr>
          <w:rFonts w:hint="eastAsia"/>
          <w:lang w:val="en-US" w:eastAsia="zh-CN"/>
        </w:rPr>
      </w:pPr>
    </w:p>
    <w:p w14:paraId="3FDE2651">
      <w:pPr>
        <w:pStyle w:val="100"/>
        <w:bidi w:val="0"/>
        <w:rPr>
          <w:rFonts w:hint="eastAsia"/>
          <w:lang w:val="en-US" w:eastAsia="zh-CN"/>
        </w:rPr>
      </w:pPr>
    </w:p>
    <w:p w14:paraId="355EA93B">
      <w:pPr>
        <w:pStyle w:val="87"/>
        <w:bidi w:val="0"/>
        <w:rPr>
          <w:rFonts w:hint="eastAsia"/>
          <w:lang w:val="en-US" w:eastAsia="zh-CN"/>
        </w:rPr>
      </w:pPr>
      <w:bookmarkStart w:id="95" w:name="_Toc30000"/>
      <w:bookmarkStart w:id="96" w:name="_Toc21043"/>
      <w:r>
        <w:rPr>
          <w:rFonts w:hint="eastAsia"/>
          <w:lang w:val="en-US" w:eastAsia="zh-CN"/>
        </w:rPr>
        <w:br w:type="textWrapping"/>
      </w:r>
      <w:r>
        <w:rPr>
          <w:rFonts w:hint="eastAsia"/>
          <w:lang w:val="en-US" w:eastAsia="zh-CN"/>
        </w:rPr>
        <w:t>（资料性）</w:t>
      </w:r>
      <w:r>
        <w:rPr>
          <w:rFonts w:hint="eastAsia"/>
          <w:lang w:val="en-US" w:eastAsia="zh-CN"/>
        </w:rPr>
        <w:br w:type="textWrapping"/>
      </w:r>
      <w:r>
        <w:rPr>
          <w:rFonts w:hint="eastAsia"/>
          <w:lang w:val="en-US" w:eastAsia="zh-CN"/>
        </w:rPr>
        <w:t>地理标志产品质量要求湟源青蒜苗</w:t>
      </w:r>
      <w:bookmarkEnd w:id="94"/>
      <w:bookmarkEnd w:id="95"/>
      <w:bookmarkEnd w:id="96"/>
    </w:p>
    <w:p w14:paraId="51FDE56D">
      <w:pPr>
        <w:pStyle w:val="23"/>
        <w:ind w:left="0" w:leftChars="0" w:firstLine="0" w:firstLineChars="0"/>
        <w:jc w:val="center"/>
        <w:rPr>
          <w:rFonts w:hint="eastAsia"/>
          <w:lang w:val="en-US" w:eastAsia="zh-CN"/>
        </w:rPr>
      </w:pPr>
      <w:r>
        <w:rPr>
          <w:rFonts w:hint="eastAsia"/>
          <w:lang w:val="en-US" w:eastAsia="zh-CN"/>
        </w:rPr>
        <w:drawing>
          <wp:inline distT="0" distB="0" distL="114300" distR="114300">
            <wp:extent cx="4669155" cy="7124065"/>
            <wp:effectExtent l="0" t="0" r="17145" b="635"/>
            <wp:docPr id="2" name="图片 2" descr="微信图片_20260525163415_289_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60525163415_289_26"/>
                    <pic:cNvPicPr>
                      <a:picLocks noChangeAspect="1"/>
                    </pic:cNvPicPr>
                  </pic:nvPicPr>
                  <pic:blipFill>
                    <a:blip r:embed="rId6"/>
                    <a:stretch>
                      <a:fillRect/>
                    </a:stretch>
                  </pic:blipFill>
                  <pic:spPr>
                    <a:xfrm>
                      <a:off x="0" y="0"/>
                      <a:ext cx="4669155" cy="7124065"/>
                    </a:xfrm>
                    <a:prstGeom prst="rect">
                      <a:avLst/>
                    </a:prstGeom>
                  </pic:spPr>
                </pic:pic>
              </a:graphicData>
            </a:graphic>
          </wp:inline>
        </w:drawing>
      </w:r>
    </w:p>
    <w:p w14:paraId="4936D62E">
      <w:pPr>
        <w:pStyle w:val="113"/>
        <w:bidi w:val="0"/>
        <w:rPr>
          <w:rFonts w:hint="eastAsia"/>
          <w:lang w:val="en-US" w:eastAsia="zh-CN"/>
        </w:rPr>
      </w:pPr>
      <w:r>
        <w:rPr>
          <w:rFonts w:hint="eastAsia"/>
          <w:lang w:val="en-US" w:eastAsia="zh-CN"/>
        </w:rPr>
        <w:t>湟源青蒜苗产地范围</w:t>
      </w:r>
      <w:r>
        <w:rPr>
          <w:rFonts w:hint="eastAsia"/>
          <w:lang w:val="en-US" w:eastAsia="zh-CN"/>
        </w:rPr>
        <w:br w:type="page"/>
      </w:r>
    </w:p>
    <w:p w14:paraId="3161FB4D">
      <w:pPr>
        <w:pStyle w:val="33"/>
        <w:bidi w:val="0"/>
        <w:rPr>
          <w:rFonts w:hint="eastAsia"/>
          <w:lang w:val="en-US" w:eastAsia="zh-CN"/>
        </w:rPr>
      </w:pPr>
      <w:bookmarkStart w:id="97" w:name="_Toc27454"/>
      <w:r>
        <w:rPr>
          <w:rFonts w:hint="eastAsia"/>
          <w:spacing w:val="108"/>
          <w:lang w:val="en-US" w:eastAsia="zh-CN"/>
        </w:rPr>
        <w:t>参</w:t>
      </w:r>
      <w:bookmarkStart w:id="98" w:name="BKCKWX"/>
      <w:r>
        <w:rPr>
          <w:rFonts w:hint="eastAsia"/>
          <w:spacing w:val="108"/>
          <w:lang w:val="en-US" w:eastAsia="zh-CN"/>
        </w:rPr>
        <w:t>考文</w:t>
      </w:r>
      <w:r>
        <w:rPr>
          <w:rFonts w:hint="eastAsia"/>
          <w:lang w:val="en-US" w:eastAsia="zh-CN"/>
        </w:rPr>
        <w:t>献</w:t>
      </w:r>
      <w:bookmarkEnd w:id="97"/>
    </w:p>
    <w:p w14:paraId="326D2099">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[1] 地理标志产品保护办法（国家知识产权局令第 80 号）</w:t>
      </w:r>
    </w:p>
    <w:p w14:paraId="60249B38">
      <w:pPr>
        <w:pStyle w:val="77"/>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[2] 地理标志专用标志使用管理办法（试行）（国家知识产权局公告第 354 号）</w:t>
      </w:r>
      <w:bookmarkEnd w:id="98"/>
    </w:p>
    <w:p w14:paraId="58A16543">
      <w:pPr>
        <w:pStyle w:val="23"/>
        <w:bidi w:val="0"/>
        <w:jc w:val="center"/>
        <w:rPr>
          <w:rFonts w:hint="eastAsia"/>
          <w:lang w:val="en-US" w:eastAsia="zh-CN"/>
        </w:rPr>
      </w:pPr>
      <w:bookmarkStart w:id="99" w:name="EndLine"/>
      <w:r>
        <w:rPr>
          <w:rFonts w:hint="eastAsia"/>
          <w:lang w:val="en-US" w:eastAsia="zh-CN"/>
        </w:rPr>
        <w:drawing>
          <wp:inline distT="0" distB="0" distL="114300" distR="114300">
            <wp:extent cx="1485900" cy="317500"/>
            <wp:effectExtent l="0" t="0" r="0" b="6350"/>
            <wp:docPr id="1" name="图片 1" descr="EndLine"/>
            <wp:cNvGraphicFramePr/>
            <a:graphic xmlns:a="http://schemas.openxmlformats.org/drawingml/2006/main">
              <a:graphicData uri="http://schemas.openxmlformats.org/drawingml/2006/picture">
                <pic:pic xmlns:pic="http://schemas.openxmlformats.org/drawingml/2006/picture">
                  <pic:nvPicPr>
                    <pic:cNvPr id="1" name="图片 1" descr="EndLine"/>
                    <pic:cNvPicPr/>
                  </pic:nvPicPr>
                  <pic:blipFill>
                    <a:blip r:embed="rId7"/>
                    <a:stretch>
                      <a:fillRect/>
                    </a:stretch>
                  </pic:blipFill>
                  <pic:spPr>
                    <a:xfrm>
                      <a:off x="0" y="0"/>
                      <a:ext cx="1485900" cy="317500"/>
                    </a:xfrm>
                    <a:prstGeom prst="rect">
                      <a:avLst/>
                    </a:prstGeom>
                  </pic:spPr>
                </pic:pic>
              </a:graphicData>
            </a:graphic>
          </wp:inline>
        </w:drawing>
      </w:r>
      <w:bookmarkEnd w:id="99"/>
    </w:p>
    <w:sectPr>
      <w:pgSz w:w="11906" w:h="16838"/>
      <w:pgMar w:top="2410" w:right="1134" w:bottom="1134" w:left="1134" w:header="1418" w:footer="1134" w:gutter="284"/>
      <w:lnNumType w:countBy="0" w:restart="continuou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24B52">
    <w:pPr>
      <w:pStyle w:val="29"/>
      <w:bidi w:val="0"/>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17940">
    <w:pPr>
      <w:pStyle w:val="31"/>
      <w:bidi w:val="0"/>
      <w:rPr>
        <w:rFonts w:hint="default" w:eastAsia="黑体"/>
        <w:lang w:val="en-US" w:eastAsia="zh-CN"/>
      </w:rPr>
    </w:pPr>
    <w:r>
      <w:rPr>
        <w:rFonts w:hint="eastAsia"/>
        <w:lang w:eastAsia="zh-CN"/>
      </w:rPr>
      <w:t>T/</w:t>
    </w:r>
    <w:r>
      <w:rPr>
        <w:rFonts w:hint="eastAsia"/>
        <w:lang w:val="en-US" w:eastAsia="zh-CN"/>
      </w:rPr>
      <w:t>QAS</w:t>
    </w:r>
    <w:r>
      <w:rPr>
        <w:rFonts w:hint="eastAsia"/>
        <w:lang w:eastAsia="zh-CN"/>
      </w:rPr>
      <w:t xml:space="preserve"> XXX—</w:t>
    </w:r>
    <w:r>
      <w:rPr>
        <w:rFonts w:hint="eastAsia"/>
        <w:lang w:val="en-US" w:eastAsia="zh-CN"/>
      </w:rPr>
      <w:t>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C08D6D"/>
    <w:multiLevelType w:val="multilevel"/>
    <w:tmpl w:val="87C08D6D"/>
    <w:lvl w:ilvl="0" w:tentative="0">
      <w:start w:val="1"/>
      <w:numFmt w:val="decimal"/>
      <w:pStyle w:val="112"/>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9BF084AC"/>
    <w:multiLevelType w:val="multilevel"/>
    <w:tmpl w:val="9BF084AC"/>
    <w:lvl w:ilvl="0" w:tentative="0">
      <w:start w:val="1"/>
      <w:numFmt w:val="decimal"/>
      <w:pStyle w:val="16"/>
      <w:lvlText w:val="%1)"/>
      <w:lvlJc w:val="left"/>
      <w:pPr>
        <w:tabs>
          <w:tab w:val="left" w:pos="0"/>
        </w:tabs>
        <w:ind w:left="720" w:leftChars="0" w:hanging="357" w:firstLineChars="0"/>
      </w:pPr>
      <w:rPr>
        <w:rFonts w:hint="eastAsia" w:ascii="宋体" w:hAnsi="宋体" w:eastAsia="宋体" w:cs="宋体"/>
        <w:sz w:val="15"/>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
    <w:nsid w:val="A76D65A0"/>
    <w:multiLevelType w:val="multilevel"/>
    <w:tmpl w:val="A76D65A0"/>
    <w:lvl w:ilvl="0" w:tentative="0">
      <w:start w:val="1"/>
      <w:numFmt w:val="none"/>
      <w:pStyle w:val="54"/>
      <w:suff w:val="nothing"/>
      <w:lvlText w:val="%1"/>
      <w:lvlJc w:val="left"/>
      <w:pPr>
        <w:ind w:left="425" w:leftChars="0" w:hanging="425" w:firstLineChars="0"/>
      </w:pPr>
      <w:rPr>
        <w:rFonts w:hint="default"/>
      </w:rPr>
    </w:lvl>
    <w:lvl w:ilvl="1" w:tentative="0">
      <w:start w:val="1"/>
      <w:numFmt w:val="decimal"/>
      <w:pStyle w:val="55"/>
      <w:suff w:val="nothing"/>
      <w:lvlText w:val="%10.%2 "/>
      <w:lvlJc w:val="left"/>
      <w:pPr>
        <w:ind w:left="0" w:leftChars="0" w:firstLine="0" w:firstLineChars="0"/>
      </w:pPr>
      <w:rPr>
        <w:rFonts w:hint="default" w:ascii="黑体" w:hAnsi="黑体" w:eastAsia="黑体" w:cs="黑体"/>
        <w:sz w:val="20"/>
      </w:rPr>
    </w:lvl>
    <w:lvl w:ilvl="2" w:tentative="0">
      <w:start w:val="1"/>
      <w:numFmt w:val="decimal"/>
      <w:pStyle w:val="56"/>
      <w:suff w:val="nothing"/>
      <w:lvlText w:val="%10.%2.%3 "/>
      <w:lvlJc w:val="left"/>
      <w:pPr>
        <w:ind w:left="0" w:leftChars="0" w:firstLine="0" w:firstLineChars="0"/>
      </w:pPr>
      <w:rPr>
        <w:rFonts w:hint="default" w:ascii="黑体" w:hAnsi="黑体" w:eastAsia="黑体" w:cs="黑体"/>
        <w:sz w:val="20"/>
      </w:rPr>
    </w:lvl>
    <w:lvl w:ilvl="3" w:tentative="0">
      <w:start w:val="1"/>
      <w:numFmt w:val="decimal"/>
      <w:pStyle w:val="57"/>
      <w:suff w:val="nothing"/>
      <w:lvlText w:val="%10.%2.%3.%4 "/>
      <w:lvlJc w:val="left"/>
      <w:pPr>
        <w:ind w:left="0" w:leftChars="0" w:firstLine="0" w:firstLineChars="0"/>
      </w:pPr>
      <w:rPr>
        <w:rFonts w:hint="default" w:ascii="黑体" w:hAnsi="黑体" w:eastAsia="黑体" w:cs="黑体"/>
        <w:sz w:val="20"/>
      </w:rPr>
    </w:lvl>
    <w:lvl w:ilvl="4" w:tentative="0">
      <w:start w:val="1"/>
      <w:numFmt w:val="decimal"/>
      <w:pStyle w:val="58"/>
      <w:suff w:val="nothing"/>
      <w:lvlText w:val="%10.%2.%3.%4.%5 "/>
      <w:lvlJc w:val="left"/>
      <w:pPr>
        <w:ind w:left="0" w:leftChars="0" w:firstLine="0" w:firstLineChars="0"/>
      </w:pPr>
      <w:rPr>
        <w:rFonts w:hint="default" w:ascii="黑体" w:hAnsi="黑体" w:eastAsia="黑体" w:cs="黑体"/>
        <w:sz w:val="20"/>
      </w:rPr>
    </w:lvl>
    <w:lvl w:ilvl="5" w:tentative="0">
      <w:start w:val="1"/>
      <w:numFmt w:val="decimal"/>
      <w:pStyle w:val="59"/>
      <w:suff w:val="nothing"/>
      <w:lvlText w:val="%10.%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3">
    <w:nsid w:val="B1692779"/>
    <w:multiLevelType w:val="multilevel"/>
    <w:tmpl w:val="B1692779"/>
    <w:lvl w:ilvl="0" w:tentative="0">
      <w:start w:val="1"/>
      <w:numFmt w:val="upperLetter"/>
      <w:pStyle w:val="100"/>
      <w:lvlText w:val="%1"/>
      <w:lvlJc w:val="left"/>
      <w:pPr>
        <w:tabs>
          <w:tab w:val="left" w:pos="0"/>
        </w:tabs>
        <w:ind w:left="0" w:leftChars="0" w:firstLine="0" w:firstLineChars="0"/>
      </w:pPr>
      <w:rPr>
        <w:rFonts w:hint="default"/>
      </w:rPr>
    </w:lvl>
    <w:lvl w:ilvl="1" w:tentative="0">
      <w:start w:val="1"/>
      <w:numFmt w:val="decimal"/>
      <w:pStyle w:val="101"/>
      <w:suff w:val="nothing"/>
      <w:lvlText w:val="表%1.%2　"/>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9D10F29"/>
    <w:multiLevelType w:val="multilevel"/>
    <w:tmpl w:val="B9D10F29"/>
    <w:lvl w:ilvl="0" w:tentative="0">
      <w:start w:val="1"/>
      <w:numFmt w:val="decimal"/>
      <w:pStyle w:val="113"/>
      <w:suff w:val="nothing"/>
      <w:lvlText w:val="图%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5">
    <w:nsid w:val="E832219E"/>
    <w:multiLevelType w:val="multilevel"/>
    <w:tmpl w:val="E832219E"/>
    <w:lvl w:ilvl="0" w:tentative="0">
      <w:start w:val="1"/>
      <w:numFmt w:val="decimal"/>
      <w:pStyle w:val="106"/>
      <w:suff w:val="nothing"/>
      <w:lvlText w:val="注%1："/>
      <w:lvlJc w:val="left"/>
      <w:pPr>
        <w:ind w:left="811" w:leftChars="0" w:hanging="448"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6">
    <w:nsid w:val="EF2D3087"/>
    <w:multiLevelType w:val="multilevel"/>
    <w:tmpl w:val="EF2D3087"/>
    <w:lvl w:ilvl="0" w:tentative="0">
      <w:start w:val="1"/>
      <w:numFmt w:val="lowerLetter"/>
      <w:pStyle w:val="64"/>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pStyle w:val="65"/>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pStyle w:val="63"/>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7">
    <w:nsid w:val="EF2FC801"/>
    <w:multiLevelType w:val="multilevel"/>
    <w:tmpl w:val="EF2FC801"/>
    <w:lvl w:ilvl="0" w:tentative="0">
      <w:start w:val="1"/>
      <w:numFmt w:val="upperLetter"/>
      <w:lvlText w:val="%1"/>
      <w:lvlJc w:val="left"/>
      <w:pPr>
        <w:tabs>
          <w:tab w:val="left" w:pos="0"/>
        </w:tabs>
        <w:ind w:left="0" w:leftChars="0" w:firstLine="0" w:firstLineChars="0"/>
      </w:pPr>
      <w:rPr>
        <w:rFonts w:hint="default"/>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8">
    <w:nsid w:val="F54C848A"/>
    <w:multiLevelType w:val="multilevel"/>
    <w:tmpl w:val="F54C848A"/>
    <w:lvl w:ilvl="0" w:tentative="0">
      <w:start w:val="1"/>
      <w:numFmt w:val="decimal"/>
      <w:pStyle w:val="118"/>
      <w:suff w:val="nothing"/>
      <w:lvlText w:val="[%1]  "/>
      <w:lvlJc w:val="left"/>
      <w:pPr>
        <w:ind w:left="0" w:leftChars="0" w:firstLine="363" w:firstLineChars="0"/>
      </w:pPr>
      <w:rPr>
        <w:rFonts w:hint="eastAsia" w:ascii="黑体" w:hAnsi="黑体" w:eastAsia="黑体" w:cs="黑体"/>
        <w:sz w:val="18"/>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9">
    <w:nsid w:val="F9AF6568"/>
    <w:multiLevelType w:val="multilevel"/>
    <w:tmpl w:val="F9AF6568"/>
    <w:lvl w:ilvl="0" w:tentative="0">
      <w:start w:val="1"/>
      <w:numFmt w:val="none"/>
      <w:pStyle w:val="61"/>
      <w:lvlText w:val="%1——"/>
      <w:lvlJc w:val="left"/>
      <w:pPr>
        <w:tabs>
          <w:tab w:val="left" w:pos="851"/>
        </w:tabs>
        <w:ind w:left="851" w:leftChars="0" w:hanging="426" w:firstLineChars="0"/>
      </w:pPr>
      <w:rPr>
        <w:rFonts w:hint="default" w:ascii="Times New Roman" w:hAnsi="Times New Roman" w:cs="Times New Roman"/>
        <w:sz w:val="20"/>
      </w:rPr>
    </w:lvl>
    <w:lvl w:ilvl="1" w:tentative="0">
      <w:start w:val="1"/>
      <w:numFmt w:val="bullet"/>
      <w:pStyle w:val="62"/>
      <w:lvlText w:val=""/>
      <w:lvlJc w:val="left"/>
      <w:pPr>
        <w:tabs>
          <w:tab w:val="left" w:pos="851"/>
        </w:tabs>
        <w:ind w:left="1270" w:leftChars="0" w:hanging="419" w:firstLineChars="0"/>
      </w:pPr>
      <w:rPr>
        <w:rFonts w:hint="default" w:ascii="Symbol" w:hAnsi="Symbol" w:cs="Symbol"/>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0">
    <w:nsid w:val="06230F09"/>
    <w:multiLevelType w:val="multilevel"/>
    <w:tmpl w:val="06230F09"/>
    <w:lvl w:ilvl="0" w:tentative="0">
      <w:start w:val="1"/>
      <w:numFmt w:val="upperLetter"/>
      <w:pStyle w:val="98"/>
      <w:lvlText w:val="%1"/>
      <w:lvlJc w:val="left"/>
      <w:pPr>
        <w:tabs>
          <w:tab w:val="left" w:pos="0"/>
        </w:tabs>
        <w:ind w:left="0" w:leftChars="0" w:firstLine="0" w:firstLineChars="0"/>
      </w:pPr>
      <w:rPr>
        <w:rFonts w:hint="default"/>
      </w:rPr>
    </w:lvl>
    <w:lvl w:ilvl="1" w:tentative="0">
      <w:start w:val="1"/>
      <w:numFmt w:val="decimal"/>
      <w:pStyle w:val="99"/>
      <w:suff w:val="nothing"/>
      <w:lvlText w:val="图%1.%2　"/>
      <w:lvlJc w:val="left"/>
      <w:pPr>
        <w:ind w:left="0" w:leftChars="0" w:firstLine="0" w:firstLineChars="0"/>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lvlText w:val="%1.%2.%3.%4.%5."/>
      <w:lvlJc w:val="left"/>
      <w:pPr>
        <w:ind w:left="1008" w:hanging="1008"/>
      </w:pPr>
      <w:rPr>
        <w:rFonts w:hint="default"/>
      </w:rPr>
    </w:lvl>
    <w:lvl w:ilvl="5" w:tentative="0">
      <w:start w:val="1"/>
      <w:numFmt w:val="decimal"/>
      <w:pStyle w:val="6"/>
      <w:lvlText w:val="%1.%2.%3.%4.%5.%6."/>
      <w:lvlJc w:val="left"/>
      <w:pPr>
        <w:ind w:left="1151" w:hanging="1151"/>
      </w:pPr>
      <w:rPr>
        <w:rFonts w:hint="default"/>
      </w:rPr>
    </w:lvl>
    <w:lvl w:ilvl="6" w:tentative="0">
      <w:start w:val="1"/>
      <w:numFmt w:val="decimal"/>
      <w:pStyle w:val="7"/>
      <w:lvlText w:val="%1.%2.%3.%4.%5.%6.%7."/>
      <w:lvlJc w:val="left"/>
      <w:pPr>
        <w:ind w:left="1296" w:hanging="1296"/>
      </w:pPr>
      <w:rPr>
        <w:rFonts w:hint="default"/>
      </w:rPr>
    </w:lvl>
    <w:lvl w:ilvl="7" w:tentative="0">
      <w:start w:val="1"/>
      <w:numFmt w:val="decimal"/>
      <w:pStyle w:val="8"/>
      <w:lvlText w:val="%1.%2.%3.%4.%5.%6.%7.%8."/>
      <w:lvlJc w:val="left"/>
      <w:pPr>
        <w:ind w:left="1440" w:hanging="1440"/>
      </w:pPr>
      <w:rPr>
        <w:rFonts w:hint="default"/>
      </w:rPr>
    </w:lvl>
    <w:lvl w:ilvl="8" w:tentative="0">
      <w:start w:val="1"/>
      <w:numFmt w:val="decimal"/>
      <w:pStyle w:val="9"/>
      <w:lvlText w:val="%1.%2.%3.%4.%5.%6.%7.%8.%9."/>
      <w:lvlJc w:val="left"/>
      <w:pPr>
        <w:ind w:left="1583" w:hanging="1583"/>
      </w:pPr>
      <w:rPr>
        <w:rFonts w:hint="default"/>
      </w:rPr>
    </w:lvl>
  </w:abstractNum>
  <w:abstractNum w:abstractNumId="11">
    <w:nsid w:val="1243A11A"/>
    <w:multiLevelType w:val="multilevel"/>
    <w:tmpl w:val="1243A11A"/>
    <w:lvl w:ilvl="0" w:tentative="0">
      <w:start w:val="1"/>
      <w:numFmt w:val="decimal"/>
      <w:pStyle w:val="71"/>
      <w:suff w:val="nothing"/>
      <w:lvlText w:val="%1　"/>
      <w:lvlJc w:val="left"/>
      <w:pPr>
        <w:ind w:left="0" w:leftChars="0" w:firstLine="0" w:firstLineChars="0"/>
      </w:pPr>
      <w:rPr>
        <w:rFonts w:hint="default" w:ascii="黑体" w:hAnsi="黑体" w:eastAsia="黑体" w:cs="黑体"/>
        <w:sz w:val="20"/>
      </w:rPr>
    </w:lvl>
    <w:lvl w:ilvl="1" w:tentative="0">
      <w:start w:val="1"/>
      <w:numFmt w:val="decimal"/>
      <w:pStyle w:val="72"/>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73"/>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74"/>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75"/>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76"/>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2">
    <w:nsid w:val="3E318D17"/>
    <w:multiLevelType w:val="multilevel"/>
    <w:tmpl w:val="3E318D17"/>
    <w:lvl w:ilvl="0" w:tentative="0">
      <w:start w:val="1"/>
      <w:numFmt w:val="lowerLetter"/>
      <w:pStyle w:val="107"/>
      <w:lvlText w:val="%1"/>
      <w:lvlJc w:val="left"/>
      <w:pPr>
        <w:tabs>
          <w:tab w:val="left" w:pos="539"/>
        </w:tabs>
        <w:ind w:left="539" w:leftChars="0" w:hanging="119" w:firstLineChars="0"/>
      </w:pPr>
      <w:rPr>
        <w:rFonts w:hint="eastAsia" w:ascii="宋体" w:hAnsi="宋体" w:eastAsia="宋体" w:cs="宋体"/>
        <w:sz w:val="15"/>
        <w:vertAlign w:val="superscript"/>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3">
    <w:nsid w:val="40991963"/>
    <w:multiLevelType w:val="multilevel"/>
    <w:tmpl w:val="40991963"/>
    <w:lvl w:ilvl="0" w:tentative="0">
      <w:start w:val="1"/>
      <w:numFmt w:val="decimal"/>
      <w:pStyle w:val="104"/>
      <w:suff w:val="nothing"/>
      <w:lvlText w:val="示例%1："/>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4">
    <w:nsid w:val="5ABCA01A"/>
    <w:multiLevelType w:val="multilevel"/>
    <w:tmpl w:val="5ABCA01A"/>
    <w:lvl w:ilvl="0" w:tentative="0">
      <w:start w:val="1"/>
      <w:numFmt w:val="upperLetter"/>
      <w:pStyle w:val="87"/>
      <w:suff w:val="nothing"/>
      <w:lvlText w:val="附录%1"/>
      <w:lvlJc w:val="left"/>
      <w:pPr>
        <w:ind w:left="0" w:leftChars="0" w:firstLine="0" w:firstLineChars="0"/>
      </w:pPr>
      <w:rPr>
        <w:rFonts w:hint="default"/>
        <w:spacing w:val="102"/>
      </w:rPr>
    </w:lvl>
    <w:lvl w:ilvl="1" w:tentative="0">
      <w:start w:val="1"/>
      <w:numFmt w:val="decimal"/>
      <w:pStyle w:val="88"/>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89"/>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90"/>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91"/>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92"/>
      <w:suff w:val="nothing"/>
      <w:lvlText w:val="%1.%2.%3.%4.%5.%6　"/>
      <w:lvlJc w:val="left"/>
      <w:pPr>
        <w:ind w:left="0" w:leftChars="0" w:firstLine="0" w:firstLineChars="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5D1A06AF"/>
    <w:multiLevelType w:val="multilevel"/>
    <w:tmpl w:val="5D1A06AF"/>
    <w:lvl w:ilvl="0" w:tentative="0">
      <w:start w:val="1"/>
      <w:numFmt w:val="none"/>
      <w:pStyle w:val="103"/>
      <w:suff w:val="nothing"/>
      <w:lvlText w:val="示例："/>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6">
    <w:nsid w:val="73481436"/>
    <w:multiLevelType w:val="multilevel"/>
    <w:tmpl w:val="73481436"/>
    <w:lvl w:ilvl="0" w:tentative="0">
      <w:start w:val="1"/>
      <w:numFmt w:val="none"/>
      <w:pStyle w:val="105"/>
      <w:suff w:val="nothing"/>
      <w:lvlText w:val="注："/>
      <w:lvlJc w:val="left"/>
      <w:pPr>
        <w:ind w:left="737" w:leftChars="0" w:hanging="374"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7"/>
  </w:num>
  <w:num w:numId="2">
    <w:abstractNumId w:val="10"/>
  </w:num>
  <w:num w:numId="3">
    <w:abstractNumId w:val="1"/>
  </w:num>
  <w:num w:numId="4">
    <w:abstractNumId w:val="2"/>
  </w:num>
  <w:num w:numId="5">
    <w:abstractNumId w:val="9"/>
  </w:num>
  <w:num w:numId="6">
    <w:abstractNumId w:val="6"/>
  </w:num>
  <w:num w:numId="7">
    <w:abstractNumId w:val="11"/>
  </w:num>
  <w:num w:numId="8">
    <w:abstractNumId w:val="14"/>
  </w:num>
  <w:num w:numId="9">
    <w:abstractNumId w:val="3"/>
  </w:num>
  <w:num w:numId="10">
    <w:abstractNumId w:val="15"/>
  </w:num>
  <w:num w:numId="11">
    <w:abstractNumId w:val="13"/>
  </w:num>
  <w:num w:numId="12">
    <w:abstractNumId w:val="16"/>
  </w:num>
  <w:num w:numId="13">
    <w:abstractNumId w:val="5"/>
  </w:num>
  <w:num w:numId="14">
    <w:abstractNumId w:val="12"/>
  </w:num>
  <w:num w:numId="15">
    <w:abstractNumId w:val="0"/>
  </w:num>
  <w:num w:numId="16">
    <w:abstractNumId w:val="4"/>
  </w:num>
  <w:num w:numId="17">
    <w:abstractNumId w:val="8"/>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E965E5"/>
    <w:rsid w:val="01E21AEB"/>
    <w:rsid w:val="031E6666"/>
    <w:rsid w:val="039672D4"/>
    <w:rsid w:val="03FE0F38"/>
    <w:rsid w:val="04E275EF"/>
    <w:rsid w:val="05906AAF"/>
    <w:rsid w:val="0A8E0D48"/>
    <w:rsid w:val="10E965E5"/>
    <w:rsid w:val="116166BB"/>
    <w:rsid w:val="154A307A"/>
    <w:rsid w:val="19B968F6"/>
    <w:rsid w:val="1AF916A0"/>
    <w:rsid w:val="1BB138FD"/>
    <w:rsid w:val="1E0D06EA"/>
    <w:rsid w:val="1E2E095F"/>
    <w:rsid w:val="1E4F5A7B"/>
    <w:rsid w:val="1E512F4B"/>
    <w:rsid w:val="1EAB0DB9"/>
    <w:rsid w:val="1F095C2A"/>
    <w:rsid w:val="1F422183"/>
    <w:rsid w:val="207E43F5"/>
    <w:rsid w:val="20AC392C"/>
    <w:rsid w:val="231E732C"/>
    <w:rsid w:val="275A639C"/>
    <w:rsid w:val="2C3806EC"/>
    <w:rsid w:val="2EF53AD4"/>
    <w:rsid w:val="2F5F256A"/>
    <w:rsid w:val="2F8F44BC"/>
    <w:rsid w:val="30E50C7E"/>
    <w:rsid w:val="30E80961"/>
    <w:rsid w:val="32280295"/>
    <w:rsid w:val="324E27FE"/>
    <w:rsid w:val="33F85ED1"/>
    <w:rsid w:val="35600644"/>
    <w:rsid w:val="35A45E61"/>
    <w:rsid w:val="364A764D"/>
    <w:rsid w:val="36B955FF"/>
    <w:rsid w:val="379D4EBE"/>
    <w:rsid w:val="389A0EA1"/>
    <w:rsid w:val="38D43D3D"/>
    <w:rsid w:val="3EB37BB9"/>
    <w:rsid w:val="3EEE0293"/>
    <w:rsid w:val="3F9D7F9C"/>
    <w:rsid w:val="40EF6CB1"/>
    <w:rsid w:val="417F715C"/>
    <w:rsid w:val="424E3A03"/>
    <w:rsid w:val="46F06FEE"/>
    <w:rsid w:val="480B20F7"/>
    <w:rsid w:val="4D6A7906"/>
    <w:rsid w:val="4F666E3E"/>
    <w:rsid w:val="4FE21920"/>
    <w:rsid w:val="578F1DFD"/>
    <w:rsid w:val="587B1D88"/>
    <w:rsid w:val="595B7018"/>
    <w:rsid w:val="5DE93FD1"/>
    <w:rsid w:val="5E5E5C71"/>
    <w:rsid w:val="5EFE5E39"/>
    <w:rsid w:val="63500CFE"/>
    <w:rsid w:val="64C612E4"/>
    <w:rsid w:val="6DF640A8"/>
    <w:rsid w:val="6FD831D4"/>
    <w:rsid w:val="720C498A"/>
    <w:rsid w:val="749A05DB"/>
    <w:rsid w:val="7A1B7CE2"/>
    <w:rsid w:val="7DEF3E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宋体" w:hAnsi="Times New Roman" w:eastAsia="宋体" w:cs="宋体"/>
      <w:kern w:val="2"/>
      <w:sz w:val="21"/>
      <w:szCs w:val="24"/>
      <w:lang w:val="en-US" w:eastAsia="zh-CN" w:bidi="ar-SA"/>
    </w:rPr>
  </w:style>
  <w:style w:type="paragraph" w:styleId="2">
    <w:name w:val="heading 2"/>
    <w:basedOn w:val="1"/>
    <w:next w:val="1"/>
    <w:semiHidden/>
    <w:unhideWhenUsed/>
    <w:qFormat/>
    <w:uiPriority w:val="0"/>
    <w:pPr>
      <w:keepNext/>
      <w:keepLines/>
      <w:numPr>
        <w:ilvl w:val="1"/>
        <w:numId w:val="1"/>
      </w:numPr>
      <w:spacing w:before="260" w:beforeLines="0" w:beforeAutospacing="0" w:after="260" w:afterLines="0" w:afterAutospacing="0" w:line="413" w:lineRule="auto"/>
      <w:ind w:left="575" w:hanging="575"/>
      <w:outlineLvl w:val="1"/>
    </w:pPr>
    <w:rPr>
      <w:rFonts w:ascii="Arial" w:hAnsi="Arial" w:eastAsia="黑体"/>
      <w:b/>
      <w:sz w:val="32"/>
    </w:rPr>
  </w:style>
  <w:style w:type="paragraph" w:styleId="3">
    <w:name w:val="heading 3"/>
    <w:basedOn w:val="1"/>
    <w:next w:val="1"/>
    <w:semiHidden/>
    <w:unhideWhenUsed/>
    <w:qFormat/>
    <w:uiPriority w:val="0"/>
    <w:pPr>
      <w:keepNext/>
      <w:keepLines/>
      <w:numPr>
        <w:ilvl w:val="2"/>
        <w:numId w:val="2"/>
      </w:numPr>
      <w:spacing w:before="260" w:beforeLines="0" w:beforeAutospacing="0" w:after="260" w:afterLines="0" w:afterAutospacing="0" w:line="413" w:lineRule="auto"/>
      <w:ind w:left="720" w:hanging="720"/>
      <w:outlineLvl w:val="2"/>
    </w:pPr>
    <w:rPr>
      <w:b/>
      <w:sz w:val="32"/>
    </w:rPr>
  </w:style>
  <w:style w:type="paragraph" w:styleId="4">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5">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6">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7">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8">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9">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1">
    <w:name w:val="Default Paragraph Font"/>
    <w:semiHidden/>
    <w:uiPriority w:val="0"/>
    <w:rPr>
      <w:rFonts w:hint="eastAsia" w:ascii="黑体" w:hAnsi="黑体" w:eastAsia="黑体" w:cs="黑体"/>
      <w:sz w:val="21"/>
    </w:rPr>
  </w:style>
  <w:style w:type="table" w:default="1" w:styleId="19">
    <w:name w:val="Normal Table"/>
    <w:semiHidden/>
    <w:qFormat/>
    <w:uiPriority w:val="0"/>
    <w:tblPr>
      <w:tblCellMar>
        <w:top w:w="0" w:type="dxa"/>
        <w:left w:w="108" w:type="dxa"/>
        <w:bottom w:w="0" w:type="dxa"/>
        <w:right w:w="108" w:type="dxa"/>
      </w:tblCellMar>
    </w:tblPr>
  </w:style>
  <w:style w:type="paragraph" w:styleId="10">
    <w:name w:val="toc 5"/>
    <w:basedOn w:val="1"/>
    <w:next w:val="1"/>
    <w:qFormat/>
    <w:uiPriority w:val="0"/>
    <w:pPr>
      <w:spacing w:line="300" w:lineRule="exact"/>
      <w:ind w:left="1680" w:leftChars="800"/>
    </w:pPr>
    <w:rPr>
      <w:rFonts w:hAnsi="宋体"/>
    </w:rPr>
  </w:style>
  <w:style w:type="paragraph" w:styleId="11">
    <w:name w:val="toc 3"/>
    <w:basedOn w:val="1"/>
    <w:next w:val="1"/>
    <w:qFormat/>
    <w:uiPriority w:val="0"/>
    <w:pPr>
      <w:spacing w:line="300" w:lineRule="exact"/>
      <w:ind w:left="840" w:leftChars="400"/>
    </w:pPr>
    <w:rPr>
      <w:rFonts w:hAnsi="宋体"/>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qFormat/>
    <w:uiPriority w:val="0"/>
    <w:pPr>
      <w:spacing w:line="400" w:lineRule="exact"/>
    </w:pPr>
    <w:rPr>
      <w:rFonts w:hAnsi="宋体"/>
    </w:rPr>
  </w:style>
  <w:style w:type="paragraph" w:styleId="15">
    <w:name w:val="toc 4"/>
    <w:basedOn w:val="1"/>
    <w:next w:val="1"/>
    <w:qFormat/>
    <w:uiPriority w:val="0"/>
    <w:pPr>
      <w:spacing w:line="300" w:lineRule="exact"/>
      <w:ind w:left="1260" w:leftChars="600"/>
    </w:pPr>
    <w:rPr>
      <w:rFonts w:hAnsi="宋体"/>
    </w:rPr>
  </w:style>
  <w:style w:type="paragraph" w:styleId="16">
    <w:name w:val="footnote text"/>
    <w:basedOn w:val="1"/>
    <w:qFormat/>
    <w:uiPriority w:val="0"/>
    <w:pPr>
      <w:widowControl/>
      <w:numPr>
        <w:ilvl w:val="0"/>
        <w:numId w:val="3"/>
      </w:numPr>
      <w:autoSpaceDE w:val="0"/>
      <w:autoSpaceDN w:val="0"/>
      <w:snapToGrid/>
      <w:ind w:left="1700" w:leftChars="200" w:hanging="1280" w:hangingChars="200"/>
      <w:jc w:val="both"/>
    </w:pPr>
    <w:rPr>
      <w:rFonts w:hAnsi="宋体"/>
      <w:sz w:val="15"/>
    </w:rPr>
  </w:style>
  <w:style w:type="paragraph" w:styleId="17">
    <w:name w:val="toc 6"/>
    <w:basedOn w:val="1"/>
    <w:next w:val="1"/>
    <w:qFormat/>
    <w:uiPriority w:val="0"/>
    <w:pPr>
      <w:spacing w:line="300" w:lineRule="exact"/>
      <w:ind w:left="2100" w:leftChars="1000"/>
    </w:pPr>
    <w:rPr>
      <w:rFonts w:hAnsi="宋体"/>
    </w:rPr>
  </w:style>
  <w:style w:type="paragraph" w:styleId="18">
    <w:name w:val="toc 2"/>
    <w:basedOn w:val="1"/>
    <w:next w:val="1"/>
    <w:qFormat/>
    <w:uiPriority w:val="0"/>
    <w:pPr>
      <w:spacing w:line="300" w:lineRule="exact"/>
      <w:ind w:left="420" w:leftChars="200"/>
    </w:pPr>
    <w:rPr>
      <w:rFonts w:hAnsi="宋体"/>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footnote reference"/>
    <w:basedOn w:val="21"/>
    <w:qFormat/>
    <w:uiPriority w:val="0"/>
    <w:rPr>
      <w:rFonts w:ascii="宋体" w:hAnsi="宋体" w:eastAsia="宋体" w:cs="宋体"/>
      <w:sz w:val="18"/>
      <w:vertAlign w:val="superscript"/>
    </w:rPr>
  </w:style>
  <w:style w:type="paragraph" w:customStyle="1" w:styleId="23">
    <w:name w:val="标准文件_段"/>
    <w:qFormat/>
    <w:uiPriority w:val="0"/>
    <w:pPr>
      <w:ind w:firstLine="1280" w:firstLineChars="200"/>
      <w:jc w:val="both"/>
    </w:pPr>
    <w:rPr>
      <w:rFonts w:hint="eastAsia" w:ascii="宋体" w:hAnsi="Times New Roman" w:eastAsia="宋体" w:cs="宋体"/>
      <w:sz w:val="21"/>
    </w:rPr>
  </w:style>
  <w:style w:type="paragraph" w:customStyle="1" w:styleId="24">
    <w:name w:val="标准标志"/>
    <w:next w:val="1"/>
    <w:qFormat/>
    <w:uiPriority w:val="0"/>
    <w:pPr>
      <w:framePr w:w="2546" w:h="1134" w:hRule="exact" w:hSpace="181" w:wrap="around" w:vAnchor="margin" w:hAnchor="margin" w:x="6521" w:y="421" w:anchorLock="1"/>
      <w:shd w:val="clear" w:fill="FFFFFF"/>
      <w:spacing w:line="0" w:lineRule="atLeast"/>
      <w:jc w:val="right"/>
    </w:pPr>
    <w:rPr>
      <w:rFonts w:hint="eastAsia" w:ascii="Times New Roman" w:hAnsi="Times New Roman" w:eastAsia="宋体" w:cs="Times New Roman"/>
      <w:b/>
      <w:w w:val="170"/>
      <w:sz w:val="96"/>
    </w:rPr>
  </w:style>
  <w:style w:type="paragraph" w:customStyle="1" w:styleId="25">
    <w:name w:val="标准标志2"/>
    <w:next w:val="1"/>
    <w:qFormat/>
    <w:uiPriority w:val="0"/>
    <w:pPr>
      <w:framePr w:wrap="around" w:vAnchor="margin" w:hAnchor="margin" w:x="5614" w:y="398" w:anchorLock="1"/>
      <w:spacing w:line="0" w:lineRule="atLeast"/>
      <w:jc w:val="right"/>
    </w:pPr>
    <w:rPr>
      <w:rFonts w:hint="eastAsia" w:ascii="Times New Roman" w:hAnsi="Times New Roman" w:eastAsia="宋体" w:cs="Times New Roman"/>
      <w:b/>
      <w:w w:val="130"/>
      <w:sz w:val="96"/>
    </w:rPr>
  </w:style>
  <w:style w:type="paragraph" w:customStyle="1" w:styleId="26">
    <w:name w:val="标准称谓"/>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宋体" w:hAnsi="Times New Roman" w:eastAsia="宋体" w:cs="Times New Roman"/>
      <w:b/>
      <w:w w:val="148"/>
      <w:sz w:val="48"/>
    </w:rPr>
  </w:style>
  <w:style w:type="paragraph" w:customStyle="1" w:styleId="27">
    <w:name w:val="标准称谓2"/>
    <w:next w:val="1"/>
    <w:qFormat/>
    <w:uiPriority w:val="0"/>
    <w:pPr>
      <w:framePr w:w="6781" w:h="907" w:hRule="exact" w:hSpace="181" w:vSpace="181" w:wrap="around" w:vAnchor="page" w:hAnchor="page" w:xAlign="center" w:y="2269" w:anchorLock="1"/>
      <w:widowControl w:val="0"/>
      <w:kinsoku w:val="0"/>
      <w:overflowPunct w:val="0"/>
      <w:autoSpaceDE w:val="0"/>
      <w:autoSpaceDN w:val="0"/>
      <w:spacing w:line="0" w:lineRule="atLeast"/>
      <w:jc w:val="distribute"/>
    </w:pPr>
    <w:rPr>
      <w:rFonts w:hint="eastAsia" w:ascii="Times New Roman" w:hAnsi="Times New Roman" w:eastAsia="黑体" w:cs="Times New Roman"/>
      <w:spacing w:val="-40"/>
      <w:kern w:val="2"/>
      <w:sz w:val="72"/>
      <w:szCs w:val="72"/>
    </w:rPr>
  </w:style>
  <w:style w:type="paragraph" w:customStyle="1" w:styleId="28">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rPr>
  </w:style>
  <w:style w:type="paragraph" w:customStyle="1" w:styleId="29">
    <w:name w:val="标准书脚_奇数页"/>
    <w:qFormat/>
    <w:uiPriority w:val="0"/>
    <w:pPr>
      <w:ind w:right="227"/>
      <w:jc w:val="right"/>
    </w:pPr>
    <w:rPr>
      <w:rFonts w:hint="eastAsia" w:ascii="宋体" w:hAnsi="Times New Roman" w:eastAsia="宋体" w:cs="宋体"/>
      <w:sz w:val="18"/>
    </w:rPr>
  </w:style>
  <w:style w:type="paragraph" w:customStyle="1" w:styleId="30">
    <w:name w:val="标准书脚_偶数页"/>
    <w:qFormat/>
    <w:uiPriority w:val="0"/>
    <w:pPr>
      <w:ind w:left="227"/>
    </w:pPr>
    <w:rPr>
      <w:rFonts w:hint="eastAsia" w:ascii="宋体" w:hAnsi="Times New Roman" w:eastAsia="宋体" w:cs="宋体"/>
      <w:sz w:val="18"/>
    </w:rPr>
  </w:style>
  <w:style w:type="paragraph" w:customStyle="1" w:styleId="31">
    <w:name w:val="标准书眉_奇数页"/>
    <w:next w:val="1"/>
    <w:qFormat/>
    <w:uiPriority w:val="0"/>
    <w:pPr>
      <w:tabs>
        <w:tab w:val="center" w:pos="4153"/>
        <w:tab w:val="right" w:pos="8306"/>
      </w:tabs>
      <w:spacing w:after="120"/>
      <w:jc w:val="right"/>
    </w:pPr>
    <w:rPr>
      <w:rFonts w:hint="eastAsia" w:ascii="黑体" w:hAnsi="Times New Roman" w:eastAsia="黑体" w:cs="黑体"/>
      <w:sz w:val="21"/>
    </w:rPr>
  </w:style>
  <w:style w:type="paragraph" w:customStyle="1" w:styleId="32">
    <w:name w:val="标准书眉_偶数页"/>
    <w:next w:val="1"/>
    <w:qFormat/>
    <w:uiPriority w:val="0"/>
    <w:pPr>
      <w:spacing w:after="120"/>
    </w:pPr>
    <w:rPr>
      <w:rFonts w:hint="eastAsia" w:ascii="黑体" w:hAnsi="Times New Roman" w:eastAsia="黑体" w:cs="黑体"/>
      <w:sz w:val="21"/>
    </w:rPr>
  </w:style>
  <w:style w:type="paragraph" w:customStyle="1" w:styleId="33">
    <w:name w:val="标准文件_参考文献标题"/>
    <w:basedOn w:val="1"/>
    <w:next w:val="1"/>
    <w:qFormat/>
    <w:uiPriority w:val="0"/>
    <w:pPr>
      <w:widowControl/>
      <w:spacing w:before="126" w:beforeLines="40" w:after="157" w:afterLines="50"/>
      <w:jc w:val="center"/>
      <w:outlineLvl w:val="0"/>
    </w:pPr>
    <w:rPr>
      <w:rFonts w:ascii="黑体" w:hAnsi="Times New Roman" w:eastAsia="黑体" w:cs="黑体"/>
      <w:kern w:val="0"/>
    </w:rPr>
  </w:style>
  <w:style w:type="paragraph" w:customStyle="1" w:styleId="34">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rPr>
  </w:style>
  <w:style w:type="paragraph" w:customStyle="1" w:styleId="35">
    <w:name w:val="发布部门"/>
    <w:next w:val="23"/>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rPr>
  </w:style>
  <w:style w:type="paragraph" w:customStyle="1" w:styleId="36">
    <w:name w:val="发布日期"/>
    <w:qFormat/>
    <w:uiPriority w:val="0"/>
    <w:pPr>
      <w:framePr w:w="3997" w:h="471" w:hRule="exact" w:hSpace="181" w:vSpace="181" w:wrap="around" w:vAnchor="margin" w:hAnchor="page" w:y="14080" w:anchorLock="1"/>
      <w:spacing w:line="360" w:lineRule="exact"/>
    </w:pPr>
    <w:rPr>
      <w:rFonts w:hint="eastAsia" w:ascii="黑体" w:hAnsi="Times New Roman" w:eastAsia="黑体" w:cs="Times New Roman"/>
      <w:sz w:val="28"/>
    </w:rPr>
  </w:style>
  <w:style w:type="paragraph" w:customStyle="1" w:styleId="37">
    <w:name w:val="实施日期"/>
    <w:basedOn w:val="36"/>
    <w:qFormat/>
    <w:uiPriority w:val="0"/>
    <w:pPr>
      <w:framePr w:hSpace="0" w:wrap="around" w:vAnchor="page" w:hAnchor="page" w:x="7089" w:y="14176"/>
      <w:jc w:val="right"/>
    </w:pPr>
  </w:style>
  <w:style w:type="paragraph" w:customStyle="1" w:styleId="38">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rPr>
  </w:style>
  <w:style w:type="paragraph" w:customStyle="1" w:styleId="39">
    <w:name w:val="封面标准代替信息"/>
    <w:qFormat/>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rPr>
  </w:style>
  <w:style w:type="paragraph" w:customStyle="1" w:styleId="40">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rPr>
  </w:style>
  <w:style w:type="paragraph" w:customStyle="1" w:styleId="41">
    <w:name w:val="封面标准名称"/>
    <w:qFormat/>
    <w:uiPriority w:val="0"/>
    <w:pPr>
      <w:framePr w:w="9639" w:h="6974" w:hRule="exact" w:wrap="around" w:vAnchor="page" w:hAnchor="page" w:x="1419" w:y="6408"/>
      <w:spacing w:line="700" w:lineRule="exact"/>
      <w:jc w:val="center"/>
    </w:pPr>
    <w:rPr>
      <w:rFonts w:hint="eastAsia" w:ascii="黑体" w:hAnsi="Times New Roman" w:eastAsia="黑体" w:cs="Times New Roman"/>
      <w:sz w:val="52"/>
    </w:rPr>
  </w:style>
  <w:style w:type="paragraph" w:customStyle="1" w:styleId="42">
    <w:name w:val="封面标准英文名称"/>
    <w:basedOn w:val="41"/>
    <w:qFormat/>
    <w:uiPriority w:val="0"/>
    <w:pPr>
      <w:widowControl w:val="0"/>
      <w:spacing w:before="410" w:line="360" w:lineRule="exact"/>
      <w:textAlignment w:val="bottom"/>
    </w:pPr>
    <w:rPr>
      <w:rFonts w:ascii="Times New Roman" w:hAnsi="Times New Roman" w:cs="Times New Roman"/>
      <w:sz w:val="28"/>
    </w:rPr>
  </w:style>
  <w:style w:type="paragraph" w:customStyle="1" w:styleId="43">
    <w:name w:val="封面一致性程度标识"/>
    <w:basedOn w:val="42"/>
    <w:qFormat/>
    <w:uiPriority w:val="0"/>
    <w:pPr>
      <w:spacing w:before="760"/>
    </w:pPr>
  </w:style>
  <w:style w:type="paragraph" w:customStyle="1" w:styleId="44">
    <w:name w:val="封面标准文稿类别"/>
    <w:basedOn w:val="43"/>
    <w:qFormat/>
    <w:uiPriority w:val="0"/>
    <w:pPr>
      <w:spacing w:before="440" w:after="160"/>
    </w:pPr>
    <w:rPr>
      <w:rFonts w:ascii="黑体" w:hAnsi="黑体" w:cs="黑体"/>
      <w:sz w:val="24"/>
    </w:rPr>
  </w:style>
  <w:style w:type="paragraph" w:customStyle="1" w:styleId="45">
    <w:name w:val="封面标准文稿编辑信息"/>
    <w:basedOn w:val="44"/>
    <w:qFormat/>
    <w:uiPriority w:val="0"/>
    <w:pPr>
      <w:spacing w:before="180" w:line="240" w:lineRule="atLeast"/>
    </w:pPr>
    <w:rPr>
      <w:sz w:val="21"/>
    </w:rPr>
  </w:style>
  <w:style w:type="paragraph" w:customStyle="1" w:styleId="46">
    <w:name w:val="封面标准文稿附件"/>
    <w:basedOn w:val="44"/>
    <w:qFormat/>
    <w:uiPriority w:val="0"/>
    <w:pPr>
      <w:spacing w:before="937" w:beforeLines="300" w:afterLines="30" w:line="240" w:lineRule="auto"/>
    </w:pPr>
    <w:rPr>
      <w:rFonts w:ascii="Times New Roman" w:hAnsi="Times New Roman" w:cs="Times New Roman"/>
      <w:b/>
      <w:sz w:val="21"/>
    </w:rPr>
  </w:style>
  <w:style w:type="paragraph" w:customStyle="1" w:styleId="47">
    <w:name w:val="其他发布部门"/>
    <w:basedOn w:val="35"/>
    <w:qFormat/>
    <w:uiPriority w:val="0"/>
    <w:pPr>
      <w:framePr w:wrap="around" w:y="15310"/>
      <w:spacing w:line="0" w:lineRule="atLeast"/>
    </w:pPr>
    <w:rPr>
      <w:rFonts w:ascii="黑体" w:hAnsi="黑体" w:eastAsia="黑体" w:cs="黑体"/>
    </w:rPr>
  </w:style>
  <w:style w:type="paragraph" w:customStyle="1" w:styleId="48">
    <w:name w:val="其他发布部门2"/>
    <w:basedOn w:val="35"/>
    <w:qFormat/>
    <w:uiPriority w:val="0"/>
    <w:pPr>
      <w:framePr w:w="7433" w:h="584" w:hRule="exact" w:hSpace="181" w:wrap="around" w:vAnchor="margin" w:hAnchor="margin" w:xAlign="center" w:y="15027"/>
      <w:spacing w:line="0" w:lineRule="atLeast"/>
    </w:pPr>
    <w:rPr>
      <w:rFonts w:ascii="黑体" w:hAnsi="黑体" w:eastAsia="黑体" w:cs="Times New Roman"/>
      <w:spacing w:val="0"/>
      <w:w w:val="100"/>
    </w:rPr>
  </w:style>
  <w:style w:type="paragraph" w:customStyle="1" w:styleId="49">
    <w:name w:val="其他发布部门3"/>
    <w:qFormat/>
    <w:uiPriority w:val="0"/>
    <w:pPr>
      <w:framePr w:w="9248" w:h="1259" w:hRule="exact" w:hSpace="181" w:vSpace="181" w:wrap="auto" w:vAnchor="margin" w:hAnchor="margin" w:xAlign="center" w:y="14545"/>
      <w:spacing w:line="0" w:lineRule="atLeast"/>
      <w:jc w:val="center"/>
    </w:pPr>
    <w:rPr>
      <w:rFonts w:hint="eastAsia" w:ascii="黑体" w:hAnsi="Times New Roman" w:eastAsia="黑体" w:cs="Times New Roman"/>
      <w:sz w:val="28"/>
    </w:rPr>
  </w:style>
  <w:style w:type="paragraph" w:customStyle="1" w:styleId="50">
    <w:name w:val="其他发布日期"/>
    <w:basedOn w:val="36"/>
    <w:qFormat/>
    <w:uiPriority w:val="0"/>
    <w:pPr>
      <w:framePr w:hSpace="0" w:wrap="around" w:vAnchor="page" w:hAnchor="page" w:x="1419" w:y="14176"/>
    </w:pPr>
  </w:style>
  <w:style w:type="paragraph" w:customStyle="1" w:styleId="51">
    <w:name w:val="其他实施日期"/>
    <w:basedOn w:val="37"/>
    <w:qFormat/>
    <w:uiPriority w:val="0"/>
  </w:style>
  <w:style w:type="paragraph" w:customStyle="1" w:styleId="52">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rPr>
  </w:style>
  <w:style w:type="paragraph" w:customStyle="1" w:styleId="53">
    <w:name w:val="标准文件_目录标题"/>
    <w:basedOn w:val="1"/>
    <w:uiPriority w:val="0"/>
    <w:pPr>
      <w:shd w:val="clear" w:fill="FFFFFF"/>
      <w:spacing w:after="469" w:afterLines="150"/>
      <w:jc w:val="center"/>
    </w:pPr>
    <w:rPr>
      <w:rFonts w:ascii="黑体" w:hAnsi="Times New Roman" w:eastAsia="黑体" w:cs="黑体"/>
      <w:kern w:val="0"/>
      <w:sz w:val="32"/>
    </w:rPr>
  </w:style>
  <w:style w:type="paragraph" w:customStyle="1" w:styleId="54">
    <w:name w:val="标准文件_前言、引言标题"/>
    <w:next w:val="1"/>
    <w:qFormat/>
    <w:uiPriority w:val="0"/>
    <w:pPr>
      <w:numPr>
        <w:ilvl w:val="0"/>
        <w:numId w:val="4"/>
      </w:numPr>
      <w:suppressAutoHyphens w:val="0"/>
      <w:spacing w:after="469" w:afterLines="150"/>
      <w:ind w:left="425" w:hanging="425"/>
      <w:jc w:val="center"/>
      <w:outlineLvl w:val="0"/>
    </w:pPr>
    <w:rPr>
      <w:rFonts w:hint="eastAsia" w:ascii="黑体" w:hAnsi="Times New Roman" w:eastAsia="黑体" w:cs="黑体"/>
      <w:sz w:val="32"/>
    </w:rPr>
  </w:style>
  <w:style w:type="paragraph" w:customStyle="1" w:styleId="55">
    <w:name w:val="标准文件_引言一级条标题"/>
    <w:basedOn w:val="23"/>
    <w:next w:val="23"/>
    <w:qFormat/>
    <w:uiPriority w:val="0"/>
    <w:pPr>
      <w:numPr>
        <w:ilvl w:val="1"/>
        <w:numId w:val="4"/>
      </w:numPr>
      <w:spacing w:before="157" w:beforeLines="50" w:after="157" w:afterLines="50"/>
    </w:pPr>
    <w:rPr>
      <w:rFonts w:ascii="黑体" w:hAnsi="黑体" w:eastAsia="黑体" w:cs="黑体"/>
    </w:rPr>
  </w:style>
  <w:style w:type="paragraph" w:customStyle="1" w:styleId="56">
    <w:name w:val="标准文件_引言二级条标题"/>
    <w:basedOn w:val="23"/>
    <w:next w:val="23"/>
    <w:qFormat/>
    <w:uiPriority w:val="0"/>
    <w:pPr>
      <w:numPr>
        <w:ilvl w:val="2"/>
        <w:numId w:val="4"/>
      </w:numPr>
      <w:spacing w:before="157" w:beforeLines="50" w:after="157" w:afterLines="50"/>
    </w:pPr>
    <w:rPr>
      <w:rFonts w:ascii="黑体" w:hAnsi="黑体" w:eastAsia="黑体" w:cs="黑体"/>
    </w:rPr>
  </w:style>
  <w:style w:type="paragraph" w:customStyle="1" w:styleId="57">
    <w:name w:val="标准文件_引言三级条标题"/>
    <w:basedOn w:val="23"/>
    <w:next w:val="23"/>
    <w:qFormat/>
    <w:uiPriority w:val="0"/>
    <w:pPr>
      <w:numPr>
        <w:ilvl w:val="3"/>
        <w:numId w:val="4"/>
      </w:numPr>
      <w:spacing w:before="157" w:beforeLines="50" w:after="157" w:afterLines="50"/>
    </w:pPr>
    <w:rPr>
      <w:rFonts w:ascii="黑体" w:hAnsi="黑体" w:eastAsia="黑体" w:cs="黑体"/>
    </w:rPr>
  </w:style>
  <w:style w:type="paragraph" w:customStyle="1" w:styleId="58">
    <w:name w:val="标准文件_引言四级条标题"/>
    <w:basedOn w:val="23"/>
    <w:next w:val="23"/>
    <w:qFormat/>
    <w:uiPriority w:val="0"/>
    <w:pPr>
      <w:numPr>
        <w:ilvl w:val="4"/>
        <w:numId w:val="4"/>
      </w:numPr>
      <w:spacing w:before="157" w:beforeLines="50" w:after="157" w:afterLines="50"/>
    </w:pPr>
    <w:rPr>
      <w:rFonts w:ascii="黑体" w:hAnsi="黑体" w:eastAsia="黑体" w:cs="黑体"/>
    </w:rPr>
  </w:style>
  <w:style w:type="paragraph" w:customStyle="1" w:styleId="59">
    <w:name w:val="标准文件_引言五级条标题"/>
    <w:basedOn w:val="23"/>
    <w:next w:val="23"/>
    <w:qFormat/>
    <w:uiPriority w:val="0"/>
    <w:pPr>
      <w:numPr>
        <w:ilvl w:val="5"/>
        <w:numId w:val="4"/>
      </w:numPr>
      <w:spacing w:before="157" w:beforeLines="50" w:after="157" w:afterLines="50"/>
    </w:pPr>
    <w:rPr>
      <w:rFonts w:ascii="黑体" w:hAnsi="黑体" w:eastAsia="黑体" w:cs="黑体"/>
    </w:rPr>
  </w:style>
  <w:style w:type="paragraph" w:customStyle="1" w:styleId="60">
    <w:name w:val="标准文件_正文标准名称"/>
    <w:basedOn w:val="1"/>
    <w:link w:val="119"/>
    <w:qFormat/>
    <w:uiPriority w:val="0"/>
    <w:pPr>
      <w:widowControl/>
      <w:suppressAutoHyphens w:val="0"/>
      <w:spacing w:after="640" w:line="400" w:lineRule="exact"/>
      <w:jc w:val="center"/>
    </w:pPr>
    <w:rPr>
      <w:rFonts w:ascii="黑体" w:hAnsi="黑体" w:eastAsia="黑体" w:cs="黑体"/>
      <w:sz w:val="32"/>
    </w:rPr>
  </w:style>
  <w:style w:type="paragraph" w:customStyle="1" w:styleId="61">
    <w:name w:val="标准文件_一级项"/>
    <w:next w:val="23"/>
    <w:qFormat/>
    <w:uiPriority w:val="0"/>
    <w:pPr>
      <w:numPr>
        <w:ilvl w:val="0"/>
        <w:numId w:val="5"/>
      </w:numPr>
      <w:suppressAutoHyphens w:val="0"/>
      <w:ind w:left="851" w:hanging="426"/>
    </w:pPr>
    <w:rPr>
      <w:rFonts w:hint="eastAsia" w:ascii="宋体" w:hAnsi="Times New Roman" w:eastAsia="宋体" w:cs="宋体"/>
      <w:sz w:val="21"/>
    </w:rPr>
  </w:style>
  <w:style w:type="paragraph" w:customStyle="1" w:styleId="62">
    <w:name w:val="标准文件_二级项2"/>
    <w:basedOn w:val="23"/>
    <w:next w:val="23"/>
    <w:qFormat/>
    <w:uiPriority w:val="0"/>
    <w:pPr>
      <w:numPr>
        <w:ilvl w:val="1"/>
        <w:numId w:val="5"/>
      </w:numPr>
      <w:suppressAutoHyphens w:val="0"/>
      <w:ind w:left="1270" w:hanging="419"/>
    </w:pPr>
    <w:rPr>
      <w:rFonts w:ascii="宋体" w:hAnsi="Times New Roman" w:eastAsia="宋体" w:cs="宋体"/>
    </w:rPr>
  </w:style>
  <w:style w:type="paragraph" w:customStyle="1" w:styleId="63">
    <w:name w:val="标准文件_三级项"/>
    <w:basedOn w:val="1"/>
    <w:next w:val="23"/>
    <w:qFormat/>
    <w:uiPriority w:val="0"/>
    <w:pPr>
      <w:numPr>
        <w:ilvl w:val="2"/>
        <w:numId w:val="6"/>
      </w:numPr>
      <w:suppressAutoHyphens w:val="0"/>
      <w:spacing w:line="300" w:lineRule="exact"/>
      <w:ind w:left="1678" w:hanging="414"/>
    </w:pPr>
    <w:rPr>
      <w:rFonts w:ascii="宋体" w:hAnsi="+西文正文" w:eastAsia="宋体" w:cs="宋体"/>
    </w:rPr>
  </w:style>
  <w:style w:type="paragraph" w:customStyle="1" w:styleId="64">
    <w:name w:val="标准文件_字母编号列项（一级）"/>
    <w:next w:val="23"/>
    <w:qFormat/>
    <w:uiPriority w:val="0"/>
    <w:pPr>
      <w:numPr>
        <w:ilvl w:val="0"/>
        <w:numId w:val="6"/>
      </w:numPr>
      <w:tabs>
        <w:tab w:val="left" w:pos="839"/>
      </w:tabs>
      <w:ind w:left="851" w:hanging="426"/>
      <w:jc w:val="both"/>
    </w:pPr>
    <w:rPr>
      <w:rFonts w:hint="eastAsia" w:ascii="宋体" w:hAnsi="Times New Roman" w:eastAsia="宋体" w:cs="宋体"/>
      <w:sz w:val="21"/>
    </w:rPr>
  </w:style>
  <w:style w:type="paragraph" w:customStyle="1" w:styleId="65">
    <w:name w:val="标准文件_数字编号列项（二级）"/>
    <w:next w:val="23"/>
    <w:qFormat/>
    <w:uiPriority w:val="0"/>
    <w:pPr>
      <w:numPr>
        <w:ilvl w:val="1"/>
        <w:numId w:val="6"/>
      </w:numPr>
      <w:tabs>
        <w:tab w:val="left" w:pos="1259"/>
      </w:tabs>
      <w:ind w:left="1276" w:hanging="425"/>
      <w:jc w:val="both"/>
    </w:pPr>
    <w:rPr>
      <w:rFonts w:hint="eastAsia" w:ascii="宋体" w:hAnsi="Times New Roman" w:eastAsia="宋体" w:cs="Times New Roman"/>
      <w:sz w:val="21"/>
    </w:rPr>
  </w:style>
  <w:style w:type="paragraph" w:customStyle="1" w:styleId="66">
    <w:name w:val="标准文件_引言一级无标题"/>
    <w:basedOn w:val="55"/>
    <w:next w:val="23"/>
    <w:qFormat/>
    <w:uiPriority w:val="0"/>
    <w:pPr>
      <w:spacing w:before="4" w:beforeLines="1" w:after="4" w:afterLines="1" w:line="276" w:lineRule="auto"/>
    </w:pPr>
    <w:rPr>
      <w:rFonts w:ascii="宋体" w:hAnsi="宋体" w:eastAsia="宋体" w:cs="宋体"/>
    </w:rPr>
  </w:style>
  <w:style w:type="paragraph" w:customStyle="1" w:styleId="67">
    <w:name w:val="标准文件_引言二级无标题"/>
    <w:basedOn w:val="56"/>
    <w:next w:val="23"/>
    <w:qFormat/>
    <w:uiPriority w:val="0"/>
    <w:pPr>
      <w:spacing w:before="4" w:beforeLines="1" w:after="4" w:afterLines="1" w:line="276" w:lineRule="auto"/>
    </w:pPr>
    <w:rPr>
      <w:rFonts w:ascii="宋体" w:hAnsi="宋体" w:eastAsia="宋体" w:cs="宋体"/>
    </w:rPr>
  </w:style>
  <w:style w:type="paragraph" w:customStyle="1" w:styleId="68">
    <w:name w:val="标准文件_引言三级无标题"/>
    <w:basedOn w:val="57"/>
    <w:next w:val="23"/>
    <w:qFormat/>
    <w:uiPriority w:val="0"/>
    <w:pPr>
      <w:spacing w:before="4" w:beforeLines="1" w:after="4" w:afterLines="1" w:line="276" w:lineRule="auto"/>
    </w:pPr>
    <w:rPr>
      <w:rFonts w:ascii="宋体" w:hAnsi="宋体" w:eastAsia="宋体" w:cs="宋体"/>
    </w:rPr>
  </w:style>
  <w:style w:type="paragraph" w:customStyle="1" w:styleId="69">
    <w:name w:val="标准文件_引言四级无标题"/>
    <w:basedOn w:val="58"/>
    <w:next w:val="23"/>
    <w:qFormat/>
    <w:uiPriority w:val="0"/>
    <w:pPr>
      <w:spacing w:before="4" w:beforeLines="1" w:after="4" w:afterLines="1" w:line="276" w:lineRule="auto"/>
    </w:pPr>
    <w:rPr>
      <w:rFonts w:ascii="宋体" w:hAnsi="宋体" w:eastAsia="宋体" w:cs="宋体"/>
    </w:rPr>
  </w:style>
  <w:style w:type="paragraph" w:customStyle="1" w:styleId="70">
    <w:name w:val="标准文件_引言五级无标题"/>
    <w:basedOn w:val="59"/>
    <w:next w:val="23"/>
    <w:qFormat/>
    <w:uiPriority w:val="0"/>
    <w:pPr>
      <w:spacing w:before="4" w:beforeLines="1" w:after="4" w:afterLines="1" w:line="276" w:lineRule="auto"/>
    </w:pPr>
    <w:rPr>
      <w:rFonts w:ascii="宋体" w:hAnsi="宋体" w:eastAsia="宋体" w:cs="宋体"/>
    </w:rPr>
  </w:style>
  <w:style w:type="paragraph" w:customStyle="1" w:styleId="71">
    <w:name w:val="标准文件_章标题"/>
    <w:next w:val="23"/>
    <w:qFormat/>
    <w:uiPriority w:val="0"/>
    <w:pPr>
      <w:numPr>
        <w:ilvl w:val="0"/>
        <w:numId w:val="7"/>
      </w:numPr>
      <w:suppressAutoHyphens w:val="0"/>
      <w:spacing w:before="313" w:beforeLines="100" w:after="313" w:afterLines="100"/>
      <w:jc w:val="both"/>
      <w:outlineLvl w:val="0"/>
    </w:pPr>
    <w:rPr>
      <w:rFonts w:hint="eastAsia" w:ascii="黑体" w:hAnsi="Times New Roman" w:eastAsia="黑体" w:cs="黑体"/>
      <w:sz w:val="21"/>
    </w:rPr>
  </w:style>
  <w:style w:type="paragraph" w:customStyle="1" w:styleId="72">
    <w:name w:val="标准文件_一级条标题"/>
    <w:basedOn w:val="71"/>
    <w:next w:val="23"/>
    <w:qFormat/>
    <w:uiPriority w:val="0"/>
    <w:pPr>
      <w:numPr>
        <w:ilvl w:val="1"/>
      </w:numPr>
      <w:spacing w:before="157" w:beforeLines="50" w:after="157" w:afterLines="50"/>
      <w:ind w:firstLine="0"/>
      <w:outlineLvl w:val="1"/>
    </w:pPr>
    <w:rPr>
      <w:rFonts w:hAnsi="Times New Roman"/>
    </w:rPr>
  </w:style>
  <w:style w:type="paragraph" w:customStyle="1" w:styleId="73">
    <w:name w:val="标准文件_二级条标题"/>
    <w:next w:val="23"/>
    <w:qFormat/>
    <w:uiPriority w:val="0"/>
    <w:pPr>
      <w:numPr>
        <w:ilvl w:val="2"/>
        <w:numId w:val="7"/>
      </w:numPr>
      <w:suppressAutoHyphens w:val="0"/>
      <w:spacing w:before="157" w:beforeLines="50" w:after="157" w:afterLines="50"/>
      <w:jc w:val="both"/>
      <w:outlineLvl w:val="2"/>
    </w:pPr>
    <w:rPr>
      <w:rFonts w:hint="eastAsia" w:ascii="黑体" w:hAnsi="黑体" w:eastAsia="黑体" w:cs="黑体"/>
      <w:sz w:val="21"/>
    </w:rPr>
  </w:style>
  <w:style w:type="paragraph" w:customStyle="1" w:styleId="74">
    <w:name w:val="标准文件_三级条标题"/>
    <w:basedOn w:val="73"/>
    <w:next w:val="23"/>
    <w:qFormat/>
    <w:uiPriority w:val="0"/>
    <w:pPr>
      <w:numPr>
        <w:ilvl w:val="3"/>
      </w:numPr>
      <w:spacing w:before="157" w:after="157"/>
      <w:ind w:firstLine="0"/>
      <w:outlineLvl w:val="3"/>
    </w:pPr>
  </w:style>
  <w:style w:type="paragraph" w:customStyle="1" w:styleId="75">
    <w:name w:val="标准文件_四级条标题"/>
    <w:next w:val="23"/>
    <w:qFormat/>
    <w:uiPriority w:val="0"/>
    <w:pPr>
      <w:numPr>
        <w:ilvl w:val="4"/>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6">
    <w:name w:val="标准文件_五级条标题"/>
    <w:next w:val="23"/>
    <w:qFormat/>
    <w:uiPriority w:val="0"/>
    <w:pPr>
      <w:numPr>
        <w:ilvl w:val="5"/>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7">
    <w:name w:val="标准文件_一级无标题"/>
    <w:basedOn w:val="72"/>
    <w:qFormat/>
    <w:uiPriority w:val="0"/>
    <w:pPr>
      <w:spacing w:before="4" w:beforeLines="1" w:after="4" w:afterLines="1"/>
      <w:outlineLvl w:val="9"/>
    </w:pPr>
    <w:rPr>
      <w:rFonts w:ascii="宋体" w:hAnsi="宋体" w:eastAsia="宋体" w:cs="宋体"/>
    </w:rPr>
  </w:style>
  <w:style w:type="paragraph" w:customStyle="1" w:styleId="78">
    <w:name w:val="标准文件_二级无标题"/>
    <w:basedOn w:val="73"/>
    <w:qFormat/>
    <w:uiPriority w:val="0"/>
    <w:pPr>
      <w:spacing w:before="4" w:beforeLines="1" w:after="4" w:afterLines="1"/>
      <w:outlineLvl w:val="9"/>
    </w:pPr>
    <w:rPr>
      <w:rFonts w:ascii="宋体" w:hAnsi="宋体" w:eastAsia="宋体" w:cs="宋体"/>
    </w:rPr>
  </w:style>
  <w:style w:type="paragraph" w:customStyle="1" w:styleId="79">
    <w:name w:val="标准文件_三级无标题"/>
    <w:basedOn w:val="74"/>
    <w:qFormat/>
    <w:uiPriority w:val="0"/>
    <w:pPr>
      <w:spacing w:before="4" w:beforeLines="1" w:after="4" w:afterLines="1"/>
      <w:outlineLvl w:val="9"/>
    </w:pPr>
    <w:rPr>
      <w:rFonts w:ascii="宋体" w:hAnsi="宋体" w:eastAsia="宋体" w:cs="宋体"/>
    </w:rPr>
  </w:style>
  <w:style w:type="paragraph" w:customStyle="1" w:styleId="80">
    <w:name w:val="标准文件_四级无标题"/>
    <w:basedOn w:val="75"/>
    <w:qFormat/>
    <w:uiPriority w:val="0"/>
    <w:pPr>
      <w:spacing w:before="4" w:beforeLines="1" w:after="4" w:afterLines="1"/>
      <w:outlineLvl w:val="9"/>
    </w:pPr>
    <w:rPr>
      <w:rFonts w:ascii="宋体" w:hAnsi="宋体" w:eastAsia="宋体" w:cs="宋体"/>
    </w:rPr>
  </w:style>
  <w:style w:type="paragraph" w:customStyle="1" w:styleId="81">
    <w:name w:val="标准文件_五级无标题"/>
    <w:basedOn w:val="76"/>
    <w:qFormat/>
    <w:uiPriority w:val="0"/>
    <w:pPr>
      <w:spacing w:before="4" w:beforeLines="1" w:after="4" w:afterLines="1"/>
      <w:outlineLvl w:val="9"/>
    </w:pPr>
    <w:rPr>
      <w:rFonts w:ascii="宋体" w:hAnsi="宋体" w:eastAsia="宋体" w:cs="宋体"/>
    </w:rPr>
  </w:style>
  <w:style w:type="paragraph" w:customStyle="1" w:styleId="82">
    <w:name w:val="标准文件_术语条一"/>
    <w:basedOn w:val="77"/>
    <w:next w:val="23"/>
    <w:qFormat/>
    <w:uiPriority w:val="0"/>
    <w:pPr>
      <w:ind w:left="1280" w:hanging="1280" w:hangingChars="200"/>
    </w:pPr>
    <w:rPr>
      <w:rFonts w:ascii="黑体" w:hAnsi="黑体" w:eastAsia="黑体" w:cs="黑体"/>
    </w:rPr>
  </w:style>
  <w:style w:type="paragraph" w:customStyle="1" w:styleId="83">
    <w:name w:val="标准文件_术语条二"/>
    <w:basedOn w:val="78"/>
    <w:next w:val="23"/>
    <w:qFormat/>
    <w:uiPriority w:val="0"/>
    <w:pPr>
      <w:ind w:left="1280" w:hanging="1280" w:hangingChars="200"/>
    </w:pPr>
    <w:rPr>
      <w:rFonts w:ascii="黑体" w:hAnsi="黑体" w:eastAsia="黑体" w:cs="黑体"/>
    </w:rPr>
  </w:style>
  <w:style w:type="paragraph" w:customStyle="1" w:styleId="84">
    <w:name w:val="标准文件_术语条三"/>
    <w:basedOn w:val="79"/>
    <w:next w:val="23"/>
    <w:qFormat/>
    <w:uiPriority w:val="0"/>
    <w:pPr>
      <w:ind w:left="1280" w:hanging="1280" w:hangingChars="200"/>
    </w:pPr>
    <w:rPr>
      <w:rFonts w:ascii="黑体" w:hAnsi="黑体" w:eastAsia="黑体" w:cs="黑体"/>
    </w:rPr>
  </w:style>
  <w:style w:type="paragraph" w:customStyle="1" w:styleId="85">
    <w:name w:val="标准文件_术语条四"/>
    <w:basedOn w:val="80"/>
    <w:next w:val="23"/>
    <w:qFormat/>
    <w:uiPriority w:val="0"/>
    <w:pPr>
      <w:ind w:left="1280" w:hanging="1280" w:hangingChars="200"/>
    </w:pPr>
    <w:rPr>
      <w:rFonts w:ascii="黑体" w:hAnsi="黑体" w:eastAsia="黑体" w:cs="黑体"/>
    </w:rPr>
  </w:style>
  <w:style w:type="paragraph" w:customStyle="1" w:styleId="86">
    <w:name w:val="标准文件_术语条五"/>
    <w:basedOn w:val="81"/>
    <w:next w:val="23"/>
    <w:qFormat/>
    <w:uiPriority w:val="0"/>
    <w:pPr>
      <w:ind w:left="1280" w:hanging="1280" w:hangingChars="200"/>
    </w:pPr>
    <w:rPr>
      <w:rFonts w:ascii="黑体" w:hAnsi="黑体" w:eastAsia="黑体" w:cs="黑体"/>
    </w:rPr>
  </w:style>
  <w:style w:type="paragraph" w:customStyle="1" w:styleId="87">
    <w:name w:val="标准文件_附录标识"/>
    <w:basedOn w:val="1"/>
    <w:next w:val="23"/>
    <w:qFormat/>
    <w:uiPriority w:val="0"/>
    <w:pPr>
      <w:widowControl/>
      <w:numPr>
        <w:ilvl w:val="0"/>
        <w:numId w:val="8"/>
      </w:numPr>
      <w:suppressAutoHyphens w:val="0"/>
      <w:spacing w:before="79" w:beforeLines="25" w:after="157" w:afterLines="50"/>
      <w:jc w:val="center"/>
      <w:outlineLvl w:val="0"/>
    </w:pPr>
    <w:rPr>
      <w:rFonts w:ascii="黑体" w:hAnsi="黑体" w:eastAsia="黑体" w:cs="黑体"/>
    </w:rPr>
  </w:style>
  <w:style w:type="paragraph" w:customStyle="1" w:styleId="88">
    <w:name w:val="标准文件_附录一级条标题"/>
    <w:next w:val="23"/>
    <w:qFormat/>
    <w:uiPriority w:val="0"/>
    <w:pPr>
      <w:numPr>
        <w:ilvl w:val="1"/>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89">
    <w:name w:val="标准文件_附录二级条标题"/>
    <w:next w:val="23"/>
    <w:qFormat/>
    <w:uiPriority w:val="0"/>
    <w:pPr>
      <w:numPr>
        <w:ilvl w:val="2"/>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0">
    <w:name w:val="标准文件_附录三级条标题"/>
    <w:next w:val="23"/>
    <w:qFormat/>
    <w:uiPriority w:val="0"/>
    <w:pPr>
      <w:numPr>
        <w:ilvl w:val="3"/>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1">
    <w:name w:val="标准文件_附录四级条标题"/>
    <w:next w:val="23"/>
    <w:qFormat/>
    <w:uiPriority w:val="0"/>
    <w:pPr>
      <w:numPr>
        <w:ilvl w:val="4"/>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2">
    <w:name w:val="标准文件_附录五级条标题"/>
    <w:next w:val="23"/>
    <w:qFormat/>
    <w:uiPriority w:val="0"/>
    <w:pPr>
      <w:numPr>
        <w:ilvl w:val="5"/>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3">
    <w:name w:val="标准文件_附录一级无标题"/>
    <w:basedOn w:val="88"/>
    <w:qFormat/>
    <w:uiPriority w:val="0"/>
    <w:pPr>
      <w:spacing w:before="4" w:beforeLines="1" w:after="4" w:afterLines="1" w:line="276" w:lineRule="auto"/>
    </w:pPr>
    <w:rPr>
      <w:rFonts w:ascii="宋体" w:hAnsi="宋体" w:eastAsia="宋体" w:cs="宋体"/>
    </w:rPr>
  </w:style>
  <w:style w:type="paragraph" w:customStyle="1" w:styleId="94">
    <w:name w:val="标准文件_附录二级无标题"/>
    <w:basedOn w:val="89"/>
    <w:qFormat/>
    <w:uiPriority w:val="0"/>
    <w:pPr>
      <w:spacing w:before="4" w:beforeLines="1" w:after="4" w:afterLines="1" w:line="276" w:lineRule="auto"/>
    </w:pPr>
    <w:rPr>
      <w:rFonts w:ascii="宋体" w:hAnsi="宋体" w:eastAsia="宋体" w:cs="宋体"/>
    </w:rPr>
  </w:style>
  <w:style w:type="paragraph" w:customStyle="1" w:styleId="95">
    <w:name w:val="标准文件_附录三级无标题"/>
    <w:basedOn w:val="90"/>
    <w:qFormat/>
    <w:uiPriority w:val="0"/>
    <w:pPr>
      <w:spacing w:before="4" w:beforeLines="1" w:after="4" w:afterLines="1" w:line="276" w:lineRule="auto"/>
    </w:pPr>
    <w:rPr>
      <w:rFonts w:ascii="宋体" w:hAnsi="宋体" w:eastAsia="宋体" w:cs="宋体"/>
    </w:rPr>
  </w:style>
  <w:style w:type="paragraph" w:customStyle="1" w:styleId="96">
    <w:name w:val="标准文件_附录四级无标题"/>
    <w:basedOn w:val="91"/>
    <w:qFormat/>
    <w:uiPriority w:val="0"/>
    <w:pPr>
      <w:spacing w:before="4" w:beforeLines="1" w:after="4" w:afterLines="1" w:line="276" w:lineRule="auto"/>
    </w:pPr>
    <w:rPr>
      <w:rFonts w:ascii="宋体" w:hAnsi="宋体" w:eastAsia="宋体" w:cs="宋体"/>
    </w:rPr>
  </w:style>
  <w:style w:type="paragraph" w:customStyle="1" w:styleId="97">
    <w:name w:val="标准文件_附录五级无标题"/>
    <w:basedOn w:val="92"/>
    <w:qFormat/>
    <w:uiPriority w:val="0"/>
    <w:pPr>
      <w:spacing w:before="4" w:beforeLines="1" w:after="4" w:afterLines="1" w:line="276" w:lineRule="auto"/>
    </w:pPr>
    <w:rPr>
      <w:rFonts w:ascii="宋体" w:hAnsi="宋体" w:eastAsia="宋体" w:cs="宋体"/>
    </w:rPr>
  </w:style>
  <w:style w:type="paragraph" w:customStyle="1" w:styleId="98">
    <w:name w:val="附录图标号"/>
    <w:basedOn w:val="23"/>
    <w:next w:val="23"/>
    <w:qFormat/>
    <w:uiPriority w:val="0"/>
    <w:pPr>
      <w:numPr>
        <w:ilvl w:val="0"/>
        <w:numId w:val="2"/>
      </w:numPr>
      <w:spacing w:line="14" w:lineRule="exact"/>
      <w:ind w:left="0"/>
      <w:jc w:val="center"/>
    </w:pPr>
    <w:rPr>
      <w:sz w:val="2"/>
    </w:rPr>
  </w:style>
  <w:style w:type="paragraph" w:customStyle="1" w:styleId="99">
    <w:name w:val="附录图标题"/>
    <w:next w:val="23"/>
    <w:qFormat/>
    <w:uiPriority w:val="0"/>
    <w:pPr>
      <w:numPr>
        <w:ilvl w:val="1"/>
        <w:numId w:val="2"/>
      </w:numPr>
      <w:spacing w:before="157" w:beforeLines="50" w:after="157" w:afterLines="50"/>
      <w:jc w:val="center"/>
    </w:pPr>
    <w:rPr>
      <w:rFonts w:hint="eastAsia" w:ascii="黑体" w:hAnsi="黑体" w:eastAsia="黑体" w:cs="黑体"/>
      <w:sz w:val="21"/>
    </w:rPr>
  </w:style>
  <w:style w:type="paragraph" w:customStyle="1" w:styleId="100">
    <w:name w:val="附录表标号"/>
    <w:basedOn w:val="23"/>
    <w:next w:val="23"/>
    <w:qFormat/>
    <w:uiPriority w:val="0"/>
    <w:pPr>
      <w:numPr>
        <w:ilvl w:val="0"/>
        <w:numId w:val="9"/>
      </w:numPr>
      <w:spacing w:line="14" w:lineRule="exact"/>
      <w:ind w:left="0"/>
      <w:jc w:val="center"/>
    </w:pPr>
    <w:rPr>
      <w:sz w:val="2"/>
    </w:rPr>
  </w:style>
  <w:style w:type="paragraph" w:customStyle="1" w:styleId="101">
    <w:name w:val="附录表标题"/>
    <w:next w:val="23"/>
    <w:qFormat/>
    <w:uiPriority w:val="0"/>
    <w:pPr>
      <w:numPr>
        <w:ilvl w:val="1"/>
        <w:numId w:val="9"/>
      </w:numPr>
      <w:spacing w:before="157" w:beforeLines="50" w:after="157" w:afterLines="50"/>
      <w:jc w:val="center"/>
    </w:pPr>
    <w:rPr>
      <w:rFonts w:hint="eastAsia" w:ascii="黑体" w:hAnsi="黑体" w:eastAsia="黑体" w:cs="黑体"/>
      <w:sz w:val="21"/>
    </w:rPr>
  </w:style>
  <w:style w:type="paragraph" w:customStyle="1" w:styleId="102">
    <w:name w:val="标准文件_示例内容"/>
    <w:basedOn w:val="23"/>
    <w:qFormat/>
    <w:uiPriority w:val="0"/>
    <w:pPr>
      <w:suppressAutoHyphens w:val="0"/>
    </w:pPr>
    <w:rPr>
      <w:rFonts w:hAnsi="宋体"/>
      <w:sz w:val="18"/>
    </w:rPr>
  </w:style>
  <w:style w:type="paragraph" w:customStyle="1" w:styleId="103">
    <w:name w:val="标准文件_示例"/>
    <w:next w:val="102"/>
    <w:qFormat/>
    <w:uiPriority w:val="0"/>
    <w:pPr>
      <w:numPr>
        <w:ilvl w:val="0"/>
        <w:numId w:val="10"/>
      </w:numPr>
      <w:tabs>
        <w:tab w:val="left" w:pos="539"/>
      </w:tabs>
      <w:suppressAutoHyphens w:val="0"/>
      <w:jc w:val="both"/>
    </w:pPr>
    <w:rPr>
      <w:rFonts w:hint="eastAsia" w:ascii="宋体" w:hAnsi="宋体" w:eastAsia="宋体" w:cs="宋体"/>
      <w:sz w:val="18"/>
    </w:rPr>
  </w:style>
  <w:style w:type="paragraph" w:customStyle="1" w:styleId="104">
    <w:name w:val="标准文件_示例×"/>
    <w:basedOn w:val="1"/>
    <w:next w:val="102"/>
    <w:qFormat/>
    <w:uiPriority w:val="0"/>
    <w:pPr>
      <w:widowControl/>
      <w:numPr>
        <w:ilvl w:val="0"/>
        <w:numId w:val="11"/>
      </w:numPr>
      <w:tabs>
        <w:tab w:val="left" w:pos="539"/>
      </w:tabs>
      <w:suppressAutoHyphens w:val="0"/>
      <w:ind w:firstLine="363"/>
    </w:pPr>
    <w:rPr>
      <w:rFonts w:hAnsi="Times New Roman"/>
      <w:sz w:val="18"/>
    </w:rPr>
  </w:style>
  <w:style w:type="paragraph" w:customStyle="1" w:styleId="105">
    <w:name w:val="标准文件_注"/>
    <w:next w:val="23"/>
    <w:qFormat/>
    <w:uiPriority w:val="0"/>
    <w:pPr>
      <w:numPr>
        <w:ilvl w:val="0"/>
        <w:numId w:val="12"/>
      </w:numPr>
      <w:tabs>
        <w:tab w:val="left" w:pos="539"/>
      </w:tabs>
      <w:autoSpaceDE w:val="0"/>
      <w:autoSpaceDN w:val="0"/>
      <w:jc w:val="both"/>
    </w:pPr>
    <w:rPr>
      <w:rFonts w:hint="eastAsia" w:ascii="宋体" w:hAnsi="宋体" w:eastAsia="宋体" w:cs="宋体"/>
      <w:sz w:val="18"/>
    </w:rPr>
  </w:style>
  <w:style w:type="paragraph" w:customStyle="1" w:styleId="106">
    <w:name w:val="标准文件_注×"/>
    <w:next w:val="23"/>
    <w:qFormat/>
    <w:uiPriority w:val="0"/>
    <w:pPr>
      <w:numPr>
        <w:ilvl w:val="0"/>
        <w:numId w:val="13"/>
      </w:numPr>
      <w:tabs>
        <w:tab w:val="left" w:pos="539"/>
      </w:tabs>
      <w:jc w:val="both"/>
    </w:pPr>
    <w:rPr>
      <w:rFonts w:hint="eastAsia" w:ascii="宋体" w:hAnsi="宋体" w:eastAsia="宋体" w:cs="宋体"/>
      <w:sz w:val="18"/>
    </w:rPr>
  </w:style>
  <w:style w:type="paragraph" w:customStyle="1" w:styleId="107">
    <w:name w:val="标准文件_图表脚注"/>
    <w:basedOn w:val="1"/>
    <w:next w:val="23"/>
    <w:qFormat/>
    <w:uiPriority w:val="0"/>
    <w:pPr>
      <w:numPr>
        <w:ilvl w:val="0"/>
        <w:numId w:val="14"/>
      </w:numPr>
      <w:suppressAutoHyphens w:val="0"/>
      <w:adjustRightInd w:val="0"/>
      <w:jc w:val="left"/>
    </w:pPr>
    <w:rPr>
      <w:rFonts w:hAnsi="宋体"/>
      <w:sz w:val="18"/>
    </w:rPr>
  </w:style>
  <w:style w:type="paragraph" w:customStyle="1" w:styleId="108">
    <w:name w:val="标准文件_标准正文"/>
    <w:basedOn w:val="1"/>
    <w:next w:val="23"/>
    <w:qFormat/>
    <w:uiPriority w:val="0"/>
    <w:pPr>
      <w:ind w:firstLine="1280" w:firstLineChars="200"/>
    </w:pPr>
  </w:style>
  <w:style w:type="paragraph" w:customStyle="1" w:styleId="109">
    <w:name w:val="标准文件_正文公式"/>
    <w:basedOn w:val="1"/>
    <w:next w:val="108"/>
    <w:qFormat/>
    <w:uiPriority w:val="0"/>
    <w:pPr>
      <w:tabs>
        <w:tab w:val="center" w:pos="4678"/>
        <w:tab w:val="right" w:leader="middleDot" w:pos="9355"/>
      </w:tabs>
    </w:pPr>
  </w:style>
  <w:style w:type="paragraph" w:customStyle="1" w:styleId="110">
    <w:name w:val="标准文件_表格"/>
    <w:basedOn w:val="23"/>
    <w:qFormat/>
    <w:uiPriority w:val="0"/>
    <w:pPr>
      <w:jc w:val="center"/>
    </w:pPr>
    <w:rPr>
      <w:sz w:val="18"/>
    </w:rPr>
  </w:style>
  <w:style w:type="paragraph" w:customStyle="1" w:styleId="111">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112">
    <w:name w:val="标准文件_正文表标题"/>
    <w:next w:val="23"/>
    <w:qFormat/>
    <w:uiPriority w:val="0"/>
    <w:pPr>
      <w:numPr>
        <w:ilvl w:val="0"/>
        <w:numId w:val="15"/>
      </w:numPr>
      <w:spacing w:before="157" w:beforeLines="50" w:after="157" w:afterLines="50"/>
      <w:jc w:val="center"/>
    </w:pPr>
    <w:rPr>
      <w:rFonts w:hint="eastAsia" w:ascii="黑体" w:hAnsi="黑体" w:eastAsia="黑体" w:cs="黑体"/>
      <w:sz w:val="21"/>
    </w:rPr>
  </w:style>
  <w:style w:type="paragraph" w:customStyle="1" w:styleId="113">
    <w:name w:val="标准文件_正文图标题"/>
    <w:next w:val="23"/>
    <w:qFormat/>
    <w:uiPriority w:val="0"/>
    <w:pPr>
      <w:numPr>
        <w:ilvl w:val="0"/>
        <w:numId w:val="16"/>
      </w:numPr>
      <w:spacing w:before="157" w:beforeLines="50" w:after="157" w:afterLines="50"/>
      <w:jc w:val="center"/>
    </w:pPr>
    <w:rPr>
      <w:rFonts w:hint="eastAsia" w:ascii="黑体" w:hAnsi="黑体" w:eastAsia="黑体" w:cs="黑体"/>
      <w:sz w:val="21"/>
    </w:rPr>
  </w:style>
  <w:style w:type="paragraph" w:customStyle="1" w:styleId="114">
    <w:name w:val="标准文件_索引标题"/>
    <w:basedOn w:val="33"/>
    <w:next w:val="23"/>
    <w:qFormat/>
    <w:uiPriority w:val="0"/>
    <w:rPr>
      <w:rFonts w:hAnsi="黑体"/>
    </w:rPr>
  </w:style>
  <w:style w:type="paragraph" w:customStyle="1" w:styleId="115">
    <w:name w:val="标准文件_索引项"/>
    <w:basedOn w:val="23"/>
    <w:next w:val="23"/>
    <w:qFormat/>
    <w:uiPriority w:val="0"/>
    <w:pPr>
      <w:tabs>
        <w:tab w:val="right" w:leader="dot" w:pos="9355"/>
      </w:tabs>
      <w:autoSpaceDE w:val="0"/>
      <w:autoSpaceDN w:val="0"/>
      <w:ind w:left="236" w:hanging="236" w:hangingChars="37"/>
      <w:jc w:val="left"/>
    </w:pPr>
  </w:style>
  <w:style w:type="paragraph" w:customStyle="1" w:styleId="116">
    <w:name w:val="标准文件_索引字母"/>
    <w:next w:val="23"/>
    <w:qFormat/>
    <w:uiPriority w:val="0"/>
    <w:pPr>
      <w:jc w:val="center"/>
    </w:pPr>
    <w:rPr>
      <w:rFonts w:hint="eastAsia" w:ascii="宋体" w:hAnsi="宋体" w:eastAsia="宋体" w:cs="宋体"/>
      <w:b/>
      <w:kern w:val="2"/>
      <w:sz w:val="21"/>
    </w:rPr>
  </w:style>
  <w:style w:type="paragraph" w:customStyle="1" w:styleId="117">
    <w:name w:val="标准文件_提示"/>
    <w:basedOn w:val="1"/>
    <w:qFormat/>
    <w:uiPriority w:val="0"/>
    <w:pPr>
      <w:ind w:firstLine="1280" w:firstLineChars="200"/>
    </w:pPr>
    <w:rPr>
      <w:rFonts w:ascii="黑体" w:hAnsi="黑体" w:eastAsia="黑体" w:cs="黑体"/>
    </w:rPr>
  </w:style>
  <w:style w:type="paragraph" w:customStyle="1" w:styleId="118">
    <w:name w:val="标准文件_参考文献编号"/>
    <w:basedOn w:val="23"/>
    <w:qFormat/>
    <w:uiPriority w:val="0"/>
    <w:pPr>
      <w:numPr>
        <w:ilvl w:val="0"/>
        <w:numId w:val="17"/>
      </w:numPr>
    </w:pPr>
  </w:style>
  <w:style w:type="character" w:customStyle="1" w:styleId="119">
    <w:name w:val="标准文件_正文标准名称 Char"/>
    <w:link w:val="60"/>
    <w:qFormat/>
    <w:uiPriority w:val="0"/>
    <w:rPr>
      <w:rFonts w:ascii="黑体" w:hAnsi="黑体" w:eastAsia="黑体" w:cs="黑体"/>
      <w:sz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glossaryDocument" Target="glossary/document.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f3274e2-7428-47d6-aab2-ec78ebb101c5}"/>
        <w:style w:val=""/>
        <w:category>
          <w:name w:val="常规"/>
          <w:gallery w:val="placeholder"/>
        </w:category>
        <w:types>
          <w:type w:val="bbPlcHdr"/>
        </w:types>
        <w:behaviors>
          <w:behavior w:val="content"/>
        </w:behaviors>
        <w:description w:val=""/>
        <w:guid w:val="{0f3274e2-7428-47d6-aab2-ec78ebb101c5}"/>
      </w:docPartPr>
      <w:docPartBody>
        <w:p w14:paraId="30575357">
          <w:r>
            <w:rPr>
              <w:color w:val="808080"/>
            </w:rPr>
            <w:t>选择一项。</w:t>
          </w:r>
        </w:p>
      </w:docPartBody>
    </w:docPart>
    <w:docPart>
      <w:docPartPr>
        <w:name w:val="{e008379e-d67b-48df-bde3-ab8fbf77757f}"/>
        <w:style w:val=""/>
        <w:category>
          <w:name w:val="常规"/>
          <w:gallery w:val="placeholder"/>
        </w:category>
        <w:types>
          <w:type w:val="bbPlcHdr"/>
        </w:types>
        <w:behaviors>
          <w:behavior w:val="content"/>
        </w:behaviors>
        <w:description w:val=""/>
        <w:guid w:val="{e008379e-d67b-48df-bde3-ab8fbf77757f}"/>
      </w:docPartPr>
      <w:docPartBody>
        <w:p w14:paraId="5B9992DC">
          <w:r>
            <w:rPr>
              <w:color w:val="808080"/>
            </w:rPr>
            <w:t>选择一项。</w:t>
          </w:r>
        </w:p>
      </w:docPartBody>
    </w:docPart>
    <w:docPart>
      <w:docPartPr>
        <w:name w:val="{617a9850-9814-454e-9efc-ab7eeb901854}"/>
        <w:style w:val=""/>
        <w:category>
          <w:name w:val="常规"/>
          <w:gallery w:val="placeholder"/>
        </w:category>
        <w:types>
          <w:type w:val="bbPlcHdr"/>
        </w:types>
        <w:behaviors>
          <w:behavior w:val="content"/>
        </w:behaviors>
        <w:description w:val=""/>
        <w:guid w:val="{617a9850-9814-454e-9efc-ab7eeb901854}"/>
      </w:docPartPr>
      <w:docPartBody>
        <w:p w14:paraId="30A0B464">
          <w:r>
            <w:rPr>
              <w:color w:val="808080"/>
            </w:rPr>
            <w:t>单击此处输入文字。</w:t>
          </w:r>
        </w:p>
      </w:docPartBody>
    </w:docPart>
    <w:docPart>
      <w:docPartPr>
        <w:name w:val="{7139f5a1-3460-454c-bfbc-ccc0e4211351}"/>
        <w:style w:val=""/>
        <w:category>
          <w:name w:val="常规"/>
          <w:gallery w:val="placeholder"/>
        </w:category>
        <w:types>
          <w:type w:val="bbPlcHdr"/>
        </w:types>
        <w:behaviors>
          <w:behavior w:val="content"/>
        </w:behaviors>
        <w:description w:val=""/>
        <w:guid w:val="{7139f5a1-3460-454c-bfbc-ccc0e4211351}"/>
      </w:docPartPr>
      <w:docPartBody>
        <w:p w14:paraId="6B363C27">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2875</Words>
  <Characters>3261</Characters>
  <Lines>0</Lines>
  <Paragraphs>0</Paragraphs>
  <TotalTime>44</TotalTime>
  <ScaleCrop>false</ScaleCrop>
  <LinksUpToDate>false</LinksUpToDate>
  <CharactersWithSpaces>3451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2026-05-22T01:04:00Z</dcterms:created>
  <dc:creator>小汪</dc:creator>
  <cp:lastModifiedBy>。</cp:lastModifiedBy>
  <dcterms:modified xsi:type="dcterms:W3CDTF">2026-06-17T07:49:28Z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D819AB096A06476AB57383A1B0204D4B_13</vt:lpwstr>
  </property>
  <property fmtid="{D5CDD505-2E9C-101B-9397-08002B2CF9AE}" pid="4" name="KSOTemplateDocerSaveRecord">
    <vt:lpwstr>eyJoZGlkIjoiYzkwYzJmZDNiMmRhZjM0NTlkZDY1MmFlNDljZjQ0NWEiLCJ1c2VySWQiOiIyNDIyMjUwNzQifQ==</vt:lpwstr>
  </property>
</Properties>
</file>