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E3723E">
      <w:pPr>
        <w:pStyle w:val="29"/>
        <w:bidi w:val="0"/>
        <w:rPr>
          <w:rFonts w:hint="eastAsia"/>
          <w:lang w:val="en-US" w:eastAsia="zh-CN"/>
        </w:rPr>
      </w:pPr>
      <w:r>
        <w:rPr>
          <w:rFonts w:hint="eastAsia"/>
          <w:lang w:val="en-US" w:eastAsia="zh-CN"/>
        </w:rPr>
        <w:t>团体标准</w:t>
      </w:r>
    </w:p>
    <w:p w14:paraId="2596EA37">
      <w:pPr>
        <w:pStyle w:val="42"/>
        <w:bidi w:val="0"/>
        <w:rPr>
          <w:rFonts w:hint="eastAsia"/>
          <w:lang w:val="en-US" w:eastAsia="zh-CN"/>
        </w:rPr>
      </w:pPr>
      <w:r>
        <w:rPr>
          <w:rFonts w:hint="eastAsia"/>
          <w:lang w:val="en-US" w:eastAsia="zh-CN"/>
        </w:rPr>
        <w:fldChar w:fldCharType="begin">
          <w:ffData>
            <w:name w:val="StandNo"/>
            <w:enabled/>
            <w:calcOnExit w:val="0"/>
            <w:textInput>
              <w:default w:val="T/QAS XXX—2026"/>
            </w:textInput>
          </w:ffData>
        </w:fldChar>
      </w:r>
      <w:bookmarkStart w:id="0" w:name="StandNo"/>
      <w:r>
        <w:rPr>
          <w:rFonts w:hint="eastAsia"/>
          <w:lang w:val="en-US" w:eastAsia="zh-CN"/>
        </w:rPr>
        <w:instrText xml:space="preserve">FORMTEXT</w:instrText>
      </w:r>
      <w:r>
        <w:rPr>
          <w:rFonts w:hint="eastAsia"/>
          <w:lang w:val="en-US" w:eastAsia="zh-CN"/>
        </w:rPr>
        <w:fldChar w:fldCharType="separate"/>
      </w:r>
      <w:r>
        <w:rPr>
          <w:rFonts w:hint="eastAsia"/>
          <w:lang w:val="en-US" w:eastAsia="zh-CN"/>
        </w:rPr>
        <w:t>T/QAS XXX—2026</w:t>
      </w:r>
      <w:r>
        <w:rPr>
          <w:rFonts w:hint="eastAsia"/>
          <w:lang w:val="en-US" w:eastAsia="zh-CN"/>
        </w:rPr>
        <w:fldChar w:fldCharType="end"/>
      </w:r>
      <w:bookmarkEnd w:id="0"/>
    </w:p>
    <w:p w14:paraId="2EA75B01">
      <w:pPr>
        <w:pStyle w:val="41"/>
        <w:bidi w:val="0"/>
        <w:rPr>
          <w:rFonts w:hint="eastAsia"/>
          <w:lang w:val="en-US" w:eastAsia="zh-CN"/>
        </w:rPr>
      </w:pPr>
      <w:r>
        <w:rPr>
          <w:rFonts w:hint="eastAsia"/>
          <w:lang w:val="en-US" w:eastAsia="zh-CN"/>
        </w:rPr>
        <w:fldChar w:fldCharType="begin">
          <w:ffData>
            <w:name w:val="ReplaceT"/>
            <w:enabled/>
            <w:calcOnExit w:val="0"/>
            <w:textInput/>
          </w:ffData>
        </w:fldChar>
      </w:r>
      <w:bookmarkStart w:id="1" w:name="ReplaceT"/>
      <w:r>
        <w:rPr>
          <w:rFonts w:hint="eastAsia"/>
          <w:lang w:val="en-US" w:eastAsia="zh-CN"/>
        </w:rPr>
        <w:instrText xml:space="preserve">FORMTEXT</w:instrText>
      </w:r>
      <w:r>
        <w:rPr>
          <w:rFonts w:hint="eastAsia"/>
          <w:lang w:val="en-US" w:eastAsia="zh-CN"/>
        </w:rPr>
        <w:fldChar w:fldCharType="separate"/>
      </w:r>
      <w:r>
        <w:rPr>
          <w:rFonts w:hint="default"/>
          <w:lang w:val="en-US" w:eastAsia="zh-CN"/>
        </w:rPr>
        <w:t>     </w:t>
      </w:r>
      <w:r>
        <w:rPr>
          <w:rFonts w:hint="eastAsia"/>
          <w:lang w:val="en-US" w:eastAsia="zh-CN"/>
        </w:rPr>
        <w:fldChar w:fldCharType="end"/>
      </w:r>
      <w:bookmarkEnd w:id="1"/>
    </w:p>
    <w:tbl>
      <w:tblPr>
        <w:tblStyle w:val="21"/>
        <w:tblW w:w="97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9741"/>
      </w:tblGrid>
      <w:tr w14:paraId="6FC186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9889" w:type="dxa"/>
            <w:tcBorders>
              <w:top w:val="single" w:color="auto" w:sz="8" w:space="0"/>
            </w:tcBorders>
          </w:tcPr>
          <w:p w14:paraId="1FDD4E97">
            <w:pPr>
              <w:pStyle w:val="36"/>
              <w:widowControl w:val="0"/>
              <w:bidi w:val="0"/>
              <w:jc w:val="both"/>
              <w:rPr>
                <w:rFonts w:hint="eastAsia"/>
                <w:sz w:val="10"/>
                <w:vertAlign w:val="baseline"/>
                <w:lang w:val="en-US" w:eastAsia="zh-CN"/>
              </w:rPr>
            </w:pPr>
          </w:p>
        </w:tc>
      </w:tr>
    </w:tbl>
    <w:p w14:paraId="14738FB5">
      <w:pPr>
        <w:pStyle w:val="43"/>
        <w:bidi w:val="0"/>
        <w:rPr>
          <w:rFonts w:hint="eastAsia"/>
          <w:lang w:val="en-US" w:eastAsia="zh-CN"/>
        </w:rPr>
      </w:pPr>
      <w:bookmarkStart w:id="2" w:name="StdName"/>
      <w:r>
        <w:rPr>
          <w:rFonts w:hint="eastAsia" w:ascii="黑体" w:hAnsi="Times New Roman" w:eastAsia="黑体" w:cs="Times New Roman"/>
          <w:sz w:val="52"/>
          <w:lang w:val="en-US" w:eastAsia="zh-CN"/>
        </w:rPr>
        <w:fldChar w:fldCharType="begin">
          <w:ffData>
            <w:name w:val="StdName"/>
            <w:enabled/>
            <w:calcOnExit w:val="0"/>
            <w:textInput>
              <w:default w:val="地理标志产品质量要求 乐都长辣椒"/>
            </w:textInput>
          </w:ffData>
        </w:fldChar>
      </w:r>
      <w:r>
        <w:rPr>
          <w:rFonts w:hint="eastAsia" w:ascii="黑体" w:hAnsi="Times New Roman" w:eastAsia="黑体" w:cs="Times New Roman"/>
          <w:sz w:val="52"/>
          <w:lang w:val="en-US" w:eastAsia="zh-CN"/>
        </w:rPr>
        <w:instrText xml:space="preserve">FORMTEXT</w:instrText>
      </w:r>
      <w:r>
        <w:rPr>
          <w:rFonts w:hint="eastAsia" w:ascii="黑体" w:hAnsi="Times New Roman" w:eastAsia="黑体" w:cs="Times New Roman"/>
          <w:sz w:val="52"/>
          <w:lang w:val="en-US" w:eastAsia="zh-CN"/>
        </w:rPr>
        <w:fldChar w:fldCharType="separate"/>
      </w:r>
      <w:r>
        <w:rPr>
          <w:rFonts w:hint="eastAsia" w:ascii="黑体" w:hAnsi="Times New Roman" w:eastAsia="黑体" w:cs="Times New Roman"/>
          <w:sz w:val="52"/>
          <w:lang w:val="en-US" w:eastAsia="zh-CN"/>
        </w:rPr>
        <w:t>地理标志产品质量要求 乐都长辣椒</w:t>
      </w:r>
      <w:r>
        <w:rPr>
          <w:rFonts w:hint="eastAsia" w:ascii="黑体" w:hAnsi="Times New Roman" w:eastAsia="黑体" w:cs="Times New Roman"/>
          <w:sz w:val="52"/>
          <w:lang w:val="en-US" w:eastAsia="zh-CN"/>
        </w:rPr>
        <w:fldChar w:fldCharType="end"/>
      </w:r>
      <w:bookmarkEnd w:id="2"/>
    </w:p>
    <w:p w14:paraId="1448EBF5">
      <w:pPr>
        <w:pStyle w:val="44"/>
        <w:bidi w:val="0"/>
        <w:rPr>
          <w:rFonts w:hint="eastAsia"/>
          <w:lang w:val="en-US" w:eastAsia="zh-CN"/>
        </w:rPr>
      </w:pPr>
      <w:bookmarkStart w:id="3" w:name="StdEnglishName"/>
      <w:r>
        <w:rPr>
          <w:rFonts w:hint="eastAsia" w:ascii="Times New Roman" w:hAnsi="Times New Roman" w:eastAsia="黑体" w:cs="Times New Roman"/>
          <w:sz w:val="28"/>
          <w:lang w:val="en-US" w:eastAsia="zh-CN"/>
        </w:rPr>
        <w:fldChar w:fldCharType="begin">
          <w:ffData>
            <w:name w:val="StdEnglishName"/>
            <w:enabled/>
            <w:calcOnExit w:val="0"/>
            <w:textInput>
              <w:default w:val=" "/>
            </w:textInput>
          </w:ffData>
        </w:fldChar>
      </w:r>
      <w:r>
        <w:rPr>
          <w:rFonts w:hint="eastAsia" w:ascii="Times New Roman" w:hAnsi="Times New Roman" w:eastAsia="黑体" w:cs="Times New Roman"/>
          <w:sz w:val="28"/>
          <w:lang w:val="en-US" w:eastAsia="zh-CN"/>
        </w:rPr>
        <w:instrText xml:space="preserve">FORMTEXT</w:instrText>
      </w:r>
      <w:r>
        <w:rPr>
          <w:rFonts w:hint="eastAsia" w:ascii="Times New Roman" w:hAnsi="Times New Roman" w:eastAsia="黑体" w:cs="Times New Roman"/>
          <w:sz w:val="28"/>
          <w:lang w:val="en-US" w:eastAsia="zh-CN"/>
        </w:rPr>
        <w:fldChar w:fldCharType="separate"/>
      </w:r>
      <w:r>
        <w:rPr>
          <w:rFonts w:hint="eastAsia" w:ascii="Times New Roman" w:hAnsi="Times New Roman" w:eastAsia="黑体" w:cs="Times New Roman"/>
          <w:sz w:val="28"/>
          <w:lang w:val="en-US" w:eastAsia="zh-CN"/>
        </w:rPr>
        <w:t xml:space="preserve"> </w:t>
      </w:r>
      <w:r>
        <w:rPr>
          <w:rFonts w:hint="eastAsia" w:ascii="Times New Roman" w:hAnsi="Times New Roman" w:eastAsia="黑体" w:cs="Times New Roman"/>
          <w:sz w:val="28"/>
          <w:lang w:val="en-US" w:eastAsia="zh-CN"/>
        </w:rPr>
        <w:fldChar w:fldCharType="end"/>
      </w:r>
      <w:bookmarkEnd w:id="3"/>
    </w:p>
    <w:p w14:paraId="32D97B6E">
      <w:pPr>
        <w:pStyle w:val="45"/>
        <w:bidi w:val="0"/>
        <w:rPr>
          <w:rFonts w:hint="eastAsia"/>
          <w:lang w:val="en-US" w:eastAsia="zh-CN"/>
        </w:rPr>
      </w:pPr>
      <w:bookmarkStart w:id="4" w:name="YZBS"/>
      <w:r>
        <w:rPr>
          <w:rFonts w:hint="eastAsia" w:ascii="Times New Roman" w:hAnsi="Times New Roman" w:eastAsia="黑体" w:cs="Times New Roman"/>
          <w:sz w:val="28"/>
          <w:lang w:val="en-US" w:eastAsia="zh-CN"/>
        </w:rPr>
        <w:fldChar w:fldCharType="begin">
          <w:ffData>
            <w:name w:val="YZBS"/>
            <w:enabled/>
            <w:calcOnExit w:val="0"/>
            <w:textInput>
              <w:default w:val=" "/>
            </w:textInput>
          </w:ffData>
        </w:fldChar>
      </w:r>
      <w:r>
        <w:rPr>
          <w:rFonts w:hint="eastAsia" w:ascii="Times New Roman" w:hAnsi="Times New Roman" w:eastAsia="黑体" w:cs="Times New Roman"/>
          <w:sz w:val="28"/>
          <w:lang w:val="en-US" w:eastAsia="zh-CN"/>
        </w:rPr>
        <w:instrText xml:space="preserve">FORMTEXT</w:instrText>
      </w:r>
      <w:r>
        <w:rPr>
          <w:rFonts w:hint="eastAsia" w:ascii="Times New Roman" w:hAnsi="Times New Roman" w:eastAsia="黑体" w:cs="Times New Roman"/>
          <w:sz w:val="28"/>
          <w:lang w:val="en-US" w:eastAsia="zh-CN"/>
        </w:rPr>
        <w:fldChar w:fldCharType="separate"/>
      </w:r>
      <w:r>
        <w:rPr>
          <w:rFonts w:hint="eastAsia" w:ascii="Times New Roman" w:hAnsi="Times New Roman" w:eastAsia="黑体" w:cs="Times New Roman"/>
          <w:sz w:val="28"/>
          <w:lang w:val="en-US" w:eastAsia="zh-CN"/>
        </w:rPr>
        <w:t xml:space="preserve"> </w:t>
      </w:r>
      <w:r>
        <w:rPr>
          <w:rFonts w:hint="eastAsia" w:ascii="Times New Roman" w:hAnsi="Times New Roman" w:eastAsia="黑体" w:cs="Times New Roman"/>
          <w:sz w:val="28"/>
          <w:lang w:val="en-US" w:eastAsia="zh-CN"/>
        </w:rPr>
        <w:fldChar w:fldCharType="end"/>
      </w:r>
      <w:bookmarkEnd w:id="4"/>
    </w:p>
    <w:p w14:paraId="546041A8">
      <w:pPr>
        <w:pStyle w:val="46"/>
        <w:bidi w:val="0"/>
        <w:spacing w:after="0"/>
        <w:rPr>
          <w:rFonts w:hint="eastAsia"/>
          <w:lang w:val="en-US" w:eastAsia="zh-CN"/>
        </w:rPr>
      </w:pPr>
      <w:bookmarkStart w:id="5" w:name="LB"/>
      <w:r>
        <w:rPr>
          <w:rFonts w:hint="eastAsia" w:cs="黑体"/>
          <w:sz w:val="24"/>
          <w:lang w:val="en-US" w:eastAsia="zh-CN"/>
        </w:rPr>
        <w:t>征求意见稿</w:t>
      </w:r>
      <w:r>
        <w:rPr>
          <w:rFonts w:hint="eastAsia" w:ascii="黑体" w:hAnsi="黑体" w:eastAsia="黑体" w:cs="黑体"/>
          <w:sz w:val="24"/>
          <w:lang w:val="en-US" w:eastAsia="zh-CN"/>
        </w:rPr>
        <w:fldChar w:fldCharType="begin">
          <w:ffData>
            <w:name w:val="LB"/>
            <w:enabled/>
            <w:calcOnExit w:val="0"/>
            <w:ddList>
              <w:listEntry w:val="     "/>
              <w:listEntry w:val="草案版次选择"/>
              <w:listEntry w:val="（工作组讨论稿）"/>
              <w:listEntry w:val="（征求意见稿）"/>
              <w:listEntry w:val="（送审讨论稿）"/>
              <w:listEntry w:val="（送审稿）"/>
              <w:listEntry w:val="（报批稿）"/>
            </w:ddList>
          </w:ffData>
        </w:fldChar>
      </w:r>
      <w:r>
        <w:rPr>
          <w:rFonts w:hint="eastAsia" w:ascii="黑体" w:hAnsi="黑体" w:eastAsia="黑体" w:cs="黑体"/>
          <w:sz w:val="24"/>
          <w:lang w:val="en-US" w:eastAsia="zh-CN"/>
        </w:rPr>
        <w:instrText xml:space="preserve">FORMDROPDOWN</w:instrText>
      </w:r>
      <w:r>
        <w:rPr>
          <w:rFonts w:hint="eastAsia" w:ascii="黑体" w:hAnsi="黑体" w:eastAsia="黑体" w:cs="黑体"/>
          <w:sz w:val="24"/>
          <w:lang w:val="en-US" w:eastAsia="zh-CN"/>
        </w:rPr>
        <w:fldChar w:fldCharType="separate"/>
      </w:r>
      <w:r>
        <w:rPr>
          <w:rFonts w:hint="eastAsia" w:ascii="黑体" w:hAnsi="黑体" w:eastAsia="黑体" w:cs="黑体"/>
          <w:sz w:val="24"/>
          <w:lang w:val="en-US" w:eastAsia="zh-CN"/>
        </w:rPr>
        <w:fldChar w:fldCharType="end"/>
      </w:r>
      <w:bookmarkEnd w:id="5"/>
    </w:p>
    <w:p w14:paraId="7B559B63">
      <w:pPr>
        <w:pStyle w:val="47"/>
        <w:bidi w:val="0"/>
        <w:spacing w:before="100"/>
        <w:rPr>
          <w:rFonts w:hint="eastAsia"/>
          <w:lang w:val="en-US" w:eastAsia="zh-CN"/>
        </w:rPr>
      </w:pPr>
      <w:r>
        <w:rPr>
          <w:rFonts w:hint="eastAsia"/>
          <w:lang w:val="en-US" w:eastAsia="zh-CN"/>
        </w:rPr>
        <w:fldChar w:fldCharType="begin">
          <w:ffData>
            <w:name w:val="WCRQ"/>
            <w:enabled/>
            <w:calcOnExit w:val="0"/>
            <w:textInput/>
          </w:ffData>
        </w:fldChar>
      </w:r>
      <w:bookmarkStart w:id="6" w:name="WCRQ"/>
      <w:r>
        <w:rPr>
          <w:rFonts w:hint="eastAsia"/>
          <w:lang w:val="en-US" w:eastAsia="zh-CN"/>
        </w:rPr>
        <w:instrText xml:space="preserve">FORMTEXT</w:instrText>
      </w:r>
      <w:r>
        <w:rPr>
          <w:rFonts w:hint="eastAsia"/>
          <w:lang w:val="en-US" w:eastAsia="zh-CN"/>
        </w:rPr>
        <w:fldChar w:fldCharType="separate"/>
      </w:r>
      <w:r>
        <w:rPr>
          <w:rFonts w:hint="default"/>
          <w:lang w:val="en-US" w:eastAsia="zh-CN"/>
        </w:rPr>
        <w:t>     </w:t>
      </w:r>
      <w:r>
        <w:rPr>
          <w:rFonts w:hint="eastAsia"/>
          <w:lang w:val="en-US" w:eastAsia="zh-CN"/>
        </w:rPr>
        <w:fldChar w:fldCharType="end"/>
      </w:r>
      <w:bookmarkEnd w:id="6"/>
    </w:p>
    <w:p w14:paraId="58371520">
      <w:pPr>
        <w:pStyle w:val="48"/>
        <w:bidi w:val="0"/>
        <w:spacing w:before="687" w:beforeLines="220"/>
        <w:rPr>
          <w:rFonts w:hint="eastAsia"/>
          <w:lang w:val="en-US" w:eastAsia="zh-CN"/>
        </w:rPr>
      </w:pPr>
      <w:r>
        <w:rPr>
          <w:rFonts w:hint="eastAsia"/>
          <w:lang w:val="en-US" w:eastAsia="zh-CN"/>
        </w:rPr>
        <w:fldChar w:fldCharType="begin">
          <w:ffData>
            <w:name w:val="FileSelect"/>
            <w:enabled/>
            <w:calcOnExit w:val="0"/>
            <w:ddList>
              <w:result w:val="1"/>
              <w:default w:val="1"/>
              <w:listEntry w:val="     "/>
              <w:listEntry w:val="在提交反馈意见时，请将您知道的相关专利连同支持性文件一并附上。"/>
            </w:ddList>
          </w:ffData>
        </w:fldChar>
      </w:r>
      <w:bookmarkStart w:id="7" w:name="FileSelect"/>
      <w:r>
        <w:rPr>
          <w:rFonts w:hint="eastAsia"/>
          <w:lang w:val="en-US" w:eastAsia="zh-CN"/>
        </w:rPr>
        <w:instrText xml:space="preserve">FORMDROPDOWN</w:instrText>
      </w:r>
      <w:r>
        <w:rPr>
          <w:rFonts w:hint="eastAsia"/>
          <w:lang w:val="en-US" w:eastAsia="zh-CN"/>
        </w:rPr>
        <w:fldChar w:fldCharType="separate"/>
      </w:r>
      <w:r>
        <w:rPr>
          <w:rFonts w:hint="eastAsia"/>
          <w:lang w:val="en-US" w:eastAsia="zh-CN"/>
        </w:rPr>
        <w:fldChar w:fldCharType="end"/>
      </w:r>
      <w:bookmarkEnd w:id="7"/>
    </w:p>
    <w:tbl>
      <w:tblPr>
        <w:tblStyle w:val="21"/>
        <w:tblW w:w="97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4870"/>
        <w:gridCol w:w="4871"/>
      </w:tblGrid>
      <w:tr w14:paraId="04C3C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exact"/>
        </w:trPr>
        <w:tc>
          <w:tcPr>
            <w:tcW w:w="4944" w:type="dxa"/>
            <w:tcBorders>
              <w:bottom w:val="single" w:color="auto" w:sz="8" w:space="0"/>
            </w:tcBorders>
            <w:tcMar>
              <w:left w:w="57" w:type="dxa"/>
              <w:bottom w:w="28" w:type="dxa"/>
            </w:tcMar>
          </w:tcPr>
          <w:p w14:paraId="7A2B9CA1">
            <w:pPr>
              <w:pStyle w:val="40"/>
              <w:widowControl w:val="0"/>
              <w:bidi w:val="0"/>
              <w:jc w:val="both"/>
              <w:rPr>
                <w:rFonts w:hint="eastAsia"/>
                <w:vertAlign w:val="baseline"/>
                <w:lang w:val="en-US" w:eastAsia="zh-CN"/>
              </w:rPr>
            </w:pPr>
            <w:bookmarkStart w:id="8" w:name="FY"/>
            <w:r>
              <w:rPr>
                <w:rFonts w:hint="eastAsia" w:ascii="黑体" w:hAnsi="Times New Roman" w:eastAsia="黑体" w:cs="Times New Roman"/>
                <w:sz w:val="28"/>
                <w:vertAlign w:val="baseline"/>
                <w:lang w:val="en-US" w:eastAsia="zh-CN"/>
              </w:rPr>
              <w:fldChar w:fldCharType="begin">
                <w:ffData>
                  <w:name w:val="FY"/>
                  <w:enabled/>
                  <w:calcOnExit w:val="0"/>
                  <w:textInput>
                    <w:default w:val="2026"/>
                    <w:maxLength w:val="4"/>
                  </w:textInput>
                </w:ffData>
              </w:fldChar>
            </w:r>
            <w:r>
              <w:rPr>
                <w:rFonts w:hint="eastAsia" w:ascii="黑体" w:hAnsi="Times New Roman" w:eastAsia="黑体" w:cs="Times New Roman"/>
                <w:sz w:val="28"/>
                <w:vertAlign w:val="baseline"/>
                <w:lang w:val="en-US" w:eastAsia="zh-CN"/>
              </w:rPr>
              <w:instrText xml:space="preserve">FORMTEXT</w:instrText>
            </w:r>
            <w:r>
              <w:rPr>
                <w:rFonts w:hint="eastAsia" w:ascii="黑体" w:hAnsi="Times New Roman" w:eastAsia="黑体" w:cs="Times New Roman"/>
                <w:sz w:val="28"/>
                <w:vertAlign w:val="baseline"/>
                <w:lang w:val="en-US" w:eastAsia="zh-CN"/>
              </w:rPr>
              <w:fldChar w:fldCharType="separate"/>
            </w:r>
            <w:r>
              <w:rPr>
                <w:rFonts w:hint="eastAsia" w:ascii="黑体" w:hAnsi="Times New Roman" w:eastAsia="黑体" w:cs="Times New Roman"/>
                <w:sz w:val="28"/>
                <w:vertAlign w:val="baseline"/>
                <w:lang w:val="en-US" w:eastAsia="zh-CN"/>
              </w:rPr>
              <w:t>2026</w:t>
            </w:r>
            <w:r>
              <w:rPr>
                <w:rFonts w:hint="eastAsia" w:ascii="黑体" w:hAnsi="Times New Roman" w:eastAsia="黑体" w:cs="Times New Roman"/>
                <w:sz w:val="28"/>
                <w:vertAlign w:val="baseline"/>
                <w:lang w:val="en-US" w:eastAsia="zh-CN"/>
              </w:rPr>
              <w:fldChar w:fldCharType="end"/>
            </w:r>
            <w:bookmarkEnd w:id="8"/>
            <w:r>
              <w:rPr>
                <w:rFonts w:hint="eastAsia"/>
                <w:vertAlign w:val="baseline"/>
                <w:lang w:val="en-US" w:eastAsia="zh-CN"/>
              </w:rPr>
              <w:t xml:space="preserve"> - </w:t>
            </w:r>
            <w:r>
              <w:rPr>
                <w:rFonts w:hint="eastAsia"/>
                <w:vertAlign w:val="baseline"/>
                <w:lang w:val="en-US" w:eastAsia="zh-CN"/>
              </w:rPr>
              <w:fldChar w:fldCharType="begin">
                <w:ffData>
                  <w:name w:val="FM"/>
                  <w:enabled/>
                  <w:calcOnExit w:val="0"/>
                  <w:textInput>
                    <w:default w:val="XX"/>
                    <w:maxLength w:val="2"/>
                  </w:textInput>
                </w:ffData>
              </w:fldChar>
            </w:r>
            <w:bookmarkStart w:id="9" w:name="FM"/>
            <w:r>
              <w:rPr>
                <w:rFonts w:hint="eastAsia"/>
                <w:vertAlign w:val="baseline"/>
                <w:lang w:val="en-US" w:eastAsia="zh-CN"/>
              </w:rPr>
              <w:instrText xml:space="preserve">FORMTEXT</w:instrText>
            </w:r>
            <w:r>
              <w:rPr>
                <w:rFonts w:hint="eastAsia"/>
                <w:vertAlign w:val="baseline"/>
                <w:lang w:val="en-US" w:eastAsia="zh-CN"/>
              </w:rPr>
              <w:fldChar w:fldCharType="separate"/>
            </w:r>
            <w:r>
              <w:rPr>
                <w:rFonts w:hint="eastAsia"/>
                <w:vertAlign w:val="baseline"/>
                <w:lang w:val="en-US" w:eastAsia="zh-CN"/>
              </w:rPr>
              <w:t>XX</w:t>
            </w:r>
            <w:r>
              <w:rPr>
                <w:rFonts w:hint="eastAsia"/>
                <w:vertAlign w:val="baseline"/>
                <w:lang w:val="en-US" w:eastAsia="zh-CN"/>
              </w:rPr>
              <w:fldChar w:fldCharType="end"/>
            </w:r>
            <w:bookmarkEnd w:id="9"/>
            <w:r>
              <w:rPr>
                <w:rFonts w:hint="eastAsia"/>
                <w:vertAlign w:val="baseline"/>
                <w:lang w:val="en-US" w:eastAsia="zh-CN"/>
              </w:rPr>
              <w:t xml:space="preserve"> - </w:t>
            </w:r>
            <w:r>
              <w:rPr>
                <w:rFonts w:hint="eastAsia"/>
                <w:vertAlign w:val="baseline"/>
                <w:lang w:val="en-US" w:eastAsia="zh-CN"/>
              </w:rPr>
              <w:fldChar w:fldCharType="begin">
                <w:ffData>
                  <w:name w:val="FD"/>
                  <w:enabled/>
                  <w:calcOnExit w:val="0"/>
                  <w:textInput>
                    <w:default w:val="XX"/>
                    <w:maxLength w:val="2"/>
                  </w:textInput>
                </w:ffData>
              </w:fldChar>
            </w:r>
            <w:bookmarkStart w:id="10" w:name="FD"/>
            <w:r>
              <w:rPr>
                <w:rFonts w:hint="eastAsia"/>
                <w:vertAlign w:val="baseline"/>
                <w:lang w:val="en-US" w:eastAsia="zh-CN"/>
              </w:rPr>
              <w:instrText xml:space="preserve">FORMTEXT</w:instrText>
            </w:r>
            <w:r>
              <w:rPr>
                <w:rFonts w:hint="eastAsia"/>
                <w:vertAlign w:val="baseline"/>
                <w:lang w:val="en-US" w:eastAsia="zh-CN"/>
              </w:rPr>
              <w:fldChar w:fldCharType="separate"/>
            </w:r>
            <w:r>
              <w:rPr>
                <w:rFonts w:hint="eastAsia"/>
                <w:vertAlign w:val="baseline"/>
                <w:lang w:val="en-US" w:eastAsia="zh-CN"/>
              </w:rPr>
              <w:t>XX</w:t>
            </w:r>
            <w:r>
              <w:rPr>
                <w:rFonts w:hint="eastAsia"/>
                <w:vertAlign w:val="baseline"/>
                <w:lang w:val="en-US" w:eastAsia="zh-CN"/>
              </w:rPr>
              <w:fldChar w:fldCharType="end"/>
            </w:r>
            <w:bookmarkEnd w:id="10"/>
            <w:r>
              <w:rPr>
                <w:rFonts w:hint="eastAsia"/>
                <w:vertAlign w:val="baseline"/>
                <w:lang w:val="en-US" w:eastAsia="zh-CN"/>
              </w:rPr>
              <w:t xml:space="preserve"> 发布</w:t>
            </w:r>
          </w:p>
        </w:tc>
        <w:tc>
          <w:tcPr>
            <w:tcW w:w="4945" w:type="dxa"/>
            <w:tcBorders>
              <w:bottom w:val="single" w:color="auto" w:sz="8" w:space="0"/>
            </w:tcBorders>
            <w:tcMar>
              <w:right w:w="57" w:type="dxa"/>
            </w:tcMar>
          </w:tcPr>
          <w:p w14:paraId="54346698">
            <w:pPr>
              <w:pStyle w:val="40"/>
              <w:widowControl w:val="0"/>
              <w:bidi w:val="0"/>
              <w:jc w:val="right"/>
              <w:rPr>
                <w:rFonts w:hint="eastAsia"/>
                <w:vertAlign w:val="baseline"/>
                <w:lang w:val="en-US" w:eastAsia="zh-CN"/>
              </w:rPr>
            </w:pPr>
            <w:bookmarkStart w:id="11" w:name="SY"/>
            <w:r>
              <w:rPr>
                <w:rFonts w:hint="eastAsia" w:ascii="黑体" w:hAnsi="Times New Roman" w:eastAsia="黑体" w:cs="Times New Roman"/>
                <w:sz w:val="28"/>
                <w:vertAlign w:val="baseline"/>
                <w:lang w:val="en-US" w:eastAsia="zh-CN"/>
              </w:rPr>
              <w:fldChar w:fldCharType="begin">
                <w:ffData>
                  <w:name w:val="SY"/>
                  <w:enabled/>
                  <w:calcOnExit w:val="0"/>
                  <w:textInput>
                    <w:default w:val="2026"/>
                    <w:maxLength w:val="4"/>
                  </w:textInput>
                </w:ffData>
              </w:fldChar>
            </w:r>
            <w:r>
              <w:rPr>
                <w:rFonts w:hint="eastAsia" w:ascii="黑体" w:hAnsi="Times New Roman" w:eastAsia="黑体" w:cs="Times New Roman"/>
                <w:sz w:val="28"/>
                <w:vertAlign w:val="baseline"/>
                <w:lang w:val="en-US" w:eastAsia="zh-CN"/>
              </w:rPr>
              <w:instrText xml:space="preserve">FORMTEXT</w:instrText>
            </w:r>
            <w:r>
              <w:rPr>
                <w:rFonts w:hint="eastAsia" w:ascii="黑体" w:hAnsi="Times New Roman" w:eastAsia="黑体" w:cs="Times New Roman"/>
                <w:sz w:val="28"/>
                <w:vertAlign w:val="baseline"/>
                <w:lang w:val="en-US" w:eastAsia="zh-CN"/>
              </w:rPr>
              <w:fldChar w:fldCharType="separate"/>
            </w:r>
            <w:r>
              <w:rPr>
                <w:rFonts w:hint="eastAsia" w:ascii="黑体" w:hAnsi="Times New Roman" w:eastAsia="黑体" w:cs="Times New Roman"/>
                <w:sz w:val="28"/>
                <w:vertAlign w:val="baseline"/>
                <w:lang w:val="en-US" w:eastAsia="zh-CN"/>
              </w:rPr>
              <w:t>2026</w:t>
            </w:r>
            <w:r>
              <w:rPr>
                <w:rFonts w:hint="eastAsia" w:ascii="黑体" w:hAnsi="Times New Roman" w:eastAsia="黑体" w:cs="Times New Roman"/>
                <w:sz w:val="28"/>
                <w:vertAlign w:val="baseline"/>
                <w:lang w:val="en-US" w:eastAsia="zh-CN"/>
              </w:rPr>
              <w:fldChar w:fldCharType="end"/>
            </w:r>
            <w:bookmarkEnd w:id="11"/>
            <w:r>
              <w:rPr>
                <w:rFonts w:hint="eastAsia"/>
                <w:vertAlign w:val="baseline"/>
                <w:lang w:val="en-US" w:eastAsia="zh-CN"/>
              </w:rPr>
              <w:t xml:space="preserve"> - </w:t>
            </w:r>
            <w:r>
              <w:rPr>
                <w:rFonts w:hint="eastAsia"/>
                <w:vertAlign w:val="baseline"/>
                <w:lang w:val="en-US" w:eastAsia="zh-CN"/>
              </w:rPr>
              <w:fldChar w:fldCharType="begin">
                <w:ffData>
                  <w:name w:val="SM"/>
                  <w:enabled/>
                  <w:calcOnExit w:val="0"/>
                  <w:textInput>
                    <w:default w:val="XX"/>
                    <w:maxLength w:val="2"/>
                  </w:textInput>
                </w:ffData>
              </w:fldChar>
            </w:r>
            <w:bookmarkStart w:id="12" w:name="SM"/>
            <w:r>
              <w:rPr>
                <w:rFonts w:hint="eastAsia"/>
                <w:vertAlign w:val="baseline"/>
                <w:lang w:val="en-US" w:eastAsia="zh-CN"/>
              </w:rPr>
              <w:instrText xml:space="preserve">FORMTEXT</w:instrText>
            </w:r>
            <w:r>
              <w:rPr>
                <w:rFonts w:hint="eastAsia"/>
                <w:vertAlign w:val="baseline"/>
                <w:lang w:val="en-US" w:eastAsia="zh-CN"/>
              </w:rPr>
              <w:fldChar w:fldCharType="separate"/>
            </w:r>
            <w:r>
              <w:rPr>
                <w:rFonts w:hint="eastAsia"/>
                <w:vertAlign w:val="baseline"/>
                <w:lang w:val="en-US" w:eastAsia="zh-CN"/>
              </w:rPr>
              <w:t>XX</w:t>
            </w:r>
            <w:r>
              <w:rPr>
                <w:rFonts w:hint="eastAsia"/>
                <w:vertAlign w:val="baseline"/>
                <w:lang w:val="en-US" w:eastAsia="zh-CN"/>
              </w:rPr>
              <w:fldChar w:fldCharType="end"/>
            </w:r>
            <w:bookmarkEnd w:id="12"/>
            <w:r>
              <w:rPr>
                <w:rFonts w:hint="eastAsia"/>
                <w:vertAlign w:val="baseline"/>
                <w:lang w:val="en-US" w:eastAsia="zh-CN"/>
              </w:rPr>
              <w:t xml:space="preserve"> - </w:t>
            </w:r>
            <w:r>
              <w:rPr>
                <w:rFonts w:hint="eastAsia"/>
                <w:vertAlign w:val="baseline"/>
                <w:lang w:val="en-US" w:eastAsia="zh-CN"/>
              </w:rPr>
              <w:fldChar w:fldCharType="begin">
                <w:ffData>
                  <w:name w:val="SD"/>
                  <w:enabled/>
                  <w:calcOnExit w:val="0"/>
                  <w:textInput>
                    <w:default w:val="XX"/>
                    <w:maxLength w:val="2"/>
                  </w:textInput>
                </w:ffData>
              </w:fldChar>
            </w:r>
            <w:bookmarkStart w:id="13" w:name="SD"/>
            <w:r>
              <w:rPr>
                <w:rFonts w:hint="eastAsia"/>
                <w:vertAlign w:val="baseline"/>
                <w:lang w:val="en-US" w:eastAsia="zh-CN"/>
              </w:rPr>
              <w:instrText xml:space="preserve">FORMTEXT</w:instrText>
            </w:r>
            <w:r>
              <w:rPr>
                <w:rFonts w:hint="eastAsia"/>
                <w:vertAlign w:val="baseline"/>
                <w:lang w:val="en-US" w:eastAsia="zh-CN"/>
              </w:rPr>
              <w:fldChar w:fldCharType="separate"/>
            </w:r>
            <w:r>
              <w:rPr>
                <w:rFonts w:hint="eastAsia"/>
                <w:vertAlign w:val="baseline"/>
                <w:lang w:val="en-US" w:eastAsia="zh-CN"/>
              </w:rPr>
              <w:t>XX</w:t>
            </w:r>
            <w:r>
              <w:rPr>
                <w:rFonts w:hint="eastAsia"/>
                <w:vertAlign w:val="baseline"/>
                <w:lang w:val="en-US" w:eastAsia="zh-CN"/>
              </w:rPr>
              <w:fldChar w:fldCharType="end"/>
            </w:r>
            <w:bookmarkEnd w:id="13"/>
            <w:r>
              <w:rPr>
                <w:rFonts w:hint="eastAsia"/>
                <w:vertAlign w:val="baseline"/>
                <w:lang w:val="en-US" w:eastAsia="zh-CN"/>
              </w:rPr>
              <w:t xml:space="preserve"> 实施</w:t>
            </w:r>
          </w:p>
        </w:tc>
      </w:tr>
    </w:tbl>
    <w:p w14:paraId="470FF58F">
      <w:pPr>
        <w:pStyle w:val="50"/>
        <w:bidi w:val="0"/>
        <w:spacing w:before="0"/>
        <w:rPr>
          <w:rFonts w:hint="eastAsia"/>
          <w:spacing w:val="0"/>
          <w:w w:val="100"/>
          <w:sz w:val="28"/>
          <w:lang w:val="en-US" w:eastAsia="zh-CN"/>
        </w:rPr>
      </w:pPr>
      <w:bookmarkStart w:id="14" w:name="FM2"/>
      <w:r>
        <w:rPr>
          <w:rFonts w:hint="eastAsia" w:ascii="黑体" w:hAnsi="黑体" w:eastAsia="黑体" w:cs="Times New Roman"/>
          <w:spacing w:val="0"/>
          <w:w w:val="100"/>
          <w:sz w:val="28"/>
          <w:lang w:val="en-US" w:eastAsia="zh-CN"/>
        </w:rPr>
        <w:fldChar w:fldCharType="begin">
          <w:ffData>
            <w:name w:val="FM2"/>
            <w:enabled/>
            <w:calcOnExit w:val="0"/>
            <w:textInput>
              <w:default w:val="青海省标准化协会"/>
            </w:textInput>
          </w:ffData>
        </w:fldChar>
      </w:r>
      <w:r>
        <w:rPr>
          <w:rFonts w:hint="eastAsia" w:ascii="黑体" w:hAnsi="黑体" w:eastAsia="黑体" w:cs="Times New Roman"/>
          <w:spacing w:val="0"/>
          <w:w w:val="100"/>
          <w:sz w:val="28"/>
          <w:lang w:val="en-US" w:eastAsia="zh-CN"/>
        </w:rPr>
        <w:instrText xml:space="preserve">FORMTEXT</w:instrText>
      </w:r>
      <w:r>
        <w:rPr>
          <w:rFonts w:hint="eastAsia" w:ascii="黑体" w:hAnsi="黑体" w:eastAsia="黑体" w:cs="Times New Roman"/>
          <w:spacing w:val="0"/>
          <w:w w:val="100"/>
          <w:sz w:val="28"/>
          <w:lang w:val="en-US" w:eastAsia="zh-CN"/>
        </w:rPr>
        <w:fldChar w:fldCharType="separate"/>
      </w:r>
      <w:r>
        <w:rPr>
          <w:rFonts w:hint="eastAsia" w:ascii="黑体" w:hAnsi="黑体" w:eastAsia="黑体" w:cs="Times New Roman"/>
          <w:spacing w:val="0"/>
          <w:w w:val="100"/>
          <w:sz w:val="28"/>
          <w:lang w:val="en-US" w:eastAsia="zh-CN"/>
        </w:rPr>
        <w:t>青海省标准化协会</w:t>
      </w:r>
      <w:r>
        <w:rPr>
          <w:rFonts w:hint="eastAsia" w:ascii="黑体" w:hAnsi="黑体" w:eastAsia="黑体" w:cs="Times New Roman"/>
          <w:spacing w:val="0"/>
          <w:w w:val="100"/>
          <w:sz w:val="28"/>
          <w:lang w:val="en-US" w:eastAsia="zh-CN"/>
        </w:rPr>
        <w:fldChar w:fldCharType="end"/>
      </w:r>
      <w:bookmarkEnd w:id="14"/>
      <w:r>
        <w:rPr>
          <w:rFonts w:hint="eastAsia"/>
          <w:sz w:val="28"/>
          <w:lang w:val="en-US" w:eastAsia="zh-CN"/>
        </w:rPr>
        <w:t>  </w:t>
      </w:r>
      <w:r>
        <w:rPr>
          <w:rFonts w:hint="eastAsia"/>
          <w:spacing w:val="85"/>
          <w:w w:val="100"/>
          <w:sz w:val="28"/>
          <w:lang w:val="en-US" w:eastAsia="zh-CN"/>
        </w:rPr>
        <w:t>发</w:t>
      </w:r>
      <w:r>
        <w:rPr>
          <w:rFonts w:hint="eastAsia"/>
          <w:spacing w:val="0"/>
          <w:w w:val="100"/>
          <w:sz w:val="28"/>
          <w:lang w:val="en-US" w:eastAsia="zh-CN"/>
        </w:rPr>
        <w:t>布</w:t>
      </w:r>
    </w:p>
    <w:tbl>
      <w:tblPr>
        <w:tblStyle w:val="21"/>
        <w:tblW w:w="957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463"/>
        <w:gridCol w:w="9107"/>
      </w:tblGrid>
      <w:tr w14:paraId="5FF3C9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463" w:type="dxa"/>
          </w:tcPr>
          <w:p w14:paraId="5A395E8A">
            <w:pPr>
              <w:pStyle w:val="54"/>
              <w:bidi w:val="0"/>
              <w:jc w:val="both"/>
              <w:rPr>
                <w:rFonts w:hint="eastAsia"/>
                <w:vertAlign w:val="baseline"/>
                <w:lang w:val="en-US" w:eastAsia="zh-CN"/>
              </w:rPr>
            </w:pPr>
            <w:r>
              <w:rPr>
                <w:rFonts w:hint="eastAsia"/>
                <w:vertAlign w:val="baseline"/>
                <w:lang w:val="en-US" w:eastAsia="zh-CN"/>
              </w:rPr>
              <w:t>ICS</w:t>
            </w:r>
          </w:p>
        </w:tc>
        <w:tc>
          <w:tcPr>
            <w:tcW w:w="9107" w:type="dxa"/>
          </w:tcPr>
          <w:p w14:paraId="398028B9">
            <w:pPr>
              <w:pStyle w:val="54"/>
              <w:bidi w:val="0"/>
              <w:jc w:val="both"/>
              <w:rPr>
                <w:rFonts w:hint="eastAsia"/>
                <w:vertAlign w:val="baseline"/>
                <w:lang w:val="en-US" w:eastAsia="zh-CN"/>
              </w:rPr>
            </w:pPr>
            <w:bookmarkStart w:id="15" w:name="ICS"/>
            <w:r>
              <w:rPr>
                <w:rFonts w:hint="eastAsia" w:ascii="黑体" w:hAnsi="Times New Roman" w:eastAsia="黑体" w:cs="Times New Roman"/>
                <w:kern w:val="21"/>
                <w:sz w:val="21"/>
                <w:vertAlign w:val="baseline"/>
                <w:lang w:val="en-US" w:eastAsia="zh-CN"/>
              </w:rPr>
              <w:fldChar w:fldCharType="begin">
                <w:ffData>
                  <w:name w:val="ICS"/>
                  <w:enabled/>
                  <w:calcOnExit w:val="0"/>
                  <w:textInput>
                    <w:default w:val="67.080.20"/>
                  </w:textInput>
                </w:ffData>
              </w:fldChar>
            </w:r>
            <w:r>
              <w:rPr>
                <w:rFonts w:hint="eastAsia" w:ascii="黑体" w:hAnsi="Times New Roman" w:eastAsia="黑体" w:cs="Times New Roman"/>
                <w:kern w:val="21"/>
                <w:sz w:val="21"/>
                <w:vertAlign w:val="baseline"/>
                <w:lang w:val="en-US" w:eastAsia="zh-CN"/>
              </w:rPr>
              <w:instrText xml:space="preserve">FORMTEXT</w:instrText>
            </w:r>
            <w:r>
              <w:rPr>
                <w:rFonts w:hint="eastAsia" w:ascii="黑体" w:hAnsi="Times New Roman" w:eastAsia="黑体" w:cs="Times New Roman"/>
                <w:kern w:val="21"/>
                <w:sz w:val="21"/>
                <w:vertAlign w:val="baseline"/>
                <w:lang w:val="en-US" w:eastAsia="zh-CN"/>
              </w:rPr>
              <w:fldChar w:fldCharType="separate"/>
            </w:r>
            <w:r>
              <w:rPr>
                <w:rFonts w:hint="eastAsia" w:ascii="黑体" w:hAnsi="Times New Roman" w:eastAsia="黑体" w:cs="Times New Roman"/>
                <w:kern w:val="21"/>
                <w:sz w:val="21"/>
                <w:vertAlign w:val="baseline"/>
                <w:lang w:val="en-US" w:eastAsia="zh-CN"/>
              </w:rPr>
              <w:t>67.080.20</w:t>
            </w:r>
            <w:r>
              <w:rPr>
                <w:rFonts w:hint="eastAsia" w:ascii="黑体" w:hAnsi="Times New Roman" w:eastAsia="黑体" w:cs="Times New Roman"/>
                <w:kern w:val="21"/>
                <w:sz w:val="21"/>
                <w:vertAlign w:val="baseline"/>
                <w:lang w:val="en-US" w:eastAsia="zh-CN"/>
              </w:rPr>
              <w:fldChar w:fldCharType="end"/>
            </w:r>
            <w:bookmarkEnd w:id="15"/>
          </w:p>
        </w:tc>
      </w:tr>
      <w:tr w14:paraId="5843B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463" w:type="dxa"/>
          </w:tcPr>
          <w:p w14:paraId="708E8113">
            <w:pPr>
              <w:pStyle w:val="54"/>
              <w:bidi w:val="0"/>
              <w:jc w:val="both"/>
              <w:rPr>
                <w:rFonts w:hint="eastAsia"/>
                <w:vertAlign w:val="baseline"/>
                <w:lang w:val="en-US" w:eastAsia="zh-CN"/>
              </w:rPr>
            </w:pPr>
            <w:r>
              <w:rPr>
                <w:rFonts w:hint="eastAsia"/>
                <w:vertAlign w:val="baseline"/>
                <w:lang w:val="en-US" w:eastAsia="zh-CN"/>
              </w:rPr>
              <w:t>CCS</w:t>
            </w:r>
          </w:p>
        </w:tc>
        <w:tc>
          <w:tcPr>
            <w:tcW w:w="9107" w:type="dxa"/>
          </w:tcPr>
          <w:p w14:paraId="57FE27FA">
            <w:pPr>
              <w:pStyle w:val="54"/>
              <w:bidi w:val="0"/>
              <w:jc w:val="both"/>
              <w:rPr>
                <w:rFonts w:hint="eastAsia"/>
                <w:vertAlign w:val="baseline"/>
                <w:lang w:val="en-US" w:eastAsia="zh-CN"/>
              </w:rPr>
            </w:pPr>
            <w:bookmarkStart w:id="16" w:name="CCS"/>
            <w:r>
              <w:rPr>
                <w:rFonts w:hint="eastAsia" w:ascii="黑体" w:hAnsi="Times New Roman" w:eastAsia="黑体" w:cs="Times New Roman"/>
                <w:kern w:val="21"/>
                <w:sz w:val="21"/>
                <w:vertAlign w:val="baseline"/>
                <w:lang w:val="en-US" w:eastAsia="zh-CN"/>
              </w:rPr>
              <w:fldChar w:fldCharType="begin">
                <w:ffData>
                  <w:name w:val="CCS"/>
                  <w:enabled/>
                  <w:calcOnExit w:val="0"/>
                  <w:textInput>
                    <w:default w:val="B 31"/>
                  </w:textInput>
                </w:ffData>
              </w:fldChar>
            </w:r>
            <w:r>
              <w:rPr>
                <w:rFonts w:hint="eastAsia" w:ascii="黑体" w:hAnsi="Times New Roman" w:eastAsia="黑体" w:cs="Times New Roman"/>
                <w:kern w:val="21"/>
                <w:sz w:val="21"/>
                <w:vertAlign w:val="baseline"/>
                <w:lang w:val="en-US" w:eastAsia="zh-CN"/>
              </w:rPr>
              <w:instrText xml:space="preserve">FORMTEXT</w:instrText>
            </w:r>
            <w:r>
              <w:rPr>
                <w:rFonts w:hint="eastAsia" w:ascii="黑体" w:hAnsi="Times New Roman" w:eastAsia="黑体" w:cs="Times New Roman"/>
                <w:kern w:val="21"/>
                <w:sz w:val="21"/>
                <w:vertAlign w:val="baseline"/>
                <w:lang w:val="en-US" w:eastAsia="zh-CN"/>
              </w:rPr>
              <w:fldChar w:fldCharType="separate"/>
            </w:r>
            <w:r>
              <w:rPr>
                <w:rFonts w:hint="eastAsia" w:ascii="黑体" w:hAnsi="Times New Roman" w:eastAsia="黑体" w:cs="Times New Roman"/>
                <w:kern w:val="21"/>
                <w:sz w:val="21"/>
                <w:vertAlign w:val="baseline"/>
                <w:lang w:val="en-US" w:eastAsia="zh-CN"/>
              </w:rPr>
              <w:t>B 31</w:t>
            </w:r>
            <w:r>
              <w:rPr>
                <w:rFonts w:hint="eastAsia" w:ascii="黑体" w:hAnsi="Times New Roman" w:eastAsia="黑体" w:cs="Times New Roman"/>
                <w:kern w:val="21"/>
                <w:sz w:val="21"/>
                <w:vertAlign w:val="baseline"/>
                <w:lang w:val="en-US" w:eastAsia="zh-CN"/>
              </w:rPr>
              <w:fldChar w:fldCharType="end"/>
            </w:r>
            <w:bookmarkEnd w:id="16"/>
          </w:p>
        </w:tc>
      </w:tr>
    </w:tbl>
    <w:p w14:paraId="13D1312A">
      <w:pPr>
        <w:pStyle w:val="54"/>
        <w:bidi w:val="0"/>
        <w:rPr>
          <w:rFonts w:hint="eastAsia"/>
          <w:lang w:val="en-US" w:eastAsia="zh-CN"/>
        </w:rPr>
        <w:sectPr>
          <w:headerReference r:id="rId3" w:type="default"/>
          <w:footerReference r:id="rId4" w:type="default"/>
          <w:pgSz w:w="11906" w:h="16838"/>
          <w:pgMar w:top="-340" w:right="1134" w:bottom="1021" w:left="1134" w:header="0" w:footer="0" w:gutter="284"/>
          <w:lnNumType w:countBy="0" w:restart="continuous"/>
          <w:pgNumType w:fmt="decimal" w:start="1"/>
          <w:cols w:space="425" w:num="1"/>
          <w:titlePg/>
          <w:docGrid w:type="lines" w:linePitch="312" w:charSpace="0"/>
        </w:sectPr>
      </w:pPr>
    </w:p>
    <w:p w14:paraId="00C37656">
      <w:pPr>
        <w:pStyle w:val="56"/>
        <w:bidi w:val="0"/>
        <w:rPr>
          <w:rFonts w:hint="eastAsia"/>
          <w:lang w:val="en-US" w:eastAsia="zh-CN"/>
        </w:rPr>
      </w:pPr>
      <w:r>
        <w:rPr>
          <w:rFonts w:hint="eastAsia"/>
          <w:spacing w:val="317"/>
          <w:lang w:val="en-US" w:eastAsia="zh-CN"/>
        </w:rPr>
        <w:t>前</w:t>
      </w:r>
      <w:bookmarkStart w:id="17" w:name="BKQY"/>
      <w:r>
        <w:rPr>
          <w:rFonts w:hint="eastAsia"/>
          <w:lang w:val="en-US" w:eastAsia="zh-CN"/>
        </w:rPr>
        <w:t>言</w:t>
      </w:r>
    </w:p>
    <w:p w14:paraId="5D867E32">
      <w:pPr>
        <w:pStyle w:val="25"/>
        <w:bidi w:val="0"/>
        <w:rPr>
          <w:rFonts w:hint="eastAsia"/>
          <w:lang w:val="en-US" w:eastAsia="zh-CN"/>
        </w:rPr>
      </w:pPr>
      <w:r>
        <w:rPr>
          <w:rFonts w:hint="eastAsia"/>
          <w:lang w:val="en-US" w:eastAsia="zh-CN"/>
        </w:rPr>
        <w:t>本文件按照GB/T 1.1—2020《标准化工作导则  第1部分：标准化文件的结构和起草规则》的规定起草。</w:t>
      </w:r>
    </w:p>
    <w:p w14:paraId="4471E173">
      <w:pPr>
        <w:pStyle w:val="25"/>
        <w:bidi w:val="0"/>
        <w:rPr>
          <w:rFonts w:hint="eastAsia"/>
          <w:lang w:val="en-US" w:eastAsia="zh-CN"/>
        </w:rPr>
      </w:pPr>
      <w:bookmarkStart w:id="21" w:name="_GoBack"/>
      <w:bookmarkEnd w:id="21"/>
      <w:r>
        <w:rPr>
          <w:rFonts w:hint="eastAsia"/>
          <w:lang w:val="en-US" w:eastAsia="zh-CN"/>
        </w:rPr>
        <w:t>请注意本文件的某些内容可能涉及专利。本文件的发布机构不承担识别专利的责任。</w:t>
      </w:r>
    </w:p>
    <w:p w14:paraId="3C8451F0">
      <w:pPr>
        <w:pStyle w:val="25"/>
        <w:bidi w:val="0"/>
        <w:rPr>
          <w:rFonts w:hint="eastAsia"/>
          <w:lang w:eastAsia="zh-CN"/>
        </w:rPr>
      </w:pPr>
      <w:r>
        <w:rPr>
          <w:rFonts w:hint="eastAsia"/>
          <w:lang w:eastAsia="zh-CN"/>
        </w:rPr>
        <w:t>本文件由</w:t>
      </w:r>
      <w:r>
        <w:rPr>
          <w:rFonts w:hint="eastAsia"/>
          <w:lang w:val="en-US" w:eastAsia="zh-CN"/>
        </w:rPr>
        <w:t>青海省标准化协会提出并归口。</w:t>
      </w:r>
    </w:p>
    <w:p w14:paraId="68EED078">
      <w:pPr>
        <w:pStyle w:val="25"/>
        <w:bidi w:val="0"/>
        <w:rPr>
          <w:rFonts w:hint="default"/>
          <w:lang w:val="en-US" w:eastAsia="zh-CN"/>
        </w:rPr>
      </w:pPr>
      <w:r>
        <w:rPr>
          <w:rFonts w:hint="eastAsia"/>
          <w:lang w:eastAsia="zh-CN"/>
        </w:rPr>
        <w:t>本文件起草单位：青海省农业技术推广总站、青海省农牧机械推广总站</w:t>
      </w:r>
      <w:r>
        <w:rPr>
          <w:rFonts w:hint="eastAsia"/>
          <w:lang w:val="en-US" w:eastAsia="zh-CN"/>
        </w:rPr>
        <w:t>……</w:t>
      </w:r>
    </w:p>
    <w:p w14:paraId="2D53019F">
      <w:pPr>
        <w:pStyle w:val="25"/>
        <w:bidi w:val="0"/>
        <w:rPr>
          <w:rFonts w:hint="eastAsia"/>
          <w:lang w:val="en-US" w:eastAsia="zh-CN"/>
        </w:rPr>
      </w:pPr>
      <w:r>
        <w:rPr>
          <w:rFonts w:hint="eastAsia"/>
          <w:lang w:val="en-US" w:eastAsia="zh-CN"/>
        </w:rPr>
        <w:t>本文件主要起草人：</w:t>
      </w:r>
    </w:p>
    <w:p w14:paraId="58D0C0E6">
      <w:pPr>
        <w:pStyle w:val="25"/>
        <w:bidi w:val="0"/>
        <w:rPr>
          <w:rFonts w:hint="eastAsia"/>
          <w:lang w:val="en-US" w:eastAsia="zh-CN"/>
        </w:rPr>
      </w:pPr>
    </w:p>
    <w:bookmarkEnd w:id="17"/>
    <w:p w14:paraId="1AFAA4CA">
      <w:pPr>
        <w:rPr>
          <w:rFonts w:hint="eastAsia"/>
          <w:lang w:val="en-US" w:eastAsia="zh-CN"/>
        </w:rPr>
      </w:pPr>
    </w:p>
    <w:p w14:paraId="4B30D941">
      <w:pPr>
        <w:rPr>
          <w:rFonts w:hint="eastAsia"/>
          <w:lang w:val="en-US" w:eastAsia="zh-CN"/>
        </w:rPr>
      </w:pPr>
    </w:p>
    <w:p w14:paraId="5D91A914">
      <w:pPr>
        <w:rPr>
          <w:rFonts w:hint="eastAsia"/>
          <w:lang w:val="en-US" w:eastAsia="zh-CN"/>
        </w:rPr>
        <w:sectPr>
          <w:headerReference r:id="rId5" w:type="default"/>
          <w:footerReference r:id="rId6" w:type="default"/>
          <w:pgSz w:w="11906" w:h="16838"/>
          <w:pgMar w:top="2410" w:right="1134" w:bottom="1134" w:left="1134" w:header="1418" w:footer="1134" w:gutter="284"/>
          <w:lnNumType w:countBy="0" w:restart="continuous"/>
          <w:pgNumType w:fmt="upperRoman" w:start="1"/>
          <w:cols w:space="425" w:num="1"/>
          <w:docGrid w:type="lines" w:linePitch="312" w:charSpace="0"/>
        </w:sectPr>
      </w:pPr>
    </w:p>
    <w:sdt>
      <w:sdtPr>
        <w:rPr>
          <w:rStyle w:val="121"/>
          <w:rFonts w:hint="eastAsia"/>
          <w:lang w:val="en-US" w:eastAsia="zh-CN"/>
        </w:rPr>
        <w:tag w:val="StandardName"/>
        <w:id w:val="147480555"/>
        <w:lock w:val="sdtLocked"/>
        <w:placeholder>
          <w:docPart w:val="{118647bb-4c1a-47c2-91fe-bdbba466cf35}"/>
        </w:placeholder>
      </w:sdtPr>
      <w:sdtEndPr>
        <w:rPr>
          <w:rStyle w:val="121"/>
          <w:rFonts w:hint="eastAsia"/>
          <w:lang w:val="en-US" w:eastAsia="zh-CN"/>
        </w:rPr>
      </w:sdtEndPr>
      <w:sdtContent>
        <w:p w14:paraId="521A565A">
          <w:pPr>
            <w:pStyle w:val="57"/>
            <w:bidi w:val="0"/>
            <w:rPr>
              <w:rStyle w:val="121"/>
              <w:rFonts w:hint="eastAsia"/>
              <w:lang w:val="en-US" w:eastAsia="zh-CN"/>
            </w:rPr>
          </w:pPr>
          <w:bookmarkStart w:id="18" w:name="StandardName"/>
          <w:r>
            <w:rPr>
              <w:rStyle w:val="121"/>
              <w:rFonts w:hint="eastAsia"/>
              <w:lang w:val="en-US" w:eastAsia="zh-CN"/>
            </w:rPr>
            <w:t>地理标志产品质量要求 乐都长辣椒</w:t>
          </w:r>
          <w:bookmarkEnd w:id="18"/>
        </w:p>
      </w:sdtContent>
    </w:sdt>
    <w:p w14:paraId="16BEFFD6">
      <w:pPr>
        <w:pStyle w:val="73"/>
        <w:bidi w:val="0"/>
        <w:rPr>
          <w:rStyle w:val="121"/>
          <w:rFonts w:hint="eastAsia"/>
          <w:lang w:val="en-US" w:eastAsia="zh-CN"/>
        </w:rPr>
      </w:pPr>
      <w:r>
        <w:rPr>
          <w:rFonts w:hint="eastAsia"/>
          <w:lang w:val="en-US" w:eastAsia="zh-CN"/>
        </w:rPr>
        <w:t>范围</w:t>
      </w:r>
    </w:p>
    <w:p w14:paraId="181E4DDA">
      <w:pPr>
        <w:pStyle w:val="25"/>
        <w:rPr>
          <w:rFonts w:hint="eastAsia"/>
          <w:lang w:val="en-US" w:eastAsia="zh-CN"/>
        </w:rPr>
      </w:pPr>
      <w:r>
        <w:rPr>
          <w:rFonts w:hint="eastAsia"/>
          <w:lang w:val="en-US" w:eastAsia="zh-CN"/>
        </w:rPr>
        <w:t>本文件规定了地理标志产品乐都长辣椒的术语与定义、产地范围、产地环境、品种种源、栽培管理、生产工艺、质量要求、检验方法、检验规则、标签标识、包装、运输和贮存。</w:t>
      </w:r>
    </w:p>
    <w:p w14:paraId="7832974F">
      <w:pPr>
        <w:pStyle w:val="25"/>
        <w:rPr>
          <w:rFonts w:hint="eastAsia"/>
          <w:lang w:val="en-US" w:eastAsia="zh-CN"/>
        </w:rPr>
      </w:pPr>
      <w:r>
        <w:rPr>
          <w:rFonts w:hint="eastAsia"/>
          <w:lang w:val="en-US" w:eastAsia="zh-CN"/>
        </w:rPr>
        <w:t>本文件适用于地理标志产品乐都长辣椒的生产、加工、流通、检验，亦适用于地理标志产品乐都长辣椒的保护和管理。</w:t>
      </w:r>
    </w:p>
    <w:p w14:paraId="24477AE5">
      <w:pPr>
        <w:pStyle w:val="73"/>
        <w:bidi w:val="0"/>
        <w:rPr>
          <w:rFonts w:hint="eastAsia"/>
          <w:lang w:val="en-US" w:eastAsia="zh-CN"/>
        </w:rPr>
      </w:pPr>
      <w:r>
        <w:rPr>
          <w:rFonts w:hint="eastAsia"/>
          <w:lang w:val="en-US" w:eastAsia="zh-CN"/>
        </w:rPr>
        <w:t>规范性引用文件</w:t>
      </w:r>
    </w:p>
    <w:sdt>
      <w:sdtPr>
        <w:rPr>
          <w:rFonts w:hint="eastAsia" w:ascii="宋体" w:hAnsi="Times New Roman" w:eastAsia="宋体" w:cs="宋体"/>
          <w:sz w:val="21"/>
          <w:lang w:val="en-US" w:eastAsia="zh-CN"/>
        </w:rPr>
        <w:tag w:val="StandNameFile"/>
        <w:id w:val="147472352"/>
        <w:placeholder>
          <w:docPart w:val="{5f7c7dad-9451-42b0-a966-6d812f51838a}"/>
        </w:placeholder>
        <w:comboBox>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comboBox>
      </w:sdtPr>
      <w:sdtEndPr>
        <w:rPr>
          <w:rFonts w:hint="eastAsia" w:ascii="宋体" w:hAnsi="Times New Roman" w:eastAsia="宋体" w:cs="宋体"/>
          <w:sz w:val="21"/>
          <w:lang w:val="en-US" w:eastAsia="zh-CN"/>
        </w:rPr>
      </w:sdtEndPr>
      <w:sdtContent>
        <w:p w14:paraId="3D27EC68">
          <w:pPr>
            <w:pStyle w:val="25"/>
            <w:bidi w:val="0"/>
            <w:rPr>
              <w:rFonts w:hint="eastAsia" w:cs="宋体"/>
              <w:sz w:val="21"/>
              <w:lang w:val="en-US" w:eastAsia="zh-CN"/>
            </w:rPr>
          </w:pPr>
          <w:r>
            <w:rPr>
              <w:rFonts w:hint="eastAsia" w:ascii="宋体" w:hAnsi="Times New Roman" w:eastAsia="宋体" w:cs="宋体"/>
              <w:sz w:val="21"/>
              <w:lang w:val="en-US" w:eastAsia="zh-CN"/>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70657E03">
      <w:pPr>
        <w:pStyle w:val="25"/>
        <w:bidi w:val="0"/>
        <w:rPr>
          <w:rFonts w:hint="eastAsia" w:cs="宋体"/>
          <w:sz w:val="21"/>
          <w:lang w:val="en-US" w:eastAsia="zh-CN"/>
        </w:rPr>
      </w:pPr>
      <w:r>
        <w:rPr>
          <w:rFonts w:hint="eastAsia" w:cs="宋体"/>
          <w:sz w:val="21"/>
          <w:lang w:val="en-US" w:eastAsia="zh-CN"/>
        </w:rPr>
        <w:t>GB/T 191  包装储运图形符号标志</w:t>
      </w:r>
    </w:p>
    <w:p w14:paraId="030ACC78">
      <w:pPr>
        <w:pStyle w:val="25"/>
        <w:bidi w:val="0"/>
        <w:rPr>
          <w:rFonts w:hint="default" w:cs="宋体"/>
          <w:sz w:val="21"/>
          <w:lang w:val="en-US" w:eastAsia="zh-CN"/>
        </w:rPr>
      </w:pPr>
      <w:r>
        <w:rPr>
          <w:rFonts w:hint="eastAsia" w:cs="宋体"/>
          <w:sz w:val="21"/>
          <w:lang w:val="en-US" w:eastAsia="zh-CN"/>
        </w:rPr>
        <w:t>GB/T 15618  土壤环境质量标准</w:t>
      </w:r>
    </w:p>
    <w:p w14:paraId="774F622B">
      <w:pPr>
        <w:pStyle w:val="25"/>
        <w:bidi w:val="0"/>
        <w:rPr>
          <w:rFonts w:hint="default" w:cs="宋体"/>
          <w:sz w:val="21"/>
          <w:lang w:val="en-US" w:eastAsia="zh-CN"/>
        </w:rPr>
      </w:pPr>
      <w:r>
        <w:rPr>
          <w:rFonts w:hint="default" w:cs="宋体"/>
          <w:sz w:val="21"/>
          <w:lang w:val="en-US" w:eastAsia="zh-CN"/>
        </w:rPr>
        <w:t xml:space="preserve">GB/T 21266 </w:t>
      </w:r>
      <w:r>
        <w:rPr>
          <w:rFonts w:hint="eastAsia" w:cs="宋体"/>
          <w:sz w:val="21"/>
          <w:lang w:val="en-US" w:eastAsia="zh-CN"/>
        </w:rPr>
        <w:t xml:space="preserve"> </w:t>
      </w:r>
      <w:r>
        <w:rPr>
          <w:rFonts w:hint="default" w:cs="宋体"/>
          <w:sz w:val="21"/>
          <w:lang w:val="en-US" w:eastAsia="zh-CN"/>
        </w:rPr>
        <w:t>辣椒及辣椒制品中辣椒素类物质测定及辣度表示方法</w:t>
      </w:r>
    </w:p>
    <w:p w14:paraId="0732F808">
      <w:pPr>
        <w:pStyle w:val="25"/>
        <w:bidi w:val="0"/>
        <w:rPr>
          <w:rFonts w:hint="eastAsia" w:cs="宋体"/>
          <w:sz w:val="21"/>
          <w:lang w:val="en-US" w:eastAsia="zh-CN"/>
        </w:rPr>
      </w:pPr>
      <w:r>
        <w:rPr>
          <w:rFonts w:hint="eastAsia" w:cs="宋体"/>
          <w:sz w:val="21"/>
          <w:lang w:val="en-US" w:eastAsia="zh-CN"/>
        </w:rPr>
        <w:t>GB/T 44584  地理标志 基础术语</w:t>
      </w:r>
    </w:p>
    <w:p w14:paraId="51D0D2FE">
      <w:pPr>
        <w:pStyle w:val="25"/>
        <w:bidi w:val="0"/>
        <w:rPr>
          <w:rFonts w:hint="default" w:cs="宋体"/>
          <w:sz w:val="21"/>
          <w:lang w:val="en-US" w:eastAsia="zh-CN"/>
        </w:rPr>
      </w:pPr>
      <w:r>
        <w:rPr>
          <w:rFonts w:hint="default"/>
          <w:lang w:val="en-US" w:eastAsia="zh-CN"/>
        </w:rPr>
        <w:t>GB 5009.</w:t>
      </w:r>
      <w:r>
        <w:rPr>
          <w:rFonts w:hint="eastAsia"/>
          <w:lang w:val="en-US" w:eastAsia="zh-CN"/>
        </w:rPr>
        <w:t>3  食品安全国家标准 食品中水分的测定</w:t>
      </w:r>
    </w:p>
    <w:p w14:paraId="7340E5CD">
      <w:pPr>
        <w:pStyle w:val="25"/>
        <w:bidi w:val="0"/>
        <w:rPr>
          <w:rFonts w:hint="default" w:cs="宋体"/>
          <w:sz w:val="21"/>
          <w:lang w:val="en-US" w:eastAsia="zh-CN"/>
        </w:rPr>
      </w:pPr>
      <w:r>
        <w:rPr>
          <w:rFonts w:hint="default"/>
          <w:lang w:val="en-US" w:eastAsia="zh-CN"/>
        </w:rPr>
        <w:t>GB 5009.</w:t>
      </w:r>
      <w:r>
        <w:rPr>
          <w:rFonts w:hint="eastAsia"/>
          <w:lang w:val="en-US" w:eastAsia="zh-CN"/>
        </w:rPr>
        <w:t>7  食品安全国家标准 食品中还原糖的测定</w:t>
      </w:r>
    </w:p>
    <w:p w14:paraId="153E2E57">
      <w:pPr>
        <w:pStyle w:val="25"/>
        <w:bidi w:val="0"/>
        <w:rPr>
          <w:rFonts w:hint="default" w:cs="宋体"/>
          <w:sz w:val="21"/>
          <w:lang w:val="en-US" w:eastAsia="zh-CN"/>
        </w:rPr>
      </w:pPr>
      <w:r>
        <w:rPr>
          <w:rFonts w:hint="default"/>
          <w:lang w:val="en-US" w:eastAsia="zh-CN"/>
        </w:rPr>
        <w:t>GB 5009.86</w:t>
      </w:r>
      <w:r>
        <w:rPr>
          <w:rFonts w:hint="eastAsia"/>
          <w:lang w:val="en-US" w:eastAsia="zh-CN"/>
        </w:rPr>
        <w:t xml:space="preserve">  食品安全国家标准 食品中抗坏血酸的测定</w:t>
      </w:r>
    </w:p>
    <w:p w14:paraId="5FB204C1">
      <w:pPr>
        <w:pStyle w:val="25"/>
        <w:bidi w:val="0"/>
        <w:rPr>
          <w:rFonts w:hint="eastAsia"/>
          <w:lang w:val="en-US" w:eastAsia="zh-CN"/>
        </w:rPr>
      </w:pPr>
      <w:r>
        <w:rPr>
          <w:rFonts w:hint="eastAsia"/>
          <w:lang w:val="en-US" w:eastAsia="zh-CN"/>
        </w:rPr>
        <w:t>GB 5084  农田灌溉水质标准</w:t>
      </w:r>
    </w:p>
    <w:p w14:paraId="0D4D6E09">
      <w:pPr>
        <w:pStyle w:val="25"/>
        <w:bidi w:val="0"/>
        <w:rPr>
          <w:rFonts w:hint="default"/>
          <w:lang w:val="en-US" w:eastAsia="zh-CN"/>
        </w:rPr>
      </w:pPr>
      <w:r>
        <w:rPr>
          <w:rFonts w:hint="eastAsia"/>
          <w:lang w:val="en-US" w:eastAsia="zh-CN"/>
        </w:rPr>
        <w:t>GB/T 7718  食品安全国家标准 预包装食品标签通则</w:t>
      </w:r>
    </w:p>
    <w:p w14:paraId="78090EA5">
      <w:pPr>
        <w:pStyle w:val="25"/>
        <w:bidi w:val="0"/>
        <w:rPr>
          <w:rFonts w:hint="eastAsia"/>
          <w:lang w:val="en-US" w:eastAsia="zh-CN"/>
        </w:rPr>
      </w:pPr>
      <w:r>
        <w:rPr>
          <w:rFonts w:hint="eastAsia"/>
          <w:lang w:val="en-US" w:eastAsia="zh-CN"/>
        </w:rPr>
        <w:t>GB 9137  保护农作物的大气污染物最高允许浓度</w:t>
      </w:r>
    </w:p>
    <w:p w14:paraId="3E400AAC">
      <w:pPr>
        <w:pStyle w:val="25"/>
        <w:bidi w:val="0"/>
        <w:rPr>
          <w:rFonts w:hint="default"/>
          <w:lang w:val="en-US" w:eastAsia="zh-CN"/>
        </w:rPr>
      </w:pPr>
      <w:r>
        <w:rPr>
          <w:rFonts w:hint="default"/>
          <w:lang w:val="en-US" w:eastAsia="zh-CN"/>
        </w:rPr>
        <w:t>JJ</w:t>
      </w:r>
      <w:r>
        <w:rPr>
          <w:rFonts w:hint="eastAsia"/>
          <w:lang w:val="en-US" w:eastAsia="zh-CN"/>
        </w:rPr>
        <w:t xml:space="preserve">F </w:t>
      </w:r>
      <w:r>
        <w:rPr>
          <w:rFonts w:hint="default"/>
          <w:lang w:val="en-US" w:eastAsia="zh-CN"/>
        </w:rPr>
        <w:t xml:space="preserve">1070 </w:t>
      </w:r>
      <w:r>
        <w:rPr>
          <w:rFonts w:hint="eastAsia"/>
          <w:lang w:val="en-US" w:eastAsia="zh-CN"/>
        </w:rPr>
        <w:t xml:space="preserve"> </w:t>
      </w:r>
      <w:r>
        <w:rPr>
          <w:rFonts w:hint="default"/>
          <w:lang w:val="en-US" w:eastAsia="zh-CN"/>
        </w:rPr>
        <w:t>定量包装商品净含量计量检验规则</w:t>
      </w:r>
    </w:p>
    <w:p w14:paraId="14B1F5B5">
      <w:pPr>
        <w:pStyle w:val="25"/>
        <w:bidi w:val="0"/>
        <w:rPr>
          <w:rFonts w:hint="eastAsia"/>
          <w:lang w:val="en-US" w:eastAsia="zh-CN"/>
        </w:rPr>
      </w:pPr>
      <w:r>
        <w:rPr>
          <w:rFonts w:hint="eastAsia"/>
          <w:lang w:val="en-US" w:eastAsia="zh-CN"/>
        </w:rPr>
        <w:t>NY/T 396  农用水源环境质量监测技术规范</w:t>
      </w:r>
    </w:p>
    <w:p w14:paraId="7FB80534">
      <w:pPr>
        <w:pStyle w:val="25"/>
        <w:bidi w:val="0"/>
        <w:rPr>
          <w:rFonts w:hint="default"/>
          <w:lang w:val="en-US" w:eastAsia="zh-CN"/>
        </w:rPr>
      </w:pPr>
      <w:r>
        <w:rPr>
          <w:rFonts w:hint="eastAsia"/>
          <w:lang w:val="en-US" w:eastAsia="zh-CN"/>
        </w:rPr>
        <w:t>NY/T</w:t>
      </w:r>
      <w:r>
        <w:rPr>
          <w:rFonts w:hint="default"/>
          <w:lang w:val="en-US" w:eastAsia="zh-CN"/>
        </w:rPr>
        <w:t xml:space="preserve"> </w:t>
      </w:r>
      <w:r>
        <w:rPr>
          <w:rFonts w:hint="eastAsia"/>
          <w:lang w:val="en-US" w:eastAsia="zh-CN"/>
        </w:rPr>
        <w:t>944  辣椒等级规格</w:t>
      </w:r>
    </w:p>
    <w:p w14:paraId="28EA34A9">
      <w:pPr>
        <w:pStyle w:val="73"/>
        <w:bidi w:val="0"/>
        <w:rPr>
          <w:rFonts w:hint="eastAsia" w:ascii="宋体" w:hAnsi="Times New Roman" w:eastAsia="宋体" w:cs="宋体"/>
          <w:lang w:val="en-US" w:eastAsia="zh-CN"/>
        </w:rPr>
      </w:pPr>
      <w:r>
        <w:rPr>
          <w:rFonts w:hint="eastAsia"/>
          <w:lang w:val="en-US" w:eastAsia="zh-CN"/>
        </w:rPr>
        <w:t>术语和定义</w:t>
      </w:r>
    </w:p>
    <w:sdt>
      <w:sdtPr>
        <w:rPr>
          <w:rFonts w:hint="eastAsia" w:ascii="宋体" w:hAnsi="Times New Roman" w:eastAsia="宋体" w:cs="宋体"/>
          <w:sz w:val="21"/>
          <w:lang w:val="en-US" w:eastAsia="zh-CN"/>
        </w:rPr>
        <w:tag w:val="TermContent"/>
        <w:id w:val="147478831"/>
        <w:placeholder>
          <w:docPart w:val="{a48c9689-d771-4a61-81f8-e487320edb6c}"/>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eastAsia" w:ascii="宋体" w:hAnsi="Times New Roman" w:eastAsia="宋体" w:cs="宋体"/>
          <w:sz w:val="21"/>
          <w:lang w:val="en-US" w:eastAsia="zh-CN"/>
        </w:rPr>
      </w:sdtEndPr>
      <w:sdtContent>
        <w:p w14:paraId="7CE969EE">
          <w:pPr>
            <w:pStyle w:val="25"/>
            <w:rPr>
              <w:rFonts w:hint="eastAsia"/>
              <w:lang w:val="en-US" w:eastAsia="zh-CN"/>
            </w:rPr>
          </w:pPr>
          <w:r>
            <w:rPr>
              <w:rFonts w:hint="eastAsia" w:cs="宋体"/>
              <w:sz w:val="21"/>
              <w:lang w:val="en-US" w:eastAsia="zh-CN"/>
            </w:rPr>
            <w:t>GB/T 44584</w:t>
          </w:r>
          <w:r>
            <w:rPr>
              <w:rFonts w:hint="eastAsia" w:ascii="宋体" w:hAnsi="Times New Roman" w:eastAsia="宋体" w:cs="宋体"/>
              <w:sz w:val="21"/>
              <w:lang w:val="en-US" w:eastAsia="zh-CN"/>
            </w:rPr>
            <w:t>界定的以及下列术语和定义适用于本文件。</w:t>
          </w:r>
        </w:p>
      </w:sdtContent>
    </w:sdt>
    <w:p w14:paraId="5ACF529F">
      <w:pPr>
        <w:pStyle w:val="84"/>
        <w:bidi w:val="0"/>
        <w:spacing w:after="0" w:afterLines="0"/>
        <w:ind w:left="420" w:hanging="420" w:hangingChars="200"/>
        <w:rPr>
          <w:rFonts w:hint="eastAsia" w:ascii="黑体" w:hAnsi="黑体" w:eastAsia="黑体" w:cs="黑体"/>
          <w:lang w:val="en-US" w:eastAsia="zh-CN"/>
        </w:rPr>
      </w:pPr>
      <w:r>
        <w:rPr>
          <w:rFonts w:hint="eastAsia" w:ascii="黑体" w:hAnsi="黑体" w:eastAsia="黑体" w:cs="黑体"/>
          <w:lang w:val="en-US" w:eastAsia="zh-CN"/>
        </w:rPr>
        <w:br w:type="textWrapping"/>
      </w:r>
      <w:r>
        <w:rPr>
          <w:rFonts w:hint="eastAsia" w:cs="黑体"/>
          <w:lang w:val="en-US" w:eastAsia="zh-CN"/>
        </w:rPr>
        <w:t>乐都长辣椒</w:t>
      </w:r>
    </w:p>
    <w:p w14:paraId="094CEE29">
      <w:pPr>
        <w:pStyle w:val="25"/>
        <w:rPr>
          <w:rFonts w:hint="eastAsia"/>
          <w:lang w:val="en-US" w:eastAsia="zh-CN"/>
        </w:rPr>
      </w:pPr>
      <w:r>
        <w:rPr>
          <w:rFonts w:hint="eastAsia"/>
          <w:lang w:val="en-US" w:eastAsia="zh-CN"/>
        </w:rPr>
        <w:t>产自本文件第4章划定的青海省海东市乐都区特定地域，以当地传统牛角椒为母本、猪大肠辣椒为父本有性杂交选育而成，其皮薄肉厚、辣味适中、香气浓郁、营养丰富等品质特征，主要取决于该产地独特的土壤、气候、水文等自然因素及长期形成的栽培技艺等人文因素，在该地域内按特定工艺生产的鲜食辣椒产品。</w:t>
      </w:r>
    </w:p>
    <w:p w14:paraId="75D6A404">
      <w:pPr>
        <w:pStyle w:val="73"/>
        <w:bidi w:val="0"/>
        <w:rPr>
          <w:rFonts w:hint="eastAsia"/>
          <w:lang w:val="en-US" w:eastAsia="zh-CN"/>
        </w:rPr>
      </w:pPr>
      <w:r>
        <w:rPr>
          <w:rFonts w:hint="eastAsia"/>
          <w:lang w:val="en-US" w:eastAsia="zh-CN"/>
        </w:rPr>
        <w:t>产地范围</w:t>
      </w:r>
    </w:p>
    <w:p w14:paraId="3C5872D9">
      <w:pPr>
        <w:pStyle w:val="25"/>
        <w:rPr>
          <w:rFonts w:hint="default"/>
          <w:lang w:val="en-US" w:eastAsia="zh-CN"/>
        </w:rPr>
      </w:pPr>
      <w:r>
        <w:rPr>
          <w:rFonts w:hint="eastAsia"/>
          <w:lang w:val="en-US" w:eastAsia="zh-CN"/>
        </w:rPr>
        <w:t>乐都县位于青海省东北部，湟水河流域，地理位置介于东经102°09′～</w:t>
      </w:r>
      <w:r>
        <w:rPr>
          <w:rFonts w:hint="eastAsia"/>
          <w:sz w:val="11"/>
          <w:szCs w:val="11"/>
          <w:lang w:val="en-US" w:eastAsia="zh-CN"/>
        </w:rPr>
        <w:t xml:space="preserve"> </w:t>
      </w:r>
      <w:r>
        <w:rPr>
          <w:rFonts w:hint="eastAsia"/>
          <w:lang w:val="en-US" w:eastAsia="zh-CN"/>
        </w:rPr>
        <w:t>102°47′，北纬36°16′～</w:t>
      </w:r>
      <w:r>
        <w:rPr>
          <w:rFonts w:hint="eastAsia"/>
          <w:sz w:val="11"/>
          <w:szCs w:val="11"/>
          <w:lang w:val="en-US" w:eastAsia="zh-CN"/>
        </w:rPr>
        <w:t xml:space="preserve"> </w:t>
      </w:r>
      <w:r>
        <w:rPr>
          <w:rFonts w:hint="eastAsia"/>
          <w:lang w:val="en-US" w:eastAsia="zh-CN"/>
        </w:rPr>
        <w:t>36°46′之间，东西长64公里，南北宽76公里，总面积3050平方公里，大部分地区海拔在1850米至3400米之间。乐都长辣椒生产区域遍及全县14个乡镇，年种植面积达1万亩，年总产量约4万吨。详见附录A。</w:t>
      </w:r>
    </w:p>
    <w:p w14:paraId="77D0C125">
      <w:pPr>
        <w:pStyle w:val="73"/>
        <w:bidi w:val="0"/>
        <w:rPr>
          <w:rFonts w:hint="eastAsia"/>
          <w:lang w:val="en-US" w:eastAsia="zh-CN"/>
        </w:rPr>
      </w:pPr>
      <w:r>
        <w:rPr>
          <w:rFonts w:hint="eastAsia"/>
          <w:lang w:val="en-US" w:eastAsia="zh-CN"/>
        </w:rPr>
        <w:t>产地环境</w:t>
      </w:r>
    </w:p>
    <w:p w14:paraId="780CC040">
      <w:pPr>
        <w:pStyle w:val="74"/>
        <w:bidi w:val="0"/>
        <w:rPr>
          <w:rFonts w:hint="eastAsia"/>
          <w:lang w:val="en-US" w:eastAsia="zh-CN"/>
        </w:rPr>
      </w:pPr>
      <w:r>
        <w:rPr>
          <w:rFonts w:hint="eastAsia"/>
          <w:lang w:val="en-US" w:eastAsia="zh-CN"/>
        </w:rPr>
        <w:t>土壤地貌</w:t>
      </w:r>
    </w:p>
    <w:p w14:paraId="0DDB9484">
      <w:pPr>
        <w:pStyle w:val="25"/>
        <w:rPr>
          <w:rFonts w:hint="eastAsia"/>
          <w:lang w:val="en-US" w:eastAsia="zh-CN"/>
        </w:rPr>
      </w:pPr>
      <w:r>
        <w:rPr>
          <w:rFonts w:hint="eastAsia"/>
          <w:lang w:val="en-US" w:eastAsia="zh-CN"/>
        </w:rPr>
        <w:t>乐都县土地资源丰富，湟水自西向东，横贯境中部，形成河谷盆地，地势较平坦，大部分地区海拔在1850米至3400米之间，全县总耕地面积为62.72万亩，其中水浇地12.5万亩，土壤类型以栗钙土和灰钙土为主，土壤有机质丰富，地下水资源丰富，适宜乐都长辣椒的生长和发育。</w:t>
      </w:r>
    </w:p>
    <w:p w14:paraId="769460AF">
      <w:pPr>
        <w:pStyle w:val="74"/>
        <w:bidi w:val="0"/>
        <w:rPr>
          <w:rFonts w:hint="eastAsia"/>
          <w:lang w:val="en-US" w:eastAsia="zh-CN"/>
        </w:rPr>
      </w:pPr>
      <w:r>
        <w:rPr>
          <w:rFonts w:hint="eastAsia"/>
          <w:lang w:val="en-US" w:eastAsia="zh-CN"/>
        </w:rPr>
        <w:t>水文条件</w:t>
      </w:r>
    </w:p>
    <w:p w14:paraId="4DBFF0D1">
      <w:pPr>
        <w:pStyle w:val="25"/>
        <w:rPr>
          <w:rFonts w:hint="eastAsia"/>
          <w:lang w:val="en-US" w:eastAsia="zh-CN"/>
        </w:rPr>
      </w:pPr>
      <w:r>
        <w:rPr>
          <w:rFonts w:hint="eastAsia"/>
          <w:lang w:val="en-US" w:eastAsia="zh-CN"/>
        </w:rPr>
        <w:t>降水少，蒸发大，气候干燥，干旱少雨，年平均降水量为335.4毫米，全年平均降水的日数为87天，地表径流量主要是湟水与大通河是县境内两条大河。根据国家农业行业标准NY/T 396《农用水源环境质量监测技术规范》判定，乐都长辣椒种植范围水质属清洁水平，适宜生产优质的乐都长辣椒农产品。</w:t>
      </w:r>
    </w:p>
    <w:p w14:paraId="171496C6">
      <w:pPr>
        <w:pStyle w:val="74"/>
        <w:bidi w:val="0"/>
        <w:rPr>
          <w:rFonts w:hint="eastAsia"/>
          <w:lang w:val="en-US" w:eastAsia="zh-CN"/>
        </w:rPr>
      </w:pPr>
      <w:r>
        <w:rPr>
          <w:rFonts w:hint="eastAsia"/>
          <w:lang w:val="en-US" w:eastAsia="zh-CN"/>
        </w:rPr>
        <w:t>气候条件</w:t>
      </w:r>
    </w:p>
    <w:p w14:paraId="782CD0C6">
      <w:pPr>
        <w:pStyle w:val="25"/>
        <w:rPr>
          <w:rFonts w:hint="eastAsia"/>
          <w:lang w:val="en-US" w:eastAsia="zh-CN"/>
        </w:rPr>
      </w:pPr>
      <w:r>
        <w:rPr>
          <w:rFonts w:hint="eastAsia"/>
          <w:lang w:val="en-US" w:eastAsia="zh-CN"/>
        </w:rPr>
        <w:t>乐都长辣椒种植区属典型的大陆性气候，全年日照总时数2843.3小时，日照率为63%，年平均气温6.9</w:t>
      </w:r>
      <w:r>
        <w:rPr>
          <w:rFonts w:hint="eastAsia"/>
          <w:sz w:val="11"/>
          <w:szCs w:val="11"/>
          <w:lang w:val="en-US" w:eastAsia="zh-CN"/>
        </w:rPr>
        <w:t xml:space="preserve"> </w:t>
      </w:r>
      <w:r>
        <w:rPr>
          <w:rFonts w:hint="eastAsia"/>
          <w:lang w:val="en-US" w:eastAsia="zh-CN"/>
        </w:rPr>
        <w:t>℃，年气温较差25.8</w:t>
      </w:r>
      <w:r>
        <w:rPr>
          <w:rFonts w:hint="eastAsia"/>
          <w:sz w:val="11"/>
          <w:szCs w:val="11"/>
          <w:lang w:val="en-US" w:eastAsia="zh-CN"/>
        </w:rPr>
        <w:t xml:space="preserve"> </w:t>
      </w:r>
      <w:r>
        <w:rPr>
          <w:rFonts w:hint="eastAsia"/>
          <w:lang w:val="en-US" w:eastAsia="zh-CN"/>
        </w:rPr>
        <w:t>℃。其优点是气候干燥雨量少，晴天多，日照丰富，大陆性强，半温湿季节增温快，生长期的积温可达3000</w:t>
      </w:r>
      <w:r>
        <w:rPr>
          <w:rFonts w:hint="eastAsia"/>
          <w:sz w:val="11"/>
          <w:szCs w:val="11"/>
          <w:lang w:val="en-US" w:eastAsia="zh-CN"/>
        </w:rPr>
        <w:t xml:space="preserve"> </w:t>
      </w:r>
      <w:r>
        <w:rPr>
          <w:rFonts w:hint="eastAsia"/>
          <w:lang w:val="en-US" w:eastAsia="zh-CN"/>
        </w:rPr>
        <w:t>℃，气候适宜于乐都长辣椒生产。</w:t>
      </w:r>
    </w:p>
    <w:p w14:paraId="10781F65">
      <w:pPr>
        <w:pStyle w:val="73"/>
        <w:bidi w:val="0"/>
        <w:rPr>
          <w:rFonts w:hint="eastAsia"/>
          <w:lang w:val="en-US" w:eastAsia="zh-CN"/>
        </w:rPr>
      </w:pPr>
      <w:r>
        <w:rPr>
          <w:rFonts w:hint="eastAsia"/>
          <w:lang w:val="en-US" w:eastAsia="zh-CN"/>
        </w:rPr>
        <w:t>技术要求</w:t>
      </w:r>
    </w:p>
    <w:p w14:paraId="4DC7B05D">
      <w:pPr>
        <w:pStyle w:val="74"/>
        <w:bidi w:val="0"/>
        <w:rPr>
          <w:rFonts w:hint="eastAsia"/>
          <w:lang w:val="en-US" w:eastAsia="zh-CN"/>
        </w:rPr>
      </w:pPr>
      <w:r>
        <w:rPr>
          <w:rFonts w:hint="eastAsia"/>
          <w:lang w:val="en-US" w:eastAsia="zh-CN"/>
        </w:rPr>
        <w:t>品种与种源</w:t>
      </w:r>
    </w:p>
    <w:p w14:paraId="52AB6458">
      <w:pPr>
        <w:pStyle w:val="25"/>
        <w:rPr>
          <w:rFonts w:hint="eastAsia"/>
          <w:lang w:val="en-US" w:eastAsia="zh-CN"/>
        </w:rPr>
      </w:pPr>
      <w:r>
        <w:rPr>
          <w:rFonts w:hint="eastAsia"/>
          <w:lang w:val="en-US" w:eastAsia="zh-CN"/>
        </w:rPr>
        <w:t>乐都长辣椒采用有性杂交育成的种质资源，首选一级优质种子育苗。其选择方法如下：选定留种部位，一般选第2或第3层果实留种，留果个数以3果至5果为宜。及时肥水管理，整枝摘心，防杂保纯，采果掏籽，通风干燥处储藏。选用具有本品种特性，无变质过期的当年种子作种。</w:t>
      </w:r>
    </w:p>
    <w:p w14:paraId="31F4E195">
      <w:pPr>
        <w:pStyle w:val="74"/>
        <w:bidi w:val="0"/>
        <w:rPr>
          <w:rFonts w:hint="eastAsia"/>
          <w:lang w:val="en-US" w:eastAsia="zh-CN"/>
        </w:rPr>
      </w:pPr>
      <w:r>
        <w:rPr>
          <w:rFonts w:hint="eastAsia"/>
          <w:lang w:val="en-US" w:eastAsia="zh-CN"/>
        </w:rPr>
        <w:t>立地条件</w:t>
      </w:r>
    </w:p>
    <w:p w14:paraId="22E3E1AC">
      <w:pPr>
        <w:pStyle w:val="25"/>
        <w:rPr>
          <w:rFonts w:hint="eastAsia"/>
          <w:lang w:val="en-US" w:eastAsia="zh-CN"/>
        </w:rPr>
      </w:pPr>
      <w:r>
        <w:rPr>
          <w:rFonts w:hint="eastAsia"/>
          <w:lang w:val="en-US" w:eastAsia="zh-CN"/>
        </w:rPr>
        <w:t>种植基地选择在海拔高度1900</w:t>
      </w:r>
      <w:r>
        <w:rPr>
          <w:rFonts w:hint="eastAsia"/>
          <w:sz w:val="11"/>
          <w:szCs w:val="11"/>
          <w:lang w:val="en-US" w:eastAsia="zh-CN"/>
        </w:rPr>
        <w:t xml:space="preserve"> </w:t>
      </w:r>
      <w:r>
        <w:rPr>
          <w:rFonts w:hint="eastAsia"/>
          <w:lang w:val="en-US" w:eastAsia="zh-CN"/>
        </w:rPr>
        <w:t>m～2500</w:t>
      </w:r>
      <w:r>
        <w:rPr>
          <w:rFonts w:hint="eastAsia"/>
          <w:sz w:val="11"/>
          <w:szCs w:val="11"/>
          <w:lang w:val="en-US" w:eastAsia="zh-CN"/>
        </w:rPr>
        <w:t xml:space="preserve"> </w:t>
      </w:r>
      <w:r>
        <w:rPr>
          <w:rFonts w:hint="eastAsia"/>
          <w:lang w:val="en-US" w:eastAsia="zh-CN"/>
        </w:rPr>
        <w:t>ｍ的河湟谷地，土壤PH为6.5～7.5，有机质含量在1%以上，土层深厚、疏松。全年日照时数2600</w:t>
      </w:r>
      <w:r>
        <w:rPr>
          <w:rFonts w:hint="eastAsia"/>
          <w:sz w:val="11"/>
          <w:szCs w:val="11"/>
          <w:lang w:val="en-US" w:eastAsia="zh-CN"/>
        </w:rPr>
        <w:t xml:space="preserve"> </w:t>
      </w:r>
      <w:r>
        <w:rPr>
          <w:rFonts w:hint="eastAsia"/>
          <w:lang w:val="en-US" w:eastAsia="zh-CN"/>
        </w:rPr>
        <w:t>h～3100</w:t>
      </w:r>
      <w:r>
        <w:rPr>
          <w:rFonts w:hint="eastAsia"/>
          <w:sz w:val="11"/>
          <w:szCs w:val="11"/>
          <w:lang w:val="en-US" w:eastAsia="zh-CN"/>
        </w:rPr>
        <w:t xml:space="preserve"> </w:t>
      </w:r>
      <w:r>
        <w:rPr>
          <w:rFonts w:hint="eastAsia"/>
          <w:lang w:val="en-US" w:eastAsia="zh-CN"/>
        </w:rPr>
        <w:t>h，且4月份至8月份长季节日照时数在1100</w:t>
      </w:r>
      <w:r>
        <w:rPr>
          <w:rFonts w:hint="eastAsia"/>
          <w:sz w:val="11"/>
          <w:szCs w:val="11"/>
          <w:lang w:val="en-US" w:eastAsia="zh-CN"/>
        </w:rPr>
        <w:t xml:space="preserve"> </w:t>
      </w:r>
      <w:r>
        <w:rPr>
          <w:rFonts w:hint="eastAsia"/>
          <w:lang w:val="en-US" w:eastAsia="zh-CN"/>
        </w:rPr>
        <w:t>h以上，年平均气温3.5</w:t>
      </w:r>
      <w:r>
        <w:rPr>
          <w:rFonts w:hint="eastAsia"/>
          <w:sz w:val="11"/>
          <w:szCs w:val="11"/>
          <w:lang w:val="en-US" w:eastAsia="zh-CN"/>
        </w:rPr>
        <w:t xml:space="preserve"> </w:t>
      </w:r>
      <w:r>
        <w:rPr>
          <w:rFonts w:hint="eastAsia"/>
          <w:lang w:val="en-US" w:eastAsia="zh-CN"/>
        </w:rPr>
        <w:t>℃～8</w:t>
      </w:r>
      <w:r>
        <w:rPr>
          <w:rFonts w:hint="eastAsia"/>
          <w:sz w:val="11"/>
          <w:szCs w:val="11"/>
          <w:lang w:val="en-US" w:eastAsia="zh-CN"/>
        </w:rPr>
        <w:t xml:space="preserve"> </w:t>
      </w:r>
      <w:r>
        <w:rPr>
          <w:rFonts w:hint="eastAsia"/>
          <w:lang w:val="en-US" w:eastAsia="zh-CN"/>
        </w:rPr>
        <w:t>℃，无霜期150天左右，≥</w:t>
      </w:r>
      <w:r>
        <w:rPr>
          <w:rFonts w:hint="eastAsia"/>
          <w:sz w:val="11"/>
          <w:szCs w:val="11"/>
          <w:lang w:val="en-US" w:eastAsia="zh-CN"/>
        </w:rPr>
        <w:t xml:space="preserve"> </w:t>
      </w:r>
      <w:r>
        <w:rPr>
          <w:rFonts w:hint="eastAsia"/>
          <w:lang w:val="en-US" w:eastAsia="zh-CN"/>
        </w:rPr>
        <w:t>0</w:t>
      </w:r>
      <w:r>
        <w:rPr>
          <w:rFonts w:hint="eastAsia"/>
          <w:sz w:val="11"/>
          <w:szCs w:val="11"/>
          <w:lang w:val="en-US" w:eastAsia="zh-CN"/>
        </w:rPr>
        <w:t xml:space="preserve"> </w:t>
      </w:r>
      <w:r>
        <w:rPr>
          <w:rFonts w:hint="eastAsia"/>
          <w:lang w:val="en-US" w:eastAsia="zh-CN"/>
        </w:rPr>
        <w:t>℃活动积温1900</w:t>
      </w:r>
      <w:r>
        <w:rPr>
          <w:rFonts w:hint="eastAsia"/>
          <w:sz w:val="11"/>
          <w:szCs w:val="11"/>
          <w:lang w:val="en-US" w:eastAsia="zh-CN"/>
        </w:rPr>
        <w:t xml:space="preserve"> </w:t>
      </w:r>
      <w:r>
        <w:rPr>
          <w:rFonts w:hint="eastAsia"/>
          <w:lang w:val="en-US" w:eastAsia="zh-CN"/>
        </w:rPr>
        <w:t>℃以上，≥</w:t>
      </w:r>
      <w:r>
        <w:rPr>
          <w:rFonts w:hint="eastAsia"/>
          <w:sz w:val="11"/>
          <w:szCs w:val="11"/>
          <w:lang w:val="en-US" w:eastAsia="zh-CN"/>
        </w:rPr>
        <w:t xml:space="preserve"> </w:t>
      </w:r>
      <w:r>
        <w:rPr>
          <w:rFonts w:hint="eastAsia"/>
          <w:lang w:val="en-US" w:eastAsia="zh-CN"/>
        </w:rPr>
        <w:t>5</w:t>
      </w:r>
      <w:r>
        <w:rPr>
          <w:rFonts w:hint="eastAsia"/>
          <w:sz w:val="11"/>
          <w:szCs w:val="11"/>
          <w:lang w:val="en-US" w:eastAsia="zh-CN"/>
        </w:rPr>
        <w:t xml:space="preserve"> </w:t>
      </w:r>
      <w:r>
        <w:rPr>
          <w:rFonts w:hint="eastAsia"/>
          <w:lang w:val="en-US" w:eastAsia="zh-CN"/>
        </w:rPr>
        <w:t>℃活动积温1700</w:t>
      </w:r>
      <w:r>
        <w:rPr>
          <w:rFonts w:hint="eastAsia"/>
          <w:sz w:val="11"/>
          <w:szCs w:val="11"/>
          <w:lang w:val="en-US" w:eastAsia="zh-CN"/>
        </w:rPr>
        <w:t xml:space="preserve"> </w:t>
      </w:r>
      <w:r>
        <w:rPr>
          <w:rFonts w:hint="eastAsia"/>
          <w:lang w:val="en-US" w:eastAsia="zh-CN"/>
        </w:rPr>
        <w:t>℃以上。</w:t>
      </w:r>
    </w:p>
    <w:p w14:paraId="26FCAF33">
      <w:pPr>
        <w:pStyle w:val="25"/>
        <w:rPr>
          <w:rFonts w:hint="eastAsia"/>
          <w:lang w:val="en-US" w:eastAsia="zh-CN"/>
        </w:rPr>
      </w:pPr>
      <w:r>
        <w:rPr>
          <w:rFonts w:hint="eastAsia"/>
          <w:lang w:val="en-US" w:eastAsia="zh-CN"/>
        </w:rPr>
        <w:t>生产人员需具备一定的栽培技能，农田基础设施完善，能及时灌溉、排涝。产地土壤质量应符合GB/T 15618中有关蔬菜部分二级以上要求，农田灌溉水质量应符合GB 5084中有关蔬菜部分的要求，产地空气质量应符合GB 9137中有关要求。</w:t>
      </w:r>
    </w:p>
    <w:p w14:paraId="50486129">
      <w:pPr>
        <w:pStyle w:val="74"/>
        <w:bidi w:val="0"/>
        <w:rPr>
          <w:rFonts w:hint="eastAsia"/>
          <w:lang w:val="en-US" w:eastAsia="zh-CN"/>
        </w:rPr>
      </w:pPr>
      <w:r>
        <w:rPr>
          <w:rFonts w:hint="eastAsia"/>
          <w:lang w:val="en-US" w:eastAsia="zh-CN"/>
        </w:rPr>
        <w:t>栽培管理</w:t>
      </w:r>
    </w:p>
    <w:p w14:paraId="61411368">
      <w:pPr>
        <w:pStyle w:val="75"/>
        <w:bidi w:val="0"/>
        <w:rPr>
          <w:rFonts w:hint="eastAsia"/>
          <w:lang w:val="en-US" w:eastAsia="zh-CN"/>
        </w:rPr>
      </w:pPr>
      <w:r>
        <w:rPr>
          <w:rFonts w:hint="eastAsia"/>
          <w:lang w:val="en-US" w:eastAsia="zh-CN"/>
        </w:rPr>
        <w:t>育苗</w:t>
      </w:r>
    </w:p>
    <w:p w14:paraId="002FF5C9">
      <w:pPr>
        <w:pStyle w:val="25"/>
        <w:rPr>
          <w:rFonts w:hint="eastAsia"/>
          <w:lang w:val="en-US" w:eastAsia="zh-CN"/>
        </w:rPr>
      </w:pPr>
      <w:r>
        <w:rPr>
          <w:rFonts w:hint="eastAsia"/>
          <w:lang w:val="en-US" w:eastAsia="zh-CN"/>
        </w:rPr>
        <w:t>选择未种植过菜的田园土、充分腐熟的农家肥、草木灰，按1：1：1的比例混合拌匀，每平方米床土加8</w:t>
      </w:r>
      <w:r>
        <w:rPr>
          <w:rFonts w:hint="eastAsia"/>
          <w:sz w:val="11"/>
          <w:szCs w:val="11"/>
          <w:lang w:val="en-US" w:eastAsia="zh-CN"/>
        </w:rPr>
        <w:t xml:space="preserve"> </w:t>
      </w:r>
      <w:r>
        <w:rPr>
          <w:rFonts w:hint="eastAsia"/>
          <w:lang w:val="en-US" w:eastAsia="zh-CN"/>
        </w:rPr>
        <w:t>g～10</w:t>
      </w:r>
      <w:r>
        <w:rPr>
          <w:rFonts w:hint="eastAsia"/>
          <w:sz w:val="11"/>
          <w:szCs w:val="11"/>
          <w:lang w:val="en-US" w:eastAsia="zh-CN"/>
        </w:rPr>
        <w:t xml:space="preserve"> </w:t>
      </w:r>
      <w:r>
        <w:rPr>
          <w:rFonts w:hint="eastAsia"/>
          <w:lang w:val="en-US" w:eastAsia="zh-CN"/>
        </w:rPr>
        <w:t>g的50%多菌灵或70%甲基托布津进行土壤消毒处理，然后将营养土铺入苗床，床土厚度10</w:t>
      </w:r>
      <w:r>
        <w:rPr>
          <w:rFonts w:hint="eastAsia"/>
          <w:sz w:val="11"/>
          <w:szCs w:val="11"/>
          <w:lang w:val="en-US" w:eastAsia="zh-CN"/>
        </w:rPr>
        <w:t xml:space="preserve"> </w:t>
      </w:r>
      <w:r>
        <w:rPr>
          <w:rFonts w:hint="eastAsia"/>
          <w:lang w:val="en-US" w:eastAsia="zh-CN"/>
        </w:rPr>
        <w:t>cm，或装入营养钵灌足底水。</w:t>
      </w:r>
    </w:p>
    <w:p w14:paraId="00532367">
      <w:pPr>
        <w:pStyle w:val="25"/>
        <w:rPr>
          <w:rFonts w:hint="eastAsia"/>
          <w:lang w:val="en-US" w:eastAsia="zh-CN"/>
        </w:rPr>
      </w:pPr>
      <w:r>
        <w:rPr>
          <w:rFonts w:hint="eastAsia"/>
          <w:lang w:val="en-US" w:eastAsia="zh-CN"/>
        </w:rPr>
        <w:t>种子经55</w:t>
      </w:r>
      <w:r>
        <w:rPr>
          <w:rFonts w:hint="eastAsia"/>
          <w:sz w:val="11"/>
          <w:szCs w:val="11"/>
          <w:lang w:val="en-US" w:eastAsia="zh-CN"/>
        </w:rPr>
        <w:t xml:space="preserve"> </w:t>
      </w:r>
      <w:r>
        <w:rPr>
          <w:rFonts w:hint="eastAsia"/>
          <w:lang w:val="en-US" w:eastAsia="zh-CN"/>
        </w:rPr>
        <w:t>℃热水烫种15</w:t>
      </w:r>
      <w:r>
        <w:rPr>
          <w:rFonts w:hint="eastAsia"/>
          <w:sz w:val="11"/>
          <w:szCs w:val="11"/>
          <w:lang w:val="en-US" w:eastAsia="zh-CN"/>
        </w:rPr>
        <w:t xml:space="preserve"> </w:t>
      </w:r>
      <w:r>
        <w:rPr>
          <w:rFonts w:hint="eastAsia"/>
          <w:lang w:val="en-US" w:eastAsia="zh-CN"/>
        </w:rPr>
        <w:t>min，待水温降至30</w:t>
      </w:r>
      <w:r>
        <w:rPr>
          <w:rFonts w:hint="eastAsia"/>
          <w:sz w:val="11"/>
          <w:szCs w:val="11"/>
          <w:lang w:val="en-US" w:eastAsia="zh-CN"/>
        </w:rPr>
        <w:t xml:space="preserve"> </w:t>
      </w:r>
      <w:r>
        <w:rPr>
          <w:rFonts w:hint="eastAsia"/>
          <w:lang w:val="en-US" w:eastAsia="zh-CN"/>
        </w:rPr>
        <w:t>℃浸种6</w:t>
      </w:r>
      <w:r>
        <w:rPr>
          <w:rFonts w:hint="eastAsia"/>
          <w:sz w:val="11"/>
          <w:szCs w:val="11"/>
          <w:lang w:val="en-US" w:eastAsia="zh-CN"/>
        </w:rPr>
        <w:t xml:space="preserve"> </w:t>
      </w:r>
      <w:r>
        <w:rPr>
          <w:rFonts w:hint="eastAsia"/>
          <w:lang w:val="en-US" w:eastAsia="zh-CN"/>
        </w:rPr>
        <w:t>h～8</w:t>
      </w:r>
      <w:r>
        <w:rPr>
          <w:rFonts w:hint="eastAsia"/>
          <w:sz w:val="11"/>
          <w:szCs w:val="11"/>
          <w:lang w:val="en-US" w:eastAsia="zh-CN"/>
        </w:rPr>
        <w:t xml:space="preserve"> </w:t>
      </w:r>
      <w:r>
        <w:rPr>
          <w:rFonts w:hint="eastAsia"/>
          <w:lang w:val="en-US" w:eastAsia="zh-CN"/>
        </w:rPr>
        <w:t>h或0.1%高锰酸钾消毒后催芽，然后在25</w:t>
      </w:r>
      <w:r>
        <w:rPr>
          <w:rFonts w:hint="eastAsia"/>
          <w:sz w:val="11"/>
          <w:szCs w:val="11"/>
          <w:lang w:val="en-US" w:eastAsia="zh-CN"/>
        </w:rPr>
        <w:t xml:space="preserve"> </w:t>
      </w:r>
      <w:r>
        <w:rPr>
          <w:rFonts w:hint="eastAsia"/>
          <w:lang w:val="en-US" w:eastAsia="zh-CN"/>
        </w:rPr>
        <w:t>℃～30</w:t>
      </w:r>
      <w:r>
        <w:rPr>
          <w:rFonts w:hint="eastAsia"/>
          <w:sz w:val="11"/>
          <w:szCs w:val="11"/>
          <w:lang w:val="en-US" w:eastAsia="zh-CN"/>
        </w:rPr>
        <w:t xml:space="preserve"> </w:t>
      </w:r>
      <w:r>
        <w:rPr>
          <w:rFonts w:hint="eastAsia"/>
          <w:lang w:val="en-US" w:eastAsia="zh-CN"/>
        </w:rPr>
        <w:t>℃条件下露白播种。壮苗标准：苗龄80</w:t>
      </w:r>
      <w:r>
        <w:rPr>
          <w:rFonts w:hint="eastAsia"/>
          <w:sz w:val="11"/>
          <w:szCs w:val="11"/>
          <w:lang w:val="en-US" w:eastAsia="zh-CN"/>
        </w:rPr>
        <w:t xml:space="preserve"> </w:t>
      </w:r>
      <w:r>
        <w:rPr>
          <w:rFonts w:hint="eastAsia"/>
          <w:lang w:val="en-US" w:eastAsia="zh-CN"/>
        </w:rPr>
        <w:t>d～90</w:t>
      </w:r>
      <w:r>
        <w:rPr>
          <w:rFonts w:hint="eastAsia"/>
          <w:sz w:val="11"/>
          <w:szCs w:val="11"/>
          <w:lang w:val="en-US" w:eastAsia="zh-CN"/>
        </w:rPr>
        <w:t xml:space="preserve"> </w:t>
      </w:r>
      <w:r>
        <w:rPr>
          <w:rFonts w:hint="eastAsia"/>
          <w:lang w:val="en-US" w:eastAsia="zh-CN"/>
        </w:rPr>
        <w:t>d，苗高约20</w:t>
      </w:r>
      <w:r>
        <w:rPr>
          <w:rFonts w:hint="eastAsia"/>
          <w:sz w:val="11"/>
          <w:szCs w:val="11"/>
          <w:lang w:val="en-US" w:eastAsia="zh-CN"/>
        </w:rPr>
        <w:t xml:space="preserve"> </w:t>
      </w:r>
      <w:r>
        <w:rPr>
          <w:rFonts w:hint="eastAsia"/>
          <w:lang w:val="en-US" w:eastAsia="zh-CN"/>
        </w:rPr>
        <w:t>cm，9片至10片真叶，茎粗0.4</w:t>
      </w:r>
      <w:r>
        <w:rPr>
          <w:rFonts w:hint="eastAsia"/>
          <w:sz w:val="11"/>
          <w:szCs w:val="11"/>
          <w:lang w:val="en-US" w:eastAsia="zh-CN"/>
        </w:rPr>
        <w:t xml:space="preserve"> </w:t>
      </w:r>
      <w:r>
        <w:rPr>
          <w:rFonts w:hint="eastAsia"/>
          <w:lang w:val="en-US" w:eastAsia="zh-CN"/>
        </w:rPr>
        <w:t>cm～0.6</w:t>
      </w:r>
      <w:r>
        <w:rPr>
          <w:rFonts w:hint="eastAsia"/>
          <w:sz w:val="11"/>
          <w:szCs w:val="11"/>
          <w:lang w:val="en-US" w:eastAsia="zh-CN"/>
        </w:rPr>
        <w:t xml:space="preserve"> </w:t>
      </w:r>
      <w:r>
        <w:rPr>
          <w:rFonts w:hint="eastAsia"/>
          <w:lang w:val="en-US" w:eastAsia="zh-CN"/>
        </w:rPr>
        <w:t>cm，无病虫害、长势健壮。</w:t>
      </w:r>
    </w:p>
    <w:p w14:paraId="2B6625FF">
      <w:pPr>
        <w:pStyle w:val="75"/>
        <w:bidi w:val="0"/>
        <w:rPr>
          <w:rFonts w:hint="eastAsia"/>
          <w:lang w:val="en-US" w:eastAsia="zh-CN"/>
        </w:rPr>
      </w:pPr>
      <w:r>
        <w:rPr>
          <w:rFonts w:hint="eastAsia"/>
          <w:lang w:val="en-US" w:eastAsia="zh-CN"/>
        </w:rPr>
        <w:t>定植</w:t>
      </w:r>
    </w:p>
    <w:p w14:paraId="57568DA1">
      <w:pPr>
        <w:pStyle w:val="25"/>
        <w:rPr>
          <w:rFonts w:hint="eastAsia"/>
          <w:lang w:val="en-US" w:eastAsia="zh-CN"/>
        </w:rPr>
      </w:pPr>
      <w:r>
        <w:rPr>
          <w:rFonts w:hint="eastAsia"/>
          <w:lang w:val="en-US" w:eastAsia="zh-CN"/>
        </w:rPr>
        <w:t>前茬收获后深耕40</w:t>
      </w:r>
      <w:r>
        <w:rPr>
          <w:rFonts w:hint="eastAsia"/>
          <w:sz w:val="11"/>
          <w:szCs w:val="11"/>
          <w:lang w:val="en-US" w:eastAsia="zh-CN"/>
        </w:rPr>
        <w:t xml:space="preserve"> </w:t>
      </w:r>
      <w:r>
        <w:rPr>
          <w:rFonts w:hint="eastAsia"/>
          <w:lang w:val="en-US" w:eastAsia="zh-CN"/>
        </w:rPr>
        <w:t>cm，每亩施腐熟农家肥5000</w:t>
      </w:r>
      <w:r>
        <w:rPr>
          <w:rFonts w:hint="eastAsia"/>
          <w:sz w:val="11"/>
          <w:szCs w:val="11"/>
          <w:lang w:val="en-US" w:eastAsia="zh-CN"/>
        </w:rPr>
        <w:t xml:space="preserve"> </w:t>
      </w:r>
      <w:r>
        <w:rPr>
          <w:rFonts w:hint="eastAsia"/>
          <w:lang w:val="en-US" w:eastAsia="zh-CN"/>
        </w:rPr>
        <w:t>kg～6000</w:t>
      </w:r>
      <w:r>
        <w:rPr>
          <w:rFonts w:hint="eastAsia"/>
          <w:sz w:val="11"/>
          <w:szCs w:val="11"/>
          <w:lang w:val="en-US" w:eastAsia="zh-CN"/>
        </w:rPr>
        <w:t xml:space="preserve"> </w:t>
      </w:r>
      <w:r>
        <w:rPr>
          <w:rFonts w:hint="eastAsia"/>
          <w:lang w:val="en-US" w:eastAsia="zh-CN"/>
        </w:rPr>
        <w:t>kg、麻渣150</w:t>
      </w:r>
      <w:r>
        <w:rPr>
          <w:rFonts w:hint="eastAsia"/>
          <w:sz w:val="11"/>
          <w:szCs w:val="11"/>
          <w:lang w:val="en-US" w:eastAsia="zh-CN"/>
        </w:rPr>
        <w:t xml:space="preserve"> </w:t>
      </w:r>
      <w:r>
        <w:rPr>
          <w:rFonts w:hint="eastAsia"/>
          <w:lang w:val="en-US" w:eastAsia="zh-CN"/>
        </w:rPr>
        <w:t>kg、磷酸二铵50</w:t>
      </w:r>
      <w:r>
        <w:rPr>
          <w:rFonts w:hint="eastAsia"/>
          <w:sz w:val="11"/>
          <w:szCs w:val="11"/>
          <w:lang w:val="en-US" w:eastAsia="zh-CN"/>
        </w:rPr>
        <w:t xml:space="preserve"> </w:t>
      </w:r>
      <w:r>
        <w:rPr>
          <w:rFonts w:hint="eastAsia"/>
          <w:lang w:val="en-US" w:eastAsia="zh-CN"/>
        </w:rPr>
        <w:t>kg，并用敌克松2.5</w:t>
      </w:r>
      <w:r>
        <w:rPr>
          <w:rFonts w:hint="eastAsia"/>
          <w:sz w:val="11"/>
          <w:szCs w:val="11"/>
          <w:lang w:val="en-US" w:eastAsia="zh-CN"/>
        </w:rPr>
        <w:t xml:space="preserve"> </w:t>
      </w:r>
      <w:r>
        <w:rPr>
          <w:rFonts w:hint="eastAsia"/>
          <w:lang w:val="en-US" w:eastAsia="zh-CN"/>
        </w:rPr>
        <w:t>kg或多菌灵2</w:t>
      </w:r>
      <w:r>
        <w:rPr>
          <w:rFonts w:hint="eastAsia"/>
          <w:sz w:val="11"/>
          <w:szCs w:val="11"/>
          <w:lang w:val="en-US" w:eastAsia="zh-CN"/>
        </w:rPr>
        <w:t xml:space="preserve"> </w:t>
      </w:r>
      <w:r>
        <w:rPr>
          <w:rFonts w:hint="eastAsia"/>
          <w:lang w:val="en-US" w:eastAsia="zh-CN"/>
        </w:rPr>
        <w:t>kg进行土壤处理。</w:t>
      </w:r>
    </w:p>
    <w:p w14:paraId="32AF4354">
      <w:pPr>
        <w:pStyle w:val="25"/>
        <w:rPr>
          <w:rFonts w:hint="eastAsia"/>
          <w:lang w:val="en-US" w:eastAsia="zh-CN"/>
        </w:rPr>
      </w:pPr>
      <w:r>
        <w:rPr>
          <w:rFonts w:hint="eastAsia"/>
          <w:lang w:val="en-US" w:eastAsia="zh-CN"/>
        </w:rPr>
        <w:t>当室内气温达8</w:t>
      </w:r>
      <w:r>
        <w:rPr>
          <w:rFonts w:hint="eastAsia"/>
          <w:sz w:val="11"/>
          <w:szCs w:val="11"/>
          <w:lang w:val="en-US" w:eastAsia="zh-CN"/>
        </w:rPr>
        <w:t xml:space="preserve"> </w:t>
      </w:r>
      <w:r>
        <w:rPr>
          <w:rFonts w:hint="eastAsia"/>
          <w:lang w:val="en-US" w:eastAsia="zh-CN"/>
        </w:rPr>
        <w:t>℃，10厘米地温达12</w:t>
      </w:r>
      <w:r>
        <w:rPr>
          <w:rFonts w:hint="eastAsia"/>
          <w:sz w:val="11"/>
          <w:szCs w:val="11"/>
          <w:lang w:val="en-US" w:eastAsia="zh-CN"/>
        </w:rPr>
        <w:t xml:space="preserve"> </w:t>
      </w:r>
      <w:r>
        <w:rPr>
          <w:rFonts w:hint="eastAsia"/>
          <w:lang w:val="en-US" w:eastAsia="zh-CN"/>
        </w:rPr>
        <w:t>℃～15</w:t>
      </w:r>
      <w:r>
        <w:rPr>
          <w:rFonts w:hint="eastAsia"/>
          <w:sz w:val="11"/>
          <w:szCs w:val="11"/>
          <w:lang w:val="en-US" w:eastAsia="zh-CN"/>
        </w:rPr>
        <w:t xml:space="preserve"> </w:t>
      </w:r>
      <w:r>
        <w:rPr>
          <w:rFonts w:hint="eastAsia"/>
          <w:lang w:val="en-US" w:eastAsia="zh-CN"/>
        </w:rPr>
        <w:t>℃，并稳定一周便可定植；定植密度大行距70</w:t>
      </w:r>
      <w:r>
        <w:rPr>
          <w:rFonts w:hint="eastAsia"/>
          <w:sz w:val="11"/>
          <w:szCs w:val="11"/>
          <w:lang w:val="en-US" w:eastAsia="zh-CN"/>
        </w:rPr>
        <w:t xml:space="preserve"> </w:t>
      </w:r>
      <w:r>
        <w:rPr>
          <w:rFonts w:hint="eastAsia"/>
          <w:lang w:val="en-US" w:eastAsia="zh-CN"/>
        </w:rPr>
        <w:t>cm、小行距40</w:t>
      </w:r>
      <w:r>
        <w:rPr>
          <w:rFonts w:hint="eastAsia"/>
          <w:sz w:val="11"/>
          <w:szCs w:val="11"/>
          <w:lang w:val="en-US" w:eastAsia="zh-CN"/>
        </w:rPr>
        <w:t xml:space="preserve"> </w:t>
      </w:r>
      <w:r>
        <w:rPr>
          <w:rFonts w:hint="eastAsia"/>
          <w:lang w:val="en-US" w:eastAsia="zh-CN"/>
        </w:rPr>
        <w:t>cm、株距30</w:t>
      </w:r>
      <w:r>
        <w:rPr>
          <w:rFonts w:hint="eastAsia"/>
          <w:sz w:val="11"/>
          <w:szCs w:val="11"/>
          <w:lang w:val="en-US" w:eastAsia="zh-CN"/>
        </w:rPr>
        <w:t xml:space="preserve"> </w:t>
      </w:r>
      <w:r>
        <w:rPr>
          <w:rFonts w:hint="eastAsia"/>
          <w:lang w:val="en-US" w:eastAsia="zh-CN"/>
        </w:rPr>
        <w:t>cm～35</w:t>
      </w:r>
      <w:r>
        <w:rPr>
          <w:rFonts w:hint="eastAsia"/>
          <w:sz w:val="11"/>
          <w:szCs w:val="11"/>
          <w:lang w:val="en-US" w:eastAsia="zh-CN"/>
        </w:rPr>
        <w:t xml:space="preserve"> </w:t>
      </w:r>
      <w:r>
        <w:rPr>
          <w:rFonts w:hint="eastAsia"/>
          <w:lang w:val="en-US" w:eastAsia="zh-CN"/>
        </w:rPr>
        <w:t>cm，亩保苗约40株，冬春垄栽、夏秋平栽后培土。</w:t>
      </w:r>
    </w:p>
    <w:p w14:paraId="67788A11">
      <w:pPr>
        <w:pStyle w:val="75"/>
        <w:bidi w:val="0"/>
        <w:rPr>
          <w:rFonts w:hint="eastAsia"/>
          <w:lang w:val="en-US" w:eastAsia="zh-CN"/>
        </w:rPr>
      </w:pPr>
      <w:r>
        <w:rPr>
          <w:rFonts w:hint="eastAsia"/>
          <w:lang w:val="en-US" w:eastAsia="zh-CN"/>
        </w:rPr>
        <w:t>田间管理</w:t>
      </w:r>
    </w:p>
    <w:p w14:paraId="7BFFF7BD">
      <w:pPr>
        <w:pStyle w:val="25"/>
        <w:rPr>
          <w:rFonts w:hint="eastAsia"/>
          <w:lang w:val="en-US" w:eastAsia="zh-CN"/>
        </w:rPr>
      </w:pPr>
      <w:r>
        <w:rPr>
          <w:rFonts w:hint="eastAsia"/>
          <w:lang w:val="en-US" w:eastAsia="zh-CN"/>
        </w:rPr>
        <w:t>定植后保温保湿促缓苗，白天25</w:t>
      </w:r>
      <w:r>
        <w:rPr>
          <w:rFonts w:hint="eastAsia"/>
          <w:sz w:val="11"/>
          <w:szCs w:val="11"/>
          <w:lang w:val="en-US" w:eastAsia="zh-CN"/>
        </w:rPr>
        <w:t xml:space="preserve"> </w:t>
      </w:r>
      <w:r>
        <w:rPr>
          <w:rFonts w:hint="eastAsia"/>
          <w:lang w:val="en-US" w:eastAsia="zh-CN"/>
        </w:rPr>
        <w:t>℃～30</w:t>
      </w:r>
      <w:r>
        <w:rPr>
          <w:rFonts w:hint="eastAsia"/>
          <w:sz w:val="11"/>
          <w:szCs w:val="11"/>
          <w:lang w:val="en-US" w:eastAsia="zh-CN"/>
        </w:rPr>
        <w:t xml:space="preserve"> </w:t>
      </w:r>
      <w:r>
        <w:rPr>
          <w:rFonts w:hint="eastAsia"/>
          <w:lang w:val="en-US" w:eastAsia="zh-CN"/>
        </w:rPr>
        <w:t>℃、夜间16</w:t>
      </w:r>
      <w:r>
        <w:rPr>
          <w:rFonts w:hint="eastAsia"/>
          <w:sz w:val="11"/>
          <w:szCs w:val="11"/>
          <w:lang w:val="en-US" w:eastAsia="zh-CN"/>
        </w:rPr>
        <w:t xml:space="preserve"> </w:t>
      </w:r>
      <w:r>
        <w:rPr>
          <w:rFonts w:hint="eastAsia"/>
          <w:lang w:val="en-US" w:eastAsia="zh-CN"/>
        </w:rPr>
        <w:t>℃～18</w:t>
      </w:r>
      <w:r>
        <w:rPr>
          <w:rFonts w:hint="eastAsia"/>
          <w:sz w:val="11"/>
          <w:szCs w:val="11"/>
          <w:lang w:val="en-US" w:eastAsia="zh-CN"/>
        </w:rPr>
        <w:t xml:space="preserve"> </w:t>
      </w:r>
      <w:r>
        <w:rPr>
          <w:rFonts w:hint="eastAsia"/>
          <w:lang w:val="en-US" w:eastAsia="zh-CN"/>
        </w:rPr>
        <w:t>℃；缓苗后白天20</w:t>
      </w:r>
      <w:r>
        <w:rPr>
          <w:rFonts w:hint="eastAsia"/>
          <w:sz w:val="11"/>
          <w:szCs w:val="11"/>
          <w:lang w:val="en-US" w:eastAsia="zh-CN"/>
        </w:rPr>
        <w:t xml:space="preserve"> </w:t>
      </w:r>
      <w:r>
        <w:rPr>
          <w:rFonts w:hint="eastAsia"/>
          <w:lang w:val="en-US" w:eastAsia="zh-CN"/>
        </w:rPr>
        <w:t>℃～25</w:t>
      </w:r>
      <w:r>
        <w:rPr>
          <w:rFonts w:hint="eastAsia"/>
          <w:sz w:val="11"/>
          <w:szCs w:val="11"/>
          <w:lang w:val="en-US" w:eastAsia="zh-CN"/>
        </w:rPr>
        <w:t xml:space="preserve"> </w:t>
      </w:r>
      <w:r>
        <w:rPr>
          <w:rFonts w:hint="eastAsia"/>
          <w:lang w:val="en-US" w:eastAsia="zh-CN"/>
        </w:rPr>
        <w:t>℃、夜间13</w:t>
      </w:r>
      <w:r>
        <w:rPr>
          <w:rFonts w:hint="eastAsia"/>
          <w:sz w:val="11"/>
          <w:szCs w:val="11"/>
          <w:lang w:val="en-US" w:eastAsia="zh-CN"/>
        </w:rPr>
        <w:t xml:space="preserve"> </w:t>
      </w:r>
      <w:r>
        <w:rPr>
          <w:rFonts w:hint="eastAsia"/>
          <w:lang w:val="en-US" w:eastAsia="zh-CN"/>
        </w:rPr>
        <w:t>℃～17</w:t>
      </w:r>
      <w:r>
        <w:rPr>
          <w:rFonts w:hint="eastAsia"/>
          <w:sz w:val="11"/>
          <w:szCs w:val="11"/>
          <w:lang w:val="en-US" w:eastAsia="zh-CN"/>
        </w:rPr>
        <w:t xml:space="preserve"> </w:t>
      </w:r>
      <w:r>
        <w:rPr>
          <w:rFonts w:hint="eastAsia"/>
          <w:lang w:val="en-US" w:eastAsia="zh-CN"/>
        </w:rPr>
        <w:t>℃，相对湿度60%～70%；</w:t>
      </w:r>
    </w:p>
    <w:p w14:paraId="04FA147B">
      <w:pPr>
        <w:pStyle w:val="25"/>
        <w:rPr>
          <w:rFonts w:hint="eastAsia"/>
          <w:lang w:val="en-US" w:eastAsia="zh-CN"/>
        </w:rPr>
      </w:pPr>
      <w:r>
        <w:rPr>
          <w:rFonts w:hint="eastAsia"/>
          <w:lang w:val="en-US" w:eastAsia="zh-CN"/>
        </w:rPr>
        <w:t>门椒膨大后开始浇水追肥，小水勤浇、保持土壤湿润，盛果期增施磷钾肥，叶面喷施0.3%磷酸二氢钾；及时整枝打杈、摘除下部老黄叶，必要时搭架防倒伏。</w:t>
      </w:r>
    </w:p>
    <w:p w14:paraId="5DE76260">
      <w:pPr>
        <w:pStyle w:val="75"/>
        <w:bidi w:val="0"/>
        <w:rPr>
          <w:rFonts w:hint="eastAsia"/>
          <w:lang w:val="en-US" w:eastAsia="zh-CN"/>
        </w:rPr>
      </w:pPr>
      <w:r>
        <w:rPr>
          <w:rFonts w:hint="eastAsia"/>
          <w:lang w:val="en-US" w:eastAsia="zh-CN"/>
        </w:rPr>
        <w:t>病虫害绿色防控</w:t>
      </w:r>
    </w:p>
    <w:p w14:paraId="591C159F">
      <w:pPr>
        <w:pStyle w:val="25"/>
        <w:rPr>
          <w:rFonts w:hint="eastAsia"/>
          <w:lang w:val="en-US" w:eastAsia="zh-CN"/>
        </w:rPr>
      </w:pPr>
      <w:r>
        <w:rPr>
          <w:rFonts w:hint="eastAsia"/>
          <w:lang w:val="en-US" w:eastAsia="zh-CN"/>
        </w:rPr>
        <w:t>优先农业防治、物理防治，配合科学化学防治，不采用高毒高残留农药，采收前10d停止用药，农药使用应符合国家无公害蔬菜生产规定。</w:t>
      </w:r>
    </w:p>
    <w:p w14:paraId="44A4B7E2">
      <w:pPr>
        <w:pStyle w:val="75"/>
        <w:bidi w:val="0"/>
        <w:rPr>
          <w:rFonts w:hint="eastAsia"/>
          <w:lang w:val="en-US" w:eastAsia="zh-CN"/>
        </w:rPr>
      </w:pPr>
      <w:r>
        <w:rPr>
          <w:rFonts w:hint="eastAsia"/>
          <w:lang w:val="en-US" w:eastAsia="zh-CN"/>
        </w:rPr>
        <w:t>采收</w:t>
      </w:r>
    </w:p>
    <w:p w14:paraId="3DD137E6">
      <w:pPr>
        <w:pStyle w:val="25"/>
        <w:rPr>
          <w:rFonts w:hint="eastAsia"/>
          <w:lang w:val="en-US" w:eastAsia="zh-CN"/>
        </w:rPr>
      </w:pPr>
      <w:r>
        <w:rPr>
          <w:rFonts w:hint="eastAsia"/>
          <w:lang w:val="en-US" w:eastAsia="zh-CN"/>
        </w:rPr>
        <w:t>果实充分长大、果皮坚实、色泽加深有光泽时采收，早期果适时早采，采收过程避免机械损伤，保持果实完整。</w:t>
      </w:r>
    </w:p>
    <w:p w14:paraId="47002B42">
      <w:pPr>
        <w:pStyle w:val="75"/>
        <w:bidi w:val="0"/>
        <w:rPr>
          <w:rFonts w:hint="eastAsia"/>
          <w:lang w:val="en-US" w:eastAsia="zh-CN"/>
        </w:rPr>
      </w:pPr>
      <w:r>
        <w:rPr>
          <w:rFonts w:hint="eastAsia"/>
          <w:lang w:val="en-US" w:eastAsia="zh-CN"/>
        </w:rPr>
        <w:t>记录</w:t>
      </w:r>
    </w:p>
    <w:p w14:paraId="72BAE632">
      <w:pPr>
        <w:pStyle w:val="25"/>
        <w:rPr>
          <w:rFonts w:hint="eastAsia"/>
          <w:lang w:val="en-US" w:eastAsia="zh-CN"/>
        </w:rPr>
      </w:pPr>
      <w:r>
        <w:rPr>
          <w:rFonts w:hint="eastAsia"/>
          <w:lang w:val="en-US" w:eastAsia="zh-CN"/>
        </w:rPr>
        <w:t>记录乐都长辣椒生产情况、病虫害发生情况、技术措施和农药化肥的使用情况；建立乐都长辣椒生产过程记录档案以及无公害蔬菜十户联保田间档案；记载投入品的名称、使用时间、使用目的、使用方法、使用量和分级包装时的时间、数量、等级。</w:t>
      </w:r>
    </w:p>
    <w:p w14:paraId="5125950C">
      <w:pPr>
        <w:pStyle w:val="73"/>
        <w:bidi w:val="0"/>
        <w:rPr>
          <w:rFonts w:hint="eastAsia"/>
          <w:lang w:val="en-US" w:eastAsia="zh-CN"/>
        </w:rPr>
      </w:pPr>
      <w:r>
        <w:rPr>
          <w:rFonts w:hint="eastAsia"/>
          <w:lang w:val="en-US" w:eastAsia="zh-CN"/>
        </w:rPr>
        <w:t>质量要求</w:t>
      </w:r>
    </w:p>
    <w:p w14:paraId="6C6245ED">
      <w:pPr>
        <w:pStyle w:val="74"/>
        <w:bidi w:val="0"/>
        <w:rPr>
          <w:rFonts w:hint="eastAsia"/>
          <w:lang w:val="en-US" w:eastAsia="zh-CN"/>
        </w:rPr>
      </w:pPr>
      <w:r>
        <w:rPr>
          <w:rFonts w:hint="eastAsia"/>
          <w:lang w:val="en-US" w:eastAsia="zh-CN"/>
        </w:rPr>
        <w:t>净含量</w:t>
      </w:r>
    </w:p>
    <w:p w14:paraId="73567742">
      <w:pPr>
        <w:pStyle w:val="25"/>
        <w:rPr>
          <w:rFonts w:hint="default"/>
          <w:lang w:val="en-US" w:eastAsia="zh-CN"/>
        </w:rPr>
      </w:pPr>
      <w:r>
        <w:rPr>
          <w:rFonts w:hint="eastAsia"/>
          <w:lang w:val="en-US" w:eastAsia="zh-CN"/>
        </w:rPr>
        <w:t>产品净含量的要求如下：</w:t>
      </w:r>
    </w:p>
    <w:p w14:paraId="0A9BE79E">
      <w:pPr>
        <w:pStyle w:val="61"/>
        <w:bidi w:val="0"/>
        <w:ind w:left="851" w:leftChars="0" w:hanging="426" w:firstLineChars="0"/>
        <w:rPr>
          <w:rFonts w:hint="eastAsia"/>
          <w:lang w:val="en-US" w:eastAsia="zh-CN"/>
        </w:rPr>
      </w:pPr>
      <w:r>
        <w:rPr>
          <w:rFonts w:hint="eastAsia"/>
          <w:lang w:val="en-US" w:eastAsia="zh-CN"/>
        </w:rPr>
        <w:t>预包装乐都长辣椒净含量以去除外包装、内衬、捆扎物等所有包装物料后的辣椒实际质量为准，按千克（kg）标示；</w:t>
      </w:r>
    </w:p>
    <w:p w14:paraId="163617BC">
      <w:pPr>
        <w:pStyle w:val="61"/>
        <w:bidi w:val="0"/>
        <w:ind w:left="851" w:leftChars="0" w:hanging="426" w:firstLineChars="0"/>
        <w:rPr>
          <w:rFonts w:hint="eastAsia"/>
          <w:lang w:val="en-US" w:eastAsia="zh-CN"/>
        </w:rPr>
      </w:pPr>
      <w:r>
        <w:rPr>
          <w:rFonts w:hint="eastAsia"/>
          <w:lang w:val="en-US" w:eastAsia="zh-CN"/>
        </w:rPr>
        <w:t>产品预包装常用净含量规格设定为：1</w:t>
      </w:r>
      <w:r>
        <w:rPr>
          <w:rFonts w:hint="eastAsia"/>
          <w:sz w:val="11"/>
          <w:szCs w:val="11"/>
          <w:lang w:val="en-US" w:eastAsia="zh-CN"/>
        </w:rPr>
        <w:t xml:space="preserve"> </w:t>
      </w:r>
      <w:r>
        <w:rPr>
          <w:rFonts w:hint="eastAsia"/>
          <w:lang w:val="en-US" w:eastAsia="zh-CN"/>
        </w:rPr>
        <w:t>kg、2</w:t>
      </w:r>
      <w:r>
        <w:rPr>
          <w:rFonts w:hint="eastAsia"/>
          <w:sz w:val="11"/>
          <w:szCs w:val="11"/>
          <w:lang w:val="en-US" w:eastAsia="zh-CN"/>
        </w:rPr>
        <w:t xml:space="preserve"> </w:t>
      </w:r>
      <w:r>
        <w:rPr>
          <w:rFonts w:hint="eastAsia"/>
          <w:lang w:val="en-US" w:eastAsia="zh-CN"/>
        </w:rPr>
        <w:t>kg、5</w:t>
      </w:r>
      <w:r>
        <w:rPr>
          <w:rFonts w:hint="eastAsia"/>
          <w:sz w:val="11"/>
          <w:szCs w:val="11"/>
          <w:lang w:val="en-US" w:eastAsia="zh-CN"/>
        </w:rPr>
        <w:t xml:space="preserve"> </w:t>
      </w:r>
      <w:r>
        <w:rPr>
          <w:rFonts w:hint="eastAsia"/>
          <w:lang w:val="en-US" w:eastAsia="zh-CN"/>
        </w:rPr>
        <w:t>kg、10</w:t>
      </w:r>
      <w:r>
        <w:rPr>
          <w:rFonts w:hint="eastAsia"/>
          <w:sz w:val="11"/>
          <w:szCs w:val="11"/>
          <w:lang w:val="en-US" w:eastAsia="zh-CN"/>
        </w:rPr>
        <w:t xml:space="preserve"> </w:t>
      </w:r>
      <w:r>
        <w:rPr>
          <w:rFonts w:hint="eastAsia"/>
          <w:lang w:val="en-US" w:eastAsia="zh-CN"/>
        </w:rPr>
        <w:t>kg，也可根据市场需求设置其他规格；</w:t>
      </w:r>
    </w:p>
    <w:p w14:paraId="52E19A28">
      <w:pPr>
        <w:pStyle w:val="61"/>
        <w:bidi w:val="0"/>
        <w:ind w:left="851" w:leftChars="0" w:hanging="426" w:firstLineChars="0"/>
        <w:rPr>
          <w:rFonts w:hint="eastAsia"/>
          <w:lang w:val="en-US" w:eastAsia="zh-CN"/>
        </w:rPr>
      </w:pPr>
      <w:r>
        <w:rPr>
          <w:rFonts w:hint="eastAsia"/>
          <w:lang w:val="en-US" w:eastAsia="zh-CN"/>
        </w:rPr>
        <w:t>净含量的标示、允许短缺量、平均含量控制应符合《定量包装商品计量监督管理办法》及JJF 1070的规定，单件净含量负偏差、批量平均净含量均满足国家计量规范要求；</w:t>
      </w:r>
    </w:p>
    <w:p w14:paraId="0AA492AC">
      <w:pPr>
        <w:pStyle w:val="61"/>
        <w:bidi w:val="0"/>
        <w:ind w:left="851" w:leftChars="0" w:hanging="426" w:firstLineChars="0"/>
        <w:rPr>
          <w:rFonts w:hint="eastAsia"/>
          <w:lang w:val="en-US" w:eastAsia="zh-CN"/>
        </w:rPr>
      </w:pPr>
      <w:r>
        <w:rPr>
          <w:rFonts w:hint="eastAsia"/>
          <w:lang w:val="en-US" w:eastAsia="zh-CN"/>
        </w:rPr>
        <w:t>散装销售产品可不标注固定净含量，包装物或经营摊位标注计量称重，以现场实际称重作为交易结算依据；</w:t>
      </w:r>
    </w:p>
    <w:p w14:paraId="36936E11">
      <w:pPr>
        <w:pStyle w:val="61"/>
        <w:bidi w:val="0"/>
        <w:ind w:left="851" w:leftChars="0" w:hanging="426" w:firstLineChars="0"/>
        <w:rPr>
          <w:rFonts w:hint="eastAsia"/>
          <w:lang w:val="en-US" w:eastAsia="zh-CN"/>
        </w:rPr>
      </w:pPr>
      <w:r>
        <w:rPr>
          <w:rFonts w:hint="eastAsia"/>
          <w:lang w:val="en-US" w:eastAsia="zh-CN"/>
        </w:rPr>
        <w:t>产品标签应在醒目位置清晰标注净含量：××kg，字体、标识格式符合食品标签标识相关国家标准规定。</w:t>
      </w:r>
    </w:p>
    <w:p w14:paraId="7519DC1B">
      <w:pPr>
        <w:pStyle w:val="74"/>
        <w:bidi w:val="0"/>
        <w:rPr>
          <w:rFonts w:hint="eastAsia"/>
          <w:lang w:val="en-US" w:eastAsia="zh-CN"/>
        </w:rPr>
      </w:pPr>
      <w:r>
        <w:rPr>
          <w:rFonts w:hint="eastAsia"/>
          <w:lang w:val="en-US" w:eastAsia="zh-CN"/>
        </w:rPr>
        <w:t>感官要求</w:t>
      </w:r>
    </w:p>
    <w:p w14:paraId="4CFB6826">
      <w:pPr>
        <w:pStyle w:val="25"/>
        <w:rPr>
          <w:rFonts w:hint="eastAsia"/>
          <w:lang w:val="en-US" w:eastAsia="zh-CN"/>
        </w:rPr>
      </w:pPr>
      <w:r>
        <w:rPr>
          <w:rFonts w:hint="eastAsia"/>
          <w:lang w:val="en-US" w:eastAsia="zh-CN"/>
        </w:rPr>
        <w:t>应符合表1的规定。</w:t>
      </w:r>
    </w:p>
    <w:p w14:paraId="4DDEDF94">
      <w:pPr>
        <w:pStyle w:val="25"/>
        <w:rPr>
          <w:rFonts w:hint="eastAsia"/>
          <w:lang w:val="en-US" w:eastAsia="zh-CN"/>
        </w:rPr>
      </w:pPr>
    </w:p>
    <w:p w14:paraId="1B1C9F45">
      <w:pPr>
        <w:pStyle w:val="114"/>
        <w:bidi w:val="0"/>
        <w:rPr>
          <w:rFonts w:hint="eastAsia"/>
          <w:lang w:val="en-US" w:eastAsia="zh-CN"/>
        </w:rPr>
      </w:pPr>
      <w:r>
        <w:rPr>
          <w:rFonts w:hint="eastAsia"/>
          <w:lang w:val="en-US" w:eastAsia="zh-CN"/>
        </w:rPr>
        <w:t>感官要求</w:t>
      </w:r>
    </w:p>
    <w:tbl>
      <w:tblPr>
        <w:tblStyle w:val="21"/>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2866"/>
        <w:gridCol w:w="6704"/>
      </w:tblGrid>
      <w:tr w14:paraId="7DFEE0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497" w:type="pct"/>
            <w:tcBorders>
              <w:bottom w:val="single" w:color="auto" w:sz="8" w:space="0"/>
            </w:tcBorders>
            <w:vAlign w:val="center"/>
          </w:tcPr>
          <w:p w14:paraId="3E20C4E3">
            <w:pPr>
              <w:pStyle w:val="112"/>
              <w:widowControl w:val="0"/>
              <w:bidi w:val="0"/>
              <w:ind w:left="0" w:leftChars="0" w:firstLine="0" w:firstLineChars="0"/>
              <w:jc w:val="center"/>
              <w:rPr>
                <w:rFonts w:hint="default"/>
                <w:lang w:val="en-US" w:eastAsia="zh-CN"/>
              </w:rPr>
            </w:pPr>
            <w:r>
              <w:rPr>
                <w:rFonts w:hint="eastAsia"/>
                <w:lang w:val="en-US" w:eastAsia="zh-CN"/>
              </w:rPr>
              <w:t>项目</w:t>
            </w:r>
          </w:p>
        </w:tc>
        <w:tc>
          <w:tcPr>
            <w:tcW w:w="3502" w:type="pct"/>
            <w:tcBorders>
              <w:bottom w:val="single" w:color="auto" w:sz="8" w:space="0"/>
            </w:tcBorders>
            <w:vAlign w:val="center"/>
          </w:tcPr>
          <w:p w14:paraId="41EEA4F2">
            <w:pPr>
              <w:pStyle w:val="112"/>
              <w:widowControl w:val="0"/>
              <w:bidi w:val="0"/>
              <w:ind w:left="0" w:leftChars="0" w:firstLine="0" w:firstLineChars="0"/>
              <w:jc w:val="center"/>
              <w:rPr>
                <w:rFonts w:hint="default"/>
                <w:lang w:val="en-US" w:eastAsia="zh-CN"/>
              </w:rPr>
            </w:pPr>
            <w:r>
              <w:rPr>
                <w:rFonts w:hint="eastAsia"/>
                <w:lang w:val="en-US" w:eastAsia="zh-CN"/>
              </w:rPr>
              <w:t>要求</w:t>
            </w:r>
          </w:p>
        </w:tc>
      </w:tr>
      <w:tr w14:paraId="23D857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497" w:type="pct"/>
            <w:tcBorders>
              <w:top w:val="single" w:color="auto" w:sz="8" w:space="0"/>
            </w:tcBorders>
            <w:vAlign w:val="center"/>
          </w:tcPr>
          <w:p w14:paraId="2067BAD9">
            <w:pPr>
              <w:pStyle w:val="112"/>
              <w:widowControl w:val="0"/>
              <w:bidi w:val="0"/>
              <w:ind w:left="0" w:leftChars="0" w:firstLine="0" w:firstLineChars="0"/>
              <w:jc w:val="center"/>
              <w:rPr>
                <w:rFonts w:hint="default"/>
                <w:lang w:val="en-US" w:eastAsia="zh-CN"/>
              </w:rPr>
            </w:pPr>
            <w:r>
              <w:rPr>
                <w:rFonts w:hint="eastAsia"/>
                <w:lang w:val="en-US" w:eastAsia="zh-CN"/>
              </w:rPr>
              <w:t>果实形态</w:t>
            </w:r>
          </w:p>
        </w:tc>
        <w:tc>
          <w:tcPr>
            <w:tcW w:w="3502" w:type="pct"/>
            <w:tcBorders>
              <w:top w:val="single" w:color="auto" w:sz="8" w:space="0"/>
            </w:tcBorders>
            <w:vAlign w:val="center"/>
          </w:tcPr>
          <w:p w14:paraId="38EC1228">
            <w:pPr>
              <w:pStyle w:val="112"/>
              <w:widowControl w:val="0"/>
              <w:bidi w:val="0"/>
              <w:ind w:left="0" w:leftChars="0" w:firstLine="0" w:firstLineChars="0"/>
              <w:jc w:val="center"/>
              <w:rPr>
                <w:rFonts w:hint="default"/>
                <w:lang w:val="en-US" w:eastAsia="zh-CN"/>
              </w:rPr>
            </w:pPr>
            <w:r>
              <w:rPr>
                <w:rFonts w:hint="default"/>
                <w:lang w:val="en-US" w:eastAsia="zh-CN"/>
              </w:rPr>
              <w:t>长锥形，果顶部渐尖，果面皱缩、有棱沟，果形整齐</w:t>
            </w:r>
          </w:p>
        </w:tc>
      </w:tr>
      <w:tr w14:paraId="0F3E1F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497" w:type="pct"/>
            <w:vAlign w:val="center"/>
          </w:tcPr>
          <w:p w14:paraId="3B863375">
            <w:pPr>
              <w:pStyle w:val="112"/>
              <w:widowControl w:val="0"/>
              <w:bidi w:val="0"/>
              <w:ind w:left="0" w:leftChars="0" w:firstLine="0" w:firstLineChars="0"/>
              <w:jc w:val="center"/>
              <w:rPr>
                <w:rFonts w:hint="default"/>
                <w:lang w:val="en-US" w:eastAsia="zh-CN"/>
              </w:rPr>
            </w:pPr>
            <w:r>
              <w:rPr>
                <w:rFonts w:hint="eastAsia"/>
                <w:lang w:val="en-US" w:eastAsia="zh-CN"/>
              </w:rPr>
              <w:t>色泽</w:t>
            </w:r>
          </w:p>
        </w:tc>
        <w:tc>
          <w:tcPr>
            <w:tcW w:w="3502" w:type="pct"/>
            <w:vAlign w:val="center"/>
          </w:tcPr>
          <w:p w14:paraId="73729821">
            <w:pPr>
              <w:pStyle w:val="112"/>
              <w:widowControl w:val="0"/>
              <w:bidi w:val="0"/>
              <w:ind w:left="0" w:leftChars="0" w:firstLine="0" w:firstLineChars="0"/>
              <w:jc w:val="center"/>
              <w:rPr>
                <w:rFonts w:hint="default"/>
                <w:lang w:val="en-US" w:eastAsia="zh-CN"/>
              </w:rPr>
            </w:pPr>
            <w:r>
              <w:rPr>
                <w:rFonts w:hint="default"/>
                <w:lang w:val="en-US" w:eastAsia="zh-CN"/>
              </w:rPr>
              <w:t>青熟果深绿，红熟果暗红，色泽均匀</w:t>
            </w:r>
          </w:p>
        </w:tc>
      </w:tr>
      <w:tr w14:paraId="729EE0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497" w:type="pct"/>
            <w:vAlign w:val="center"/>
          </w:tcPr>
          <w:p w14:paraId="04203F48">
            <w:pPr>
              <w:pStyle w:val="112"/>
              <w:widowControl w:val="0"/>
              <w:bidi w:val="0"/>
              <w:ind w:left="0" w:leftChars="0" w:firstLine="0" w:firstLineChars="0"/>
              <w:jc w:val="center"/>
              <w:rPr>
                <w:rFonts w:hint="default"/>
                <w:lang w:val="en-US" w:eastAsia="zh-CN"/>
              </w:rPr>
            </w:pPr>
            <w:r>
              <w:rPr>
                <w:rFonts w:hint="eastAsia"/>
                <w:lang w:val="en-US" w:eastAsia="zh-CN"/>
              </w:rPr>
              <w:t>果肉质地</w:t>
            </w:r>
          </w:p>
        </w:tc>
        <w:tc>
          <w:tcPr>
            <w:tcW w:w="3502" w:type="pct"/>
            <w:vAlign w:val="center"/>
          </w:tcPr>
          <w:p w14:paraId="06FFE480">
            <w:pPr>
              <w:pStyle w:val="112"/>
              <w:widowControl w:val="0"/>
              <w:bidi w:val="0"/>
              <w:ind w:left="0" w:leftChars="0" w:firstLine="0" w:firstLineChars="0"/>
              <w:jc w:val="center"/>
              <w:rPr>
                <w:rFonts w:hint="default"/>
                <w:lang w:val="en-US" w:eastAsia="zh-CN"/>
              </w:rPr>
            </w:pPr>
            <w:r>
              <w:rPr>
                <w:rFonts w:hint="default"/>
                <w:lang w:val="en-US" w:eastAsia="zh-CN"/>
              </w:rPr>
              <w:t>皮薄肉厚，肉质细嫩，脆嫩多汁，纤维少</w:t>
            </w:r>
          </w:p>
        </w:tc>
      </w:tr>
      <w:tr w14:paraId="4D4E26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497" w:type="pct"/>
            <w:vAlign w:val="center"/>
          </w:tcPr>
          <w:p w14:paraId="7B356800">
            <w:pPr>
              <w:pStyle w:val="112"/>
              <w:widowControl w:val="0"/>
              <w:bidi w:val="0"/>
              <w:ind w:left="0" w:leftChars="0" w:firstLine="0" w:firstLineChars="0"/>
              <w:jc w:val="center"/>
              <w:rPr>
                <w:rFonts w:hint="default"/>
                <w:lang w:val="en-US" w:eastAsia="zh-CN"/>
              </w:rPr>
            </w:pPr>
            <w:r>
              <w:rPr>
                <w:rFonts w:hint="eastAsia"/>
                <w:lang w:val="en-US" w:eastAsia="zh-CN"/>
              </w:rPr>
              <w:t>风味</w:t>
            </w:r>
          </w:p>
        </w:tc>
        <w:tc>
          <w:tcPr>
            <w:tcW w:w="3502" w:type="pct"/>
            <w:vAlign w:val="center"/>
          </w:tcPr>
          <w:p w14:paraId="77F39AA1">
            <w:pPr>
              <w:pStyle w:val="112"/>
              <w:widowControl w:val="0"/>
              <w:bidi w:val="0"/>
              <w:ind w:left="0" w:leftChars="0" w:firstLine="0" w:firstLineChars="0"/>
              <w:jc w:val="center"/>
              <w:rPr>
                <w:rFonts w:hint="default"/>
                <w:lang w:val="en-US" w:eastAsia="zh-CN"/>
              </w:rPr>
            </w:pPr>
            <w:r>
              <w:rPr>
                <w:rFonts w:hint="default"/>
                <w:lang w:val="en-US" w:eastAsia="zh-CN"/>
              </w:rPr>
              <w:t>辣味适中，香气浓郁，无异味、无苦涩味</w:t>
            </w:r>
          </w:p>
        </w:tc>
      </w:tr>
      <w:tr w14:paraId="0C4B38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497" w:type="pct"/>
            <w:vAlign w:val="center"/>
          </w:tcPr>
          <w:p w14:paraId="37FE3B53">
            <w:pPr>
              <w:pStyle w:val="112"/>
              <w:widowControl w:val="0"/>
              <w:bidi w:val="0"/>
              <w:ind w:left="0" w:leftChars="0" w:firstLine="0" w:firstLineChars="0"/>
              <w:jc w:val="center"/>
              <w:rPr>
                <w:rFonts w:hint="default"/>
                <w:lang w:val="en-US" w:eastAsia="zh-CN"/>
              </w:rPr>
            </w:pPr>
            <w:r>
              <w:rPr>
                <w:rFonts w:hint="eastAsia"/>
                <w:lang w:val="en-US" w:eastAsia="zh-CN"/>
              </w:rPr>
              <w:t>果径与果重</w:t>
            </w:r>
          </w:p>
        </w:tc>
        <w:tc>
          <w:tcPr>
            <w:tcW w:w="3502" w:type="pct"/>
            <w:vAlign w:val="center"/>
          </w:tcPr>
          <w:p w14:paraId="244E0E49">
            <w:pPr>
              <w:pStyle w:val="112"/>
              <w:widowControl w:val="0"/>
              <w:bidi w:val="0"/>
              <w:ind w:left="0" w:leftChars="0" w:firstLine="0" w:firstLineChars="0"/>
              <w:jc w:val="center"/>
              <w:rPr>
                <w:rFonts w:hint="default"/>
                <w:lang w:val="en-US" w:eastAsia="zh-CN"/>
              </w:rPr>
            </w:pPr>
            <w:r>
              <w:rPr>
                <w:rFonts w:hint="default"/>
                <w:lang w:val="en-US" w:eastAsia="zh-CN"/>
              </w:rPr>
              <w:t>纵径24</w:t>
            </w:r>
            <w:r>
              <w:rPr>
                <w:rFonts w:hint="default"/>
                <w:sz w:val="11"/>
                <w:szCs w:val="11"/>
                <w:lang w:val="en-US" w:eastAsia="zh-CN"/>
              </w:rPr>
              <w:t xml:space="preserve"> </w:t>
            </w:r>
            <w:r>
              <w:rPr>
                <w:rFonts w:hint="default"/>
                <w:lang w:val="en-US" w:eastAsia="zh-CN"/>
              </w:rPr>
              <w:t>cm</w:t>
            </w:r>
            <w:r>
              <w:rPr>
                <w:rFonts w:hint="eastAsia"/>
                <w:lang w:val="en-US" w:eastAsia="zh-CN"/>
              </w:rPr>
              <w:t>～</w:t>
            </w:r>
            <w:r>
              <w:rPr>
                <w:rFonts w:hint="default"/>
                <w:lang w:val="en-US" w:eastAsia="zh-CN"/>
              </w:rPr>
              <w:t>28</w:t>
            </w:r>
            <w:r>
              <w:rPr>
                <w:rFonts w:hint="default"/>
                <w:sz w:val="11"/>
                <w:szCs w:val="11"/>
                <w:lang w:val="en-US" w:eastAsia="zh-CN"/>
              </w:rPr>
              <w:t xml:space="preserve"> </w:t>
            </w:r>
            <w:r>
              <w:rPr>
                <w:rFonts w:hint="default"/>
                <w:lang w:val="en-US" w:eastAsia="zh-CN"/>
              </w:rPr>
              <w:t>cm，横径4.2</w:t>
            </w:r>
            <w:r>
              <w:rPr>
                <w:rFonts w:hint="default"/>
                <w:sz w:val="11"/>
                <w:szCs w:val="11"/>
                <w:lang w:val="en-US" w:eastAsia="zh-CN"/>
              </w:rPr>
              <w:t xml:space="preserve"> </w:t>
            </w:r>
            <w:r>
              <w:rPr>
                <w:rFonts w:hint="default"/>
                <w:lang w:val="en-US" w:eastAsia="zh-CN"/>
              </w:rPr>
              <w:t>cm</w:t>
            </w:r>
            <w:r>
              <w:rPr>
                <w:rFonts w:hint="eastAsia"/>
                <w:lang w:val="en-US" w:eastAsia="zh-CN"/>
              </w:rPr>
              <w:t>～</w:t>
            </w:r>
            <w:r>
              <w:rPr>
                <w:rFonts w:hint="default"/>
                <w:lang w:val="en-US" w:eastAsia="zh-CN"/>
              </w:rPr>
              <w:t>4.8</w:t>
            </w:r>
            <w:r>
              <w:rPr>
                <w:rFonts w:hint="default"/>
                <w:sz w:val="11"/>
                <w:szCs w:val="11"/>
                <w:lang w:val="en-US" w:eastAsia="zh-CN"/>
              </w:rPr>
              <w:t xml:space="preserve"> </w:t>
            </w:r>
            <w:r>
              <w:rPr>
                <w:rFonts w:hint="default"/>
                <w:lang w:val="en-US" w:eastAsia="zh-CN"/>
              </w:rPr>
              <w:t>cm，果肉厚约0.75</w:t>
            </w:r>
            <w:r>
              <w:rPr>
                <w:rFonts w:hint="default"/>
                <w:sz w:val="11"/>
                <w:szCs w:val="11"/>
                <w:lang w:val="en-US" w:eastAsia="zh-CN"/>
              </w:rPr>
              <w:t xml:space="preserve"> </w:t>
            </w:r>
            <w:r>
              <w:rPr>
                <w:rFonts w:hint="default"/>
                <w:lang w:val="en-US" w:eastAsia="zh-CN"/>
              </w:rPr>
              <w:t>cm，单果重约100</w:t>
            </w:r>
            <w:r>
              <w:rPr>
                <w:rFonts w:hint="default"/>
                <w:sz w:val="11"/>
                <w:szCs w:val="11"/>
                <w:lang w:val="en-US" w:eastAsia="zh-CN"/>
              </w:rPr>
              <w:t xml:space="preserve"> </w:t>
            </w:r>
            <w:r>
              <w:rPr>
                <w:rFonts w:hint="default"/>
                <w:lang w:val="en-US" w:eastAsia="zh-CN"/>
              </w:rPr>
              <w:t>g</w:t>
            </w:r>
          </w:p>
        </w:tc>
      </w:tr>
      <w:tr w14:paraId="7C4B42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497" w:type="pct"/>
            <w:vAlign w:val="center"/>
          </w:tcPr>
          <w:p w14:paraId="661AD090">
            <w:pPr>
              <w:pStyle w:val="112"/>
              <w:widowControl w:val="0"/>
              <w:bidi w:val="0"/>
              <w:ind w:left="0" w:leftChars="0" w:firstLine="0" w:firstLineChars="0"/>
              <w:jc w:val="center"/>
              <w:rPr>
                <w:rFonts w:hint="default"/>
                <w:lang w:val="en-US" w:eastAsia="zh-CN"/>
              </w:rPr>
            </w:pPr>
            <w:r>
              <w:rPr>
                <w:rFonts w:hint="eastAsia"/>
                <w:lang w:val="en-US" w:eastAsia="zh-CN"/>
              </w:rPr>
              <w:t>缺陷</w:t>
            </w:r>
          </w:p>
        </w:tc>
        <w:tc>
          <w:tcPr>
            <w:tcW w:w="3502" w:type="pct"/>
            <w:vAlign w:val="center"/>
          </w:tcPr>
          <w:p w14:paraId="76A21139">
            <w:pPr>
              <w:pStyle w:val="112"/>
              <w:widowControl w:val="0"/>
              <w:bidi w:val="0"/>
              <w:ind w:left="0" w:leftChars="0" w:firstLine="0" w:firstLineChars="0"/>
              <w:jc w:val="center"/>
              <w:rPr>
                <w:rFonts w:hint="default"/>
                <w:lang w:val="en-US" w:eastAsia="zh-CN"/>
              </w:rPr>
            </w:pPr>
            <w:r>
              <w:rPr>
                <w:rFonts w:hint="default"/>
                <w:lang w:val="en-US" w:eastAsia="zh-CN"/>
              </w:rPr>
              <w:t>无腐烂、无霉变、无病虫斑、无裂果、无机械损伤</w:t>
            </w:r>
          </w:p>
        </w:tc>
      </w:tr>
    </w:tbl>
    <w:p w14:paraId="37028072">
      <w:pPr>
        <w:pStyle w:val="74"/>
        <w:bidi w:val="0"/>
        <w:rPr>
          <w:rFonts w:hint="default"/>
          <w:lang w:val="en-US" w:eastAsia="zh-CN"/>
        </w:rPr>
      </w:pPr>
      <w:r>
        <w:rPr>
          <w:rFonts w:hint="eastAsia"/>
          <w:lang w:val="en-US" w:eastAsia="zh-CN"/>
        </w:rPr>
        <w:t>理化指标</w:t>
      </w:r>
    </w:p>
    <w:p w14:paraId="4A8E8B77">
      <w:pPr>
        <w:pStyle w:val="25"/>
        <w:rPr>
          <w:rFonts w:hint="eastAsia"/>
          <w:lang w:val="en-US" w:eastAsia="zh-CN"/>
        </w:rPr>
      </w:pPr>
      <w:r>
        <w:rPr>
          <w:rFonts w:hint="eastAsia"/>
          <w:lang w:val="en-US" w:eastAsia="zh-CN"/>
        </w:rPr>
        <w:t>应符合表2的规定。</w:t>
      </w:r>
    </w:p>
    <w:p w14:paraId="04118BA8">
      <w:pPr>
        <w:pStyle w:val="114"/>
        <w:bidi w:val="0"/>
        <w:rPr>
          <w:rFonts w:hint="default"/>
          <w:lang w:val="en-US" w:eastAsia="zh-CN"/>
        </w:rPr>
      </w:pPr>
      <w:r>
        <w:rPr>
          <w:rFonts w:hint="eastAsia"/>
          <w:lang w:val="en-US" w:eastAsia="zh-CN"/>
        </w:rPr>
        <w:t>理化指标</w:t>
      </w:r>
    </w:p>
    <w:tbl>
      <w:tblPr>
        <w:tblStyle w:val="21"/>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4785"/>
      </w:tblGrid>
      <w:tr w14:paraId="3FA0F5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2500" w:type="pct"/>
            <w:tcBorders>
              <w:bottom w:val="single" w:color="auto" w:sz="8" w:space="0"/>
            </w:tcBorders>
            <w:vAlign w:val="center"/>
          </w:tcPr>
          <w:p w14:paraId="2896BEB6">
            <w:pPr>
              <w:pStyle w:val="112"/>
              <w:widowControl w:val="0"/>
              <w:bidi w:val="0"/>
              <w:ind w:left="0" w:leftChars="0" w:firstLine="0" w:firstLineChars="0"/>
              <w:jc w:val="center"/>
              <w:rPr>
                <w:rFonts w:hint="default"/>
                <w:lang w:val="en-US" w:eastAsia="zh-CN"/>
              </w:rPr>
            </w:pPr>
            <w:r>
              <w:rPr>
                <w:rFonts w:hint="eastAsia"/>
                <w:lang w:val="en-US" w:eastAsia="zh-CN"/>
              </w:rPr>
              <w:t>项目</w:t>
            </w:r>
          </w:p>
        </w:tc>
        <w:tc>
          <w:tcPr>
            <w:tcW w:w="2500" w:type="pct"/>
            <w:tcBorders>
              <w:bottom w:val="single" w:color="auto" w:sz="8" w:space="0"/>
            </w:tcBorders>
            <w:vAlign w:val="center"/>
          </w:tcPr>
          <w:p w14:paraId="50B11658">
            <w:pPr>
              <w:pStyle w:val="112"/>
              <w:widowControl w:val="0"/>
              <w:bidi w:val="0"/>
              <w:ind w:left="0" w:leftChars="0" w:firstLine="0" w:firstLineChars="0"/>
              <w:jc w:val="center"/>
              <w:rPr>
                <w:rFonts w:hint="default"/>
                <w:lang w:val="en-US" w:eastAsia="zh-CN"/>
              </w:rPr>
            </w:pPr>
            <w:r>
              <w:rPr>
                <w:rFonts w:hint="eastAsia"/>
                <w:lang w:val="en-US" w:eastAsia="zh-CN"/>
              </w:rPr>
              <w:t>指标</w:t>
            </w:r>
          </w:p>
        </w:tc>
      </w:tr>
      <w:tr w14:paraId="6F1265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2500" w:type="pct"/>
            <w:tcBorders>
              <w:top w:val="single" w:color="auto" w:sz="8" w:space="0"/>
            </w:tcBorders>
            <w:vAlign w:val="center"/>
          </w:tcPr>
          <w:p w14:paraId="504B9D9E">
            <w:pPr>
              <w:pStyle w:val="112"/>
              <w:widowControl w:val="0"/>
              <w:bidi w:val="0"/>
              <w:ind w:left="0" w:leftChars="0" w:firstLine="0" w:firstLineChars="0"/>
              <w:jc w:val="center"/>
              <w:rPr>
                <w:rFonts w:hint="default"/>
                <w:lang w:val="en-US" w:eastAsia="zh-CN"/>
              </w:rPr>
            </w:pPr>
            <w:r>
              <w:rPr>
                <w:rFonts w:hint="default"/>
                <w:lang w:val="en-US" w:eastAsia="zh-CN"/>
              </w:rPr>
              <w:t>维生素C/（mg/100</w:t>
            </w:r>
            <w:r>
              <w:rPr>
                <w:rFonts w:hint="default"/>
                <w:sz w:val="11"/>
                <w:szCs w:val="11"/>
                <w:lang w:val="en-US" w:eastAsia="zh-CN"/>
              </w:rPr>
              <w:t xml:space="preserve"> </w:t>
            </w:r>
            <w:r>
              <w:rPr>
                <w:rFonts w:hint="default"/>
                <w:lang w:val="en-US" w:eastAsia="zh-CN"/>
              </w:rPr>
              <w:t>g）</w:t>
            </w:r>
          </w:p>
        </w:tc>
        <w:tc>
          <w:tcPr>
            <w:tcW w:w="2500" w:type="pct"/>
            <w:tcBorders>
              <w:top w:val="single" w:color="auto" w:sz="8" w:space="0"/>
            </w:tcBorders>
            <w:vAlign w:val="center"/>
          </w:tcPr>
          <w:p w14:paraId="072CFDAF">
            <w:pPr>
              <w:pStyle w:val="112"/>
              <w:widowControl w:val="0"/>
              <w:bidi w:val="0"/>
              <w:ind w:left="0" w:leftChars="0" w:firstLine="0" w:firstLineChars="0"/>
              <w:jc w:val="center"/>
              <w:rPr>
                <w:rFonts w:hint="default"/>
                <w:lang w:val="en-US" w:eastAsia="zh-CN"/>
              </w:rPr>
            </w:pPr>
            <w:r>
              <w:rPr>
                <w:rFonts w:hint="eastAsia"/>
                <w:lang w:val="en-US" w:eastAsia="zh-CN"/>
              </w:rPr>
              <w:t>≥</w:t>
            </w:r>
            <w:r>
              <w:rPr>
                <w:rFonts w:hint="eastAsia"/>
                <w:sz w:val="11"/>
                <w:szCs w:val="11"/>
                <w:lang w:val="en-US" w:eastAsia="zh-CN"/>
              </w:rPr>
              <w:t xml:space="preserve"> </w:t>
            </w:r>
            <w:r>
              <w:rPr>
                <w:rFonts w:hint="eastAsia"/>
                <w:lang w:val="en-US" w:eastAsia="zh-CN"/>
              </w:rPr>
              <w:t>185</w:t>
            </w:r>
          </w:p>
        </w:tc>
      </w:tr>
      <w:tr w14:paraId="7F5C18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2500" w:type="pct"/>
            <w:vAlign w:val="center"/>
          </w:tcPr>
          <w:p w14:paraId="027A5561">
            <w:pPr>
              <w:pStyle w:val="112"/>
              <w:widowControl w:val="0"/>
              <w:bidi w:val="0"/>
              <w:ind w:left="0" w:leftChars="0" w:firstLine="0" w:firstLineChars="0"/>
              <w:jc w:val="center"/>
              <w:rPr>
                <w:rFonts w:hint="default"/>
                <w:lang w:val="en-US" w:eastAsia="zh-CN"/>
              </w:rPr>
            </w:pPr>
            <w:r>
              <w:rPr>
                <w:rFonts w:hint="default"/>
                <w:lang w:val="en-US" w:eastAsia="zh-CN"/>
              </w:rPr>
              <w:t>可溶性糖</w:t>
            </w:r>
            <w:r>
              <w:rPr>
                <w:rFonts w:hint="eastAsia"/>
                <w:lang w:val="en-US" w:eastAsia="zh-CN"/>
              </w:rPr>
              <w:t>/（</w:t>
            </w:r>
            <w:r>
              <w:rPr>
                <w:rFonts w:hint="default"/>
                <w:lang w:val="en-US" w:eastAsia="zh-CN"/>
              </w:rPr>
              <w:t>%</w:t>
            </w:r>
            <w:r>
              <w:rPr>
                <w:rFonts w:hint="eastAsia"/>
                <w:lang w:val="en-US" w:eastAsia="zh-CN"/>
              </w:rPr>
              <w:t>）</w:t>
            </w:r>
          </w:p>
        </w:tc>
        <w:tc>
          <w:tcPr>
            <w:tcW w:w="2500" w:type="pct"/>
            <w:vAlign w:val="center"/>
          </w:tcPr>
          <w:p w14:paraId="55C36DFA">
            <w:pPr>
              <w:pStyle w:val="112"/>
              <w:widowControl w:val="0"/>
              <w:bidi w:val="0"/>
              <w:ind w:left="0" w:leftChars="0" w:firstLine="0" w:firstLineChars="0"/>
              <w:jc w:val="center"/>
              <w:rPr>
                <w:rFonts w:hint="default"/>
                <w:lang w:val="en-US" w:eastAsia="zh-CN"/>
              </w:rPr>
            </w:pPr>
            <w:r>
              <w:rPr>
                <w:rFonts w:hint="eastAsia"/>
                <w:lang w:val="en-US" w:eastAsia="zh-CN"/>
              </w:rPr>
              <w:t>≥</w:t>
            </w:r>
            <w:r>
              <w:rPr>
                <w:rFonts w:hint="eastAsia"/>
                <w:sz w:val="11"/>
                <w:szCs w:val="11"/>
                <w:lang w:val="en-US" w:eastAsia="zh-CN"/>
              </w:rPr>
              <w:t xml:space="preserve"> </w:t>
            </w:r>
            <w:r>
              <w:rPr>
                <w:rFonts w:hint="eastAsia"/>
                <w:lang w:val="en-US" w:eastAsia="zh-CN"/>
              </w:rPr>
              <w:t>4.0</w:t>
            </w:r>
          </w:p>
        </w:tc>
      </w:tr>
      <w:tr w14:paraId="3826D0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2500" w:type="pct"/>
            <w:vAlign w:val="center"/>
          </w:tcPr>
          <w:p w14:paraId="51167A5E">
            <w:pPr>
              <w:pStyle w:val="112"/>
              <w:widowControl w:val="0"/>
              <w:bidi w:val="0"/>
              <w:ind w:left="0" w:leftChars="0" w:firstLine="0" w:firstLineChars="0"/>
              <w:jc w:val="center"/>
              <w:rPr>
                <w:rFonts w:hint="default"/>
                <w:lang w:val="en-US" w:eastAsia="zh-CN"/>
              </w:rPr>
            </w:pPr>
            <w:r>
              <w:rPr>
                <w:rFonts w:hint="default"/>
                <w:lang w:val="en-US" w:eastAsia="zh-CN"/>
              </w:rPr>
              <w:t>干物质/（%）</w:t>
            </w:r>
          </w:p>
        </w:tc>
        <w:tc>
          <w:tcPr>
            <w:tcW w:w="2500" w:type="pct"/>
            <w:vAlign w:val="center"/>
          </w:tcPr>
          <w:p w14:paraId="0BA3640D">
            <w:pPr>
              <w:pStyle w:val="112"/>
              <w:widowControl w:val="0"/>
              <w:bidi w:val="0"/>
              <w:ind w:left="0" w:leftChars="0" w:firstLine="0" w:firstLineChars="0"/>
              <w:jc w:val="center"/>
              <w:rPr>
                <w:rFonts w:hint="default"/>
                <w:lang w:val="en-US" w:eastAsia="zh-CN"/>
              </w:rPr>
            </w:pPr>
            <w:r>
              <w:rPr>
                <w:rFonts w:hint="eastAsia"/>
                <w:lang w:val="en-US" w:eastAsia="zh-CN"/>
              </w:rPr>
              <w:t>≥</w:t>
            </w:r>
            <w:r>
              <w:rPr>
                <w:rFonts w:hint="eastAsia"/>
                <w:sz w:val="11"/>
                <w:szCs w:val="11"/>
                <w:lang w:val="en-US" w:eastAsia="zh-CN"/>
              </w:rPr>
              <w:t xml:space="preserve"> </w:t>
            </w:r>
            <w:r>
              <w:rPr>
                <w:rFonts w:hint="eastAsia"/>
                <w:lang w:val="en-US" w:eastAsia="zh-CN"/>
              </w:rPr>
              <w:t>9.4</w:t>
            </w:r>
          </w:p>
        </w:tc>
      </w:tr>
      <w:tr w14:paraId="5BAA59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2500" w:type="pct"/>
            <w:vAlign w:val="center"/>
          </w:tcPr>
          <w:p w14:paraId="499299DC">
            <w:pPr>
              <w:pStyle w:val="112"/>
              <w:widowControl w:val="0"/>
              <w:bidi w:val="0"/>
              <w:ind w:left="0" w:leftChars="0" w:firstLine="0" w:firstLineChars="0"/>
              <w:jc w:val="center"/>
              <w:rPr>
                <w:rFonts w:hint="default"/>
                <w:lang w:val="en-US" w:eastAsia="zh-CN"/>
              </w:rPr>
            </w:pPr>
            <w:r>
              <w:rPr>
                <w:rFonts w:hint="eastAsia"/>
                <w:lang w:val="en-US" w:eastAsia="zh-CN"/>
              </w:rPr>
              <w:t>辣椒</w:t>
            </w:r>
            <w:r>
              <w:rPr>
                <w:rFonts w:hint="default"/>
                <w:lang w:val="en-US" w:eastAsia="zh-CN"/>
              </w:rPr>
              <w:t>素/（mg/100</w:t>
            </w:r>
            <w:r>
              <w:rPr>
                <w:rFonts w:hint="default"/>
                <w:sz w:val="11"/>
                <w:szCs w:val="11"/>
                <w:lang w:val="en-US" w:eastAsia="zh-CN"/>
              </w:rPr>
              <w:t xml:space="preserve"> </w:t>
            </w:r>
            <w:r>
              <w:rPr>
                <w:rFonts w:hint="default"/>
                <w:lang w:val="en-US" w:eastAsia="zh-CN"/>
              </w:rPr>
              <w:t>g）</w:t>
            </w:r>
          </w:p>
        </w:tc>
        <w:tc>
          <w:tcPr>
            <w:tcW w:w="2500" w:type="pct"/>
            <w:vAlign w:val="center"/>
          </w:tcPr>
          <w:p w14:paraId="4A96FE8D">
            <w:pPr>
              <w:pStyle w:val="112"/>
              <w:widowControl w:val="0"/>
              <w:bidi w:val="0"/>
              <w:ind w:left="0" w:leftChars="0" w:firstLine="0" w:firstLineChars="0"/>
              <w:jc w:val="center"/>
              <w:rPr>
                <w:rFonts w:hint="default"/>
                <w:lang w:val="en-US" w:eastAsia="zh-CN"/>
              </w:rPr>
            </w:pPr>
            <w:r>
              <w:rPr>
                <w:rFonts w:hint="eastAsia"/>
                <w:lang w:val="en-US" w:eastAsia="zh-CN"/>
              </w:rPr>
              <w:t>≥</w:t>
            </w:r>
            <w:r>
              <w:rPr>
                <w:rFonts w:hint="eastAsia"/>
                <w:sz w:val="11"/>
                <w:szCs w:val="11"/>
                <w:lang w:val="en-US" w:eastAsia="zh-CN"/>
              </w:rPr>
              <w:t xml:space="preserve"> </w:t>
            </w:r>
            <w:r>
              <w:rPr>
                <w:rFonts w:hint="eastAsia"/>
                <w:lang w:val="en-US" w:eastAsia="zh-CN"/>
              </w:rPr>
              <w:t>0.05</w:t>
            </w:r>
          </w:p>
        </w:tc>
      </w:tr>
    </w:tbl>
    <w:p w14:paraId="48E9A156">
      <w:pPr>
        <w:pStyle w:val="73"/>
        <w:bidi w:val="0"/>
        <w:rPr>
          <w:rFonts w:hint="default"/>
          <w:lang w:val="en-US" w:eastAsia="zh-CN"/>
        </w:rPr>
      </w:pPr>
      <w:r>
        <w:rPr>
          <w:rFonts w:hint="eastAsia"/>
          <w:lang w:val="en-US" w:eastAsia="zh-CN"/>
        </w:rPr>
        <w:t>检验方法</w:t>
      </w:r>
    </w:p>
    <w:p w14:paraId="43E05345">
      <w:pPr>
        <w:pStyle w:val="74"/>
        <w:bidi w:val="0"/>
        <w:rPr>
          <w:rFonts w:hint="default"/>
          <w:lang w:val="en-US" w:eastAsia="zh-CN"/>
        </w:rPr>
      </w:pPr>
      <w:r>
        <w:rPr>
          <w:rFonts w:hint="eastAsia"/>
          <w:lang w:val="en-US" w:eastAsia="zh-CN"/>
        </w:rPr>
        <w:t>感官检验</w:t>
      </w:r>
    </w:p>
    <w:p w14:paraId="226CC9E6">
      <w:pPr>
        <w:pStyle w:val="25"/>
        <w:rPr>
          <w:rFonts w:hint="default"/>
          <w:lang w:val="en-US" w:eastAsia="zh-CN"/>
        </w:rPr>
      </w:pPr>
      <w:r>
        <w:rPr>
          <w:rFonts w:hint="default"/>
          <w:lang w:val="en-US" w:eastAsia="zh-CN"/>
        </w:rPr>
        <w:t>自然光线下目测形态、色泽、果面状况，手触质地，口尝风味，测量果径、果长、果肉厚度、单果重。</w:t>
      </w:r>
    </w:p>
    <w:p w14:paraId="58A0C68A">
      <w:pPr>
        <w:pStyle w:val="74"/>
        <w:bidi w:val="0"/>
        <w:rPr>
          <w:rFonts w:hint="default"/>
          <w:lang w:val="en-US" w:eastAsia="zh-CN"/>
        </w:rPr>
      </w:pPr>
      <w:r>
        <w:rPr>
          <w:rFonts w:hint="eastAsia"/>
          <w:lang w:val="en-US" w:eastAsia="zh-CN"/>
        </w:rPr>
        <w:t>理化检验</w:t>
      </w:r>
    </w:p>
    <w:p w14:paraId="4A11451F">
      <w:pPr>
        <w:pStyle w:val="25"/>
        <w:rPr>
          <w:rFonts w:hint="eastAsia"/>
          <w:lang w:val="en-US" w:eastAsia="zh-CN"/>
        </w:rPr>
      </w:pPr>
      <w:r>
        <w:rPr>
          <w:rFonts w:hint="eastAsia"/>
          <w:lang w:val="en-US" w:eastAsia="zh-CN"/>
        </w:rPr>
        <w:t>检验方法按表3执行。</w:t>
      </w:r>
    </w:p>
    <w:p w14:paraId="4C49E5D2">
      <w:pPr>
        <w:pStyle w:val="114"/>
        <w:bidi w:val="0"/>
        <w:rPr>
          <w:rFonts w:hint="default"/>
          <w:lang w:val="en-US" w:eastAsia="zh-CN"/>
        </w:rPr>
      </w:pPr>
      <w:r>
        <w:rPr>
          <w:rFonts w:hint="eastAsia"/>
          <w:lang w:val="en-US" w:eastAsia="zh-CN"/>
        </w:rPr>
        <w:t>理化检验</w:t>
      </w:r>
    </w:p>
    <w:tbl>
      <w:tblPr>
        <w:tblStyle w:val="21"/>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704"/>
        <w:gridCol w:w="4866"/>
      </w:tblGrid>
      <w:tr w14:paraId="380F9F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2457" w:type="pct"/>
            <w:tcBorders>
              <w:bottom w:val="single" w:color="auto" w:sz="8" w:space="0"/>
            </w:tcBorders>
            <w:vAlign w:val="center"/>
          </w:tcPr>
          <w:p w14:paraId="03E46A60">
            <w:pPr>
              <w:pStyle w:val="112"/>
              <w:widowControl w:val="0"/>
              <w:bidi w:val="0"/>
              <w:ind w:left="0" w:leftChars="0" w:firstLine="0" w:firstLineChars="0"/>
              <w:jc w:val="center"/>
              <w:rPr>
                <w:rFonts w:hint="default"/>
                <w:lang w:val="en-US" w:eastAsia="zh-CN"/>
              </w:rPr>
            </w:pPr>
            <w:r>
              <w:rPr>
                <w:rFonts w:hint="eastAsia"/>
                <w:lang w:val="en-US" w:eastAsia="zh-CN"/>
              </w:rPr>
              <w:t>项目</w:t>
            </w:r>
          </w:p>
        </w:tc>
        <w:tc>
          <w:tcPr>
            <w:tcW w:w="2542" w:type="pct"/>
            <w:tcBorders>
              <w:bottom w:val="single" w:color="auto" w:sz="8" w:space="0"/>
            </w:tcBorders>
            <w:vAlign w:val="center"/>
          </w:tcPr>
          <w:p w14:paraId="43615E8D">
            <w:pPr>
              <w:pStyle w:val="112"/>
              <w:widowControl w:val="0"/>
              <w:bidi w:val="0"/>
              <w:ind w:left="0" w:leftChars="0" w:firstLine="0" w:firstLineChars="0"/>
              <w:jc w:val="center"/>
              <w:rPr>
                <w:rFonts w:hint="default"/>
                <w:lang w:val="en-US" w:eastAsia="zh-CN"/>
              </w:rPr>
            </w:pPr>
            <w:r>
              <w:rPr>
                <w:rFonts w:hint="eastAsia"/>
                <w:lang w:val="en-US" w:eastAsia="zh-CN"/>
              </w:rPr>
              <w:t>检验方法</w:t>
            </w:r>
          </w:p>
        </w:tc>
      </w:tr>
      <w:tr w14:paraId="502A31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2457" w:type="pct"/>
            <w:tcBorders>
              <w:top w:val="single" w:color="auto" w:sz="8" w:space="0"/>
            </w:tcBorders>
            <w:vAlign w:val="center"/>
          </w:tcPr>
          <w:p w14:paraId="77F67103">
            <w:pPr>
              <w:pStyle w:val="112"/>
              <w:widowControl w:val="0"/>
              <w:bidi w:val="0"/>
              <w:ind w:left="0" w:leftChars="0" w:firstLine="0" w:firstLineChars="0"/>
              <w:jc w:val="center"/>
              <w:rPr>
                <w:rFonts w:hint="default"/>
                <w:lang w:val="en-US" w:eastAsia="zh-CN"/>
              </w:rPr>
            </w:pPr>
            <w:r>
              <w:rPr>
                <w:rFonts w:hint="eastAsia"/>
                <w:lang w:val="en-US" w:eastAsia="zh-CN"/>
              </w:rPr>
              <w:t>维生素C</w:t>
            </w:r>
          </w:p>
        </w:tc>
        <w:tc>
          <w:tcPr>
            <w:tcW w:w="2542" w:type="pct"/>
            <w:tcBorders>
              <w:top w:val="single" w:color="auto" w:sz="8" w:space="0"/>
            </w:tcBorders>
            <w:vAlign w:val="center"/>
          </w:tcPr>
          <w:p w14:paraId="6B55A82A">
            <w:pPr>
              <w:pStyle w:val="112"/>
              <w:widowControl w:val="0"/>
              <w:bidi w:val="0"/>
              <w:ind w:left="0" w:leftChars="0" w:firstLine="0" w:firstLineChars="0"/>
              <w:jc w:val="center"/>
              <w:rPr>
                <w:rFonts w:hint="default"/>
                <w:lang w:val="en-US" w:eastAsia="zh-CN"/>
              </w:rPr>
            </w:pPr>
            <w:r>
              <w:rPr>
                <w:rFonts w:hint="default"/>
                <w:lang w:val="en-US" w:eastAsia="zh-CN"/>
              </w:rPr>
              <w:t>按GB 5009.86执行</w:t>
            </w:r>
          </w:p>
        </w:tc>
      </w:tr>
      <w:tr w14:paraId="77A036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2457" w:type="pct"/>
            <w:vAlign w:val="center"/>
          </w:tcPr>
          <w:p w14:paraId="0D3AABFA">
            <w:pPr>
              <w:pStyle w:val="112"/>
              <w:widowControl w:val="0"/>
              <w:bidi w:val="0"/>
              <w:ind w:left="0" w:leftChars="0" w:firstLine="0" w:firstLineChars="0"/>
              <w:jc w:val="center"/>
              <w:rPr>
                <w:rFonts w:hint="default"/>
                <w:lang w:val="en-US" w:eastAsia="zh-CN"/>
              </w:rPr>
            </w:pPr>
            <w:r>
              <w:rPr>
                <w:rFonts w:hint="eastAsia"/>
                <w:lang w:val="en-US" w:eastAsia="zh-CN"/>
              </w:rPr>
              <w:t>可溶性糖</w:t>
            </w:r>
          </w:p>
        </w:tc>
        <w:tc>
          <w:tcPr>
            <w:tcW w:w="2542" w:type="pct"/>
            <w:vAlign w:val="center"/>
          </w:tcPr>
          <w:p w14:paraId="43D81BF3">
            <w:pPr>
              <w:pStyle w:val="112"/>
              <w:widowControl w:val="0"/>
              <w:bidi w:val="0"/>
              <w:ind w:left="0" w:leftChars="0" w:firstLine="0" w:firstLineChars="0"/>
              <w:jc w:val="center"/>
              <w:rPr>
                <w:rFonts w:hint="default"/>
                <w:lang w:val="en-US" w:eastAsia="zh-CN"/>
              </w:rPr>
            </w:pPr>
            <w:r>
              <w:rPr>
                <w:rFonts w:hint="default"/>
                <w:lang w:val="en-US" w:eastAsia="zh-CN"/>
              </w:rPr>
              <w:t>按GB 5009.</w:t>
            </w:r>
            <w:r>
              <w:rPr>
                <w:rFonts w:hint="eastAsia"/>
                <w:lang w:val="en-US" w:eastAsia="zh-CN"/>
              </w:rPr>
              <w:t>7</w:t>
            </w:r>
            <w:r>
              <w:rPr>
                <w:rFonts w:hint="default"/>
                <w:lang w:val="en-US" w:eastAsia="zh-CN"/>
              </w:rPr>
              <w:t>执行</w:t>
            </w:r>
          </w:p>
        </w:tc>
      </w:tr>
      <w:tr w14:paraId="53CF5A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2457" w:type="pct"/>
            <w:vAlign w:val="center"/>
          </w:tcPr>
          <w:p w14:paraId="395B2C02">
            <w:pPr>
              <w:pStyle w:val="112"/>
              <w:widowControl w:val="0"/>
              <w:bidi w:val="0"/>
              <w:ind w:left="0" w:leftChars="0" w:firstLine="0" w:firstLineChars="0"/>
              <w:jc w:val="center"/>
              <w:rPr>
                <w:rFonts w:hint="default"/>
                <w:lang w:val="en-US" w:eastAsia="zh-CN"/>
              </w:rPr>
            </w:pPr>
            <w:r>
              <w:rPr>
                <w:rFonts w:hint="eastAsia"/>
                <w:lang w:val="en-US" w:eastAsia="zh-CN"/>
              </w:rPr>
              <w:t>干物质</w:t>
            </w:r>
          </w:p>
        </w:tc>
        <w:tc>
          <w:tcPr>
            <w:tcW w:w="2542" w:type="pct"/>
            <w:vAlign w:val="center"/>
          </w:tcPr>
          <w:p w14:paraId="22435D81">
            <w:pPr>
              <w:pStyle w:val="112"/>
              <w:widowControl w:val="0"/>
              <w:bidi w:val="0"/>
              <w:ind w:left="0" w:leftChars="0" w:firstLine="0" w:firstLineChars="0"/>
              <w:jc w:val="center"/>
              <w:rPr>
                <w:rFonts w:hint="default"/>
                <w:lang w:val="en-US" w:eastAsia="zh-CN"/>
              </w:rPr>
            </w:pPr>
            <w:r>
              <w:rPr>
                <w:rFonts w:hint="default"/>
                <w:lang w:val="en-US" w:eastAsia="zh-CN"/>
              </w:rPr>
              <w:t>按GB 5009.</w:t>
            </w:r>
            <w:r>
              <w:rPr>
                <w:rFonts w:hint="eastAsia"/>
                <w:lang w:val="en-US" w:eastAsia="zh-CN"/>
              </w:rPr>
              <w:t>3</w:t>
            </w:r>
            <w:r>
              <w:rPr>
                <w:rFonts w:hint="default"/>
                <w:lang w:val="en-US" w:eastAsia="zh-CN"/>
              </w:rPr>
              <w:t>执行</w:t>
            </w:r>
          </w:p>
        </w:tc>
      </w:tr>
      <w:tr w14:paraId="4E40EF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2457" w:type="pct"/>
            <w:vAlign w:val="center"/>
          </w:tcPr>
          <w:p w14:paraId="4DC9A7BF">
            <w:pPr>
              <w:pStyle w:val="112"/>
              <w:widowControl w:val="0"/>
              <w:bidi w:val="0"/>
              <w:ind w:left="0" w:leftChars="0" w:firstLine="0" w:firstLineChars="0"/>
              <w:jc w:val="center"/>
              <w:rPr>
                <w:rFonts w:hint="default"/>
                <w:lang w:val="en-US" w:eastAsia="zh-CN"/>
              </w:rPr>
            </w:pPr>
            <w:r>
              <w:rPr>
                <w:rFonts w:hint="eastAsia"/>
                <w:lang w:val="en-US" w:eastAsia="zh-CN"/>
              </w:rPr>
              <w:t>辣椒素</w:t>
            </w:r>
          </w:p>
        </w:tc>
        <w:tc>
          <w:tcPr>
            <w:tcW w:w="2542" w:type="pct"/>
            <w:vAlign w:val="center"/>
          </w:tcPr>
          <w:p w14:paraId="0772ED91">
            <w:pPr>
              <w:pStyle w:val="112"/>
              <w:widowControl w:val="0"/>
              <w:bidi w:val="0"/>
              <w:ind w:left="0" w:leftChars="0" w:firstLine="0" w:firstLineChars="0"/>
              <w:jc w:val="center"/>
              <w:rPr>
                <w:rFonts w:hint="default"/>
                <w:lang w:val="en-US" w:eastAsia="zh-CN"/>
              </w:rPr>
            </w:pPr>
            <w:r>
              <w:rPr>
                <w:rFonts w:hint="default"/>
                <w:lang w:val="en-US" w:eastAsia="zh-CN"/>
              </w:rPr>
              <w:t>按GB/T 21266执行</w:t>
            </w:r>
          </w:p>
        </w:tc>
      </w:tr>
    </w:tbl>
    <w:p w14:paraId="38C97501">
      <w:pPr>
        <w:pStyle w:val="73"/>
        <w:bidi w:val="0"/>
        <w:rPr>
          <w:rFonts w:hint="default"/>
          <w:lang w:val="en-US" w:eastAsia="zh-CN"/>
        </w:rPr>
      </w:pPr>
      <w:r>
        <w:rPr>
          <w:rFonts w:hint="eastAsia"/>
          <w:lang w:val="en-US" w:eastAsia="zh-CN"/>
        </w:rPr>
        <w:t>检验规则</w:t>
      </w:r>
    </w:p>
    <w:p w14:paraId="48214AA0">
      <w:pPr>
        <w:pStyle w:val="74"/>
        <w:bidi w:val="0"/>
        <w:rPr>
          <w:rFonts w:hint="default"/>
          <w:lang w:val="en-US" w:eastAsia="zh-CN"/>
        </w:rPr>
      </w:pPr>
      <w:r>
        <w:rPr>
          <w:rFonts w:hint="eastAsia"/>
          <w:lang w:val="en-US" w:eastAsia="zh-CN"/>
        </w:rPr>
        <w:t>组批</w:t>
      </w:r>
    </w:p>
    <w:p w14:paraId="1C1DC416">
      <w:pPr>
        <w:pStyle w:val="25"/>
        <w:rPr>
          <w:rFonts w:hint="default"/>
          <w:lang w:val="en-US" w:eastAsia="zh-CN"/>
        </w:rPr>
      </w:pPr>
      <w:r>
        <w:rPr>
          <w:rFonts w:hint="default"/>
          <w:lang w:val="en-US" w:eastAsia="zh-CN"/>
        </w:rPr>
        <w:t>同一产地、同一品种、同一批次、同期采收、同一规格的产品为一个检验批次。</w:t>
      </w:r>
    </w:p>
    <w:p w14:paraId="1D30AD37">
      <w:pPr>
        <w:pStyle w:val="74"/>
        <w:bidi w:val="0"/>
        <w:rPr>
          <w:rFonts w:hint="default"/>
          <w:lang w:val="en-US" w:eastAsia="zh-CN"/>
        </w:rPr>
      </w:pPr>
      <w:r>
        <w:rPr>
          <w:rFonts w:hint="eastAsia"/>
          <w:lang w:val="en-US" w:eastAsia="zh-CN"/>
        </w:rPr>
        <w:t>抽样</w:t>
      </w:r>
    </w:p>
    <w:p w14:paraId="1E149115">
      <w:pPr>
        <w:pStyle w:val="25"/>
        <w:rPr>
          <w:rFonts w:hint="default"/>
          <w:lang w:val="en-US" w:eastAsia="zh-CN"/>
        </w:rPr>
      </w:pPr>
      <w:r>
        <w:rPr>
          <w:rFonts w:hint="default"/>
          <w:lang w:val="en-US" w:eastAsia="zh-CN"/>
        </w:rPr>
        <w:t xml:space="preserve">按NY/T </w:t>
      </w:r>
      <w:r>
        <w:rPr>
          <w:rFonts w:hint="eastAsia"/>
          <w:lang w:val="en-US" w:eastAsia="zh-CN"/>
        </w:rPr>
        <w:t>944</w:t>
      </w:r>
      <w:r>
        <w:rPr>
          <w:rFonts w:hint="default"/>
          <w:lang w:val="en-US" w:eastAsia="zh-CN"/>
        </w:rPr>
        <w:t>规定执行，随机抽样，抽样量满足检验需求。</w:t>
      </w:r>
    </w:p>
    <w:p w14:paraId="22859A5F">
      <w:pPr>
        <w:pStyle w:val="74"/>
        <w:bidi w:val="0"/>
        <w:rPr>
          <w:rFonts w:hint="default"/>
          <w:lang w:val="en-US" w:eastAsia="zh-CN"/>
        </w:rPr>
      </w:pPr>
      <w:r>
        <w:rPr>
          <w:rFonts w:hint="eastAsia"/>
          <w:lang w:val="en-US" w:eastAsia="zh-CN"/>
        </w:rPr>
        <w:t>检验分类</w:t>
      </w:r>
    </w:p>
    <w:p w14:paraId="340C8FD6">
      <w:pPr>
        <w:pStyle w:val="75"/>
        <w:bidi w:val="0"/>
        <w:rPr>
          <w:rFonts w:hint="default"/>
          <w:lang w:val="en-US" w:eastAsia="zh-CN"/>
        </w:rPr>
      </w:pPr>
      <w:r>
        <w:rPr>
          <w:rFonts w:hint="eastAsia"/>
          <w:lang w:val="en-US" w:eastAsia="zh-CN"/>
        </w:rPr>
        <w:t>出厂检验</w:t>
      </w:r>
    </w:p>
    <w:p w14:paraId="061A87E8">
      <w:pPr>
        <w:pStyle w:val="80"/>
        <w:numPr>
          <w:ilvl w:val="2"/>
          <w:numId w:val="0"/>
        </w:numPr>
        <w:bidi w:val="0"/>
        <w:spacing w:before="0" w:beforeLines="0" w:after="0" w:afterLines="0"/>
        <w:ind w:leftChars="0" w:firstLine="420" w:firstLineChars="200"/>
        <w:rPr>
          <w:rFonts w:hint="eastAsia"/>
          <w:lang w:val="en-US" w:eastAsia="zh-CN"/>
        </w:rPr>
      </w:pPr>
      <w:r>
        <w:rPr>
          <w:rFonts w:hint="default"/>
          <w:lang w:val="en-US" w:eastAsia="zh-CN"/>
        </w:rPr>
        <w:t>出厂检验</w:t>
      </w:r>
      <w:r>
        <w:rPr>
          <w:rFonts w:hint="eastAsia"/>
          <w:lang w:val="en-US" w:eastAsia="zh-CN"/>
        </w:rPr>
        <w:t>为</w:t>
      </w:r>
      <w:r>
        <w:rPr>
          <w:rFonts w:hint="default"/>
          <w:lang w:val="en-US" w:eastAsia="zh-CN"/>
        </w:rPr>
        <w:t>每批必检，项目为感官要求、净含量</w:t>
      </w:r>
      <w:r>
        <w:rPr>
          <w:rFonts w:hint="eastAsia"/>
          <w:lang w:val="en-US" w:eastAsia="zh-CN"/>
        </w:rPr>
        <w:t>。</w:t>
      </w:r>
    </w:p>
    <w:p w14:paraId="186D807D">
      <w:pPr>
        <w:pStyle w:val="75"/>
        <w:bidi w:val="0"/>
        <w:rPr>
          <w:rFonts w:hint="default"/>
          <w:lang w:val="en-US" w:eastAsia="zh-CN"/>
        </w:rPr>
      </w:pPr>
      <w:r>
        <w:rPr>
          <w:rFonts w:hint="eastAsia"/>
          <w:lang w:val="en-US" w:eastAsia="zh-CN"/>
        </w:rPr>
        <w:t>型式检验</w:t>
      </w:r>
    </w:p>
    <w:p w14:paraId="008FF42D">
      <w:pPr>
        <w:pStyle w:val="80"/>
        <w:keepNext w:val="0"/>
        <w:keepLines w:val="0"/>
        <w:pageBreakBefore w:val="0"/>
        <w:widowControl/>
        <w:numPr>
          <w:ilvl w:val="2"/>
          <w:numId w:val="0"/>
        </w:numPr>
        <w:kinsoku/>
        <w:wordWrap/>
        <w:overflowPunct/>
        <w:topLinePunct w:val="0"/>
        <w:autoSpaceDE/>
        <w:autoSpaceDN/>
        <w:bidi w:val="0"/>
        <w:adjustRightInd/>
        <w:snapToGrid/>
        <w:spacing w:before="0" w:beforeLines="0" w:after="0" w:afterLines="0"/>
        <w:ind w:leftChars="0" w:firstLine="420" w:firstLineChars="200"/>
        <w:textAlignment w:val="auto"/>
        <w:rPr>
          <w:rFonts w:hint="default"/>
          <w:lang w:val="en-US" w:eastAsia="zh-CN"/>
        </w:rPr>
      </w:pPr>
      <w:r>
        <w:rPr>
          <w:rFonts w:hint="eastAsia"/>
          <w:lang w:val="en-US" w:eastAsia="zh-CN"/>
        </w:rPr>
        <w:t>型式检验</w:t>
      </w:r>
      <w:r>
        <w:rPr>
          <w:rFonts w:hint="default"/>
          <w:lang w:val="en-US" w:eastAsia="zh-CN"/>
        </w:rPr>
        <w:t>项目为本文件7.1</w:t>
      </w:r>
      <w:r>
        <w:rPr>
          <w:rFonts w:hint="eastAsia"/>
          <w:lang w:val="en-US" w:eastAsia="zh-CN"/>
        </w:rPr>
        <w:t>-</w:t>
      </w:r>
      <w:r>
        <w:rPr>
          <w:rFonts w:hint="default"/>
          <w:lang w:val="en-US" w:eastAsia="zh-CN"/>
        </w:rPr>
        <w:t>7.3全部要求</w:t>
      </w:r>
      <w:r>
        <w:rPr>
          <w:rFonts w:hint="eastAsia"/>
          <w:lang w:val="en-US" w:eastAsia="zh-CN"/>
        </w:rPr>
        <w:t>的项目，</w:t>
      </w:r>
      <w:r>
        <w:rPr>
          <w:rFonts w:hint="default"/>
          <w:lang w:val="en-US" w:eastAsia="zh-CN"/>
        </w:rPr>
        <w:t>正常生产每6个月</w:t>
      </w:r>
      <w:r>
        <w:rPr>
          <w:rFonts w:hint="eastAsia"/>
          <w:lang w:val="en-US" w:eastAsia="zh-CN"/>
        </w:rPr>
        <w:t>一次。有下列情况之一的，</w:t>
      </w:r>
      <w:r>
        <w:rPr>
          <w:rFonts w:hint="default"/>
          <w:lang w:val="en-US" w:eastAsia="zh-CN"/>
        </w:rPr>
        <w:t>进行</w:t>
      </w:r>
      <w:r>
        <w:rPr>
          <w:rFonts w:hint="eastAsia"/>
          <w:lang w:val="en-US" w:eastAsia="zh-CN"/>
        </w:rPr>
        <w:t>型式检验：</w:t>
      </w:r>
    </w:p>
    <w:p w14:paraId="6A052A90">
      <w:pPr>
        <w:pStyle w:val="61"/>
        <w:numPr>
          <w:ilvl w:val="0"/>
          <w:numId w:val="18"/>
        </w:numPr>
        <w:bidi w:val="0"/>
        <w:ind w:left="851" w:leftChars="0" w:hanging="426" w:firstLineChars="0"/>
        <w:rPr>
          <w:rFonts w:hint="default"/>
          <w:lang w:val="en-US" w:eastAsia="zh-CN"/>
        </w:rPr>
      </w:pPr>
      <w:r>
        <w:rPr>
          <w:rFonts w:hint="default"/>
          <w:lang w:val="en-US" w:eastAsia="zh-CN"/>
        </w:rPr>
        <w:t>原料有较大改变,可能影响产品质量时</w:t>
      </w:r>
      <w:r>
        <w:rPr>
          <w:rFonts w:hint="eastAsia"/>
          <w:lang w:val="en-US" w:eastAsia="zh-CN"/>
        </w:rPr>
        <w:t>；</w:t>
      </w:r>
    </w:p>
    <w:p w14:paraId="4FECCDB0">
      <w:pPr>
        <w:pStyle w:val="61"/>
        <w:numPr>
          <w:ilvl w:val="0"/>
          <w:numId w:val="18"/>
        </w:numPr>
        <w:bidi w:val="0"/>
        <w:ind w:left="851" w:leftChars="0" w:hanging="426" w:firstLineChars="0"/>
        <w:rPr>
          <w:rFonts w:hint="default"/>
          <w:lang w:val="en-US" w:eastAsia="zh-CN"/>
        </w:rPr>
      </w:pPr>
      <w:r>
        <w:rPr>
          <w:rFonts w:hint="default"/>
          <w:lang w:val="en-US" w:eastAsia="zh-CN"/>
        </w:rPr>
        <w:t>生产工艺、设备等有较大改变,可能影响产品质量时</w:t>
      </w:r>
      <w:r>
        <w:rPr>
          <w:rFonts w:hint="eastAsia"/>
          <w:lang w:val="en-US" w:eastAsia="zh-CN"/>
        </w:rPr>
        <w:t>；</w:t>
      </w:r>
    </w:p>
    <w:p w14:paraId="532F1C4C">
      <w:pPr>
        <w:pStyle w:val="61"/>
        <w:numPr>
          <w:ilvl w:val="0"/>
          <w:numId w:val="18"/>
        </w:numPr>
        <w:bidi w:val="0"/>
        <w:ind w:left="851" w:leftChars="0" w:hanging="426" w:firstLineChars="0"/>
        <w:rPr>
          <w:rFonts w:hint="default"/>
          <w:lang w:val="en-US" w:eastAsia="zh-CN"/>
        </w:rPr>
      </w:pPr>
      <w:r>
        <w:rPr>
          <w:rFonts w:hint="default"/>
          <w:lang w:val="en-US" w:eastAsia="zh-CN"/>
        </w:rPr>
        <w:t>出厂检验结果与上次型式检验有较大差别时</w:t>
      </w:r>
      <w:r>
        <w:rPr>
          <w:rFonts w:hint="eastAsia"/>
          <w:lang w:val="en-US" w:eastAsia="zh-CN"/>
        </w:rPr>
        <w:t>；</w:t>
      </w:r>
    </w:p>
    <w:p w14:paraId="4B63A064">
      <w:pPr>
        <w:pStyle w:val="61"/>
        <w:numPr>
          <w:ilvl w:val="0"/>
          <w:numId w:val="18"/>
        </w:numPr>
        <w:bidi w:val="0"/>
        <w:rPr>
          <w:rFonts w:hint="default"/>
          <w:lang w:val="en-US" w:eastAsia="zh-CN"/>
        </w:rPr>
      </w:pPr>
      <w:r>
        <w:rPr>
          <w:rFonts w:hint="default"/>
          <w:lang w:val="en-US" w:eastAsia="zh-CN"/>
        </w:rPr>
        <w:t>国家相关部门提出型式检验要求时</w:t>
      </w:r>
      <w:r>
        <w:rPr>
          <w:rFonts w:hint="eastAsia"/>
          <w:lang w:val="en-US" w:eastAsia="zh-CN"/>
        </w:rPr>
        <w:t>。</w:t>
      </w:r>
    </w:p>
    <w:p w14:paraId="79CFBB7B">
      <w:pPr>
        <w:pStyle w:val="74"/>
        <w:bidi w:val="0"/>
        <w:rPr>
          <w:rFonts w:hint="default"/>
          <w:lang w:val="en-US" w:eastAsia="zh-CN"/>
        </w:rPr>
      </w:pPr>
      <w:r>
        <w:rPr>
          <w:rFonts w:hint="eastAsia"/>
          <w:lang w:val="en-US" w:eastAsia="zh-CN"/>
        </w:rPr>
        <w:t>判定规则</w:t>
      </w:r>
    </w:p>
    <w:p w14:paraId="0835FFA4">
      <w:pPr>
        <w:pStyle w:val="80"/>
        <w:bidi w:val="0"/>
        <w:spacing w:before="0" w:beforeLines="0" w:after="0" w:afterLines="0"/>
        <w:rPr>
          <w:rFonts w:hint="default"/>
          <w:lang w:val="en-US" w:eastAsia="zh-CN"/>
        </w:rPr>
      </w:pPr>
      <w:r>
        <w:rPr>
          <w:rFonts w:hint="default"/>
          <w:lang w:val="en-US" w:eastAsia="zh-CN"/>
        </w:rPr>
        <w:t>感官指标、理化指标和净含量的每个项目均符合本文件要求,则判定该批产品合格。</w:t>
      </w:r>
    </w:p>
    <w:p w14:paraId="2624CFD9">
      <w:pPr>
        <w:pStyle w:val="80"/>
        <w:bidi w:val="0"/>
        <w:spacing w:before="0" w:beforeLines="0" w:after="0" w:afterLines="0"/>
        <w:rPr>
          <w:rFonts w:hint="default"/>
          <w:lang w:val="en-US" w:eastAsia="zh-CN"/>
        </w:rPr>
      </w:pPr>
      <w:r>
        <w:rPr>
          <w:rFonts w:hint="default"/>
          <w:lang w:val="en-US" w:eastAsia="zh-CN"/>
        </w:rPr>
        <w:t>感官指标、理化指标和净含量任一项目首检不符合本文件要求时,可用复检样对不符合的项目 进行复检。若复检结果符合本文件要求,则判定该批产品合格。若复检结果有任一个项目不符合本文件要求,则判定该批产品不合格。</w:t>
      </w:r>
    </w:p>
    <w:p w14:paraId="0A23E5FE">
      <w:pPr>
        <w:pStyle w:val="80"/>
        <w:bidi w:val="0"/>
        <w:spacing w:before="0" w:beforeLines="0" w:after="0" w:afterLines="0"/>
        <w:rPr>
          <w:rFonts w:hint="default"/>
          <w:lang w:val="en-US" w:eastAsia="zh-CN"/>
        </w:rPr>
      </w:pPr>
      <w:r>
        <w:rPr>
          <w:rFonts w:hint="default"/>
          <w:lang w:val="en-US" w:eastAsia="zh-CN"/>
        </w:rPr>
        <w:t>对检验结果有争议时,应依法选定检验机构,用复检样对所争议的项目进行复检,以复检结果为准。</w:t>
      </w:r>
    </w:p>
    <w:p w14:paraId="3CD7185C">
      <w:pPr>
        <w:pStyle w:val="73"/>
        <w:bidi w:val="0"/>
        <w:rPr>
          <w:rFonts w:hint="default"/>
          <w:lang w:val="en-US" w:eastAsia="zh-CN"/>
        </w:rPr>
      </w:pPr>
      <w:r>
        <w:rPr>
          <w:rFonts w:hint="eastAsia"/>
          <w:lang w:val="en-US" w:eastAsia="zh-CN"/>
        </w:rPr>
        <w:t>标签标识</w:t>
      </w:r>
    </w:p>
    <w:p w14:paraId="62A04B12">
      <w:pPr>
        <w:pStyle w:val="79"/>
        <w:bidi w:val="0"/>
        <w:spacing w:before="0" w:beforeLines="0" w:after="0" w:afterLines="0"/>
        <w:rPr>
          <w:rFonts w:hint="eastAsia"/>
          <w:lang w:val="en-US" w:eastAsia="zh-CN"/>
        </w:rPr>
      </w:pPr>
      <w:r>
        <w:rPr>
          <w:rFonts w:hint="default"/>
          <w:lang w:val="en-US" w:eastAsia="zh-CN"/>
        </w:rPr>
        <w:t>符合本文件要求的产品方可在产品标签或包装物上标注地理标志产品乐都长辣椒及本文件编号，并同时使用经国务院知识产权行政管理部门核准公告的地理标志专用标志。</w:t>
      </w:r>
    </w:p>
    <w:p w14:paraId="503D34AD">
      <w:pPr>
        <w:pStyle w:val="79"/>
        <w:bidi w:val="0"/>
        <w:spacing w:before="0" w:beforeLines="0" w:after="0" w:afterLines="0"/>
        <w:rPr>
          <w:rFonts w:hint="default"/>
          <w:lang w:val="en-US" w:eastAsia="zh-CN"/>
        </w:rPr>
      </w:pPr>
      <w:r>
        <w:rPr>
          <w:rFonts w:hint="default"/>
          <w:lang w:val="en-US" w:eastAsia="zh-CN"/>
        </w:rPr>
        <w:t>产品的包装储运图示标志应符合GB/T</w:t>
      </w:r>
      <w:r>
        <w:rPr>
          <w:rFonts w:hint="eastAsia"/>
          <w:lang w:val="en-US" w:eastAsia="zh-CN"/>
        </w:rPr>
        <w:t xml:space="preserve"> </w:t>
      </w:r>
      <w:r>
        <w:rPr>
          <w:rFonts w:hint="default"/>
          <w:lang w:val="en-US" w:eastAsia="zh-CN"/>
        </w:rPr>
        <w:t>191的规定。</w:t>
      </w:r>
    </w:p>
    <w:p w14:paraId="5DF3188C">
      <w:pPr>
        <w:pStyle w:val="79"/>
        <w:bidi w:val="0"/>
        <w:spacing w:before="0" w:beforeLines="0" w:after="0" w:afterLines="0"/>
        <w:rPr>
          <w:rFonts w:hint="default"/>
          <w:lang w:val="en-US" w:eastAsia="zh-CN"/>
        </w:rPr>
      </w:pPr>
      <w:r>
        <w:rPr>
          <w:rFonts w:hint="eastAsia"/>
          <w:lang w:val="en-US" w:eastAsia="zh-CN"/>
        </w:rPr>
        <w:t>产品标签应符合GB/T 7718的规定。</w:t>
      </w:r>
      <w:r>
        <w:rPr>
          <w:rFonts w:hint="default"/>
          <w:lang w:val="en-US" w:eastAsia="zh-CN"/>
        </w:rPr>
        <w:t>标签应清晰标注：产品名称、产地范围、质量等级、生产日期、保质期、生产者名称及地址、产品标准编号、地理标志专用标志。</w:t>
      </w:r>
    </w:p>
    <w:p w14:paraId="47DB248D">
      <w:pPr>
        <w:pStyle w:val="73"/>
        <w:bidi w:val="0"/>
        <w:rPr>
          <w:rFonts w:hint="default"/>
          <w:lang w:val="en-US" w:eastAsia="zh-CN"/>
        </w:rPr>
      </w:pPr>
      <w:r>
        <w:rPr>
          <w:rFonts w:hint="eastAsia"/>
          <w:lang w:val="en-US" w:eastAsia="zh-CN"/>
        </w:rPr>
        <w:t>包装、运输和贮存</w:t>
      </w:r>
    </w:p>
    <w:p w14:paraId="5D124CB3">
      <w:pPr>
        <w:pStyle w:val="74"/>
        <w:bidi w:val="0"/>
        <w:rPr>
          <w:rFonts w:hint="default"/>
          <w:lang w:val="en-US" w:eastAsia="zh-CN"/>
        </w:rPr>
      </w:pPr>
      <w:r>
        <w:rPr>
          <w:rFonts w:hint="eastAsia"/>
          <w:lang w:val="en-US" w:eastAsia="zh-CN"/>
        </w:rPr>
        <w:t>包装</w:t>
      </w:r>
    </w:p>
    <w:p w14:paraId="0DD50967">
      <w:pPr>
        <w:pStyle w:val="25"/>
        <w:rPr>
          <w:rFonts w:hint="default"/>
          <w:lang w:val="en-US" w:eastAsia="zh-CN"/>
        </w:rPr>
      </w:pPr>
      <w:r>
        <w:rPr>
          <w:rFonts w:hint="default"/>
          <w:lang w:val="en-US" w:eastAsia="zh-CN"/>
        </w:rPr>
        <w:t>乐都长辣椒可选用塑料网袋、纸箱、尼龙网袋及其它包装材料进行包装，选用的包装容器应按产品的大小规格设计，同一规格应大小一致、整洁、干燥、牢固、透气、美观、无污染、无异味；纸箱无受潮、离层现象，便于搬运，装卸，贮藏和运输等。</w:t>
      </w:r>
    </w:p>
    <w:p w14:paraId="05593190">
      <w:pPr>
        <w:pStyle w:val="74"/>
        <w:bidi w:val="0"/>
        <w:rPr>
          <w:rFonts w:hint="default"/>
          <w:lang w:val="en-US" w:eastAsia="zh-CN"/>
        </w:rPr>
      </w:pPr>
      <w:r>
        <w:rPr>
          <w:rFonts w:hint="eastAsia"/>
          <w:lang w:val="en-US" w:eastAsia="zh-CN"/>
        </w:rPr>
        <w:t>运输</w:t>
      </w:r>
    </w:p>
    <w:p w14:paraId="6C008D28">
      <w:pPr>
        <w:pStyle w:val="25"/>
        <w:rPr>
          <w:rFonts w:hint="default"/>
          <w:lang w:val="en-US" w:eastAsia="zh-CN"/>
        </w:rPr>
      </w:pPr>
      <w:r>
        <w:rPr>
          <w:rFonts w:hint="default"/>
          <w:lang w:val="en-US" w:eastAsia="zh-CN"/>
        </w:rPr>
        <w:t>根据运输距离和实际情况，选择合理的运输方式。运输时要做到轻装、轻卸、防止机械损伤。运输工具要清洁卫生、无污染、无杂物。短途运输中要防日晒雨淋</w:t>
      </w:r>
      <w:r>
        <w:rPr>
          <w:rFonts w:hint="eastAsia"/>
          <w:lang w:val="en-US" w:eastAsia="zh-CN"/>
        </w:rPr>
        <w:t>，</w:t>
      </w:r>
      <w:r>
        <w:rPr>
          <w:rFonts w:hint="default"/>
          <w:lang w:val="en-US" w:eastAsia="zh-CN"/>
        </w:rPr>
        <w:t>长途运输中注意采取防冻保温或降温措施，</w:t>
      </w:r>
      <w:r>
        <w:rPr>
          <w:rFonts w:hint="eastAsia"/>
          <w:lang w:val="en-US" w:eastAsia="zh-CN"/>
        </w:rPr>
        <w:t>防止</w:t>
      </w:r>
      <w:r>
        <w:rPr>
          <w:rFonts w:hint="default"/>
          <w:lang w:val="en-US" w:eastAsia="zh-CN"/>
        </w:rPr>
        <w:t>产品质量受到影响。</w:t>
      </w:r>
    </w:p>
    <w:p w14:paraId="3788364E">
      <w:pPr>
        <w:pStyle w:val="74"/>
        <w:bidi w:val="0"/>
        <w:rPr>
          <w:rFonts w:hint="eastAsia"/>
          <w:lang w:val="en-US" w:eastAsia="zh-CN"/>
        </w:rPr>
      </w:pPr>
      <w:r>
        <w:rPr>
          <w:rFonts w:hint="eastAsia"/>
          <w:lang w:val="en-US" w:eastAsia="zh-CN"/>
        </w:rPr>
        <w:t>贮存</w:t>
      </w:r>
    </w:p>
    <w:p w14:paraId="5CA338DD">
      <w:pPr>
        <w:pStyle w:val="25"/>
        <w:rPr>
          <w:rFonts w:hint="eastAsia"/>
          <w:lang w:val="en-US" w:eastAsia="zh-CN"/>
        </w:rPr>
      </w:pPr>
      <w:r>
        <w:rPr>
          <w:rFonts w:hint="eastAsia"/>
          <w:lang w:val="en-US" w:eastAsia="zh-CN"/>
        </w:rPr>
        <w:t>贮于阴凉、通风、干燥、清洁库房，温度适宜，防冻、防晒、防霉、防异味，按批次分级存放，保质期内保持品质稳定。</w:t>
      </w:r>
    </w:p>
    <w:p w14:paraId="52FFED47">
      <w:pPr>
        <w:pStyle w:val="25"/>
        <w:jc w:val="center"/>
        <w:rPr>
          <w:rFonts w:hint="eastAsia"/>
          <w:lang w:val="en-US" w:eastAsia="zh-CN"/>
        </w:rPr>
      </w:pPr>
      <w:bookmarkStart w:id="19" w:name="EndLine"/>
      <w:r>
        <w:rPr>
          <w:rFonts w:hint="eastAsia"/>
          <w:lang w:val="en-US" w:eastAsia="zh-CN"/>
        </w:rPr>
        <w:drawing>
          <wp:inline distT="0" distB="0" distL="114300" distR="114300">
            <wp:extent cx="1485900" cy="317500"/>
            <wp:effectExtent l="0" t="0" r="0" b="6350"/>
            <wp:docPr id="1" name="图片 1" descr="EndLine"/>
            <wp:cNvGraphicFramePr/>
            <a:graphic xmlns:a="http://schemas.openxmlformats.org/drawingml/2006/main">
              <a:graphicData uri="http://schemas.openxmlformats.org/drawingml/2006/picture">
                <pic:pic xmlns:pic="http://schemas.openxmlformats.org/drawingml/2006/picture">
                  <pic:nvPicPr>
                    <pic:cNvPr id="1" name="图片 1" descr="EndLine"/>
                    <pic:cNvPicPr/>
                  </pic:nvPicPr>
                  <pic:blipFill>
                    <a:blip r:embed="rId8"/>
                    <a:stretch>
                      <a:fillRect/>
                    </a:stretch>
                  </pic:blipFill>
                  <pic:spPr>
                    <a:xfrm>
                      <a:off x="0" y="0"/>
                      <a:ext cx="1485900" cy="317500"/>
                    </a:xfrm>
                    <a:prstGeom prst="rect">
                      <a:avLst/>
                    </a:prstGeom>
                  </pic:spPr>
                </pic:pic>
              </a:graphicData>
            </a:graphic>
          </wp:inline>
        </w:drawing>
      </w:r>
      <w:bookmarkEnd w:id="19"/>
    </w:p>
    <w:p w14:paraId="54D814E0">
      <w:pPr>
        <w:rPr>
          <w:rFonts w:hint="eastAsia"/>
          <w:lang w:val="en-US" w:eastAsia="zh-CN"/>
        </w:rPr>
      </w:pPr>
      <w:r>
        <w:rPr>
          <w:rFonts w:hint="eastAsia"/>
          <w:lang w:val="en-US" w:eastAsia="zh-CN"/>
        </w:rPr>
        <w:br w:type="page"/>
      </w:r>
      <w:bookmarkStart w:id="20" w:name="BKFL"/>
    </w:p>
    <w:p w14:paraId="7805B315">
      <w:pPr>
        <w:pStyle w:val="100"/>
        <w:bidi w:val="0"/>
        <w:rPr>
          <w:rFonts w:hint="eastAsia"/>
          <w:lang w:val="en-US" w:eastAsia="zh-CN"/>
        </w:rPr>
      </w:pPr>
    </w:p>
    <w:p w14:paraId="17054ED7">
      <w:pPr>
        <w:pStyle w:val="102"/>
        <w:bidi w:val="0"/>
        <w:rPr>
          <w:rFonts w:hint="eastAsia"/>
          <w:lang w:val="en-US" w:eastAsia="zh-CN"/>
        </w:rPr>
      </w:pPr>
    </w:p>
    <w:p w14:paraId="40F68C8E">
      <w:pPr>
        <w:pStyle w:val="89"/>
        <w:bidi w:val="0"/>
        <w:rPr>
          <w:rFonts w:hint="eastAsia"/>
          <w:lang w:val="en-US" w:eastAsia="zh-CN"/>
        </w:rPr>
      </w:pPr>
      <w:r>
        <w:rPr>
          <w:rFonts w:hint="eastAsia"/>
          <w:lang w:val="en-US" w:eastAsia="zh-CN"/>
        </w:rPr>
        <w:br w:type="textWrapping"/>
      </w:r>
      <w:r>
        <w:rPr>
          <w:rFonts w:hint="eastAsia"/>
          <w:lang w:val="en-US" w:eastAsia="zh-CN"/>
        </w:rPr>
        <w:t>（规范性）</w:t>
      </w:r>
      <w:r>
        <w:rPr>
          <w:rFonts w:hint="eastAsia"/>
          <w:lang w:val="en-US" w:eastAsia="zh-CN"/>
        </w:rPr>
        <w:br w:type="textWrapping"/>
      </w:r>
      <w:r>
        <w:rPr>
          <w:rFonts w:hint="eastAsia"/>
          <w:lang w:val="en-US" w:eastAsia="zh-CN"/>
        </w:rPr>
        <w:t>地理标志产品乐都长辣椒产地范围</w:t>
      </w:r>
    </w:p>
    <w:p w14:paraId="3681E21D">
      <w:pPr>
        <w:pStyle w:val="25"/>
        <w:rPr>
          <w:rFonts w:hint="eastAsia"/>
          <w:lang w:val="en-US" w:eastAsia="zh-CN"/>
        </w:rPr>
      </w:pPr>
      <w:r>
        <w:rPr>
          <w:rFonts w:hint="eastAsia"/>
          <w:lang w:val="en-US" w:eastAsia="zh-CN"/>
        </w:rPr>
        <w:t>地理标志产品乐都长辣椒产地范围应符合图A.1中所示的地理范围。</w:t>
      </w:r>
    </w:p>
    <w:p w14:paraId="0F1FBA04">
      <w:pPr>
        <w:pStyle w:val="25"/>
        <w:jc w:val="center"/>
        <w:rPr>
          <w:rFonts w:hint="eastAsia"/>
          <w:lang w:val="en-US" w:eastAsia="zh-CN"/>
        </w:rPr>
      </w:pPr>
      <w:r>
        <w:rPr>
          <w:rFonts w:hint="eastAsia"/>
          <w:lang w:val="en-US" w:eastAsia="zh-CN"/>
        </w:rPr>
        <w:drawing>
          <wp:inline distT="0" distB="0" distL="114300" distR="114300">
            <wp:extent cx="4256405" cy="6490970"/>
            <wp:effectExtent l="0" t="0" r="10795" b="5080"/>
            <wp:docPr id="2" name="图片 2" descr="微信图片_20260525163308_9_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微信图片_20260525163308_9_36"/>
                    <pic:cNvPicPr>
                      <a:picLocks noChangeAspect="1"/>
                    </pic:cNvPicPr>
                  </pic:nvPicPr>
                  <pic:blipFill>
                    <a:blip r:embed="rId9"/>
                    <a:stretch>
                      <a:fillRect/>
                    </a:stretch>
                  </pic:blipFill>
                  <pic:spPr>
                    <a:xfrm>
                      <a:off x="0" y="0"/>
                      <a:ext cx="4256405" cy="6490970"/>
                    </a:xfrm>
                    <a:prstGeom prst="rect">
                      <a:avLst/>
                    </a:prstGeom>
                  </pic:spPr>
                </pic:pic>
              </a:graphicData>
            </a:graphic>
          </wp:inline>
        </w:drawing>
      </w:r>
    </w:p>
    <w:p w14:paraId="79FAF66E">
      <w:pPr>
        <w:pStyle w:val="101"/>
        <w:bidi w:val="0"/>
        <w:rPr>
          <w:rFonts w:hint="eastAsia"/>
          <w:lang w:val="en-US" w:eastAsia="zh-CN"/>
        </w:rPr>
      </w:pPr>
      <w:r>
        <w:rPr>
          <w:rFonts w:hint="eastAsia"/>
          <w:lang w:val="en-US" w:eastAsia="zh-CN"/>
        </w:rPr>
        <w:t>地理标志产品乐都长辣椒产地范围</w:t>
      </w:r>
    </w:p>
    <w:bookmarkEnd w:id="20"/>
    <w:p w14:paraId="3A528EC4">
      <w:pPr>
        <w:pStyle w:val="25"/>
        <w:rPr>
          <w:rFonts w:hint="eastAsia"/>
          <w:lang w:val="en-US" w:eastAsia="zh-CN"/>
        </w:rPr>
      </w:pPr>
    </w:p>
    <w:sectPr>
      <w:pgSz w:w="11906" w:h="16838"/>
      <w:pgMar w:top="2410" w:right="1134" w:bottom="1134" w:left="1134" w:header="1418" w:footer="1134" w:gutter="284"/>
      <w:lnNumType w:countBy="0" w:restart="continuous"/>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西文正文">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3791C7">
    <w:pPr>
      <w:pStyle w:val="12"/>
      <w:rPr>
        <w:rFonts w:hint="eastAsia"/>
        <w:lang w:eastAsia="zh-C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989B55">
    <w:pPr>
      <w:pStyle w:val="31"/>
      <w:bidi w:val="0"/>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945717">
    <w:pPr>
      <w:pStyle w:val="25"/>
      <w:bidi w:val="0"/>
      <w:rPr>
        <w:rFonts w:hint="eastAsia"/>
        <w:lang w:eastAsia="zh-C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F1EDEA">
    <w:pPr>
      <w:pStyle w:val="33"/>
      <w:bidi w:val="0"/>
      <w:rPr>
        <w:rFonts w:hint="eastAsia" w:eastAsia="黑体"/>
        <w:lang w:eastAsia="zh-CN"/>
      </w:rPr>
    </w:pPr>
    <w:r>
      <w:rPr>
        <w:rFonts w:hint="eastAsia"/>
        <w:lang w:eastAsia="zh-CN"/>
      </w:rPr>
      <w:t>T/QAS XXX—2026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C5DD5F5"/>
    <w:multiLevelType w:val="multilevel"/>
    <w:tmpl w:val="8C5DD5F5"/>
    <w:lvl w:ilvl="0" w:tentative="0">
      <w:start w:val="1"/>
      <w:numFmt w:val="decimal"/>
      <w:pStyle w:val="108"/>
      <w:suff w:val="nothing"/>
      <w:lvlText w:val="注%1："/>
      <w:lvlJc w:val="left"/>
      <w:pPr>
        <w:ind w:left="811" w:leftChars="0" w:hanging="448" w:firstLineChars="0"/>
      </w:pPr>
      <w:rPr>
        <w:rFonts w:hint="eastAsia" w:ascii="黑体" w:hAnsi="黑体" w:eastAsia="黑体" w:cs="黑体"/>
        <w:sz w:val="18"/>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
    <w:nsid w:val="9386146E"/>
    <w:multiLevelType w:val="multilevel"/>
    <w:tmpl w:val="9386146E"/>
    <w:lvl w:ilvl="0" w:tentative="0">
      <w:start w:val="1"/>
      <w:numFmt w:val="decimal"/>
      <w:pStyle w:val="106"/>
      <w:suff w:val="nothing"/>
      <w:lvlText w:val="示例%1："/>
      <w:lvlJc w:val="left"/>
      <w:pPr>
        <w:ind w:left="0" w:leftChars="0" w:firstLine="363" w:firstLineChars="0"/>
      </w:pPr>
      <w:rPr>
        <w:rFonts w:hint="eastAsia" w:ascii="黑体" w:hAnsi="黑体" w:eastAsia="黑体" w:cs="黑体"/>
        <w:sz w:val="18"/>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2">
    <w:nsid w:val="A27CBDDC"/>
    <w:multiLevelType w:val="multilevel"/>
    <w:tmpl w:val="A27CBDDC"/>
    <w:lvl w:ilvl="0" w:tentative="0">
      <w:start w:val="1"/>
      <w:numFmt w:val="upperLetter"/>
      <w:pStyle w:val="102"/>
      <w:lvlText w:val="%1"/>
      <w:lvlJc w:val="left"/>
      <w:pPr>
        <w:tabs>
          <w:tab w:val="left" w:pos="0"/>
        </w:tabs>
        <w:ind w:left="0" w:leftChars="0" w:firstLine="0" w:firstLineChars="0"/>
      </w:pPr>
      <w:rPr>
        <w:rFonts w:hint="default"/>
      </w:rPr>
    </w:lvl>
    <w:lvl w:ilvl="1" w:tentative="0">
      <w:start w:val="1"/>
      <w:numFmt w:val="decimal"/>
      <w:pStyle w:val="103"/>
      <w:suff w:val="nothing"/>
      <w:lvlText w:val="表%1.%2　"/>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
    <w:nsid w:val="A4C4075A"/>
    <w:multiLevelType w:val="multilevel"/>
    <w:tmpl w:val="A4C4075A"/>
    <w:lvl w:ilvl="0" w:tentative="0">
      <w:start w:val="1"/>
      <w:numFmt w:val="decimal"/>
      <w:pStyle w:val="16"/>
      <w:lvlText w:val="%1)"/>
      <w:lvlJc w:val="left"/>
      <w:pPr>
        <w:tabs>
          <w:tab w:val="left" w:pos="0"/>
        </w:tabs>
        <w:ind w:left="720" w:leftChars="0" w:hanging="357" w:firstLineChars="0"/>
      </w:pPr>
      <w:rPr>
        <w:rFonts w:hint="eastAsia" w:ascii="宋体" w:hAnsi="宋体" w:eastAsia="宋体" w:cs="宋体"/>
        <w:sz w:val="15"/>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4">
    <w:nsid w:val="C4EE9717"/>
    <w:multiLevelType w:val="multilevel"/>
    <w:tmpl w:val="C4EE9717"/>
    <w:lvl w:ilvl="0" w:tentative="0">
      <w:start w:val="1"/>
      <w:numFmt w:val="decimal"/>
      <w:pStyle w:val="120"/>
      <w:suff w:val="nothing"/>
      <w:lvlText w:val="[%1]  "/>
      <w:lvlJc w:val="left"/>
      <w:pPr>
        <w:ind w:left="0" w:leftChars="0" w:firstLine="363" w:firstLineChars="0"/>
      </w:pPr>
      <w:rPr>
        <w:rFonts w:hint="eastAsia" w:ascii="黑体" w:hAnsi="黑体" w:eastAsia="黑体" w:cs="黑体"/>
        <w:sz w:val="18"/>
      </w:rPr>
    </w:lvl>
    <w:lvl w:ilvl="1" w:tentative="0">
      <w:start w:val="1"/>
      <w:numFmt w:val="chineseCounting"/>
      <w:suff w:val="nothing"/>
      <w:lvlText w:val="第%2节　"/>
      <w:lvlJc w:val="left"/>
      <w:pPr>
        <w:ind w:left="0" w:firstLine="402"/>
      </w:pPr>
      <w:rPr>
        <w:rFonts w:hint="eastAsia"/>
      </w:rPr>
    </w:lvl>
    <w:lvl w:ilvl="2" w:tentative="0">
      <w:start w:val="1"/>
      <w:numFmt w:val="chineseCounting"/>
      <w:suff w:val="nothing"/>
      <w:lvlText w:val="第%3条　"/>
      <w:lvlJc w:val="left"/>
      <w:pPr>
        <w:ind w:left="0" w:firstLine="402"/>
      </w:pPr>
      <w:rPr>
        <w:rFonts w:hint="eastAsia"/>
      </w:rPr>
    </w:lvl>
    <w:lvl w:ilvl="3" w:tentative="0">
      <w:start w:val="1"/>
      <w:numFmt w:val="chineseCounting"/>
      <w:suff w:val="nothing"/>
      <w:lvlText w:val="（%4）"/>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decimalEnclosedCircleChinese"/>
      <w:suff w:val="nothing"/>
      <w:lvlText w:val="%7 "/>
      <w:lvlJc w:val="left"/>
      <w:pPr>
        <w:ind w:left="0" w:firstLine="402"/>
      </w:pPr>
      <w:rPr>
        <w:rFonts w:hint="eastAsia"/>
      </w:rPr>
    </w:lvl>
    <w:lvl w:ilvl="7" w:tentative="0">
      <w:start w:val="1"/>
      <w:numFmt w:val="decimal"/>
      <w:suff w:val="nothing"/>
      <w:lvlText w:val="%8）"/>
      <w:lvlJc w:val="left"/>
      <w:pPr>
        <w:ind w:left="0" w:firstLine="402"/>
      </w:pPr>
      <w:rPr>
        <w:rFonts w:hint="eastAsia"/>
      </w:rPr>
    </w:lvl>
    <w:lvl w:ilvl="8" w:tentative="0">
      <w:start w:val="1"/>
      <w:numFmt w:val="lowerLetter"/>
      <w:suff w:val="nothing"/>
      <w:lvlText w:val="%9．"/>
      <w:lvlJc w:val="left"/>
      <w:pPr>
        <w:ind w:left="0" w:firstLine="402"/>
      </w:pPr>
      <w:rPr>
        <w:rFonts w:hint="eastAsia"/>
      </w:rPr>
    </w:lvl>
  </w:abstractNum>
  <w:abstractNum w:abstractNumId="5">
    <w:nsid w:val="CA8A1FAA"/>
    <w:multiLevelType w:val="multilevel"/>
    <w:tmpl w:val="CA8A1FAA"/>
    <w:lvl w:ilvl="0" w:tentative="0">
      <w:start w:val="1"/>
      <w:numFmt w:val="lowerLetter"/>
      <w:pStyle w:val="109"/>
      <w:lvlText w:val="%1"/>
      <w:lvlJc w:val="left"/>
      <w:pPr>
        <w:tabs>
          <w:tab w:val="left" w:pos="539"/>
        </w:tabs>
        <w:ind w:left="539" w:leftChars="0" w:hanging="119" w:firstLineChars="0"/>
      </w:pPr>
      <w:rPr>
        <w:rFonts w:hint="eastAsia" w:ascii="宋体" w:hAnsi="宋体" w:eastAsia="宋体" w:cs="宋体"/>
        <w:sz w:val="15"/>
        <w:vertAlign w:val="superscript"/>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6">
    <w:nsid w:val="E6F7D2E9"/>
    <w:multiLevelType w:val="multilevel"/>
    <w:tmpl w:val="E6F7D2E9"/>
    <w:lvl w:ilvl="0" w:tentative="0">
      <w:start w:val="1"/>
      <w:numFmt w:val="decimal"/>
      <w:pStyle w:val="114"/>
      <w:suff w:val="nothing"/>
      <w:lvlText w:val="表%1  "/>
      <w:lvlJc w:val="left"/>
      <w:pPr>
        <w:tabs>
          <w:tab w:val="left" w:pos="539"/>
        </w:tabs>
        <w:ind w:left="0" w:leftChars="0" w:firstLine="0" w:firstLineChars="0"/>
      </w:pPr>
      <w:rPr>
        <w:rFonts w:hint="eastAsia" w:ascii="黑体" w:hAnsi="黑体" w:eastAsia="黑体" w:cs="黑体"/>
        <w:sz w:val="21"/>
        <w:vertAlign w:val="baseline"/>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7">
    <w:nsid w:val="F1C054AD"/>
    <w:multiLevelType w:val="multilevel"/>
    <w:tmpl w:val="F1C054AD"/>
    <w:lvl w:ilvl="0" w:tentative="0">
      <w:start w:val="1"/>
      <w:numFmt w:val="lowerLetter"/>
      <w:pStyle w:val="61"/>
      <w:lvlText w:val="%1)"/>
      <w:lvlJc w:val="left"/>
      <w:pPr>
        <w:tabs>
          <w:tab w:val="left" w:pos="851"/>
        </w:tabs>
        <w:ind w:left="851" w:leftChars="0" w:hanging="426" w:firstLineChars="0"/>
      </w:pPr>
      <w:rPr>
        <w:rFonts w:hint="default" w:ascii="宋体" w:hAnsi="宋体" w:eastAsia="宋体" w:cs="宋体"/>
        <w:sz w:val="20"/>
      </w:rPr>
    </w:lvl>
    <w:lvl w:ilvl="1" w:tentative="0">
      <w:start w:val="1"/>
      <w:numFmt w:val="decimal"/>
      <w:pStyle w:val="62"/>
      <w:lvlText w:val="%2)"/>
      <w:lvlJc w:val="left"/>
      <w:pPr>
        <w:tabs>
          <w:tab w:val="left" w:pos="1276"/>
        </w:tabs>
        <w:ind w:left="1276" w:leftChars="0" w:hanging="425" w:firstLineChars="0"/>
      </w:pPr>
      <w:rPr>
        <w:rFonts w:hint="default" w:ascii="宋体" w:hAnsi="Times New Roman" w:eastAsia="宋体" w:cs="Times New Roman"/>
        <w:sz w:val="21"/>
      </w:rPr>
    </w:lvl>
    <w:lvl w:ilvl="2" w:tentative="0">
      <w:start w:val="1"/>
      <w:numFmt w:val="bullet"/>
      <w:pStyle w:val="60"/>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8">
    <w:nsid w:val="0E4B7DFF"/>
    <w:multiLevelType w:val="multilevel"/>
    <w:tmpl w:val="0E4B7DFF"/>
    <w:lvl w:ilvl="0" w:tentative="0">
      <w:start w:val="1"/>
      <w:numFmt w:val="decimal"/>
      <w:pStyle w:val="73"/>
      <w:suff w:val="nothing"/>
      <w:lvlText w:val="%1　"/>
      <w:lvlJc w:val="left"/>
      <w:pPr>
        <w:ind w:left="0" w:leftChars="0" w:firstLine="0" w:firstLineChars="0"/>
      </w:pPr>
      <w:rPr>
        <w:rFonts w:hint="default" w:ascii="黑体" w:hAnsi="黑体" w:eastAsia="黑体" w:cs="黑体"/>
        <w:sz w:val="20"/>
      </w:rPr>
    </w:lvl>
    <w:lvl w:ilvl="1" w:tentative="0">
      <w:start w:val="1"/>
      <w:numFmt w:val="decimal"/>
      <w:pStyle w:val="74"/>
      <w:suff w:val="nothing"/>
      <w:lvlText w:val="%1.%2　"/>
      <w:lvlJc w:val="left"/>
      <w:pPr>
        <w:ind w:left="0" w:leftChars="0" w:firstLine="0" w:firstLineChars="0"/>
      </w:pPr>
      <w:rPr>
        <w:rFonts w:hint="default" w:ascii="黑体" w:hAnsi="黑体" w:eastAsia="黑体" w:cs="黑体"/>
        <w:sz w:val="20"/>
      </w:rPr>
    </w:lvl>
    <w:lvl w:ilvl="2" w:tentative="0">
      <w:start w:val="1"/>
      <w:numFmt w:val="decimal"/>
      <w:pStyle w:val="75"/>
      <w:suff w:val="nothing"/>
      <w:lvlText w:val="%1.%2.%3　"/>
      <w:lvlJc w:val="left"/>
      <w:pPr>
        <w:ind w:left="0" w:leftChars="0" w:firstLine="0" w:firstLineChars="0"/>
      </w:pPr>
      <w:rPr>
        <w:rFonts w:hint="default" w:ascii="黑体" w:hAnsi="黑体" w:eastAsia="黑体" w:cs="黑体"/>
        <w:sz w:val="20"/>
      </w:rPr>
    </w:lvl>
    <w:lvl w:ilvl="3" w:tentative="0">
      <w:start w:val="1"/>
      <w:numFmt w:val="decimal"/>
      <w:pStyle w:val="76"/>
      <w:suff w:val="nothing"/>
      <w:lvlText w:val="%1.%2.%3.%4　"/>
      <w:lvlJc w:val="left"/>
      <w:pPr>
        <w:ind w:left="0" w:leftChars="0" w:firstLine="0" w:firstLineChars="0"/>
      </w:pPr>
      <w:rPr>
        <w:rFonts w:hint="default" w:ascii="黑体" w:hAnsi="黑体" w:eastAsia="黑体" w:cs="黑体"/>
        <w:sz w:val="20"/>
      </w:rPr>
    </w:lvl>
    <w:lvl w:ilvl="4" w:tentative="0">
      <w:start w:val="1"/>
      <w:numFmt w:val="decimal"/>
      <w:pStyle w:val="77"/>
      <w:suff w:val="nothing"/>
      <w:lvlText w:val="%1.%2.%3.%4.%5　"/>
      <w:lvlJc w:val="left"/>
      <w:pPr>
        <w:ind w:left="0" w:leftChars="0" w:firstLine="0" w:firstLineChars="0"/>
      </w:pPr>
      <w:rPr>
        <w:rFonts w:hint="default" w:ascii="黑体" w:hAnsi="黑体" w:eastAsia="黑体" w:cs="黑体"/>
        <w:sz w:val="20"/>
      </w:rPr>
    </w:lvl>
    <w:lvl w:ilvl="5" w:tentative="0">
      <w:start w:val="1"/>
      <w:numFmt w:val="decimal"/>
      <w:pStyle w:val="78"/>
      <w:suff w:val="nothing"/>
      <w:lvlText w:val="%1.%2.%3.%4.%5.%6　"/>
      <w:lvlJc w:val="left"/>
      <w:pPr>
        <w:ind w:left="0" w:leftChars="0" w:firstLine="0" w:firstLineChars="0"/>
      </w:pPr>
      <w:rPr>
        <w:rFonts w:hint="default" w:ascii="黑体" w:hAnsi="黑体" w:eastAsia="黑体" w:cs="黑体"/>
        <w:sz w:val="20"/>
      </w:rPr>
    </w:lvl>
    <w:lvl w:ilvl="6" w:tentative="0">
      <w:start w:val="1"/>
      <w:numFmt w:val="lowerLetter"/>
      <w:suff w:val="nothing"/>
      <w:lvlText w:val="%7）"/>
      <w:lvlJc w:val="left"/>
      <w:pPr>
        <w:ind w:left="0" w:firstLine="402"/>
      </w:pPr>
      <w:rPr>
        <w:rFonts w:hint="eastAsia"/>
      </w:rPr>
    </w:lvl>
    <w:lvl w:ilvl="7" w:tentative="0">
      <w:start w:val="1"/>
      <w:numFmt w:val="lowerRoman"/>
      <w:suff w:val="nothing"/>
      <w:lvlText w:val="%8. "/>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9">
    <w:nsid w:val="1B6B291F"/>
    <w:multiLevelType w:val="multilevel"/>
    <w:tmpl w:val="1B6B291F"/>
    <w:lvl w:ilvl="0" w:tentative="0">
      <w:start w:val="1"/>
      <w:numFmt w:val="decimal"/>
      <w:pStyle w:val="115"/>
      <w:suff w:val="nothing"/>
      <w:lvlText w:val="图%1  "/>
      <w:lvlJc w:val="left"/>
      <w:pPr>
        <w:tabs>
          <w:tab w:val="left" w:pos="539"/>
        </w:tabs>
        <w:ind w:left="0" w:leftChars="0" w:firstLine="0" w:firstLineChars="0"/>
      </w:pPr>
      <w:rPr>
        <w:rFonts w:hint="eastAsia" w:ascii="黑体" w:hAnsi="黑体" w:eastAsia="黑体" w:cs="黑体"/>
        <w:sz w:val="21"/>
        <w:vertAlign w:val="baseline"/>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0">
    <w:nsid w:val="21957D14"/>
    <w:multiLevelType w:val="multilevel"/>
    <w:tmpl w:val="21957D14"/>
    <w:lvl w:ilvl="0" w:tentative="0">
      <w:start w:val="1"/>
      <w:numFmt w:val="none"/>
      <w:pStyle w:val="56"/>
      <w:suff w:val="nothing"/>
      <w:lvlText w:val="%1"/>
      <w:lvlJc w:val="left"/>
      <w:pPr>
        <w:ind w:left="425" w:leftChars="0" w:hanging="425" w:firstLineChars="0"/>
      </w:pPr>
      <w:rPr>
        <w:rFonts w:hint="default"/>
      </w:rPr>
    </w:lvl>
    <w:lvl w:ilvl="1" w:tentative="0">
      <w:start w:val="1"/>
      <w:numFmt w:val="decimal"/>
      <w:pStyle w:val="63"/>
      <w:suff w:val="nothing"/>
      <w:lvlText w:val="%10.%2 "/>
      <w:lvlJc w:val="left"/>
      <w:pPr>
        <w:ind w:left="0" w:leftChars="0" w:firstLine="0" w:firstLineChars="0"/>
      </w:pPr>
      <w:rPr>
        <w:rFonts w:hint="default" w:ascii="黑体" w:hAnsi="黑体" w:eastAsia="黑体" w:cs="黑体"/>
        <w:sz w:val="20"/>
      </w:rPr>
    </w:lvl>
    <w:lvl w:ilvl="2" w:tentative="0">
      <w:start w:val="1"/>
      <w:numFmt w:val="decimal"/>
      <w:pStyle w:val="64"/>
      <w:suff w:val="nothing"/>
      <w:lvlText w:val="%10.%2.%3 "/>
      <w:lvlJc w:val="left"/>
      <w:pPr>
        <w:ind w:left="0" w:leftChars="0" w:firstLine="0" w:firstLineChars="0"/>
      </w:pPr>
      <w:rPr>
        <w:rFonts w:hint="default" w:ascii="黑体" w:hAnsi="黑体" w:eastAsia="黑体" w:cs="黑体"/>
        <w:sz w:val="20"/>
      </w:rPr>
    </w:lvl>
    <w:lvl w:ilvl="3" w:tentative="0">
      <w:start w:val="1"/>
      <w:numFmt w:val="decimal"/>
      <w:pStyle w:val="65"/>
      <w:suff w:val="nothing"/>
      <w:lvlText w:val="%10.%2.%3.%4 "/>
      <w:lvlJc w:val="left"/>
      <w:pPr>
        <w:ind w:left="0" w:leftChars="0" w:firstLine="0" w:firstLineChars="0"/>
      </w:pPr>
      <w:rPr>
        <w:rFonts w:hint="default" w:ascii="黑体" w:hAnsi="黑体" w:eastAsia="黑体" w:cs="黑体"/>
        <w:sz w:val="20"/>
      </w:rPr>
    </w:lvl>
    <w:lvl w:ilvl="4" w:tentative="0">
      <w:start w:val="1"/>
      <w:numFmt w:val="decimal"/>
      <w:pStyle w:val="66"/>
      <w:suff w:val="nothing"/>
      <w:lvlText w:val="%10.%2.%3.%4.%5 "/>
      <w:lvlJc w:val="left"/>
      <w:pPr>
        <w:ind w:left="0" w:leftChars="0" w:firstLine="0" w:firstLineChars="0"/>
      </w:pPr>
      <w:rPr>
        <w:rFonts w:hint="default" w:ascii="黑体" w:hAnsi="黑体" w:eastAsia="黑体" w:cs="黑体"/>
        <w:sz w:val="20"/>
      </w:rPr>
    </w:lvl>
    <w:lvl w:ilvl="5" w:tentative="0">
      <w:start w:val="1"/>
      <w:numFmt w:val="decimal"/>
      <w:pStyle w:val="67"/>
      <w:suff w:val="nothing"/>
      <w:lvlText w:val="%10.%2.%3.%4.%5.%6 "/>
      <w:lvlJc w:val="left"/>
      <w:pPr>
        <w:ind w:left="0" w:leftChars="0" w:firstLine="0" w:firstLineChars="0"/>
      </w:pPr>
      <w:rPr>
        <w:rFonts w:hint="default" w:ascii="黑体" w:hAnsi="黑体" w:eastAsia="黑体" w:cs="黑体"/>
        <w:sz w:val="20"/>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1">
    <w:nsid w:val="45EF652D"/>
    <w:multiLevelType w:val="multilevel"/>
    <w:tmpl w:val="45EF652D"/>
    <w:lvl w:ilvl="0" w:tentative="0">
      <w:start w:val="1"/>
      <w:numFmt w:val="upperLetter"/>
      <w:pStyle w:val="89"/>
      <w:suff w:val="nothing"/>
      <w:lvlText w:val="附录%1"/>
      <w:lvlJc w:val="left"/>
      <w:pPr>
        <w:ind w:left="0" w:leftChars="0" w:firstLine="0" w:firstLineChars="0"/>
      </w:pPr>
      <w:rPr>
        <w:rFonts w:hint="default"/>
        <w:spacing w:val="102"/>
      </w:rPr>
    </w:lvl>
    <w:lvl w:ilvl="1" w:tentative="0">
      <w:start w:val="1"/>
      <w:numFmt w:val="decimal"/>
      <w:pStyle w:val="90"/>
      <w:suff w:val="nothing"/>
      <w:lvlText w:val="%1.%2　"/>
      <w:lvlJc w:val="left"/>
      <w:pPr>
        <w:ind w:left="0" w:leftChars="0" w:firstLine="0" w:firstLineChars="0"/>
      </w:pPr>
      <w:rPr>
        <w:rFonts w:hint="default" w:ascii="黑体" w:hAnsi="黑体" w:eastAsia="黑体" w:cs="黑体"/>
        <w:sz w:val="20"/>
      </w:rPr>
    </w:lvl>
    <w:lvl w:ilvl="2" w:tentative="0">
      <w:start w:val="1"/>
      <w:numFmt w:val="decimal"/>
      <w:pStyle w:val="91"/>
      <w:suff w:val="nothing"/>
      <w:lvlText w:val="%1.%2.%3　"/>
      <w:lvlJc w:val="left"/>
      <w:pPr>
        <w:ind w:left="0" w:leftChars="0" w:firstLine="0" w:firstLineChars="0"/>
      </w:pPr>
      <w:rPr>
        <w:rFonts w:hint="default" w:ascii="黑体" w:hAnsi="黑体" w:eastAsia="黑体" w:cs="黑体"/>
        <w:sz w:val="20"/>
      </w:rPr>
    </w:lvl>
    <w:lvl w:ilvl="3" w:tentative="0">
      <w:start w:val="1"/>
      <w:numFmt w:val="decimal"/>
      <w:pStyle w:val="92"/>
      <w:suff w:val="nothing"/>
      <w:lvlText w:val="%1.%2.%3.%4　"/>
      <w:lvlJc w:val="left"/>
      <w:pPr>
        <w:ind w:left="0" w:leftChars="0" w:firstLine="0" w:firstLineChars="0"/>
      </w:pPr>
      <w:rPr>
        <w:rFonts w:hint="default" w:ascii="黑体" w:hAnsi="黑体" w:eastAsia="黑体" w:cs="黑体"/>
        <w:sz w:val="20"/>
      </w:rPr>
    </w:lvl>
    <w:lvl w:ilvl="4" w:tentative="0">
      <w:start w:val="1"/>
      <w:numFmt w:val="decimal"/>
      <w:pStyle w:val="93"/>
      <w:suff w:val="nothing"/>
      <w:lvlText w:val="%1.%2.%3.%4.%5　"/>
      <w:lvlJc w:val="left"/>
      <w:pPr>
        <w:ind w:left="0" w:leftChars="0" w:firstLine="0" w:firstLineChars="0"/>
      </w:pPr>
      <w:rPr>
        <w:rFonts w:hint="default" w:ascii="黑体" w:hAnsi="黑体" w:eastAsia="黑体" w:cs="黑体"/>
        <w:sz w:val="20"/>
      </w:rPr>
    </w:lvl>
    <w:lvl w:ilvl="5" w:tentative="0">
      <w:start w:val="1"/>
      <w:numFmt w:val="decimal"/>
      <w:pStyle w:val="94"/>
      <w:suff w:val="nothing"/>
      <w:lvlText w:val="%1.%2.%3.%4.%5.%6　"/>
      <w:lvlJc w:val="left"/>
      <w:pPr>
        <w:ind w:left="0" w:leftChars="0" w:firstLine="0" w:firstLineChars="0"/>
      </w:pPr>
      <w:rPr>
        <w:rFonts w:hint="default" w:ascii="黑体" w:hAnsi="黑体" w:eastAsia="黑体" w:cs="黑体"/>
        <w:sz w:val="20"/>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2">
    <w:nsid w:val="4D9E699D"/>
    <w:multiLevelType w:val="multilevel"/>
    <w:tmpl w:val="4D9E699D"/>
    <w:lvl w:ilvl="0" w:tentative="0">
      <w:start w:val="1"/>
      <w:numFmt w:val="none"/>
      <w:pStyle w:val="58"/>
      <w:lvlText w:val="%1——"/>
      <w:lvlJc w:val="left"/>
      <w:pPr>
        <w:tabs>
          <w:tab w:val="left" w:pos="851"/>
        </w:tabs>
        <w:ind w:left="851" w:leftChars="0" w:hanging="426" w:firstLineChars="0"/>
      </w:pPr>
      <w:rPr>
        <w:rFonts w:hint="default" w:ascii="Times New Roman" w:hAnsi="Times New Roman" w:cs="Times New Roman"/>
        <w:sz w:val="20"/>
      </w:rPr>
    </w:lvl>
    <w:lvl w:ilvl="1" w:tentative="0">
      <w:start w:val="1"/>
      <w:numFmt w:val="bullet"/>
      <w:pStyle w:val="59"/>
      <w:lvlText w:val=""/>
      <w:lvlJc w:val="left"/>
      <w:pPr>
        <w:tabs>
          <w:tab w:val="left" w:pos="851"/>
        </w:tabs>
        <w:ind w:left="1270" w:leftChars="0" w:hanging="419" w:firstLineChars="0"/>
      </w:pPr>
      <w:rPr>
        <w:rFonts w:hint="default" w:ascii="Symbol" w:hAnsi="Symbol" w:cs="Symbol"/>
      </w:rPr>
    </w:lvl>
    <w:lvl w:ilvl="2" w:tentative="0">
      <w:start w:val="1"/>
      <w:numFmt w:val="bullet"/>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13">
    <w:nsid w:val="6C6430B7"/>
    <w:multiLevelType w:val="multilevel"/>
    <w:tmpl w:val="6C6430B7"/>
    <w:lvl w:ilvl="0" w:tentative="0">
      <w:start w:val="1"/>
      <w:numFmt w:val="upperLetter"/>
      <w:lvlText w:val="%1"/>
      <w:lvlJc w:val="left"/>
      <w:pPr>
        <w:tabs>
          <w:tab w:val="left" w:pos="0"/>
        </w:tabs>
        <w:ind w:left="0" w:leftChars="0" w:firstLine="0" w:firstLineChars="0"/>
      </w:pPr>
      <w:rPr>
        <w:rFonts w:hint="default"/>
      </w:rPr>
    </w:lvl>
    <w:lvl w:ilvl="1" w:tentative="0">
      <w:start w:val="1"/>
      <w:numFmt w:val="decimal"/>
      <w:pStyle w:val="2"/>
      <w:lvlText w:val="%1.%2."/>
      <w:lvlJc w:val="left"/>
      <w:pPr>
        <w:ind w:left="575" w:hanging="575"/>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abstractNum w:abstractNumId="14">
    <w:nsid w:val="6D7C0B82"/>
    <w:multiLevelType w:val="multilevel"/>
    <w:tmpl w:val="6D7C0B82"/>
    <w:lvl w:ilvl="0" w:tentative="0">
      <w:start w:val="1"/>
      <w:numFmt w:val="upperLetter"/>
      <w:pStyle w:val="100"/>
      <w:lvlText w:val="%1"/>
      <w:lvlJc w:val="left"/>
      <w:pPr>
        <w:tabs>
          <w:tab w:val="left" w:pos="0"/>
        </w:tabs>
        <w:ind w:left="0" w:leftChars="0" w:firstLine="0" w:firstLineChars="0"/>
      </w:pPr>
      <w:rPr>
        <w:rFonts w:hint="default"/>
      </w:rPr>
    </w:lvl>
    <w:lvl w:ilvl="1" w:tentative="0">
      <w:start w:val="1"/>
      <w:numFmt w:val="decimal"/>
      <w:pStyle w:val="101"/>
      <w:suff w:val="nothing"/>
      <w:lvlText w:val="图%1.%2　"/>
      <w:lvlJc w:val="left"/>
      <w:pPr>
        <w:ind w:left="0" w:leftChars="0" w:firstLine="0" w:firstLineChars="0"/>
      </w:pPr>
      <w:rPr>
        <w:rFonts w:hint="default"/>
      </w:rPr>
    </w:lvl>
    <w:lvl w:ilvl="2" w:tentative="0">
      <w:start w:val="1"/>
      <w:numFmt w:val="decimal"/>
      <w:pStyle w:val="3"/>
      <w:lvlText w:val="%1.%2.%3."/>
      <w:lvlJc w:val="left"/>
      <w:pPr>
        <w:ind w:left="720" w:hanging="720"/>
      </w:pPr>
      <w:rPr>
        <w:rFonts w:hint="default"/>
      </w:rPr>
    </w:lvl>
    <w:lvl w:ilvl="3" w:tentative="0">
      <w:start w:val="1"/>
      <w:numFmt w:val="decimal"/>
      <w:pStyle w:val="4"/>
      <w:lvlText w:val="%1.%2.%3.%4."/>
      <w:lvlJc w:val="left"/>
      <w:pPr>
        <w:ind w:left="864" w:hanging="864"/>
      </w:pPr>
      <w:rPr>
        <w:rFonts w:hint="default"/>
      </w:rPr>
    </w:lvl>
    <w:lvl w:ilvl="4" w:tentative="0">
      <w:start w:val="1"/>
      <w:numFmt w:val="decimal"/>
      <w:pStyle w:val="5"/>
      <w:lvlText w:val="%1.%2.%3.%4.%5."/>
      <w:lvlJc w:val="left"/>
      <w:pPr>
        <w:ind w:left="1008" w:hanging="1008"/>
      </w:pPr>
      <w:rPr>
        <w:rFonts w:hint="default"/>
      </w:rPr>
    </w:lvl>
    <w:lvl w:ilvl="5" w:tentative="0">
      <w:start w:val="1"/>
      <w:numFmt w:val="decimal"/>
      <w:pStyle w:val="6"/>
      <w:lvlText w:val="%1.%2.%3.%4.%5.%6."/>
      <w:lvlJc w:val="left"/>
      <w:pPr>
        <w:ind w:left="1151" w:hanging="1151"/>
      </w:pPr>
      <w:rPr>
        <w:rFonts w:hint="default"/>
      </w:rPr>
    </w:lvl>
    <w:lvl w:ilvl="6" w:tentative="0">
      <w:start w:val="1"/>
      <w:numFmt w:val="decimal"/>
      <w:pStyle w:val="7"/>
      <w:lvlText w:val="%1.%2.%3.%4.%5.%6.%7."/>
      <w:lvlJc w:val="left"/>
      <w:pPr>
        <w:ind w:left="1296" w:hanging="1296"/>
      </w:pPr>
      <w:rPr>
        <w:rFonts w:hint="default"/>
      </w:rPr>
    </w:lvl>
    <w:lvl w:ilvl="7" w:tentative="0">
      <w:start w:val="1"/>
      <w:numFmt w:val="decimal"/>
      <w:pStyle w:val="8"/>
      <w:lvlText w:val="%1.%2.%3.%4.%5.%6.%7.%8."/>
      <w:lvlJc w:val="left"/>
      <w:pPr>
        <w:ind w:left="1440" w:hanging="1440"/>
      </w:pPr>
      <w:rPr>
        <w:rFonts w:hint="default"/>
      </w:rPr>
    </w:lvl>
    <w:lvl w:ilvl="8" w:tentative="0">
      <w:start w:val="1"/>
      <w:numFmt w:val="decimal"/>
      <w:pStyle w:val="9"/>
      <w:lvlText w:val="%1.%2.%3.%4.%5.%6.%7.%8.%9."/>
      <w:lvlJc w:val="left"/>
      <w:pPr>
        <w:ind w:left="1583" w:hanging="1583"/>
      </w:pPr>
      <w:rPr>
        <w:rFonts w:hint="default"/>
      </w:rPr>
    </w:lvl>
  </w:abstractNum>
  <w:abstractNum w:abstractNumId="15">
    <w:nsid w:val="6FF437C9"/>
    <w:multiLevelType w:val="multilevel"/>
    <w:tmpl w:val="6FF437C9"/>
    <w:lvl w:ilvl="0" w:tentative="0">
      <w:start w:val="1"/>
      <w:numFmt w:val="none"/>
      <w:pStyle w:val="107"/>
      <w:suff w:val="nothing"/>
      <w:lvlText w:val="注："/>
      <w:lvlJc w:val="left"/>
      <w:pPr>
        <w:ind w:left="737" w:leftChars="0" w:hanging="374" w:firstLineChars="0"/>
      </w:pPr>
      <w:rPr>
        <w:rFonts w:hint="eastAsia" w:ascii="黑体" w:hAnsi="黑体" w:eastAsia="黑体" w:cs="黑体"/>
        <w:sz w:val="18"/>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6">
    <w:nsid w:val="72A587CD"/>
    <w:multiLevelType w:val="multilevel"/>
    <w:tmpl w:val="72A587CD"/>
    <w:lvl w:ilvl="0" w:tentative="0">
      <w:start w:val="1"/>
      <w:numFmt w:val="none"/>
      <w:pStyle w:val="105"/>
      <w:suff w:val="nothing"/>
      <w:lvlText w:val="示例："/>
      <w:lvlJc w:val="left"/>
      <w:pPr>
        <w:ind w:left="0" w:leftChars="0" w:firstLine="363" w:firstLineChars="0"/>
      </w:pPr>
      <w:rPr>
        <w:rFonts w:hint="eastAsia" w:ascii="黑体" w:hAnsi="黑体" w:eastAsia="黑体" w:cs="黑体"/>
        <w:sz w:val="18"/>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num w:numId="1">
    <w:abstractNumId w:val="13"/>
  </w:num>
  <w:num w:numId="2">
    <w:abstractNumId w:val="14"/>
  </w:num>
  <w:num w:numId="3">
    <w:abstractNumId w:val="3"/>
  </w:num>
  <w:num w:numId="4">
    <w:abstractNumId w:val="10"/>
  </w:num>
  <w:num w:numId="5">
    <w:abstractNumId w:val="12"/>
  </w:num>
  <w:num w:numId="6">
    <w:abstractNumId w:val="7"/>
  </w:num>
  <w:num w:numId="7">
    <w:abstractNumId w:val="8"/>
  </w:num>
  <w:num w:numId="8">
    <w:abstractNumId w:val="11"/>
  </w:num>
  <w:num w:numId="9">
    <w:abstractNumId w:val="2"/>
  </w:num>
  <w:num w:numId="10">
    <w:abstractNumId w:val="16"/>
  </w:num>
  <w:num w:numId="11">
    <w:abstractNumId w:val="1"/>
  </w:num>
  <w:num w:numId="12">
    <w:abstractNumId w:val="15"/>
  </w:num>
  <w:num w:numId="13">
    <w:abstractNumId w:val="0"/>
  </w:num>
  <w:num w:numId="14">
    <w:abstractNumId w:val="5"/>
  </w:num>
  <w:num w:numId="15">
    <w:abstractNumId w:val="6"/>
  </w:num>
  <w:num w:numId="16">
    <w:abstractNumId w:val="9"/>
  </w:num>
  <w:num w:numId="17">
    <w:abstractNumId w:val="4"/>
  </w:num>
  <w:num w:numId="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BDB0E30"/>
    <w:rsid w:val="067D3C3F"/>
    <w:rsid w:val="122A6EEF"/>
    <w:rsid w:val="127D7927"/>
    <w:rsid w:val="17583217"/>
    <w:rsid w:val="249B00B7"/>
    <w:rsid w:val="2BDB0E30"/>
    <w:rsid w:val="4824217B"/>
    <w:rsid w:val="4A3B526E"/>
    <w:rsid w:val="54B73456"/>
    <w:rsid w:val="7D76142E"/>
    <w:rsid w:val="7F2A67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hint="eastAsia" w:ascii="宋体" w:hAnsi="Times New Roman" w:eastAsia="宋体" w:cs="宋体"/>
      <w:kern w:val="2"/>
      <w:sz w:val="21"/>
      <w:szCs w:val="24"/>
      <w:lang w:val="en-US" w:eastAsia="zh-CN" w:bidi="ar-SA"/>
    </w:rPr>
  </w:style>
  <w:style w:type="paragraph" w:styleId="2">
    <w:name w:val="heading 2"/>
    <w:basedOn w:val="1"/>
    <w:next w:val="1"/>
    <w:semiHidden/>
    <w:unhideWhenUsed/>
    <w:qFormat/>
    <w:uiPriority w:val="0"/>
    <w:pPr>
      <w:keepNext/>
      <w:keepLines/>
      <w:numPr>
        <w:ilvl w:val="1"/>
        <w:numId w:val="1"/>
      </w:numPr>
      <w:spacing w:before="260" w:beforeLines="0" w:beforeAutospacing="0" w:after="260" w:afterLines="0" w:afterAutospacing="0" w:line="413" w:lineRule="auto"/>
      <w:ind w:left="575" w:hanging="575"/>
      <w:outlineLvl w:val="1"/>
    </w:pPr>
    <w:rPr>
      <w:rFonts w:ascii="Arial" w:hAnsi="Arial" w:eastAsia="黑体"/>
      <w:b/>
      <w:sz w:val="32"/>
    </w:rPr>
  </w:style>
  <w:style w:type="paragraph" w:styleId="3">
    <w:name w:val="heading 3"/>
    <w:basedOn w:val="1"/>
    <w:next w:val="1"/>
    <w:semiHidden/>
    <w:unhideWhenUsed/>
    <w:qFormat/>
    <w:uiPriority w:val="0"/>
    <w:pPr>
      <w:keepNext/>
      <w:keepLines/>
      <w:numPr>
        <w:ilvl w:val="2"/>
        <w:numId w:val="2"/>
      </w:numPr>
      <w:spacing w:before="260" w:beforeLines="0" w:beforeAutospacing="0" w:after="260" w:afterLines="0" w:afterAutospacing="0" w:line="413" w:lineRule="auto"/>
      <w:ind w:left="720" w:hanging="720"/>
      <w:outlineLvl w:val="2"/>
    </w:pPr>
    <w:rPr>
      <w:b/>
      <w:sz w:val="32"/>
    </w:rPr>
  </w:style>
  <w:style w:type="paragraph" w:styleId="4">
    <w:name w:val="heading 4"/>
    <w:basedOn w:val="1"/>
    <w:next w:val="1"/>
    <w:semiHidden/>
    <w:unhideWhenUsed/>
    <w:qFormat/>
    <w:uiPriority w:val="0"/>
    <w:pPr>
      <w:keepNext/>
      <w:keepLines/>
      <w:numPr>
        <w:ilvl w:val="3"/>
        <w:numId w:val="2"/>
      </w:numPr>
      <w:spacing w:before="280" w:beforeLines="0" w:beforeAutospacing="0" w:after="290" w:afterLines="0" w:afterAutospacing="0" w:line="372" w:lineRule="auto"/>
      <w:ind w:left="864" w:hanging="864"/>
      <w:outlineLvl w:val="3"/>
    </w:pPr>
    <w:rPr>
      <w:rFonts w:ascii="Arial" w:hAnsi="Arial" w:eastAsia="黑体"/>
      <w:b/>
      <w:sz w:val="28"/>
    </w:rPr>
  </w:style>
  <w:style w:type="paragraph" w:styleId="5">
    <w:name w:val="heading 5"/>
    <w:basedOn w:val="1"/>
    <w:next w:val="1"/>
    <w:semiHidden/>
    <w:unhideWhenUsed/>
    <w:qFormat/>
    <w:uiPriority w:val="0"/>
    <w:pPr>
      <w:keepNext/>
      <w:keepLines/>
      <w:numPr>
        <w:ilvl w:val="4"/>
        <w:numId w:val="2"/>
      </w:numPr>
      <w:spacing w:before="280" w:beforeLines="0" w:beforeAutospacing="0" w:after="290" w:afterLines="0" w:afterAutospacing="0" w:line="372" w:lineRule="auto"/>
      <w:ind w:left="1008" w:hanging="1008"/>
      <w:outlineLvl w:val="4"/>
    </w:pPr>
    <w:rPr>
      <w:b/>
      <w:sz w:val="28"/>
    </w:rPr>
  </w:style>
  <w:style w:type="paragraph" w:styleId="6">
    <w:name w:val="heading 6"/>
    <w:basedOn w:val="1"/>
    <w:next w:val="1"/>
    <w:semiHidden/>
    <w:unhideWhenUsed/>
    <w:qFormat/>
    <w:uiPriority w:val="0"/>
    <w:pPr>
      <w:keepNext/>
      <w:keepLines/>
      <w:numPr>
        <w:ilvl w:val="5"/>
        <w:numId w:val="2"/>
      </w:numPr>
      <w:spacing w:before="240" w:beforeLines="0" w:beforeAutospacing="0" w:after="64" w:afterLines="0" w:afterAutospacing="0" w:line="317" w:lineRule="auto"/>
      <w:ind w:left="1151" w:hanging="1151"/>
      <w:outlineLvl w:val="5"/>
    </w:pPr>
    <w:rPr>
      <w:rFonts w:ascii="Arial" w:hAnsi="Arial" w:eastAsia="黑体"/>
      <w:b/>
      <w:sz w:val="24"/>
    </w:rPr>
  </w:style>
  <w:style w:type="paragraph" w:styleId="7">
    <w:name w:val="heading 7"/>
    <w:basedOn w:val="1"/>
    <w:next w:val="1"/>
    <w:semiHidden/>
    <w:unhideWhenUsed/>
    <w:qFormat/>
    <w:uiPriority w:val="0"/>
    <w:pPr>
      <w:keepNext/>
      <w:keepLines/>
      <w:numPr>
        <w:ilvl w:val="6"/>
        <w:numId w:val="2"/>
      </w:numPr>
      <w:spacing w:before="240" w:beforeLines="0" w:beforeAutospacing="0" w:after="64" w:afterLines="0" w:afterAutospacing="0" w:line="317" w:lineRule="auto"/>
      <w:ind w:left="1296" w:hanging="1296"/>
      <w:outlineLvl w:val="6"/>
    </w:pPr>
    <w:rPr>
      <w:b/>
      <w:sz w:val="24"/>
    </w:rPr>
  </w:style>
  <w:style w:type="paragraph" w:styleId="8">
    <w:name w:val="heading 8"/>
    <w:basedOn w:val="1"/>
    <w:next w:val="1"/>
    <w:semiHidden/>
    <w:unhideWhenUsed/>
    <w:qFormat/>
    <w:uiPriority w:val="0"/>
    <w:pPr>
      <w:keepNext/>
      <w:keepLines/>
      <w:numPr>
        <w:ilvl w:val="7"/>
        <w:numId w:val="2"/>
      </w:numPr>
      <w:spacing w:before="240" w:beforeLines="0" w:beforeAutospacing="0" w:after="64" w:afterLines="0" w:afterAutospacing="0" w:line="317" w:lineRule="auto"/>
      <w:ind w:left="1440" w:hanging="1440"/>
      <w:outlineLvl w:val="7"/>
    </w:pPr>
    <w:rPr>
      <w:rFonts w:ascii="Arial" w:hAnsi="Arial" w:eastAsia="黑体"/>
      <w:sz w:val="24"/>
    </w:rPr>
  </w:style>
  <w:style w:type="paragraph" w:styleId="9">
    <w:name w:val="heading 9"/>
    <w:basedOn w:val="1"/>
    <w:next w:val="1"/>
    <w:semiHidden/>
    <w:unhideWhenUsed/>
    <w:qFormat/>
    <w:uiPriority w:val="0"/>
    <w:pPr>
      <w:keepNext/>
      <w:keepLines/>
      <w:numPr>
        <w:ilvl w:val="8"/>
        <w:numId w:val="2"/>
      </w:numPr>
      <w:spacing w:before="240" w:beforeLines="0" w:beforeAutospacing="0" w:after="64" w:afterLines="0" w:afterAutospacing="0" w:line="317" w:lineRule="auto"/>
      <w:ind w:left="1583" w:hanging="1583"/>
      <w:outlineLvl w:val="8"/>
    </w:pPr>
    <w:rPr>
      <w:rFonts w:ascii="Arial" w:hAnsi="Arial" w:eastAsia="黑体"/>
      <w:sz w:val="21"/>
    </w:rPr>
  </w:style>
  <w:style w:type="character" w:default="1" w:styleId="22">
    <w:name w:val="Default Paragraph Font"/>
    <w:semiHidden/>
    <w:qFormat/>
    <w:uiPriority w:val="0"/>
    <w:rPr>
      <w:rFonts w:hint="eastAsia" w:ascii="宋体" w:hAnsi="Times New Roman" w:eastAsia="宋体" w:cs="Times New Roman"/>
      <w:sz w:val="21"/>
    </w:rPr>
  </w:style>
  <w:style w:type="table" w:default="1" w:styleId="20">
    <w:name w:val="Normal Table"/>
    <w:semiHidden/>
    <w:qFormat/>
    <w:uiPriority w:val="0"/>
    <w:tblPr>
      <w:tblCellMar>
        <w:top w:w="0" w:type="dxa"/>
        <w:left w:w="108" w:type="dxa"/>
        <w:bottom w:w="0" w:type="dxa"/>
        <w:right w:w="108" w:type="dxa"/>
      </w:tblCellMar>
    </w:tblPr>
  </w:style>
  <w:style w:type="paragraph" w:styleId="10">
    <w:name w:val="toc 5"/>
    <w:basedOn w:val="1"/>
    <w:next w:val="1"/>
    <w:qFormat/>
    <w:uiPriority w:val="0"/>
    <w:pPr>
      <w:spacing w:line="300" w:lineRule="exact"/>
      <w:ind w:left="1680" w:leftChars="800"/>
    </w:pPr>
    <w:rPr>
      <w:rFonts w:hAnsi="宋体"/>
    </w:rPr>
  </w:style>
  <w:style w:type="paragraph" w:styleId="11">
    <w:name w:val="toc 3"/>
    <w:basedOn w:val="1"/>
    <w:next w:val="1"/>
    <w:qFormat/>
    <w:uiPriority w:val="0"/>
    <w:pPr>
      <w:spacing w:line="300" w:lineRule="exact"/>
      <w:ind w:left="840" w:leftChars="400"/>
    </w:pPr>
    <w:rPr>
      <w:rFonts w:hAnsi="宋体"/>
    </w:rPr>
  </w:style>
  <w:style w:type="paragraph" w:styleId="12">
    <w:name w:val="footer"/>
    <w:basedOn w:val="1"/>
    <w:qFormat/>
    <w:uiPriority w:val="0"/>
    <w:pPr>
      <w:tabs>
        <w:tab w:val="center" w:pos="4153"/>
        <w:tab w:val="right" w:pos="8306"/>
      </w:tabs>
      <w:snapToGrid w:val="0"/>
      <w:jc w:val="left"/>
    </w:pPr>
    <w:rPr>
      <w:sz w:val="18"/>
    </w:rPr>
  </w:style>
  <w:style w:type="paragraph" w:styleId="1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4">
    <w:name w:val="toc 1"/>
    <w:basedOn w:val="1"/>
    <w:next w:val="1"/>
    <w:qFormat/>
    <w:uiPriority w:val="0"/>
    <w:pPr>
      <w:spacing w:line="400" w:lineRule="exact"/>
    </w:pPr>
    <w:rPr>
      <w:rFonts w:hAnsi="宋体"/>
    </w:rPr>
  </w:style>
  <w:style w:type="paragraph" w:styleId="15">
    <w:name w:val="toc 4"/>
    <w:basedOn w:val="1"/>
    <w:next w:val="1"/>
    <w:qFormat/>
    <w:uiPriority w:val="0"/>
    <w:pPr>
      <w:spacing w:line="300" w:lineRule="exact"/>
      <w:ind w:left="1260" w:leftChars="600"/>
    </w:pPr>
    <w:rPr>
      <w:rFonts w:hAnsi="宋体"/>
    </w:rPr>
  </w:style>
  <w:style w:type="paragraph" w:styleId="16">
    <w:name w:val="footnote text"/>
    <w:basedOn w:val="1"/>
    <w:qFormat/>
    <w:uiPriority w:val="0"/>
    <w:pPr>
      <w:widowControl/>
      <w:numPr>
        <w:ilvl w:val="0"/>
        <w:numId w:val="3"/>
      </w:numPr>
      <w:autoSpaceDE w:val="0"/>
      <w:autoSpaceDN w:val="0"/>
      <w:snapToGrid/>
      <w:ind w:left="1700" w:leftChars="200" w:hanging="1280" w:hangingChars="200"/>
      <w:jc w:val="both"/>
    </w:pPr>
    <w:rPr>
      <w:rFonts w:hAnsi="宋体"/>
      <w:sz w:val="15"/>
    </w:rPr>
  </w:style>
  <w:style w:type="paragraph" w:styleId="17">
    <w:name w:val="toc 6"/>
    <w:basedOn w:val="1"/>
    <w:next w:val="1"/>
    <w:qFormat/>
    <w:uiPriority w:val="0"/>
    <w:pPr>
      <w:spacing w:line="300" w:lineRule="exact"/>
      <w:ind w:left="2100" w:leftChars="1000"/>
    </w:pPr>
    <w:rPr>
      <w:rFonts w:hAnsi="宋体"/>
    </w:rPr>
  </w:style>
  <w:style w:type="paragraph" w:styleId="18">
    <w:name w:val="toc 2"/>
    <w:basedOn w:val="1"/>
    <w:next w:val="1"/>
    <w:qFormat/>
    <w:uiPriority w:val="0"/>
    <w:pPr>
      <w:spacing w:line="300" w:lineRule="exact"/>
      <w:ind w:left="420" w:leftChars="200"/>
    </w:pPr>
    <w:rPr>
      <w:rFonts w:hAnsi="宋体"/>
    </w:rPr>
  </w:style>
  <w:style w:type="paragraph" w:styleId="19">
    <w:name w:val="Normal (Web)"/>
    <w:basedOn w:val="1"/>
    <w:qFormat/>
    <w:uiPriority w:val="0"/>
    <w:pPr>
      <w:spacing w:before="0" w:beforeAutospacing="1" w:after="0" w:afterAutospacing="1"/>
      <w:ind w:left="0" w:right="0"/>
      <w:jc w:val="left"/>
    </w:pPr>
    <w:rPr>
      <w:kern w:val="0"/>
      <w:sz w:val="24"/>
      <w:lang w:val="en-US" w:eastAsia="zh-CN" w:bidi="ar"/>
    </w:r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basedOn w:val="22"/>
    <w:qFormat/>
    <w:uiPriority w:val="0"/>
    <w:rPr>
      <w:b/>
    </w:rPr>
  </w:style>
  <w:style w:type="character" w:styleId="24">
    <w:name w:val="footnote reference"/>
    <w:basedOn w:val="22"/>
    <w:qFormat/>
    <w:uiPriority w:val="0"/>
    <w:rPr>
      <w:rFonts w:hAnsi="宋体" w:cs="宋体"/>
      <w:sz w:val="18"/>
      <w:vertAlign w:val="superscript"/>
    </w:rPr>
  </w:style>
  <w:style w:type="paragraph" w:customStyle="1" w:styleId="25">
    <w:name w:val="标准文件_段"/>
    <w:qFormat/>
    <w:uiPriority w:val="0"/>
    <w:pPr>
      <w:ind w:firstLine="1280" w:firstLineChars="200"/>
      <w:jc w:val="both"/>
    </w:pPr>
    <w:rPr>
      <w:rFonts w:hint="eastAsia" w:ascii="宋体" w:hAnsi="Times New Roman" w:eastAsia="宋体" w:cs="宋体"/>
      <w:sz w:val="21"/>
    </w:rPr>
  </w:style>
  <w:style w:type="paragraph" w:customStyle="1" w:styleId="26">
    <w:name w:val="标准标志"/>
    <w:next w:val="1"/>
    <w:qFormat/>
    <w:uiPriority w:val="0"/>
    <w:pPr>
      <w:framePr w:w="2546" w:h="1134" w:hRule="exact" w:hSpace="181" w:wrap="around" w:vAnchor="margin" w:hAnchor="margin" w:x="6521" w:y="421" w:anchorLock="1"/>
      <w:shd w:val="clear" w:fill="FFFFFF"/>
      <w:spacing w:line="0" w:lineRule="atLeast"/>
      <w:jc w:val="right"/>
    </w:pPr>
    <w:rPr>
      <w:rFonts w:hint="eastAsia" w:ascii="Times New Roman" w:hAnsi="Times New Roman" w:eastAsia="宋体" w:cs="Times New Roman"/>
      <w:b/>
      <w:w w:val="170"/>
      <w:sz w:val="96"/>
    </w:rPr>
  </w:style>
  <w:style w:type="paragraph" w:customStyle="1" w:styleId="27">
    <w:name w:val="标准标志2"/>
    <w:next w:val="1"/>
    <w:qFormat/>
    <w:uiPriority w:val="0"/>
    <w:pPr>
      <w:framePr w:wrap="around" w:vAnchor="margin" w:hAnchor="margin" w:x="5614" w:y="398" w:anchorLock="1"/>
      <w:spacing w:line="0" w:lineRule="atLeast"/>
      <w:jc w:val="right"/>
    </w:pPr>
    <w:rPr>
      <w:rFonts w:hint="eastAsia" w:ascii="Times New Roman" w:hAnsi="Times New Roman" w:eastAsia="宋体" w:cs="Times New Roman"/>
      <w:b/>
      <w:w w:val="130"/>
      <w:sz w:val="96"/>
    </w:rPr>
  </w:style>
  <w:style w:type="paragraph" w:customStyle="1" w:styleId="28">
    <w:name w:val="标准称谓"/>
    <w:next w:val="1"/>
    <w:qFormat/>
    <w:uiPriority w:val="0"/>
    <w:pPr>
      <w:framePr w:w="9639" w:h="624" w:hRule="exact" w:hSpace="181" w:vSpace="181" w:wrap="around" w:vAnchor="page" w:hAnchor="page" w:x="1305" w:y="2269" w:anchorLock="1"/>
      <w:widowControl w:val="0"/>
      <w:kinsoku w:val="0"/>
      <w:overflowPunct w:val="0"/>
      <w:autoSpaceDE w:val="0"/>
      <w:autoSpaceDN w:val="0"/>
      <w:spacing w:line="0" w:lineRule="atLeast"/>
      <w:jc w:val="distribute"/>
    </w:pPr>
    <w:rPr>
      <w:rFonts w:hint="eastAsia" w:ascii="宋体" w:hAnsi="Times New Roman" w:eastAsia="宋体" w:cs="Times New Roman"/>
      <w:b/>
      <w:w w:val="148"/>
      <w:sz w:val="48"/>
    </w:rPr>
  </w:style>
  <w:style w:type="paragraph" w:customStyle="1" w:styleId="29">
    <w:name w:val="标准称谓2"/>
    <w:next w:val="1"/>
    <w:qFormat/>
    <w:uiPriority w:val="0"/>
    <w:pPr>
      <w:framePr w:w="6781" w:h="907" w:hRule="exact" w:hSpace="181" w:vSpace="181" w:wrap="around" w:vAnchor="page" w:hAnchor="page" w:xAlign="center" w:y="2269" w:anchorLock="1"/>
      <w:widowControl w:val="0"/>
      <w:kinsoku w:val="0"/>
      <w:overflowPunct w:val="0"/>
      <w:autoSpaceDE w:val="0"/>
      <w:autoSpaceDN w:val="0"/>
      <w:spacing w:line="0" w:lineRule="atLeast"/>
      <w:jc w:val="distribute"/>
    </w:pPr>
    <w:rPr>
      <w:rFonts w:hint="eastAsia" w:ascii="Times New Roman" w:hAnsi="Times New Roman" w:eastAsia="黑体" w:cs="Times New Roman"/>
      <w:spacing w:val="-40"/>
      <w:kern w:val="2"/>
      <w:sz w:val="72"/>
      <w:szCs w:val="72"/>
    </w:rPr>
  </w:style>
  <w:style w:type="paragraph" w:customStyle="1" w:styleId="30">
    <w:name w:val="标准称谓3"/>
    <w:next w:val="1"/>
    <w:qFormat/>
    <w:uiPriority w:val="0"/>
    <w:pPr>
      <w:framePr w:w="9639" w:h="624" w:hRule="exact" w:hSpace="181" w:vSpace="181" w:wrap="around" w:vAnchor="page" w:hAnchor="page" w:x="1305" w:y="2269" w:anchorLock="1"/>
      <w:widowControl w:val="0"/>
      <w:kinsoku w:val="0"/>
      <w:overflowPunct w:val="0"/>
      <w:autoSpaceDE w:val="0"/>
      <w:autoSpaceDN w:val="0"/>
      <w:spacing w:line="0" w:lineRule="atLeast"/>
      <w:jc w:val="distribute"/>
    </w:pPr>
    <w:rPr>
      <w:rFonts w:hint="eastAsia" w:ascii="黑体" w:hAnsi="Times New Roman" w:eastAsia="黑体" w:cs="Times New Roman"/>
      <w:sz w:val="48"/>
    </w:rPr>
  </w:style>
  <w:style w:type="paragraph" w:customStyle="1" w:styleId="31">
    <w:name w:val="标准书脚_奇数页"/>
    <w:qFormat/>
    <w:uiPriority w:val="0"/>
    <w:pPr>
      <w:ind w:right="227"/>
      <w:jc w:val="right"/>
    </w:pPr>
    <w:rPr>
      <w:rFonts w:hint="eastAsia" w:ascii="宋体" w:hAnsi="Times New Roman" w:eastAsia="宋体" w:cs="宋体"/>
      <w:sz w:val="18"/>
    </w:rPr>
  </w:style>
  <w:style w:type="paragraph" w:customStyle="1" w:styleId="32">
    <w:name w:val="标准书脚_偶数页"/>
    <w:uiPriority w:val="0"/>
    <w:pPr>
      <w:ind w:left="227"/>
    </w:pPr>
    <w:rPr>
      <w:rFonts w:hint="eastAsia" w:ascii="宋体" w:hAnsi="Times New Roman" w:eastAsia="宋体" w:cs="宋体"/>
      <w:sz w:val="18"/>
    </w:rPr>
  </w:style>
  <w:style w:type="paragraph" w:customStyle="1" w:styleId="33">
    <w:name w:val="标准书眉_奇数页"/>
    <w:next w:val="1"/>
    <w:qFormat/>
    <w:uiPriority w:val="0"/>
    <w:pPr>
      <w:tabs>
        <w:tab w:val="center" w:pos="4153"/>
        <w:tab w:val="right" w:pos="8306"/>
      </w:tabs>
      <w:spacing w:after="120"/>
      <w:jc w:val="right"/>
    </w:pPr>
    <w:rPr>
      <w:rFonts w:hint="eastAsia" w:ascii="黑体" w:hAnsi="Times New Roman" w:eastAsia="黑体" w:cs="黑体"/>
      <w:sz w:val="21"/>
    </w:rPr>
  </w:style>
  <w:style w:type="paragraph" w:customStyle="1" w:styleId="34">
    <w:name w:val="标准书眉_偶数页"/>
    <w:next w:val="1"/>
    <w:qFormat/>
    <w:uiPriority w:val="0"/>
    <w:pPr>
      <w:spacing w:after="120"/>
    </w:pPr>
    <w:rPr>
      <w:rFonts w:hint="eastAsia" w:ascii="黑体" w:hAnsi="Times New Roman" w:eastAsia="黑体" w:cs="黑体"/>
      <w:sz w:val="21"/>
    </w:rPr>
  </w:style>
  <w:style w:type="paragraph" w:customStyle="1" w:styleId="35">
    <w:name w:val="标准文件_参考文献标题"/>
    <w:basedOn w:val="1"/>
    <w:next w:val="1"/>
    <w:qFormat/>
    <w:uiPriority w:val="0"/>
    <w:pPr>
      <w:widowControl/>
      <w:spacing w:before="126" w:beforeLines="40" w:after="157" w:afterLines="50"/>
      <w:jc w:val="center"/>
      <w:outlineLvl w:val="0"/>
    </w:pPr>
    <w:rPr>
      <w:rFonts w:ascii="黑体" w:hAnsi="Times New Roman" w:eastAsia="黑体" w:cs="黑体"/>
      <w:kern w:val="0"/>
    </w:rPr>
  </w:style>
  <w:style w:type="paragraph" w:customStyle="1" w:styleId="36">
    <w:name w:val="封面标准顶部线"/>
    <w:qFormat/>
    <w:uiPriority w:val="0"/>
    <w:pPr>
      <w:framePr w:w="9673" w:hSpace="181" w:wrap="around" w:vAnchor="page" w:hAnchor="page" w:x="1390" w:y="4242"/>
      <w:spacing w:line="0" w:lineRule="atLeast"/>
    </w:pPr>
    <w:rPr>
      <w:rFonts w:hint="eastAsia" w:ascii="宋体" w:hAnsi="Times New Roman" w:eastAsia="宋体" w:cs="Times New Roman"/>
      <w:sz w:val="21"/>
    </w:rPr>
  </w:style>
  <w:style w:type="paragraph" w:customStyle="1" w:styleId="37">
    <w:name w:val="发布部门"/>
    <w:next w:val="25"/>
    <w:qFormat/>
    <w:uiPriority w:val="0"/>
    <w:pPr>
      <w:framePr w:w="7938" w:h="1134" w:hRule="exact" w:hSpace="125" w:vSpace="181" w:wrap="around" w:vAnchor="page" w:hAnchor="page" w:x="2150" w:y="14630" w:anchorLock="1"/>
      <w:spacing w:before="100"/>
      <w:jc w:val="center"/>
    </w:pPr>
    <w:rPr>
      <w:rFonts w:hint="eastAsia" w:ascii="宋体" w:hAnsi="Times New Roman" w:eastAsia="宋体" w:cs="Times New Roman"/>
      <w:spacing w:val="20"/>
      <w:w w:val="135"/>
      <w:sz w:val="28"/>
    </w:rPr>
  </w:style>
  <w:style w:type="paragraph" w:customStyle="1" w:styleId="38">
    <w:name w:val="发布日期"/>
    <w:qFormat/>
    <w:uiPriority w:val="0"/>
    <w:pPr>
      <w:framePr w:w="3997" w:h="471" w:hRule="exact" w:hSpace="181" w:vSpace="181" w:wrap="around" w:vAnchor="margin" w:hAnchor="page" w:y="14080" w:anchorLock="1"/>
      <w:spacing w:line="360" w:lineRule="exact"/>
    </w:pPr>
    <w:rPr>
      <w:rFonts w:hint="eastAsia" w:ascii="黑体" w:hAnsi="Times New Roman" w:eastAsia="黑体" w:cs="Times New Roman"/>
      <w:sz w:val="28"/>
    </w:rPr>
  </w:style>
  <w:style w:type="paragraph" w:customStyle="1" w:styleId="39">
    <w:name w:val="实施日期"/>
    <w:basedOn w:val="38"/>
    <w:qFormat/>
    <w:uiPriority w:val="0"/>
    <w:pPr>
      <w:framePr w:hSpace="0" w:wrap="around" w:vAnchor="page" w:hAnchor="page" w:x="7089" w:y="14176"/>
      <w:jc w:val="right"/>
    </w:pPr>
  </w:style>
  <w:style w:type="paragraph" w:customStyle="1" w:styleId="40">
    <w:name w:val="封面日期"/>
    <w:qFormat/>
    <w:uiPriority w:val="0"/>
    <w:pPr>
      <w:framePr w:w="9673" w:vSpace="181" w:wrap="around" w:vAnchor="page" w:hAnchor="page" w:x="1419" w:y="14176" w:anchorLock="1"/>
      <w:spacing w:line="360" w:lineRule="exact"/>
    </w:pPr>
    <w:rPr>
      <w:rFonts w:hint="eastAsia" w:ascii="黑体" w:hAnsi="Times New Roman" w:eastAsia="黑体" w:cs="Times New Roman"/>
      <w:sz w:val="28"/>
    </w:rPr>
  </w:style>
  <w:style w:type="paragraph" w:customStyle="1" w:styleId="41">
    <w:name w:val="封面标准代替信息"/>
    <w:uiPriority w:val="0"/>
    <w:pPr>
      <w:framePr w:w="9355" w:h="624" w:hRule="exact" w:hSpace="181" w:vSpace="181" w:wrap="around" w:vAnchor="page" w:hAnchor="page" w:x="1419" w:y="3284"/>
      <w:spacing w:before="57" w:line="280" w:lineRule="exact"/>
      <w:jc w:val="right"/>
    </w:pPr>
    <w:rPr>
      <w:rFonts w:hint="eastAsia" w:ascii="黑体" w:hAnsi="Times New Roman" w:eastAsia="黑体" w:cs="Times New Roman"/>
      <w:sz w:val="21"/>
    </w:rPr>
  </w:style>
  <w:style w:type="paragraph" w:customStyle="1" w:styleId="42">
    <w:name w:val="封面标准号2"/>
    <w:qFormat/>
    <w:uiPriority w:val="0"/>
    <w:pPr>
      <w:framePr w:w="9355" w:h="624" w:hRule="exact" w:hSpace="181" w:vSpace="181" w:wrap="around" w:vAnchor="page" w:hAnchor="page" w:x="1419" w:y="3284"/>
      <w:spacing w:line="280" w:lineRule="exact"/>
      <w:jc w:val="right"/>
    </w:pPr>
    <w:rPr>
      <w:rFonts w:hint="eastAsia" w:ascii="黑体" w:hAnsi="Times New Roman" w:eastAsia="黑体" w:cs="Times New Roman"/>
      <w:sz w:val="28"/>
    </w:rPr>
  </w:style>
  <w:style w:type="paragraph" w:customStyle="1" w:styleId="43">
    <w:name w:val="封面标准名称"/>
    <w:qFormat/>
    <w:uiPriority w:val="0"/>
    <w:pPr>
      <w:framePr w:w="9639" w:h="6974" w:hRule="exact" w:wrap="around" w:vAnchor="page" w:hAnchor="page" w:x="1419" w:y="6408"/>
      <w:spacing w:line="700" w:lineRule="exact"/>
      <w:jc w:val="center"/>
    </w:pPr>
    <w:rPr>
      <w:rFonts w:hint="eastAsia" w:ascii="黑体" w:hAnsi="Times New Roman" w:eastAsia="黑体" w:cs="Times New Roman"/>
      <w:sz w:val="52"/>
    </w:rPr>
  </w:style>
  <w:style w:type="paragraph" w:customStyle="1" w:styleId="44">
    <w:name w:val="封面标准英文名称"/>
    <w:basedOn w:val="43"/>
    <w:qFormat/>
    <w:uiPriority w:val="0"/>
    <w:pPr>
      <w:widowControl w:val="0"/>
      <w:spacing w:before="410" w:line="360" w:lineRule="exact"/>
      <w:textAlignment w:val="bottom"/>
    </w:pPr>
    <w:rPr>
      <w:rFonts w:ascii="Times New Roman" w:hAnsi="Times New Roman" w:cs="Times New Roman"/>
      <w:sz w:val="28"/>
    </w:rPr>
  </w:style>
  <w:style w:type="paragraph" w:customStyle="1" w:styleId="45">
    <w:name w:val="封面一致性程度标识"/>
    <w:basedOn w:val="44"/>
    <w:qFormat/>
    <w:uiPriority w:val="0"/>
    <w:pPr>
      <w:spacing w:before="760"/>
    </w:pPr>
  </w:style>
  <w:style w:type="paragraph" w:customStyle="1" w:styleId="46">
    <w:name w:val="封面标准文稿类别"/>
    <w:basedOn w:val="45"/>
    <w:qFormat/>
    <w:uiPriority w:val="0"/>
    <w:pPr>
      <w:spacing w:before="440" w:after="160"/>
    </w:pPr>
    <w:rPr>
      <w:rFonts w:ascii="黑体" w:hAnsi="黑体" w:cs="黑体"/>
      <w:sz w:val="24"/>
    </w:rPr>
  </w:style>
  <w:style w:type="paragraph" w:customStyle="1" w:styleId="47">
    <w:name w:val="封面标准文稿编辑信息"/>
    <w:basedOn w:val="46"/>
    <w:qFormat/>
    <w:uiPriority w:val="0"/>
    <w:pPr>
      <w:spacing w:before="180" w:line="240" w:lineRule="atLeast"/>
    </w:pPr>
    <w:rPr>
      <w:sz w:val="21"/>
    </w:rPr>
  </w:style>
  <w:style w:type="paragraph" w:customStyle="1" w:styleId="48">
    <w:name w:val="封面标准文稿附件"/>
    <w:basedOn w:val="46"/>
    <w:qFormat/>
    <w:uiPriority w:val="0"/>
    <w:pPr>
      <w:spacing w:before="937" w:beforeLines="300" w:afterLines="30" w:line="240" w:lineRule="auto"/>
    </w:pPr>
    <w:rPr>
      <w:rFonts w:ascii="Times New Roman" w:hAnsi="Times New Roman" w:cs="Times New Roman"/>
      <w:b/>
      <w:sz w:val="21"/>
    </w:rPr>
  </w:style>
  <w:style w:type="paragraph" w:customStyle="1" w:styleId="49">
    <w:name w:val="其他发布部门"/>
    <w:basedOn w:val="37"/>
    <w:qFormat/>
    <w:uiPriority w:val="0"/>
    <w:pPr>
      <w:framePr w:wrap="around" w:y="15310"/>
      <w:spacing w:line="0" w:lineRule="atLeast"/>
    </w:pPr>
    <w:rPr>
      <w:rFonts w:ascii="黑体" w:hAnsi="黑体" w:eastAsia="黑体" w:cs="黑体"/>
    </w:rPr>
  </w:style>
  <w:style w:type="paragraph" w:customStyle="1" w:styleId="50">
    <w:name w:val="其他发布部门2"/>
    <w:basedOn w:val="37"/>
    <w:qFormat/>
    <w:uiPriority w:val="0"/>
    <w:pPr>
      <w:framePr w:w="7433" w:h="584" w:hRule="exact" w:hSpace="181" w:wrap="around" w:vAnchor="margin" w:hAnchor="margin" w:xAlign="center" w:y="15027"/>
      <w:spacing w:line="0" w:lineRule="atLeast"/>
    </w:pPr>
    <w:rPr>
      <w:rFonts w:ascii="黑体" w:hAnsi="黑体" w:eastAsia="黑体" w:cs="Times New Roman"/>
      <w:spacing w:val="0"/>
      <w:w w:val="100"/>
    </w:rPr>
  </w:style>
  <w:style w:type="paragraph" w:customStyle="1" w:styleId="51">
    <w:name w:val="其他发布部门3"/>
    <w:qFormat/>
    <w:uiPriority w:val="0"/>
    <w:pPr>
      <w:framePr w:w="9248" w:h="1259" w:hRule="exact" w:hSpace="181" w:vSpace="181" w:wrap="auto" w:vAnchor="margin" w:hAnchor="margin" w:xAlign="center" w:y="14545"/>
      <w:spacing w:line="0" w:lineRule="atLeast"/>
      <w:jc w:val="center"/>
    </w:pPr>
    <w:rPr>
      <w:rFonts w:hint="eastAsia" w:ascii="黑体" w:hAnsi="Times New Roman" w:eastAsia="黑体" w:cs="Times New Roman"/>
      <w:sz w:val="28"/>
    </w:rPr>
  </w:style>
  <w:style w:type="paragraph" w:customStyle="1" w:styleId="52">
    <w:name w:val="其他发布日期"/>
    <w:basedOn w:val="38"/>
    <w:qFormat/>
    <w:uiPriority w:val="0"/>
    <w:pPr>
      <w:framePr w:hSpace="0" w:wrap="around" w:vAnchor="page" w:hAnchor="page" w:x="1419" w:y="14176"/>
    </w:pPr>
  </w:style>
  <w:style w:type="paragraph" w:customStyle="1" w:styleId="53">
    <w:name w:val="其他实施日期"/>
    <w:basedOn w:val="39"/>
    <w:qFormat/>
    <w:uiPriority w:val="0"/>
  </w:style>
  <w:style w:type="paragraph" w:customStyle="1" w:styleId="54">
    <w:name w:val="文献分类号"/>
    <w:qFormat/>
    <w:uiPriority w:val="0"/>
    <w:pPr>
      <w:framePr w:wrap="around" w:vAnchor="page" w:hAnchor="page" w:x="1373" w:y="568"/>
      <w:widowControl w:val="0"/>
      <w:textAlignment w:val="center"/>
    </w:pPr>
    <w:rPr>
      <w:rFonts w:hint="eastAsia" w:ascii="黑体" w:hAnsi="Times New Roman" w:eastAsia="黑体" w:cs="Times New Roman"/>
      <w:kern w:val="21"/>
      <w:sz w:val="21"/>
    </w:rPr>
  </w:style>
  <w:style w:type="paragraph" w:customStyle="1" w:styleId="55">
    <w:name w:val="标准文件_目录标题"/>
    <w:basedOn w:val="1"/>
    <w:qFormat/>
    <w:uiPriority w:val="0"/>
    <w:pPr>
      <w:shd w:val="clear" w:fill="FFFFFF"/>
      <w:spacing w:after="469" w:afterLines="150"/>
      <w:jc w:val="center"/>
    </w:pPr>
    <w:rPr>
      <w:rFonts w:ascii="黑体" w:hAnsi="Times New Roman" w:eastAsia="黑体" w:cs="黑体"/>
      <w:kern w:val="0"/>
      <w:sz w:val="32"/>
    </w:rPr>
  </w:style>
  <w:style w:type="paragraph" w:customStyle="1" w:styleId="56">
    <w:name w:val="标准文件_前言、引言标题"/>
    <w:next w:val="1"/>
    <w:qFormat/>
    <w:uiPriority w:val="0"/>
    <w:pPr>
      <w:numPr>
        <w:ilvl w:val="0"/>
        <w:numId w:val="4"/>
      </w:numPr>
      <w:suppressAutoHyphens w:val="0"/>
      <w:spacing w:after="469" w:afterLines="150"/>
      <w:ind w:left="425" w:hanging="425"/>
      <w:jc w:val="center"/>
      <w:outlineLvl w:val="0"/>
    </w:pPr>
    <w:rPr>
      <w:rFonts w:hint="eastAsia" w:ascii="黑体" w:hAnsi="Times New Roman" w:eastAsia="黑体" w:cs="黑体"/>
      <w:sz w:val="32"/>
    </w:rPr>
  </w:style>
  <w:style w:type="paragraph" w:customStyle="1" w:styleId="57">
    <w:name w:val="标准文件_正文标准名称"/>
    <w:basedOn w:val="1"/>
    <w:link w:val="121"/>
    <w:qFormat/>
    <w:uiPriority w:val="0"/>
    <w:pPr>
      <w:widowControl/>
      <w:suppressAutoHyphens w:val="0"/>
      <w:spacing w:after="640" w:line="400" w:lineRule="exact"/>
      <w:jc w:val="center"/>
    </w:pPr>
    <w:rPr>
      <w:rFonts w:ascii="黑体" w:hAnsi="黑体" w:eastAsia="黑体" w:cs="黑体"/>
      <w:sz w:val="32"/>
    </w:rPr>
  </w:style>
  <w:style w:type="paragraph" w:customStyle="1" w:styleId="58">
    <w:name w:val="标准文件_一级项"/>
    <w:next w:val="25"/>
    <w:qFormat/>
    <w:uiPriority w:val="0"/>
    <w:pPr>
      <w:numPr>
        <w:ilvl w:val="0"/>
        <w:numId w:val="5"/>
      </w:numPr>
      <w:suppressAutoHyphens w:val="0"/>
      <w:ind w:left="851" w:hanging="426"/>
    </w:pPr>
    <w:rPr>
      <w:rFonts w:hint="eastAsia" w:ascii="宋体" w:hAnsi="Times New Roman" w:eastAsia="宋体" w:cs="宋体"/>
      <w:sz w:val="21"/>
    </w:rPr>
  </w:style>
  <w:style w:type="paragraph" w:customStyle="1" w:styleId="59">
    <w:name w:val="标准文件_二级项2"/>
    <w:basedOn w:val="25"/>
    <w:next w:val="25"/>
    <w:qFormat/>
    <w:uiPriority w:val="0"/>
    <w:pPr>
      <w:numPr>
        <w:ilvl w:val="1"/>
        <w:numId w:val="5"/>
      </w:numPr>
      <w:suppressAutoHyphens w:val="0"/>
      <w:ind w:left="1270" w:hanging="419"/>
    </w:pPr>
    <w:rPr>
      <w:rFonts w:hAnsi="Times New Roman"/>
    </w:rPr>
  </w:style>
  <w:style w:type="paragraph" w:customStyle="1" w:styleId="60">
    <w:name w:val="标准文件_三级项"/>
    <w:basedOn w:val="1"/>
    <w:next w:val="25"/>
    <w:qFormat/>
    <w:uiPriority w:val="0"/>
    <w:pPr>
      <w:numPr>
        <w:ilvl w:val="2"/>
        <w:numId w:val="6"/>
      </w:numPr>
      <w:suppressAutoHyphens w:val="0"/>
      <w:spacing w:line="300" w:lineRule="exact"/>
      <w:ind w:left="1678" w:hanging="414"/>
    </w:pPr>
    <w:rPr>
      <w:rFonts w:hAnsi="+西文正文"/>
    </w:rPr>
  </w:style>
  <w:style w:type="paragraph" w:customStyle="1" w:styleId="61">
    <w:name w:val="标准文件_字母编号列项（一级）"/>
    <w:next w:val="25"/>
    <w:qFormat/>
    <w:uiPriority w:val="0"/>
    <w:pPr>
      <w:numPr>
        <w:ilvl w:val="0"/>
        <w:numId w:val="6"/>
      </w:numPr>
      <w:tabs>
        <w:tab w:val="left" w:pos="839"/>
      </w:tabs>
      <w:ind w:left="851" w:hanging="426"/>
      <w:jc w:val="both"/>
    </w:pPr>
    <w:rPr>
      <w:rFonts w:hint="eastAsia" w:ascii="宋体" w:hAnsi="Times New Roman" w:eastAsia="宋体" w:cs="宋体"/>
      <w:sz w:val="21"/>
    </w:rPr>
  </w:style>
  <w:style w:type="paragraph" w:customStyle="1" w:styleId="62">
    <w:name w:val="标准文件_数字编号列项（二级）"/>
    <w:next w:val="25"/>
    <w:qFormat/>
    <w:uiPriority w:val="0"/>
    <w:pPr>
      <w:numPr>
        <w:ilvl w:val="1"/>
        <w:numId w:val="6"/>
      </w:numPr>
      <w:tabs>
        <w:tab w:val="left" w:pos="1259"/>
      </w:tabs>
      <w:ind w:left="1276" w:hanging="425"/>
      <w:jc w:val="both"/>
    </w:pPr>
    <w:rPr>
      <w:rFonts w:hint="eastAsia" w:ascii="宋体" w:hAnsi="Times New Roman" w:eastAsia="宋体" w:cs="Times New Roman"/>
      <w:sz w:val="21"/>
    </w:rPr>
  </w:style>
  <w:style w:type="paragraph" w:customStyle="1" w:styleId="63">
    <w:name w:val="标准文件_引言一级条标题"/>
    <w:basedOn w:val="25"/>
    <w:next w:val="25"/>
    <w:qFormat/>
    <w:uiPriority w:val="0"/>
    <w:pPr>
      <w:numPr>
        <w:ilvl w:val="1"/>
        <w:numId w:val="4"/>
      </w:numPr>
      <w:spacing w:before="157" w:beforeLines="50" w:after="157" w:afterLines="50"/>
    </w:pPr>
    <w:rPr>
      <w:rFonts w:ascii="黑体" w:hAnsi="黑体" w:eastAsia="黑体" w:cs="黑体"/>
    </w:rPr>
  </w:style>
  <w:style w:type="paragraph" w:customStyle="1" w:styleId="64">
    <w:name w:val="标准文件_引言二级条标题"/>
    <w:basedOn w:val="25"/>
    <w:next w:val="25"/>
    <w:qFormat/>
    <w:uiPriority w:val="0"/>
    <w:pPr>
      <w:numPr>
        <w:ilvl w:val="2"/>
        <w:numId w:val="4"/>
      </w:numPr>
      <w:spacing w:before="157" w:beforeLines="50" w:after="157" w:afterLines="50"/>
    </w:pPr>
    <w:rPr>
      <w:rFonts w:ascii="黑体" w:hAnsi="黑体" w:eastAsia="黑体" w:cs="黑体"/>
    </w:rPr>
  </w:style>
  <w:style w:type="paragraph" w:customStyle="1" w:styleId="65">
    <w:name w:val="标准文件_引言三级条标题"/>
    <w:basedOn w:val="25"/>
    <w:next w:val="25"/>
    <w:qFormat/>
    <w:uiPriority w:val="0"/>
    <w:pPr>
      <w:numPr>
        <w:ilvl w:val="3"/>
        <w:numId w:val="4"/>
      </w:numPr>
      <w:spacing w:before="157" w:beforeLines="50" w:after="157" w:afterLines="50"/>
    </w:pPr>
    <w:rPr>
      <w:rFonts w:ascii="黑体" w:hAnsi="黑体" w:eastAsia="黑体" w:cs="黑体"/>
    </w:rPr>
  </w:style>
  <w:style w:type="paragraph" w:customStyle="1" w:styleId="66">
    <w:name w:val="标准文件_引言四级条标题"/>
    <w:basedOn w:val="25"/>
    <w:next w:val="25"/>
    <w:qFormat/>
    <w:uiPriority w:val="0"/>
    <w:pPr>
      <w:numPr>
        <w:ilvl w:val="4"/>
        <w:numId w:val="4"/>
      </w:numPr>
      <w:spacing w:before="157" w:beforeLines="50" w:after="157" w:afterLines="50"/>
    </w:pPr>
    <w:rPr>
      <w:rFonts w:ascii="黑体" w:hAnsi="黑体" w:eastAsia="黑体" w:cs="黑体"/>
    </w:rPr>
  </w:style>
  <w:style w:type="paragraph" w:customStyle="1" w:styleId="67">
    <w:name w:val="标准文件_引言五级条标题"/>
    <w:basedOn w:val="25"/>
    <w:next w:val="25"/>
    <w:qFormat/>
    <w:uiPriority w:val="0"/>
    <w:pPr>
      <w:numPr>
        <w:ilvl w:val="5"/>
        <w:numId w:val="4"/>
      </w:numPr>
      <w:spacing w:before="157" w:beforeLines="50" w:after="157" w:afterLines="50"/>
    </w:pPr>
    <w:rPr>
      <w:rFonts w:ascii="黑体" w:hAnsi="黑体" w:eastAsia="黑体" w:cs="黑体"/>
    </w:rPr>
  </w:style>
  <w:style w:type="paragraph" w:customStyle="1" w:styleId="68">
    <w:name w:val="标准文件_引言一级无标题"/>
    <w:basedOn w:val="63"/>
    <w:next w:val="25"/>
    <w:qFormat/>
    <w:uiPriority w:val="0"/>
    <w:pPr>
      <w:spacing w:before="4" w:beforeLines="1" w:after="4" w:afterLines="1" w:line="276" w:lineRule="auto"/>
    </w:pPr>
    <w:rPr>
      <w:rFonts w:ascii="宋体" w:hAnsi="宋体" w:eastAsia="宋体" w:cs="宋体"/>
    </w:rPr>
  </w:style>
  <w:style w:type="paragraph" w:customStyle="1" w:styleId="69">
    <w:name w:val="标准文件_引言二级无标题"/>
    <w:basedOn w:val="64"/>
    <w:next w:val="25"/>
    <w:qFormat/>
    <w:uiPriority w:val="0"/>
    <w:pPr>
      <w:spacing w:before="4" w:beforeLines="1" w:after="4" w:afterLines="1" w:line="276" w:lineRule="auto"/>
    </w:pPr>
    <w:rPr>
      <w:rFonts w:ascii="宋体" w:hAnsi="宋体" w:eastAsia="宋体" w:cs="宋体"/>
    </w:rPr>
  </w:style>
  <w:style w:type="paragraph" w:customStyle="1" w:styleId="70">
    <w:name w:val="标准文件_引言三级无标题"/>
    <w:basedOn w:val="65"/>
    <w:next w:val="25"/>
    <w:qFormat/>
    <w:uiPriority w:val="0"/>
    <w:pPr>
      <w:spacing w:before="4" w:beforeLines="1" w:after="4" w:afterLines="1" w:line="276" w:lineRule="auto"/>
    </w:pPr>
    <w:rPr>
      <w:rFonts w:ascii="宋体" w:hAnsi="宋体" w:eastAsia="宋体" w:cs="宋体"/>
    </w:rPr>
  </w:style>
  <w:style w:type="paragraph" w:customStyle="1" w:styleId="71">
    <w:name w:val="标准文件_引言四级无标题"/>
    <w:basedOn w:val="66"/>
    <w:next w:val="25"/>
    <w:qFormat/>
    <w:uiPriority w:val="0"/>
    <w:pPr>
      <w:spacing w:before="4" w:beforeLines="1" w:after="4" w:afterLines="1" w:line="276" w:lineRule="auto"/>
    </w:pPr>
    <w:rPr>
      <w:rFonts w:ascii="宋体" w:hAnsi="宋体" w:eastAsia="宋体" w:cs="宋体"/>
    </w:rPr>
  </w:style>
  <w:style w:type="paragraph" w:customStyle="1" w:styleId="72">
    <w:name w:val="标准文件_引言五级无标题"/>
    <w:basedOn w:val="67"/>
    <w:next w:val="25"/>
    <w:qFormat/>
    <w:uiPriority w:val="0"/>
    <w:pPr>
      <w:spacing w:before="4" w:beforeLines="1" w:after="4" w:afterLines="1" w:line="276" w:lineRule="auto"/>
    </w:pPr>
    <w:rPr>
      <w:rFonts w:ascii="宋体" w:hAnsi="宋体" w:eastAsia="宋体" w:cs="宋体"/>
    </w:rPr>
  </w:style>
  <w:style w:type="paragraph" w:customStyle="1" w:styleId="73">
    <w:name w:val="标准文件_章标题"/>
    <w:next w:val="25"/>
    <w:qFormat/>
    <w:uiPriority w:val="0"/>
    <w:pPr>
      <w:numPr>
        <w:ilvl w:val="0"/>
        <w:numId w:val="7"/>
      </w:numPr>
      <w:suppressAutoHyphens w:val="0"/>
      <w:spacing w:before="313" w:beforeLines="100" w:after="313" w:afterLines="100"/>
      <w:jc w:val="both"/>
      <w:outlineLvl w:val="0"/>
    </w:pPr>
    <w:rPr>
      <w:rFonts w:hint="eastAsia" w:ascii="黑体" w:hAnsi="Times New Roman" w:eastAsia="黑体" w:cs="黑体"/>
      <w:sz w:val="21"/>
    </w:rPr>
  </w:style>
  <w:style w:type="paragraph" w:customStyle="1" w:styleId="74">
    <w:name w:val="标准文件_一级条标题"/>
    <w:basedOn w:val="73"/>
    <w:next w:val="25"/>
    <w:qFormat/>
    <w:uiPriority w:val="0"/>
    <w:pPr>
      <w:numPr>
        <w:ilvl w:val="1"/>
      </w:numPr>
      <w:spacing w:before="157" w:beforeLines="50" w:after="157" w:afterLines="50"/>
      <w:outlineLvl w:val="1"/>
    </w:pPr>
    <w:rPr>
      <w:rFonts w:hAnsi="Times New Roman"/>
    </w:rPr>
  </w:style>
  <w:style w:type="paragraph" w:customStyle="1" w:styleId="75">
    <w:name w:val="标准文件_二级条标题"/>
    <w:next w:val="25"/>
    <w:qFormat/>
    <w:uiPriority w:val="0"/>
    <w:pPr>
      <w:numPr>
        <w:ilvl w:val="2"/>
        <w:numId w:val="7"/>
      </w:numPr>
      <w:suppressAutoHyphens w:val="0"/>
      <w:spacing w:before="157" w:beforeLines="50" w:after="157" w:afterLines="50"/>
      <w:jc w:val="both"/>
      <w:outlineLvl w:val="2"/>
    </w:pPr>
    <w:rPr>
      <w:rFonts w:hint="eastAsia" w:ascii="黑体" w:hAnsi="黑体" w:eastAsia="黑体" w:cs="黑体"/>
      <w:sz w:val="21"/>
    </w:rPr>
  </w:style>
  <w:style w:type="paragraph" w:customStyle="1" w:styleId="76">
    <w:name w:val="标准文件_三级条标题"/>
    <w:basedOn w:val="75"/>
    <w:next w:val="25"/>
    <w:qFormat/>
    <w:uiPriority w:val="0"/>
    <w:pPr>
      <w:numPr>
        <w:ilvl w:val="3"/>
      </w:numPr>
      <w:spacing w:before="157" w:after="157"/>
      <w:ind w:firstLine="0"/>
      <w:outlineLvl w:val="3"/>
    </w:pPr>
  </w:style>
  <w:style w:type="paragraph" w:customStyle="1" w:styleId="77">
    <w:name w:val="标准文件_四级条标题"/>
    <w:next w:val="25"/>
    <w:qFormat/>
    <w:uiPriority w:val="0"/>
    <w:pPr>
      <w:numPr>
        <w:ilvl w:val="4"/>
        <w:numId w:val="7"/>
      </w:numPr>
      <w:suppressAutoHyphens w:val="0"/>
      <w:spacing w:before="157" w:beforeLines="50" w:after="157" w:afterLines="50"/>
      <w:jc w:val="both"/>
      <w:outlineLvl w:val="4"/>
    </w:pPr>
    <w:rPr>
      <w:rFonts w:hint="eastAsia" w:ascii="黑体" w:hAnsi="黑体" w:eastAsia="黑体" w:cs="黑体"/>
      <w:sz w:val="21"/>
    </w:rPr>
  </w:style>
  <w:style w:type="paragraph" w:customStyle="1" w:styleId="78">
    <w:name w:val="标准文件_五级条标题"/>
    <w:next w:val="25"/>
    <w:qFormat/>
    <w:uiPriority w:val="0"/>
    <w:pPr>
      <w:numPr>
        <w:ilvl w:val="5"/>
        <w:numId w:val="7"/>
      </w:numPr>
      <w:suppressAutoHyphens w:val="0"/>
      <w:spacing w:before="157" w:beforeLines="50" w:after="157" w:afterLines="50"/>
      <w:jc w:val="both"/>
      <w:outlineLvl w:val="4"/>
    </w:pPr>
    <w:rPr>
      <w:rFonts w:hint="eastAsia" w:ascii="黑体" w:hAnsi="黑体" w:eastAsia="黑体" w:cs="黑体"/>
      <w:sz w:val="21"/>
    </w:rPr>
  </w:style>
  <w:style w:type="paragraph" w:customStyle="1" w:styleId="79">
    <w:name w:val="标准文件_一级无标题"/>
    <w:basedOn w:val="74"/>
    <w:qFormat/>
    <w:uiPriority w:val="0"/>
    <w:pPr>
      <w:spacing w:before="4" w:beforeLines="1" w:after="4" w:afterLines="1"/>
      <w:outlineLvl w:val="9"/>
    </w:pPr>
    <w:rPr>
      <w:rFonts w:ascii="宋体" w:hAnsi="宋体" w:eastAsia="宋体" w:cs="宋体"/>
    </w:rPr>
  </w:style>
  <w:style w:type="paragraph" w:customStyle="1" w:styleId="80">
    <w:name w:val="标准文件_二级无标题"/>
    <w:basedOn w:val="75"/>
    <w:qFormat/>
    <w:uiPriority w:val="0"/>
    <w:pPr>
      <w:spacing w:before="4" w:beforeLines="1" w:after="4" w:afterLines="1"/>
      <w:outlineLvl w:val="9"/>
    </w:pPr>
    <w:rPr>
      <w:rFonts w:ascii="宋体" w:hAnsi="宋体" w:eastAsia="宋体" w:cs="宋体"/>
    </w:rPr>
  </w:style>
  <w:style w:type="paragraph" w:customStyle="1" w:styleId="81">
    <w:name w:val="标准文件_三级无标题"/>
    <w:basedOn w:val="76"/>
    <w:qFormat/>
    <w:uiPriority w:val="0"/>
    <w:pPr>
      <w:spacing w:before="4" w:beforeLines="1" w:after="4" w:afterLines="1"/>
      <w:outlineLvl w:val="9"/>
    </w:pPr>
    <w:rPr>
      <w:rFonts w:ascii="宋体" w:hAnsi="宋体" w:eastAsia="宋体" w:cs="宋体"/>
    </w:rPr>
  </w:style>
  <w:style w:type="paragraph" w:customStyle="1" w:styleId="82">
    <w:name w:val="标准文件_四级无标题"/>
    <w:basedOn w:val="77"/>
    <w:qFormat/>
    <w:uiPriority w:val="0"/>
    <w:pPr>
      <w:spacing w:before="4" w:beforeLines="1" w:after="4" w:afterLines="1"/>
      <w:outlineLvl w:val="9"/>
    </w:pPr>
    <w:rPr>
      <w:rFonts w:ascii="宋体" w:hAnsi="宋体" w:eastAsia="宋体" w:cs="宋体"/>
    </w:rPr>
  </w:style>
  <w:style w:type="paragraph" w:customStyle="1" w:styleId="83">
    <w:name w:val="标准文件_五级无标题"/>
    <w:basedOn w:val="78"/>
    <w:qFormat/>
    <w:uiPriority w:val="0"/>
    <w:pPr>
      <w:spacing w:before="4" w:beforeLines="1" w:after="4" w:afterLines="1"/>
      <w:outlineLvl w:val="9"/>
    </w:pPr>
    <w:rPr>
      <w:rFonts w:ascii="宋体" w:hAnsi="宋体" w:eastAsia="宋体" w:cs="宋体"/>
    </w:rPr>
  </w:style>
  <w:style w:type="paragraph" w:customStyle="1" w:styleId="84">
    <w:name w:val="标准文件_术语条一"/>
    <w:basedOn w:val="79"/>
    <w:next w:val="25"/>
    <w:qFormat/>
    <w:uiPriority w:val="0"/>
    <w:pPr>
      <w:ind w:left="1280" w:hanging="1280" w:hangingChars="200"/>
    </w:pPr>
    <w:rPr>
      <w:rFonts w:ascii="黑体" w:hAnsi="黑体" w:eastAsia="黑体" w:cs="黑体"/>
    </w:rPr>
  </w:style>
  <w:style w:type="paragraph" w:customStyle="1" w:styleId="85">
    <w:name w:val="标准文件_术语条二"/>
    <w:basedOn w:val="80"/>
    <w:next w:val="25"/>
    <w:qFormat/>
    <w:uiPriority w:val="0"/>
    <w:pPr>
      <w:ind w:left="1280" w:hanging="1280" w:hangingChars="200"/>
    </w:pPr>
    <w:rPr>
      <w:rFonts w:ascii="黑体" w:hAnsi="黑体" w:eastAsia="黑体" w:cs="黑体"/>
    </w:rPr>
  </w:style>
  <w:style w:type="paragraph" w:customStyle="1" w:styleId="86">
    <w:name w:val="标准文件_术语条三"/>
    <w:basedOn w:val="81"/>
    <w:next w:val="25"/>
    <w:qFormat/>
    <w:uiPriority w:val="0"/>
    <w:pPr>
      <w:ind w:left="1280" w:hanging="1280" w:hangingChars="200"/>
    </w:pPr>
    <w:rPr>
      <w:rFonts w:ascii="黑体" w:hAnsi="黑体" w:eastAsia="黑体" w:cs="黑体"/>
    </w:rPr>
  </w:style>
  <w:style w:type="paragraph" w:customStyle="1" w:styleId="87">
    <w:name w:val="标准文件_术语条四"/>
    <w:basedOn w:val="82"/>
    <w:next w:val="25"/>
    <w:qFormat/>
    <w:uiPriority w:val="0"/>
    <w:pPr>
      <w:ind w:left="1280" w:hanging="1280" w:hangingChars="200"/>
    </w:pPr>
    <w:rPr>
      <w:rFonts w:ascii="黑体" w:hAnsi="黑体" w:eastAsia="黑体" w:cs="黑体"/>
    </w:rPr>
  </w:style>
  <w:style w:type="paragraph" w:customStyle="1" w:styleId="88">
    <w:name w:val="标准文件_术语条五"/>
    <w:basedOn w:val="83"/>
    <w:next w:val="25"/>
    <w:qFormat/>
    <w:uiPriority w:val="0"/>
    <w:pPr>
      <w:ind w:left="1280" w:hanging="1280" w:hangingChars="200"/>
    </w:pPr>
    <w:rPr>
      <w:rFonts w:ascii="黑体" w:hAnsi="黑体" w:eastAsia="黑体" w:cs="黑体"/>
    </w:rPr>
  </w:style>
  <w:style w:type="paragraph" w:customStyle="1" w:styleId="89">
    <w:name w:val="标准文件_附录标识"/>
    <w:basedOn w:val="1"/>
    <w:next w:val="25"/>
    <w:qFormat/>
    <w:uiPriority w:val="0"/>
    <w:pPr>
      <w:widowControl/>
      <w:numPr>
        <w:ilvl w:val="0"/>
        <w:numId w:val="8"/>
      </w:numPr>
      <w:suppressAutoHyphens w:val="0"/>
      <w:spacing w:before="79" w:beforeLines="25" w:after="157" w:afterLines="50"/>
      <w:jc w:val="center"/>
      <w:outlineLvl w:val="0"/>
    </w:pPr>
    <w:rPr>
      <w:rFonts w:ascii="黑体" w:hAnsi="黑体" w:eastAsia="黑体" w:cs="黑体"/>
    </w:rPr>
  </w:style>
  <w:style w:type="paragraph" w:customStyle="1" w:styleId="90">
    <w:name w:val="标准文件_附录一级条标题"/>
    <w:next w:val="25"/>
    <w:qFormat/>
    <w:uiPriority w:val="0"/>
    <w:pPr>
      <w:numPr>
        <w:ilvl w:val="1"/>
        <w:numId w:val="8"/>
      </w:numPr>
      <w:suppressAutoHyphens w:val="0"/>
      <w:spacing w:before="157" w:beforeLines="50" w:after="157" w:afterLines="50"/>
      <w:jc w:val="both"/>
      <w:outlineLvl w:val="2"/>
    </w:pPr>
    <w:rPr>
      <w:rFonts w:hint="eastAsia" w:ascii="黑体" w:hAnsi="黑体" w:eastAsia="黑体" w:cs="黑体"/>
      <w:sz w:val="21"/>
    </w:rPr>
  </w:style>
  <w:style w:type="paragraph" w:customStyle="1" w:styleId="91">
    <w:name w:val="标准文件_附录二级条标题"/>
    <w:next w:val="25"/>
    <w:qFormat/>
    <w:uiPriority w:val="0"/>
    <w:pPr>
      <w:numPr>
        <w:ilvl w:val="2"/>
        <w:numId w:val="8"/>
      </w:numPr>
      <w:suppressAutoHyphens w:val="0"/>
      <w:spacing w:before="157" w:beforeLines="50" w:after="157" w:afterLines="50"/>
      <w:jc w:val="both"/>
      <w:outlineLvl w:val="2"/>
    </w:pPr>
    <w:rPr>
      <w:rFonts w:hint="eastAsia" w:ascii="黑体" w:hAnsi="黑体" w:eastAsia="黑体" w:cs="黑体"/>
      <w:sz w:val="21"/>
    </w:rPr>
  </w:style>
  <w:style w:type="paragraph" w:customStyle="1" w:styleId="92">
    <w:name w:val="标准文件_附录三级条标题"/>
    <w:next w:val="25"/>
    <w:qFormat/>
    <w:uiPriority w:val="0"/>
    <w:pPr>
      <w:numPr>
        <w:ilvl w:val="3"/>
        <w:numId w:val="8"/>
      </w:numPr>
      <w:suppressAutoHyphens w:val="0"/>
      <w:spacing w:before="157" w:beforeLines="50" w:after="157" w:afterLines="50"/>
      <w:jc w:val="both"/>
      <w:outlineLvl w:val="2"/>
    </w:pPr>
    <w:rPr>
      <w:rFonts w:hint="eastAsia" w:ascii="黑体" w:hAnsi="黑体" w:eastAsia="黑体" w:cs="黑体"/>
      <w:sz w:val="21"/>
    </w:rPr>
  </w:style>
  <w:style w:type="paragraph" w:customStyle="1" w:styleId="93">
    <w:name w:val="标准文件_附录四级条标题"/>
    <w:next w:val="25"/>
    <w:qFormat/>
    <w:uiPriority w:val="0"/>
    <w:pPr>
      <w:numPr>
        <w:ilvl w:val="4"/>
        <w:numId w:val="8"/>
      </w:numPr>
      <w:suppressAutoHyphens w:val="0"/>
      <w:spacing w:before="157" w:beforeLines="50" w:after="157" w:afterLines="50"/>
      <w:jc w:val="both"/>
      <w:outlineLvl w:val="2"/>
    </w:pPr>
    <w:rPr>
      <w:rFonts w:hint="eastAsia" w:ascii="黑体" w:hAnsi="黑体" w:eastAsia="黑体" w:cs="黑体"/>
      <w:sz w:val="21"/>
    </w:rPr>
  </w:style>
  <w:style w:type="paragraph" w:customStyle="1" w:styleId="94">
    <w:name w:val="标准文件_附录五级条标题"/>
    <w:next w:val="25"/>
    <w:qFormat/>
    <w:uiPriority w:val="0"/>
    <w:pPr>
      <w:numPr>
        <w:ilvl w:val="5"/>
        <w:numId w:val="8"/>
      </w:numPr>
      <w:suppressAutoHyphens w:val="0"/>
      <w:spacing w:before="157" w:beforeLines="50" w:after="157" w:afterLines="50"/>
      <w:jc w:val="both"/>
      <w:outlineLvl w:val="2"/>
    </w:pPr>
    <w:rPr>
      <w:rFonts w:hint="eastAsia" w:ascii="黑体" w:hAnsi="黑体" w:eastAsia="黑体" w:cs="黑体"/>
      <w:sz w:val="21"/>
    </w:rPr>
  </w:style>
  <w:style w:type="paragraph" w:customStyle="1" w:styleId="95">
    <w:name w:val="标准文件_附录一级无标题"/>
    <w:basedOn w:val="90"/>
    <w:qFormat/>
    <w:uiPriority w:val="0"/>
    <w:pPr>
      <w:spacing w:before="4" w:beforeLines="1" w:after="4" w:afterLines="1" w:line="276" w:lineRule="auto"/>
    </w:pPr>
    <w:rPr>
      <w:rFonts w:ascii="宋体" w:hAnsi="宋体" w:eastAsia="宋体" w:cs="宋体"/>
    </w:rPr>
  </w:style>
  <w:style w:type="paragraph" w:customStyle="1" w:styleId="96">
    <w:name w:val="标准文件_附录二级无标题"/>
    <w:basedOn w:val="91"/>
    <w:qFormat/>
    <w:uiPriority w:val="0"/>
    <w:pPr>
      <w:spacing w:before="4" w:beforeLines="1" w:after="4" w:afterLines="1" w:line="276" w:lineRule="auto"/>
    </w:pPr>
    <w:rPr>
      <w:rFonts w:ascii="宋体" w:hAnsi="宋体" w:eastAsia="宋体" w:cs="宋体"/>
    </w:rPr>
  </w:style>
  <w:style w:type="paragraph" w:customStyle="1" w:styleId="97">
    <w:name w:val="标准文件_附录三级无标题"/>
    <w:basedOn w:val="92"/>
    <w:qFormat/>
    <w:uiPriority w:val="0"/>
    <w:pPr>
      <w:spacing w:before="4" w:beforeLines="1" w:after="4" w:afterLines="1" w:line="276" w:lineRule="auto"/>
    </w:pPr>
    <w:rPr>
      <w:rFonts w:ascii="宋体" w:hAnsi="宋体" w:eastAsia="宋体" w:cs="宋体"/>
    </w:rPr>
  </w:style>
  <w:style w:type="paragraph" w:customStyle="1" w:styleId="98">
    <w:name w:val="标准文件_附录四级无标题"/>
    <w:basedOn w:val="93"/>
    <w:qFormat/>
    <w:uiPriority w:val="0"/>
    <w:pPr>
      <w:spacing w:before="4" w:beforeLines="1" w:after="4" w:afterLines="1" w:line="276" w:lineRule="auto"/>
    </w:pPr>
    <w:rPr>
      <w:rFonts w:ascii="宋体" w:hAnsi="宋体" w:eastAsia="宋体" w:cs="宋体"/>
    </w:rPr>
  </w:style>
  <w:style w:type="paragraph" w:customStyle="1" w:styleId="99">
    <w:name w:val="标准文件_附录五级无标题"/>
    <w:basedOn w:val="94"/>
    <w:qFormat/>
    <w:uiPriority w:val="0"/>
    <w:pPr>
      <w:spacing w:before="4" w:beforeLines="1" w:after="4" w:afterLines="1" w:line="276" w:lineRule="auto"/>
    </w:pPr>
    <w:rPr>
      <w:rFonts w:ascii="宋体" w:hAnsi="宋体" w:eastAsia="宋体" w:cs="宋体"/>
    </w:rPr>
  </w:style>
  <w:style w:type="paragraph" w:customStyle="1" w:styleId="100">
    <w:name w:val="附录图标号"/>
    <w:basedOn w:val="25"/>
    <w:next w:val="25"/>
    <w:qFormat/>
    <w:uiPriority w:val="0"/>
    <w:pPr>
      <w:numPr>
        <w:ilvl w:val="0"/>
        <w:numId w:val="2"/>
      </w:numPr>
      <w:spacing w:line="14" w:lineRule="exact"/>
      <w:ind w:left="0"/>
      <w:jc w:val="center"/>
    </w:pPr>
    <w:rPr>
      <w:sz w:val="2"/>
    </w:rPr>
  </w:style>
  <w:style w:type="paragraph" w:customStyle="1" w:styleId="101">
    <w:name w:val="附录图标题"/>
    <w:next w:val="25"/>
    <w:qFormat/>
    <w:uiPriority w:val="0"/>
    <w:pPr>
      <w:numPr>
        <w:ilvl w:val="1"/>
        <w:numId w:val="2"/>
      </w:numPr>
      <w:spacing w:before="157" w:beforeLines="50" w:after="157" w:afterLines="50"/>
      <w:jc w:val="center"/>
    </w:pPr>
    <w:rPr>
      <w:rFonts w:hint="eastAsia" w:ascii="黑体" w:hAnsi="黑体" w:eastAsia="黑体" w:cs="黑体"/>
      <w:sz w:val="21"/>
    </w:rPr>
  </w:style>
  <w:style w:type="paragraph" w:customStyle="1" w:styleId="102">
    <w:name w:val="附录表标号"/>
    <w:basedOn w:val="25"/>
    <w:next w:val="25"/>
    <w:qFormat/>
    <w:uiPriority w:val="0"/>
    <w:pPr>
      <w:numPr>
        <w:ilvl w:val="0"/>
        <w:numId w:val="9"/>
      </w:numPr>
      <w:spacing w:line="14" w:lineRule="exact"/>
      <w:ind w:left="425"/>
      <w:jc w:val="center"/>
    </w:pPr>
    <w:rPr>
      <w:sz w:val="2"/>
    </w:rPr>
  </w:style>
  <w:style w:type="paragraph" w:customStyle="1" w:styleId="103">
    <w:name w:val="附录表标题"/>
    <w:next w:val="25"/>
    <w:qFormat/>
    <w:uiPriority w:val="0"/>
    <w:pPr>
      <w:numPr>
        <w:ilvl w:val="1"/>
        <w:numId w:val="9"/>
      </w:numPr>
      <w:spacing w:before="157" w:beforeLines="50" w:after="157" w:afterLines="50"/>
      <w:jc w:val="center"/>
    </w:pPr>
    <w:rPr>
      <w:rFonts w:hint="eastAsia" w:ascii="黑体" w:hAnsi="黑体" w:eastAsia="黑体" w:cs="黑体"/>
      <w:sz w:val="21"/>
    </w:rPr>
  </w:style>
  <w:style w:type="paragraph" w:customStyle="1" w:styleId="104">
    <w:name w:val="标准文件_示例内容"/>
    <w:basedOn w:val="25"/>
    <w:qFormat/>
    <w:uiPriority w:val="0"/>
    <w:pPr>
      <w:suppressAutoHyphens w:val="0"/>
    </w:pPr>
    <w:rPr>
      <w:rFonts w:hAnsi="宋体"/>
      <w:sz w:val="18"/>
    </w:rPr>
  </w:style>
  <w:style w:type="paragraph" w:customStyle="1" w:styleId="105">
    <w:name w:val="标准文件_示例"/>
    <w:next w:val="104"/>
    <w:qFormat/>
    <w:uiPriority w:val="0"/>
    <w:pPr>
      <w:numPr>
        <w:ilvl w:val="0"/>
        <w:numId w:val="10"/>
      </w:numPr>
      <w:suppressAutoHyphens w:val="0"/>
      <w:jc w:val="both"/>
    </w:pPr>
    <w:rPr>
      <w:rFonts w:hint="eastAsia" w:ascii="宋体" w:hAnsi="宋体" w:eastAsia="宋体" w:cs="宋体"/>
      <w:sz w:val="18"/>
    </w:rPr>
  </w:style>
  <w:style w:type="paragraph" w:customStyle="1" w:styleId="106">
    <w:name w:val="标准文件_示例×"/>
    <w:basedOn w:val="1"/>
    <w:next w:val="104"/>
    <w:qFormat/>
    <w:uiPriority w:val="0"/>
    <w:pPr>
      <w:widowControl/>
      <w:numPr>
        <w:ilvl w:val="0"/>
        <w:numId w:val="11"/>
      </w:numPr>
      <w:suppressAutoHyphens w:val="0"/>
      <w:ind w:firstLine="363"/>
    </w:pPr>
    <w:rPr>
      <w:rFonts w:hAnsi="Times New Roman"/>
      <w:sz w:val="18"/>
    </w:rPr>
  </w:style>
  <w:style w:type="paragraph" w:customStyle="1" w:styleId="107">
    <w:name w:val="标准文件_注"/>
    <w:next w:val="25"/>
    <w:qFormat/>
    <w:uiPriority w:val="0"/>
    <w:pPr>
      <w:numPr>
        <w:ilvl w:val="0"/>
        <w:numId w:val="12"/>
      </w:numPr>
      <w:autoSpaceDE w:val="0"/>
      <w:autoSpaceDN w:val="0"/>
      <w:jc w:val="both"/>
    </w:pPr>
    <w:rPr>
      <w:rFonts w:hint="eastAsia" w:ascii="宋体" w:hAnsi="宋体" w:eastAsia="宋体" w:cs="宋体"/>
      <w:sz w:val="18"/>
    </w:rPr>
  </w:style>
  <w:style w:type="paragraph" w:customStyle="1" w:styleId="108">
    <w:name w:val="标准文件_注×"/>
    <w:next w:val="25"/>
    <w:qFormat/>
    <w:uiPriority w:val="0"/>
    <w:pPr>
      <w:numPr>
        <w:ilvl w:val="0"/>
        <w:numId w:val="13"/>
      </w:numPr>
      <w:jc w:val="both"/>
    </w:pPr>
    <w:rPr>
      <w:rFonts w:hint="eastAsia" w:ascii="宋体" w:hAnsi="宋体" w:eastAsia="宋体" w:cs="宋体"/>
      <w:sz w:val="18"/>
    </w:rPr>
  </w:style>
  <w:style w:type="paragraph" w:customStyle="1" w:styleId="109">
    <w:name w:val="标准文件_图表脚注"/>
    <w:basedOn w:val="1"/>
    <w:next w:val="25"/>
    <w:qFormat/>
    <w:uiPriority w:val="0"/>
    <w:pPr>
      <w:numPr>
        <w:ilvl w:val="0"/>
        <w:numId w:val="14"/>
      </w:numPr>
      <w:suppressAutoHyphens w:val="0"/>
      <w:adjustRightInd w:val="0"/>
      <w:jc w:val="left"/>
    </w:pPr>
    <w:rPr>
      <w:rFonts w:hAnsi="宋体"/>
      <w:sz w:val="18"/>
    </w:rPr>
  </w:style>
  <w:style w:type="paragraph" w:customStyle="1" w:styleId="110">
    <w:name w:val="标准文件_标准正文"/>
    <w:basedOn w:val="1"/>
    <w:next w:val="25"/>
    <w:qFormat/>
    <w:uiPriority w:val="0"/>
    <w:pPr>
      <w:ind w:firstLine="1280" w:firstLineChars="200"/>
    </w:pPr>
  </w:style>
  <w:style w:type="paragraph" w:customStyle="1" w:styleId="111">
    <w:name w:val="标准文件_正文公式"/>
    <w:basedOn w:val="1"/>
    <w:next w:val="110"/>
    <w:qFormat/>
    <w:uiPriority w:val="0"/>
    <w:pPr>
      <w:tabs>
        <w:tab w:val="center" w:pos="4678"/>
        <w:tab w:val="right" w:leader="middleDot" w:pos="9355"/>
      </w:tabs>
    </w:pPr>
  </w:style>
  <w:style w:type="paragraph" w:customStyle="1" w:styleId="112">
    <w:name w:val="标准文件_表格"/>
    <w:basedOn w:val="25"/>
    <w:qFormat/>
    <w:uiPriority w:val="0"/>
    <w:pPr>
      <w:jc w:val="center"/>
    </w:pPr>
    <w:rPr>
      <w:sz w:val="18"/>
    </w:rPr>
  </w:style>
  <w:style w:type="paragraph" w:customStyle="1" w:styleId="113">
    <w:name w:val="终结线"/>
    <w:basedOn w:val="1"/>
    <w:qFormat/>
    <w:uiPriority w:val="0"/>
    <w:pPr>
      <w:framePr w:hSpace="181" w:vSpace="181" w:wrap="around" w:vAnchor="text" w:hAnchor="margin" w:xAlign="center" w:y="285"/>
    </w:pPr>
    <w:rPr>
      <w:rFonts w:ascii="Times New Roman" w:hAnsi="Times New Roman" w:cs="Times New Roman"/>
      <w:b/>
      <w:sz w:val="34"/>
    </w:rPr>
  </w:style>
  <w:style w:type="paragraph" w:customStyle="1" w:styleId="114">
    <w:name w:val="标准文件_正文表标题"/>
    <w:next w:val="25"/>
    <w:qFormat/>
    <w:uiPriority w:val="0"/>
    <w:pPr>
      <w:numPr>
        <w:ilvl w:val="0"/>
        <w:numId w:val="15"/>
      </w:numPr>
      <w:spacing w:before="157" w:beforeLines="50" w:after="157" w:afterLines="50"/>
      <w:jc w:val="center"/>
    </w:pPr>
    <w:rPr>
      <w:rFonts w:hint="eastAsia" w:ascii="黑体" w:hAnsi="黑体" w:eastAsia="黑体" w:cs="黑体"/>
      <w:sz w:val="21"/>
    </w:rPr>
  </w:style>
  <w:style w:type="paragraph" w:customStyle="1" w:styleId="115">
    <w:name w:val="标准文件_正文图标题"/>
    <w:next w:val="25"/>
    <w:qFormat/>
    <w:uiPriority w:val="0"/>
    <w:pPr>
      <w:numPr>
        <w:ilvl w:val="0"/>
        <w:numId w:val="16"/>
      </w:numPr>
      <w:spacing w:before="157" w:beforeLines="50" w:after="157" w:afterLines="50"/>
      <w:jc w:val="center"/>
    </w:pPr>
    <w:rPr>
      <w:rFonts w:hint="eastAsia" w:ascii="黑体" w:hAnsi="黑体" w:eastAsia="黑体" w:cs="黑体"/>
      <w:sz w:val="21"/>
    </w:rPr>
  </w:style>
  <w:style w:type="paragraph" w:customStyle="1" w:styleId="116">
    <w:name w:val="标准文件_索引标题"/>
    <w:basedOn w:val="35"/>
    <w:next w:val="25"/>
    <w:qFormat/>
    <w:uiPriority w:val="0"/>
    <w:rPr>
      <w:rFonts w:hAnsi="黑体"/>
    </w:rPr>
  </w:style>
  <w:style w:type="paragraph" w:customStyle="1" w:styleId="117">
    <w:name w:val="标准文件_索引项"/>
    <w:basedOn w:val="25"/>
    <w:next w:val="25"/>
    <w:qFormat/>
    <w:uiPriority w:val="0"/>
    <w:pPr>
      <w:tabs>
        <w:tab w:val="right" w:leader="dot" w:pos="9355"/>
      </w:tabs>
      <w:autoSpaceDE w:val="0"/>
      <w:autoSpaceDN w:val="0"/>
      <w:ind w:left="236" w:hanging="236" w:hangingChars="37"/>
      <w:jc w:val="left"/>
    </w:pPr>
  </w:style>
  <w:style w:type="paragraph" w:customStyle="1" w:styleId="118">
    <w:name w:val="标准文件_索引字母"/>
    <w:next w:val="25"/>
    <w:qFormat/>
    <w:uiPriority w:val="0"/>
    <w:pPr>
      <w:jc w:val="center"/>
    </w:pPr>
    <w:rPr>
      <w:rFonts w:hint="eastAsia" w:ascii="宋体" w:hAnsi="宋体" w:eastAsia="宋体" w:cs="宋体"/>
      <w:b/>
      <w:kern w:val="2"/>
      <w:sz w:val="21"/>
    </w:rPr>
  </w:style>
  <w:style w:type="paragraph" w:customStyle="1" w:styleId="119">
    <w:name w:val="标准文件_提示"/>
    <w:basedOn w:val="1"/>
    <w:qFormat/>
    <w:uiPriority w:val="0"/>
    <w:pPr>
      <w:ind w:firstLine="1280" w:firstLineChars="200"/>
    </w:pPr>
    <w:rPr>
      <w:rFonts w:ascii="黑体" w:hAnsi="黑体" w:eastAsia="黑体" w:cs="黑体"/>
    </w:rPr>
  </w:style>
  <w:style w:type="paragraph" w:customStyle="1" w:styleId="120">
    <w:name w:val="标准文件_参考文献编号"/>
    <w:basedOn w:val="25"/>
    <w:qFormat/>
    <w:uiPriority w:val="0"/>
    <w:pPr>
      <w:numPr>
        <w:ilvl w:val="0"/>
        <w:numId w:val="17"/>
      </w:numPr>
    </w:pPr>
  </w:style>
  <w:style w:type="character" w:customStyle="1" w:styleId="121">
    <w:name w:val="标准文件_正文标准名称 Char"/>
    <w:link w:val="57"/>
    <w:qFormat/>
    <w:uiPriority w:val="0"/>
    <w:rPr>
      <w:rFonts w:ascii="黑体" w:hAnsi="黑体" w:eastAsia="黑体" w:cs="黑体"/>
      <w:sz w:val="32"/>
    </w:rPr>
  </w:style>
</w:styles>
</file>

<file path=word/_rels/document.xml.rels><?xml version="1.0" encoding="UTF-8" standalone="yes"?>
<Relationships xmlns="http://schemas.openxmlformats.org/package/2006/relationships"><Relationship Id="rId9" Type="http://schemas.openxmlformats.org/officeDocument/2006/relationships/image" Target="media/image2.jpeg"/><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glossaryDocument" Target="glossary/document.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5f7c7dad-9451-42b0-a966-6d812f51838a}"/>
        <w:style w:val=""/>
        <w:category>
          <w:name w:val="常规"/>
          <w:gallery w:val="placeholder"/>
        </w:category>
        <w:types>
          <w:type w:val="bbPlcHdr"/>
        </w:types>
        <w:behaviors>
          <w:behavior w:val="content"/>
        </w:behaviors>
        <w:description w:val=""/>
        <w:guid w:val="{5f7c7dad-9451-42b0-a966-6d812f51838a}"/>
      </w:docPartPr>
      <w:docPartBody>
        <w:p w14:paraId="56C83014">
          <w:r>
            <w:rPr>
              <w:color w:val="808080"/>
            </w:rPr>
            <w:t>选择一项。</w:t>
          </w:r>
        </w:p>
      </w:docPartBody>
    </w:docPart>
    <w:docPart>
      <w:docPartPr>
        <w:name w:val="{a48c9689-d771-4a61-81f8-e487320edb6c}"/>
        <w:style w:val=""/>
        <w:category>
          <w:name w:val="常规"/>
          <w:gallery w:val="placeholder"/>
        </w:category>
        <w:types>
          <w:type w:val="bbPlcHdr"/>
        </w:types>
        <w:behaviors>
          <w:behavior w:val="content"/>
        </w:behaviors>
        <w:description w:val=""/>
        <w:guid w:val="{a48c9689-d771-4a61-81f8-e487320edb6c}"/>
      </w:docPartPr>
      <w:docPartBody>
        <w:p w14:paraId="6B343407">
          <w:r>
            <w:rPr>
              <w:color w:val="808080"/>
            </w:rPr>
            <w:t>选择一项。</w:t>
          </w:r>
        </w:p>
      </w:docPartBody>
    </w:docPart>
    <w:docPart>
      <w:docPartPr>
        <w:name w:val="{118647bb-4c1a-47c2-91fe-bdbba466cf35}"/>
        <w:style w:val=""/>
        <w:category>
          <w:name w:val="常规"/>
          <w:gallery w:val="placeholder"/>
        </w:category>
        <w:types>
          <w:type w:val="bbPlcHdr"/>
        </w:types>
        <w:behaviors>
          <w:behavior w:val="content"/>
        </w:behaviors>
        <w:description w:val=""/>
        <w:guid w:val="{118647bb-4c1a-47c2-91fe-bdbba466cf35}"/>
      </w:docPartPr>
      <w:docPartBody>
        <w:p w14:paraId="78070F15">
          <w:r>
            <w:rPr>
              <w:color w:val="808080"/>
            </w:rPr>
            <w:t>单击此处输入文字。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compat>
    <w:useFELayout/>
    <w:splitPgBreakAndParaMark/>
    <w:compatSetting w:name="compatibilityMode" w:uri="http://schemas.microsoft.com/office/word" w:val="14"/>
  </w:compat>
  <w:rsids>
    <w:rsidRoot w:val="000000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style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3935</Words>
  <Characters>4345</Characters>
  <Lines>0</Lines>
  <Paragraphs>0</Paragraphs>
  <TotalTime>0</TotalTime>
  <ScaleCrop>false</ScaleCrop>
  <LinksUpToDate>false</LinksUpToDate>
  <CharactersWithSpaces>4494</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2026-05-19T01:06:00Z</dcterms:created>
  <dc:creator>qhas</dc:creator>
  <cp:lastModifiedBy>。</cp:lastModifiedBy>
  <dcterms:modified xsi:type="dcterms:W3CDTF">2026-06-17T07:50:46Z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8B60E33DB3E84A6099FA8995DBB56272_13</vt:lpwstr>
  </property>
  <property fmtid="{D5CDD505-2E9C-101B-9397-08002B2CF9AE}" pid="4" name="KSOTemplateDocerSaveRecord">
    <vt:lpwstr>eyJoZGlkIjoiYzkwYzJmZDNiMmRhZjM0NTlkZDY1MmFlNDljZjQ0NWEiLCJ1c2VySWQiOiIyNDIyMjUwNzQifQ==</vt:lpwstr>
  </property>
</Properties>
</file>