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6</w:t>
            </w:r>
            <w:r>
              <w:rPr>
                <w:rFonts w:hint="eastAsia" w:ascii="黑体" w:hAnsi="黑体" w:eastAsia="黑体"/>
                <w:sz w:val="21"/>
                <w:szCs w:val="21"/>
                <w:lang w:val="en-US" w:eastAsia="zh-CN"/>
              </w:rPr>
              <w:t>5.020.30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01921AE0">
                  <w:pPr>
                    <w:pStyle w:val="50"/>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1"/>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B</w:t>
            </w:r>
            <w:r>
              <w:rPr>
                <w:rFonts w:hint="eastAsia" w:ascii="黑体" w:hAnsi="黑体" w:eastAsia="黑体"/>
                <w:sz w:val="21"/>
                <w:szCs w:val="21"/>
                <w:lang w:val="en-US" w:eastAsia="zh-CN"/>
              </w:rPr>
              <w:t xml:space="preserve"> 43</w:t>
            </w:r>
            <w:r>
              <w:rPr>
                <w:rFonts w:ascii="黑体" w:hAnsi="黑体" w:eastAsia="黑体"/>
                <w:sz w:val="21"/>
                <w:szCs w:val="21"/>
              </w:rPr>
              <w:fldChar w:fldCharType="end"/>
            </w:r>
            <w:bookmarkEnd w:id="2"/>
          </w:p>
        </w:tc>
      </w:tr>
    </w:tbl>
    <w:p w14:paraId="161BCF4A">
      <w:pPr>
        <w:pStyle w:val="51"/>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2A51E97">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1"/>
        <w:framePr w:w="9639" w:h="6976" w:hRule="exact" w:hSpace="0" w:vSpace="0" w:wrap="around" w:hAnchor="page" w:y="6408"/>
        <w:jc w:val="center"/>
        <w:rPr>
          <w:rFonts w:hint="eastAsia" w:ascii="黑体" w:hAnsi="黑体" w:eastAsia="黑体"/>
          <w:b w:val="0"/>
          <w:bCs w:val="0"/>
          <w:w w:val="100"/>
        </w:rPr>
      </w:pPr>
    </w:p>
    <w:p w14:paraId="02A223D2">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地理标志产品质量要求</w:t>
      </w:r>
      <w:r>
        <w:rPr>
          <w:rFonts w:hint="eastAsia"/>
          <w:lang w:val="en-US" w:eastAsia="zh-CN"/>
        </w:rPr>
        <w:t xml:space="preserve"> 民和肉牛</w:t>
      </w:r>
      <w:r>
        <w:fldChar w:fldCharType="end"/>
      </w:r>
      <w:bookmarkEnd w:id="9"/>
    </w:p>
    <w:p w14:paraId="2144DE0C">
      <w:pPr>
        <w:framePr w:w="9639" w:h="6974" w:hRule="exact" w:wrap="around" w:vAnchor="page" w:hAnchor="page" w:x="1419" w:y="6408" w:anchorLock="1"/>
        <w:ind w:left="-1418"/>
      </w:pPr>
    </w:p>
    <w:p w14:paraId="6A073306">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lang w:eastAsia="zh-CN"/>
        </w:rPr>
        <w:t xml:space="preserve"> </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6"/>
        <w:framePr w:w="9639" w:h="6974" w:hRule="exact" w:wrap="around" w:vAnchor="page" w:hAnchor="page" w:x="1419" w:y="6408" w:anchorLock="1"/>
        <w:textAlignment w:val="bottom"/>
        <w:rPr>
          <w:rFonts w:eastAsia="黑体"/>
          <w:szCs w:val="28"/>
        </w:rPr>
      </w:pPr>
    </w:p>
    <w:p w14:paraId="382A48E7">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93B8B9A">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C6769F1">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6DCA3D9">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9867BE4">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青海省标准化协会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374BE5A5">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90"/>
        <w:bidi w:val="0"/>
        <w:spacing w:before="560"/>
        <w:rPr>
          <w:rFonts w:hint="eastAsia"/>
          <w:lang w:eastAsia="zh-CN"/>
        </w:rPr>
      </w:pPr>
      <w:bookmarkStart w:id="21" w:name="BookMark2"/>
      <w:r>
        <w:rPr>
          <w:rFonts w:hint="eastAsia"/>
          <w:spacing w:val="320"/>
          <w:lang w:eastAsia="zh-CN"/>
        </w:rPr>
        <w:t>前</w:t>
      </w:r>
      <w:r>
        <w:rPr>
          <w:rFonts w:hint="eastAsia"/>
          <w:lang w:eastAsia="zh-CN"/>
        </w:rPr>
        <w:t>言</w:t>
      </w:r>
    </w:p>
    <w:p w14:paraId="5ECC1A4F">
      <w:pPr>
        <w:pStyle w:val="57"/>
        <w:bidi w:val="0"/>
        <w:rPr>
          <w:rFonts w:hint="eastAsia"/>
          <w:lang w:eastAsia="zh-CN"/>
        </w:rPr>
      </w:pPr>
      <w:r>
        <w:rPr>
          <w:rFonts w:hint="eastAsia"/>
          <w:lang w:eastAsia="zh-CN"/>
        </w:rPr>
        <w:t>本文件按照GB/T 1.1—2020《标准化工作导则  第1部分：标准化文件的结构和起草规则》的规定起草。</w:t>
      </w:r>
    </w:p>
    <w:p w14:paraId="4164F368">
      <w:pPr>
        <w:pStyle w:val="57"/>
        <w:bidi w:val="0"/>
        <w:rPr>
          <w:rFonts w:hint="eastAsia"/>
          <w:lang w:eastAsia="zh-CN"/>
        </w:rPr>
      </w:pPr>
      <w:r>
        <w:rPr>
          <w:rFonts w:hint="eastAsia"/>
          <w:lang w:eastAsia="zh-CN"/>
        </w:rPr>
        <w:t>请注意本文件的某些内容可能涉及专利。本文件的发布机构不承担识别专利的责任。</w:t>
      </w:r>
    </w:p>
    <w:p w14:paraId="3C8451F0">
      <w:pPr>
        <w:pStyle w:val="57"/>
        <w:bidi w:val="0"/>
        <w:rPr>
          <w:rFonts w:hint="eastAsia"/>
          <w:lang w:eastAsia="zh-CN"/>
        </w:rPr>
      </w:pPr>
      <w:r>
        <w:rPr>
          <w:rFonts w:hint="eastAsia"/>
          <w:lang w:eastAsia="zh-CN"/>
        </w:rPr>
        <w:t>本文件由</w:t>
      </w:r>
      <w:r>
        <w:rPr>
          <w:rFonts w:hint="eastAsia"/>
          <w:lang w:val="en-US" w:eastAsia="zh-CN"/>
        </w:rPr>
        <w:t>青海省标准化协会提出并归口。</w:t>
      </w:r>
    </w:p>
    <w:p w14:paraId="68EED078">
      <w:pPr>
        <w:pStyle w:val="57"/>
        <w:bidi w:val="0"/>
        <w:rPr>
          <w:rFonts w:hint="default"/>
          <w:lang w:val="en-US" w:eastAsia="zh-CN"/>
        </w:rPr>
      </w:pPr>
      <w:r>
        <w:rPr>
          <w:rFonts w:hint="eastAsia"/>
          <w:lang w:eastAsia="zh-CN"/>
        </w:rPr>
        <w:t>本文件起草单位：青海省农业技术推广总站、青海省农牧机械推广总站</w:t>
      </w:r>
      <w:r>
        <w:rPr>
          <w:rFonts w:hint="eastAsia"/>
          <w:lang w:val="en-US" w:eastAsia="zh-CN"/>
        </w:rPr>
        <w:t>……</w:t>
      </w:r>
    </w:p>
    <w:p w14:paraId="27DB9F30">
      <w:pPr>
        <w:pStyle w:val="57"/>
        <w:bidi w:val="0"/>
        <w:rPr>
          <w:rFonts w:hint="eastAsia"/>
          <w:lang w:eastAsia="zh-CN"/>
        </w:rPr>
      </w:pPr>
      <w:r>
        <w:rPr>
          <w:rFonts w:hint="eastAsia"/>
          <w:lang w:eastAsia="zh-CN"/>
        </w:rPr>
        <w:t>本文件主要起草人：</w:t>
      </w:r>
    </w:p>
    <w:p w14:paraId="73DD2411">
      <w:pPr>
        <w:pStyle w:val="57"/>
        <w:bidi w:val="0"/>
        <w:rPr>
          <w:rFonts w:hint="eastAsia"/>
          <w:lang w:eastAsia="zh-CN"/>
        </w:rPr>
      </w:pPr>
    </w:p>
    <w:p w14:paraId="72A22239">
      <w:pPr>
        <w:pStyle w:val="57"/>
        <w:bidi w:val="0"/>
        <w:rPr>
          <w:rFonts w:hint="eastAsia"/>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bookmarkStart w:id="47" w:name="_GoBack"/>
      <w:bookmarkEnd w:id="47"/>
    </w:p>
    <w:bookmarkEnd w:id="21"/>
    <w:p w14:paraId="6E9A85C1">
      <w:pPr>
        <w:spacing w:line="20" w:lineRule="exact"/>
        <w:jc w:val="center"/>
        <w:rPr>
          <w:rFonts w:hint="eastAsia" w:ascii="黑体" w:hAnsi="黑体" w:eastAsia="黑体"/>
          <w:sz w:val="32"/>
          <w:szCs w:val="32"/>
        </w:rPr>
      </w:pPr>
      <w:bookmarkStart w:id="22"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8"/>
            <w:bidi w:val="0"/>
            <w:spacing w:before="313" w:beforeLines="100" w:after="687" w:afterLines="220"/>
            <w:rPr>
              <w:rFonts w:hint="eastAsia"/>
            </w:rPr>
          </w:pPr>
          <w:bookmarkStart w:id="23" w:name="NEW_STAND_NAME"/>
          <w:r>
            <w:rPr>
              <w:rFonts w:hint="eastAsia"/>
              <w:lang w:eastAsia="zh-CN"/>
            </w:rPr>
            <w:t>地理标志产品质量要求 民和肉牛</w:t>
          </w:r>
        </w:p>
      </w:sdtContent>
    </w:sdt>
    <w:bookmarkEnd w:id="23"/>
    <w:p w14:paraId="58FB4D92">
      <w:pPr>
        <w:pStyle w:val="105"/>
        <w:spacing w:before="240" w:after="240"/>
      </w:pPr>
      <w:bookmarkStart w:id="24" w:name="_Toc26648465"/>
      <w:bookmarkStart w:id="25" w:name="_Toc17233333"/>
      <w:bookmarkStart w:id="26" w:name="_Toc97192964"/>
      <w:bookmarkStart w:id="27" w:name="_Toc24884218"/>
      <w:bookmarkStart w:id="28" w:name="_Toc26986771"/>
      <w:bookmarkStart w:id="29" w:name="_Toc26718930"/>
      <w:bookmarkStart w:id="30" w:name="_Toc24884211"/>
      <w:bookmarkStart w:id="31" w:name="_Toc17233325"/>
      <w:bookmarkStart w:id="32" w:name="_Toc26986530"/>
      <w:r>
        <w:rPr>
          <w:rFonts w:hint="eastAsia"/>
        </w:rPr>
        <w:t>范围</w:t>
      </w:r>
      <w:bookmarkEnd w:id="24"/>
      <w:bookmarkEnd w:id="25"/>
      <w:bookmarkEnd w:id="26"/>
      <w:bookmarkEnd w:id="27"/>
      <w:bookmarkEnd w:id="28"/>
      <w:bookmarkEnd w:id="29"/>
      <w:bookmarkEnd w:id="30"/>
      <w:bookmarkEnd w:id="31"/>
      <w:bookmarkEnd w:id="32"/>
    </w:p>
    <w:p w14:paraId="3BDBB36E">
      <w:pPr>
        <w:pStyle w:val="57"/>
        <w:ind w:firstLine="420"/>
        <w:rPr>
          <w:rFonts w:hint="default"/>
          <w:lang w:val="en-US" w:eastAsia="zh-CN"/>
        </w:rPr>
      </w:pPr>
      <w:bookmarkStart w:id="33" w:name="_Toc26648466"/>
      <w:bookmarkStart w:id="34" w:name="_Toc17233326"/>
      <w:bookmarkStart w:id="35" w:name="_Toc24884219"/>
      <w:bookmarkStart w:id="36" w:name="_Toc17233334"/>
      <w:bookmarkStart w:id="37" w:name="_Toc24884212"/>
      <w:r>
        <w:rPr>
          <w:rFonts w:hint="eastAsia"/>
          <w:lang w:val="en-US" w:eastAsia="zh-CN"/>
        </w:rPr>
        <w:t>本文件界定了民和肉牛的术语，规定了产地范围、产地环境、技术要求、质量要求、检验方法、检验规则、标志、标签、包装、运输和贮存。</w:t>
      </w:r>
    </w:p>
    <w:p w14:paraId="33D67978">
      <w:pPr>
        <w:pStyle w:val="57"/>
        <w:ind w:firstLine="420"/>
        <w:rPr>
          <w:rFonts w:hint="default"/>
          <w:lang w:val="en-US" w:eastAsia="zh-CN"/>
        </w:rPr>
      </w:pPr>
      <w:r>
        <w:rPr>
          <w:rFonts w:hint="eastAsia"/>
          <w:lang w:val="en-US" w:eastAsia="zh-CN"/>
        </w:rPr>
        <w:t>本文件适用于地理标志产品民和肉牛的生产、加工、流通、检验，亦适用于地理标志产品民和肉牛的保护和管理。</w:t>
      </w:r>
    </w:p>
    <w:p w14:paraId="767F512F">
      <w:pPr>
        <w:pStyle w:val="105"/>
        <w:spacing w:before="240" w:after="240"/>
      </w:pPr>
      <w:bookmarkStart w:id="38" w:name="_Toc26718931"/>
      <w:bookmarkStart w:id="39" w:name="_Toc26986772"/>
      <w:bookmarkStart w:id="40" w:name="_Toc26986531"/>
      <w:bookmarkStart w:id="41" w:name="_Toc97192965"/>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6EF7B46">
      <w:pPr>
        <w:pStyle w:val="57"/>
        <w:ind w:firstLine="420"/>
        <w:rPr>
          <w:rFonts w:hint="default"/>
          <w:lang w:val="en-US" w:eastAsia="zh-CN"/>
        </w:rPr>
      </w:pPr>
      <w:r>
        <w:rPr>
          <w:rFonts w:hint="default"/>
          <w:lang w:val="en-US" w:eastAsia="zh-CN"/>
        </w:rPr>
        <w:t>GB/T</w:t>
      </w:r>
      <w:r>
        <w:rPr>
          <w:rFonts w:hint="eastAsia"/>
          <w:lang w:val="en-US" w:eastAsia="zh-CN"/>
        </w:rPr>
        <w:t xml:space="preserve"> </w:t>
      </w:r>
      <w:r>
        <w:rPr>
          <w:rFonts w:hint="default"/>
          <w:lang w:val="en-US" w:eastAsia="zh-CN"/>
        </w:rPr>
        <w:t>191</w:t>
      </w:r>
      <w:r>
        <w:rPr>
          <w:rFonts w:hint="eastAsia"/>
          <w:lang w:val="en-US" w:eastAsia="zh-CN"/>
        </w:rPr>
        <w:t xml:space="preserve">  包装储运图形符号标志</w:t>
      </w:r>
    </w:p>
    <w:p w14:paraId="41D0252D">
      <w:pPr>
        <w:pStyle w:val="57"/>
        <w:ind w:firstLine="420"/>
        <w:rPr>
          <w:rFonts w:hint="default"/>
          <w:lang w:val="en-US" w:eastAsia="zh-CN"/>
        </w:rPr>
      </w:pPr>
      <w:r>
        <w:rPr>
          <w:rFonts w:hint="default"/>
          <w:lang w:val="en-US" w:eastAsia="zh-CN"/>
        </w:rPr>
        <w:t>GB 27</w:t>
      </w:r>
      <w:r>
        <w:rPr>
          <w:rFonts w:hint="eastAsia"/>
          <w:lang w:val="en-US" w:eastAsia="zh-CN"/>
        </w:rPr>
        <w:t>07  食品安全国家标准 鲜（冻）畜、禽产品</w:t>
      </w:r>
    </w:p>
    <w:p w14:paraId="14B0B7E0">
      <w:pPr>
        <w:pStyle w:val="57"/>
        <w:ind w:firstLine="420"/>
        <w:rPr>
          <w:rFonts w:hint="default"/>
          <w:lang w:val="en-US" w:eastAsia="zh-CN"/>
        </w:rPr>
      </w:pPr>
      <w:r>
        <w:rPr>
          <w:rFonts w:hint="default"/>
          <w:lang w:val="en-US" w:eastAsia="zh-CN"/>
        </w:rPr>
        <w:t>GB 2762</w:t>
      </w:r>
      <w:r>
        <w:rPr>
          <w:rFonts w:hint="eastAsia"/>
          <w:lang w:val="en-US" w:eastAsia="zh-CN"/>
        </w:rPr>
        <w:t xml:space="preserve">  食品安全国家标准 食品中污染物限量</w:t>
      </w:r>
    </w:p>
    <w:p w14:paraId="7FEE1048">
      <w:pPr>
        <w:pStyle w:val="57"/>
        <w:ind w:firstLine="420"/>
        <w:rPr>
          <w:rFonts w:hint="default"/>
          <w:lang w:val="en-US" w:eastAsia="zh-CN"/>
        </w:rPr>
      </w:pPr>
      <w:r>
        <w:rPr>
          <w:rFonts w:hint="default"/>
          <w:lang w:val="en-US" w:eastAsia="zh-CN"/>
        </w:rPr>
        <w:t>GB 276</w:t>
      </w:r>
      <w:r>
        <w:rPr>
          <w:rFonts w:hint="eastAsia"/>
          <w:lang w:val="en-US" w:eastAsia="zh-CN"/>
        </w:rPr>
        <w:t>3  食品安全国家标准 食品中农药最大残留限量</w:t>
      </w:r>
    </w:p>
    <w:p w14:paraId="4F5CFE41">
      <w:pPr>
        <w:pStyle w:val="57"/>
        <w:ind w:firstLine="420"/>
        <w:rPr>
          <w:rFonts w:hint="default"/>
          <w:lang w:val="en-US" w:eastAsia="zh-CN"/>
        </w:rPr>
      </w:pPr>
      <w:r>
        <w:rPr>
          <w:rFonts w:hint="eastAsia"/>
          <w:lang w:val="en-US" w:eastAsia="zh-CN"/>
        </w:rPr>
        <w:t>GB 3095  环境空气质量标准</w:t>
      </w:r>
    </w:p>
    <w:p w14:paraId="78A4ED31">
      <w:pPr>
        <w:pStyle w:val="57"/>
        <w:ind w:firstLine="420"/>
        <w:rPr>
          <w:rFonts w:hint="default"/>
          <w:lang w:val="en-US" w:eastAsia="zh-CN"/>
        </w:rPr>
      </w:pPr>
      <w:r>
        <w:rPr>
          <w:rFonts w:hint="default"/>
          <w:lang w:val="en-US" w:eastAsia="zh-CN"/>
        </w:rPr>
        <w:t>GB</w:t>
      </w:r>
      <w:r>
        <w:rPr>
          <w:rFonts w:hint="eastAsia"/>
          <w:lang w:val="en-US" w:eastAsia="zh-CN"/>
        </w:rPr>
        <w:t xml:space="preserve"> </w:t>
      </w:r>
      <w:r>
        <w:rPr>
          <w:rFonts w:hint="default"/>
          <w:lang w:val="en-US" w:eastAsia="zh-CN"/>
        </w:rPr>
        <w:t>4806.7</w:t>
      </w:r>
      <w:r>
        <w:rPr>
          <w:rFonts w:hint="eastAsia"/>
          <w:lang w:val="en-US" w:eastAsia="zh-CN"/>
        </w:rPr>
        <w:t xml:space="preserve">  食品安全国家标准 食品接触用塑料材料及制品</w:t>
      </w:r>
    </w:p>
    <w:p w14:paraId="47B4044A">
      <w:pPr>
        <w:pStyle w:val="57"/>
        <w:ind w:firstLine="420"/>
        <w:rPr>
          <w:rFonts w:hint="default"/>
          <w:lang w:val="en-US" w:eastAsia="zh-CN"/>
        </w:rPr>
      </w:pPr>
      <w:r>
        <w:rPr>
          <w:rFonts w:hint="default"/>
          <w:lang w:val="en-US" w:eastAsia="zh-CN"/>
        </w:rPr>
        <w:t>GB</w:t>
      </w:r>
      <w:r>
        <w:rPr>
          <w:rFonts w:hint="eastAsia"/>
          <w:lang w:val="en-US" w:eastAsia="zh-CN"/>
        </w:rPr>
        <w:t xml:space="preserve"> </w:t>
      </w:r>
      <w:r>
        <w:rPr>
          <w:rFonts w:hint="default"/>
          <w:lang w:val="en-US" w:eastAsia="zh-CN"/>
        </w:rPr>
        <w:t>4806.</w:t>
      </w:r>
      <w:r>
        <w:rPr>
          <w:rFonts w:hint="eastAsia"/>
          <w:lang w:val="en-US" w:eastAsia="zh-CN"/>
        </w:rPr>
        <w:t>8  食品安全国家标准 食品接触用纸和纸板材料及制品</w:t>
      </w:r>
    </w:p>
    <w:p w14:paraId="020B8B37">
      <w:pPr>
        <w:pStyle w:val="57"/>
        <w:ind w:firstLine="420"/>
        <w:rPr>
          <w:rFonts w:hint="default"/>
          <w:lang w:val="en-US" w:eastAsia="zh-CN"/>
        </w:rPr>
      </w:pPr>
      <w:r>
        <w:rPr>
          <w:rFonts w:hint="default"/>
          <w:lang w:val="en-US" w:eastAsia="zh-CN"/>
        </w:rPr>
        <w:t xml:space="preserve">GB 5009.3 </w:t>
      </w:r>
      <w:r>
        <w:rPr>
          <w:rFonts w:hint="eastAsia"/>
          <w:lang w:val="en-US" w:eastAsia="zh-CN"/>
        </w:rPr>
        <w:t xml:space="preserve"> </w:t>
      </w:r>
      <w:r>
        <w:rPr>
          <w:rFonts w:hint="default"/>
          <w:lang w:val="en-US" w:eastAsia="zh-CN"/>
        </w:rPr>
        <w:t>食品安全国家标准 食品中水分的测定</w:t>
      </w:r>
    </w:p>
    <w:p w14:paraId="14981391">
      <w:pPr>
        <w:pStyle w:val="57"/>
        <w:ind w:firstLine="420"/>
        <w:rPr>
          <w:rFonts w:hint="default"/>
          <w:lang w:val="en-US" w:eastAsia="zh-CN"/>
        </w:rPr>
      </w:pPr>
      <w:r>
        <w:rPr>
          <w:rFonts w:hint="default"/>
          <w:lang w:val="en-US" w:eastAsia="zh-CN"/>
        </w:rPr>
        <w:t xml:space="preserve">GB 5009.5 </w:t>
      </w:r>
      <w:r>
        <w:rPr>
          <w:rFonts w:hint="eastAsia"/>
          <w:lang w:val="en-US" w:eastAsia="zh-CN"/>
        </w:rPr>
        <w:t xml:space="preserve"> </w:t>
      </w:r>
      <w:r>
        <w:rPr>
          <w:rFonts w:hint="default"/>
          <w:lang w:val="en-US" w:eastAsia="zh-CN"/>
        </w:rPr>
        <w:t>食品安全国家标准 食品中蛋白质的测定</w:t>
      </w:r>
    </w:p>
    <w:p w14:paraId="78D71694">
      <w:pPr>
        <w:pStyle w:val="57"/>
        <w:ind w:firstLine="420"/>
        <w:rPr>
          <w:rFonts w:hint="default"/>
          <w:lang w:val="en-US" w:eastAsia="zh-CN"/>
        </w:rPr>
      </w:pPr>
      <w:r>
        <w:rPr>
          <w:rFonts w:hint="default"/>
          <w:lang w:val="en-US" w:eastAsia="zh-CN"/>
        </w:rPr>
        <w:t xml:space="preserve">GB 5009.6 </w:t>
      </w:r>
      <w:r>
        <w:rPr>
          <w:rFonts w:hint="eastAsia"/>
          <w:lang w:val="en-US" w:eastAsia="zh-CN"/>
        </w:rPr>
        <w:t xml:space="preserve"> </w:t>
      </w:r>
      <w:r>
        <w:rPr>
          <w:rFonts w:hint="default"/>
          <w:lang w:val="en-US" w:eastAsia="zh-CN"/>
        </w:rPr>
        <w:t>食品安全国家标准 食品中脂肪的测定</w:t>
      </w:r>
    </w:p>
    <w:p w14:paraId="3C58C455">
      <w:pPr>
        <w:pStyle w:val="57"/>
        <w:ind w:firstLine="420"/>
        <w:rPr>
          <w:rFonts w:hint="default"/>
          <w:lang w:val="en-US" w:eastAsia="zh-CN"/>
        </w:rPr>
      </w:pPr>
      <w:r>
        <w:rPr>
          <w:rFonts w:hint="eastAsia"/>
          <w:lang w:val="en-US" w:eastAsia="zh-CN"/>
        </w:rPr>
        <w:t xml:space="preserve">GB 5009.124  </w:t>
      </w:r>
      <w:r>
        <w:rPr>
          <w:rFonts w:hint="default"/>
          <w:lang w:val="en-US" w:eastAsia="zh-CN"/>
        </w:rPr>
        <w:t>食品安全国家标准 食品中氨基酸的测定</w:t>
      </w:r>
    </w:p>
    <w:p w14:paraId="35CDB7BF">
      <w:pPr>
        <w:pStyle w:val="57"/>
        <w:ind w:firstLine="420"/>
        <w:rPr>
          <w:rFonts w:hint="default"/>
          <w:lang w:val="en-US" w:eastAsia="zh-CN"/>
        </w:rPr>
      </w:pPr>
      <w:r>
        <w:rPr>
          <w:rFonts w:hint="eastAsia"/>
          <w:lang w:val="en-US" w:eastAsia="zh-CN"/>
        </w:rPr>
        <w:t>GB 5749  生活饮用水卫生标准</w:t>
      </w:r>
    </w:p>
    <w:p w14:paraId="488F2C5A">
      <w:pPr>
        <w:pStyle w:val="57"/>
        <w:ind w:firstLine="420"/>
        <w:rPr>
          <w:rFonts w:hint="default"/>
          <w:lang w:val="en-US" w:eastAsia="zh-CN"/>
        </w:rPr>
      </w:pPr>
      <w:r>
        <w:rPr>
          <w:rFonts w:hint="default"/>
          <w:lang w:val="en-US" w:eastAsia="zh-CN"/>
        </w:rPr>
        <w:t>GB</w:t>
      </w:r>
      <w:r>
        <w:rPr>
          <w:rFonts w:hint="eastAsia"/>
          <w:lang w:val="en-US" w:eastAsia="zh-CN"/>
        </w:rPr>
        <w:t xml:space="preserve"> </w:t>
      </w:r>
      <w:r>
        <w:rPr>
          <w:rFonts w:hint="default"/>
          <w:lang w:val="en-US" w:eastAsia="zh-CN"/>
        </w:rPr>
        <w:t>7718</w:t>
      </w:r>
      <w:r>
        <w:rPr>
          <w:rFonts w:hint="eastAsia"/>
          <w:lang w:val="en-US" w:eastAsia="zh-CN"/>
        </w:rPr>
        <w:t xml:space="preserve">  食品安全国家标准 预包装食品标签通则</w:t>
      </w:r>
    </w:p>
    <w:p w14:paraId="7AF8DCFF">
      <w:pPr>
        <w:pStyle w:val="57"/>
        <w:ind w:firstLine="420"/>
        <w:rPr>
          <w:rFonts w:hint="default"/>
          <w:lang w:val="en-US" w:eastAsia="zh-CN"/>
        </w:rPr>
      </w:pPr>
      <w:r>
        <w:rPr>
          <w:rFonts w:hint="default"/>
          <w:lang w:val="en-US" w:eastAsia="zh-CN"/>
        </w:rPr>
        <w:t>GB/T 9695.19</w:t>
      </w:r>
      <w:r>
        <w:rPr>
          <w:rFonts w:hint="eastAsia"/>
          <w:lang w:val="en-US" w:eastAsia="zh-CN"/>
        </w:rPr>
        <w:t xml:space="preserve">  肉与肉制品 取样方法</w:t>
      </w:r>
    </w:p>
    <w:p w14:paraId="5BC9ACD6">
      <w:pPr>
        <w:pStyle w:val="57"/>
        <w:ind w:firstLine="420"/>
        <w:rPr>
          <w:rFonts w:hint="default"/>
          <w:lang w:val="en-US" w:eastAsia="zh-CN"/>
        </w:rPr>
      </w:pPr>
      <w:r>
        <w:rPr>
          <w:rFonts w:hint="eastAsia"/>
          <w:lang w:val="en-US" w:eastAsia="zh-CN"/>
        </w:rPr>
        <w:t>GB 13078  饲料卫生标准</w:t>
      </w:r>
    </w:p>
    <w:p w14:paraId="05103396">
      <w:pPr>
        <w:pStyle w:val="57"/>
        <w:ind w:firstLine="420"/>
        <w:rPr>
          <w:rFonts w:hint="default"/>
          <w:lang w:val="en-US" w:eastAsia="zh-CN"/>
        </w:rPr>
      </w:pPr>
      <w:r>
        <w:rPr>
          <w:rFonts w:hint="default"/>
          <w:lang w:val="en-US" w:eastAsia="zh-CN"/>
        </w:rPr>
        <w:t>GB/T 17237</w:t>
      </w:r>
      <w:r>
        <w:rPr>
          <w:rFonts w:hint="eastAsia"/>
          <w:lang w:val="en-US" w:eastAsia="zh-CN"/>
        </w:rPr>
        <w:t xml:space="preserve">  畜禽屠宰加工通用技术条件</w:t>
      </w:r>
    </w:p>
    <w:p w14:paraId="109EBE67">
      <w:pPr>
        <w:pStyle w:val="57"/>
        <w:ind w:firstLine="420"/>
        <w:rPr>
          <w:rFonts w:hint="default"/>
          <w:lang w:val="en-US" w:eastAsia="zh-CN"/>
        </w:rPr>
      </w:pPr>
      <w:r>
        <w:rPr>
          <w:rFonts w:hint="default"/>
          <w:lang w:val="en-US" w:eastAsia="zh-CN"/>
        </w:rPr>
        <w:t>GB/T 19477</w:t>
      </w:r>
      <w:r>
        <w:rPr>
          <w:rFonts w:hint="eastAsia"/>
          <w:lang w:val="en-US" w:eastAsia="zh-CN"/>
        </w:rPr>
        <w:t xml:space="preserve">  畜禽屠宰操作规程 牛</w:t>
      </w:r>
    </w:p>
    <w:p w14:paraId="72C3EF94">
      <w:pPr>
        <w:pStyle w:val="57"/>
        <w:ind w:firstLine="420"/>
        <w:rPr>
          <w:rFonts w:hint="default"/>
          <w:lang w:val="en-US" w:eastAsia="zh-CN"/>
        </w:rPr>
      </w:pPr>
      <w:r>
        <w:rPr>
          <w:rFonts w:hint="default"/>
          <w:lang w:val="en-US" w:eastAsia="zh-CN"/>
        </w:rPr>
        <w:t>GB</w:t>
      </w:r>
      <w:r>
        <w:rPr>
          <w:rFonts w:hint="eastAsia"/>
          <w:lang w:val="en-US" w:eastAsia="zh-CN"/>
        </w:rPr>
        <w:t xml:space="preserve"> </w:t>
      </w:r>
      <w:r>
        <w:rPr>
          <w:rFonts w:hint="default"/>
          <w:lang w:val="en-US" w:eastAsia="zh-CN"/>
        </w:rPr>
        <w:t>20799</w:t>
      </w:r>
      <w:r>
        <w:rPr>
          <w:rFonts w:hint="eastAsia"/>
          <w:lang w:val="en-US" w:eastAsia="zh-CN"/>
        </w:rPr>
        <w:t xml:space="preserve">  食品安全国家标准 肉和肉制品经营卫生规范</w:t>
      </w:r>
    </w:p>
    <w:p w14:paraId="5703223D">
      <w:pPr>
        <w:pStyle w:val="57"/>
        <w:ind w:firstLine="420"/>
        <w:rPr>
          <w:rFonts w:hint="default"/>
          <w:lang w:val="en-US" w:eastAsia="zh-CN"/>
        </w:rPr>
      </w:pPr>
      <w:r>
        <w:rPr>
          <w:rFonts w:hint="default"/>
          <w:lang w:val="en-US" w:eastAsia="zh-CN"/>
        </w:rPr>
        <w:t>GB 31650 食品安全国家标准 食品中兽药最大残留限量</w:t>
      </w:r>
    </w:p>
    <w:p w14:paraId="5263BF00">
      <w:pPr>
        <w:pStyle w:val="57"/>
        <w:ind w:firstLine="420"/>
        <w:rPr>
          <w:rFonts w:hint="default"/>
          <w:lang w:val="en-US" w:eastAsia="zh-CN"/>
        </w:rPr>
      </w:pPr>
      <w:r>
        <w:rPr>
          <w:rFonts w:hint="eastAsia"/>
          <w:lang w:val="en-US" w:eastAsia="zh-CN"/>
        </w:rPr>
        <w:t>GB/T 47364 肉牛营养需要量</w:t>
      </w:r>
    </w:p>
    <w:p w14:paraId="25FA10E1">
      <w:pPr>
        <w:pStyle w:val="57"/>
        <w:ind w:firstLine="420"/>
        <w:rPr>
          <w:rFonts w:hint="default"/>
          <w:lang w:val="en-US" w:eastAsia="zh-CN"/>
        </w:rPr>
      </w:pPr>
      <w:r>
        <w:rPr>
          <w:rFonts w:hint="default"/>
          <w:lang w:val="en-US" w:eastAsia="zh-CN"/>
        </w:rPr>
        <w:fldChar w:fldCharType="begin"/>
      </w:r>
      <w:r>
        <w:rPr>
          <w:rFonts w:hint="default"/>
          <w:lang w:val="en-US" w:eastAsia="zh-CN"/>
        </w:rPr>
        <w:instrText xml:space="preserve"> HYPERLINK "https://std.samr.gov.cn/hb/search/stdHBDetailed?id=AEF2D7882C2FA0DEE05397BE0A0ABAC4" \t "https://std.samr.gov.cn/search/_blank" </w:instrText>
      </w:r>
      <w:r>
        <w:rPr>
          <w:rFonts w:hint="default"/>
          <w:lang w:val="en-US" w:eastAsia="zh-CN"/>
        </w:rPr>
        <w:fldChar w:fldCharType="separate"/>
      </w:r>
      <w:r>
        <w:rPr>
          <w:rFonts w:hint="default"/>
          <w:lang w:val="en-US" w:eastAsia="zh-CN"/>
        </w:rPr>
        <w:t>NY/T 2836  肉牛胴体分割规范</w:t>
      </w:r>
      <w:r>
        <w:rPr>
          <w:rFonts w:hint="default"/>
          <w:lang w:val="en-US" w:eastAsia="zh-CN"/>
        </w:rPr>
        <w:fldChar w:fldCharType="end"/>
      </w:r>
    </w:p>
    <w:p w14:paraId="0156347C">
      <w:pPr>
        <w:pStyle w:val="57"/>
        <w:ind w:firstLine="420"/>
        <w:rPr>
          <w:rFonts w:hint="default"/>
          <w:lang w:val="en-US" w:eastAsia="zh-CN"/>
        </w:rPr>
      </w:pPr>
      <w:r>
        <w:rPr>
          <w:rFonts w:hint="default"/>
          <w:lang w:val="en-US" w:eastAsia="zh-CN"/>
        </w:rPr>
        <w:t>NY/T 4627  肉牛规模化养殖设施装备配置技术规范</w:t>
      </w:r>
    </w:p>
    <w:p w14:paraId="232C65BA">
      <w:pPr>
        <w:pStyle w:val="57"/>
        <w:ind w:firstLine="420"/>
        <w:rPr>
          <w:rFonts w:hint="default"/>
          <w:lang w:val="en-US" w:eastAsia="zh-CN"/>
        </w:rPr>
      </w:pPr>
      <w:r>
        <w:rPr>
          <w:rFonts w:hint="default"/>
          <w:lang w:val="en-US" w:eastAsia="zh-CN"/>
        </w:rPr>
        <w:t>SN/T 3774</w:t>
      </w:r>
      <w:r>
        <w:rPr>
          <w:rFonts w:hint="eastAsia"/>
          <w:lang w:val="en-US" w:eastAsia="zh-CN"/>
        </w:rPr>
        <w:t xml:space="preserve">  牛的饲养、运输、屠宰动物福利规范</w:t>
      </w:r>
    </w:p>
    <w:p w14:paraId="40EF840C">
      <w:pPr>
        <w:pStyle w:val="105"/>
        <w:spacing w:before="240" w:after="240"/>
      </w:pPr>
      <w:bookmarkStart w:id="42" w:name="_Toc97192966"/>
      <w:r>
        <w:rPr>
          <w:rFonts w:hint="eastAsia"/>
          <w:szCs w:val="21"/>
        </w:rPr>
        <w:t>术语和定义</w:t>
      </w:r>
      <w:bookmarkEnd w:id="42"/>
    </w:p>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FA990C2">
          <w:pPr>
            <w:pStyle w:val="57"/>
            <w:ind w:firstLine="420"/>
          </w:pPr>
          <w:bookmarkStart w:id="43" w:name="_Toc26986532"/>
          <w:bookmarkEnd w:id="43"/>
          <w:r>
            <w:rPr>
              <w:rFonts w:ascii="Times New Roman" w:hAnsi="Times New Roman" w:eastAsia="宋体" w:cs="Times New Roman"/>
              <w:sz w:val="21"/>
              <w:lang w:val="en-US" w:eastAsia="zh-CN" w:bidi="ar-SA"/>
            </w:rPr>
            <w:t>下列术语和定义适用于本文件。</w:t>
          </w:r>
        </w:p>
      </w:sdtContent>
    </w:sdt>
    <w:p w14:paraId="6723387E">
      <w:pPr>
        <w:pStyle w:val="224"/>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民和肉牛</w:t>
      </w:r>
    </w:p>
    <w:p w14:paraId="6AADD5D7">
      <w:pPr>
        <w:pStyle w:val="57"/>
        <w:rPr>
          <w:rFonts w:hint="default" w:eastAsia="宋体"/>
          <w:lang w:val="en-US" w:eastAsia="zh-CN"/>
        </w:rPr>
      </w:pPr>
      <w:r>
        <w:rPr>
          <w:rFonts w:hint="eastAsia"/>
          <w:lang w:eastAsia="zh-CN"/>
        </w:rPr>
        <w:t>在民和回族土族自治县现行行政区域内，以秦川黄牛为父本、当地蒙古小型黄牛为母本实施杂交，再引进中国西门塔尔冻精进行三元杂交形成的具有稳定遗传性能和优良肉用性能的肉牛品种。</w:t>
      </w:r>
    </w:p>
    <w:p w14:paraId="4D3B27B1">
      <w:pPr>
        <w:pStyle w:val="105"/>
        <w:bidi w:val="0"/>
        <w:rPr>
          <w:rFonts w:hint="eastAsia"/>
          <w:lang w:val="en-US" w:eastAsia="zh-CN"/>
        </w:rPr>
      </w:pPr>
      <w:r>
        <w:rPr>
          <w:rFonts w:hint="eastAsia"/>
          <w:lang w:val="en-US" w:eastAsia="zh-CN"/>
        </w:rPr>
        <w:t>产地范围</w:t>
      </w:r>
    </w:p>
    <w:p w14:paraId="5A33CBD2">
      <w:pPr>
        <w:pStyle w:val="57"/>
        <w:ind w:firstLine="420"/>
        <w:rPr>
          <w:rFonts w:hint="eastAsia"/>
          <w:lang w:val="en-US" w:eastAsia="zh-CN"/>
        </w:rPr>
      </w:pPr>
      <w:r>
        <w:rPr>
          <w:rFonts w:hint="eastAsia" w:ascii="Helvetica" w:hAnsi="Helvetica" w:cs="Helvetica"/>
          <w:i w:val="0"/>
          <w:iCs w:val="0"/>
          <w:caps w:val="0"/>
          <w:color w:val="333333"/>
          <w:spacing w:val="0"/>
          <w:sz w:val="21"/>
          <w:szCs w:val="21"/>
          <w:shd w:val="clear" w:fill="FFFFFF"/>
          <w:lang w:val="en-US" w:eastAsia="zh-CN"/>
        </w:rPr>
        <w:t>地理标志产品民和肉牛的养殖产地范围为青海省民和回族土族自治县所辖全部行政区域。地理坐标为东经102°26′～103°04′，北纬35°45′～36°26′。产地范围覆盖全县22个乡镇，总面积约1780 km²。详见附录A</w:t>
      </w:r>
    </w:p>
    <w:p w14:paraId="16DBE99B">
      <w:pPr>
        <w:pStyle w:val="105"/>
        <w:bidi w:val="0"/>
        <w:rPr>
          <w:rFonts w:hint="default"/>
          <w:lang w:val="en-US" w:eastAsia="zh-CN"/>
        </w:rPr>
      </w:pPr>
      <w:r>
        <w:rPr>
          <w:rFonts w:hint="eastAsia"/>
          <w:lang w:val="en-US" w:eastAsia="zh-CN"/>
        </w:rPr>
        <w:t>产地环境</w:t>
      </w:r>
    </w:p>
    <w:p w14:paraId="293A1654">
      <w:pPr>
        <w:pStyle w:val="106"/>
        <w:bidi w:val="0"/>
        <w:rPr>
          <w:rFonts w:hint="eastAsia"/>
          <w:lang w:val="en-US" w:eastAsia="zh-CN"/>
        </w:rPr>
      </w:pPr>
      <w:r>
        <w:rPr>
          <w:rFonts w:hint="eastAsia"/>
          <w:lang w:val="en-US" w:eastAsia="zh-CN"/>
        </w:rPr>
        <w:t>地形与海拔</w:t>
      </w:r>
    </w:p>
    <w:p w14:paraId="1D01AB9A">
      <w:pPr>
        <w:pStyle w:val="57"/>
        <w:rPr>
          <w:rFonts w:hint="eastAsia"/>
          <w:lang w:val="en-US" w:eastAsia="zh-CN"/>
        </w:rPr>
      </w:pPr>
      <w:r>
        <w:rPr>
          <w:rFonts w:hint="eastAsia"/>
          <w:lang w:val="en-US" w:eastAsia="zh-CN"/>
        </w:rPr>
        <w:t>民和肉牛产地位于青海省东部，为黄土高原向青藏高原的过渡地带，地貌以山地沟谷地为主，平均海拔2100 m～2500 m。土壤类型以石灰性土壤为主，共有9个土类、21个亚类，土壤养分总体呈缺磷、少氮、富钾特征，富含锌、硒、铁等对人体有益的中微量元素。</w:t>
      </w:r>
    </w:p>
    <w:p w14:paraId="2487B2C5">
      <w:pPr>
        <w:pStyle w:val="106"/>
        <w:bidi w:val="0"/>
        <w:rPr>
          <w:rFonts w:hint="eastAsia"/>
          <w:lang w:val="en-US" w:eastAsia="zh-CN"/>
        </w:rPr>
      </w:pPr>
      <w:r>
        <w:rPr>
          <w:rFonts w:hint="eastAsia"/>
          <w:lang w:val="en-US" w:eastAsia="zh-CN"/>
        </w:rPr>
        <w:t>气候条件</w:t>
      </w:r>
    </w:p>
    <w:p w14:paraId="119D321E">
      <w:pPr>
        <w:pStyle w:val="57"/>
        <w:rPr>
          <w:rFonts w:hint="eastAsia"/>
          <w:lang w:val="en-US" w:eastAsia="zh-CN"/>
        </w:rPr>
      </w:pPr>
      <w:r>
        <w:rPr>
          <w:rFonts w:hint="eastAsia"/>
          <w:lang w:val="en-US" w:eastAsia="zh-CN"/>
        </w:rPr>
        <w:t>产地属高原大陆性干旱气候，年均气温7.9 ℃～8.1 ℃，年平均相对湿度56%，无霜期约198 d，年降水量350 mm～650 mm。年日照时数平均2400 h～2600 h。</w:t>
      </w:r>
    </w:p>
    <w:p w14:paraId="061169CD">
      <w:pPr>
        <w:pStyle w:val="106"/>
        <w:bidi w:val="0"/>
        <w:rPr>
          <w:rFonts w:hint="default"/>
          <w:lang w:val="en-US" w:eastAsia="zh-CN"/>
        </w:rPr>
      </w:pPr>
      <w:r>
        <w:rPr>
          <w:rFonts w:hint="eastAsia"/>
          <w:lang w:val="en-US" w:eastAsia="zh-CN"/>
        </w:rPr>
        <w:t>水源条件</w:t>
      </w:r>
    </w:p>
    <w:p w14:paraId="333D4C8D">
      <w:pPr>
        <w:pStyle w:val="57"/>
        <w:rPr>
          <w:rFonts w:hint="eastAsia"/>
          <w:lang w:val="en-US" w:eastAsia="zh-CN"/>
        </w:rPr>
      </w:pPr>
      <w:r>
        <w:rPr>
          <w:rFonts w:hint="eastAsia"/>
          <w:lang w:val="en-US" w:eastAsia="zh-CN"/>
        </w:rPr>
        <w:t>主要水源为黄河、湟水、大通河三大过境河流。县境内常流水沟均供给养殖用水，水质应符合GB 5749的要求。产地空气质量应符合GB 3095的相关要求。</w:t>
      </w:r>
    </w:p>
    <w:p w14:paraId="716E9D0C">
      <w:pPr>
        <w:pStyle w:val="105"/>
        <w:bidi w:val="0"/>
        <w:rPr>
          <w:rFonts w:hint="default"/>
          <w:lang w:val="en-US" w:eastAsia="zh-CN"/>
        </w:rPr>
      </w:pPr>
      <w:r>
        <w:rPr>
          <w:rFonts w:hint="eastAsia"/>
          <w:lang w:val="en-US" w:eastAsia="zh-CN"/>
        </w:rPr>
        <w:t>技术要求</w:t>
      </w:r>
    </w:p>
    <w:p w14:paraId="64EFD146">
      <w:pPr>
        <w:pStyle w:val="106"/>
        <w:bidi w:val="0"/>
        <w:rPr>
          <w:rFonts w:hint="eastAsia"/>
          <w:lang w:val="en-US" w:eastAsia="zh-CN"/>
        </w:rPr>
      </w:pPr>
      <w:r>
        <w:rPr>
          <w:rFonts w:hint="eastAsia"/>
          <w:lang w:val="en-US" w:eastAsia="zh-CN"/>
        </w:rPr>
        <w:t>品种</w:t>
      </w:r>
    </w:p>
    <w:p w14:paraId="7638EFA0">
      <w:pPr>
        <w:pStyle w:val="57"/>
        <w:rPr>
          <w:rFonts w:hint="eastAsia" w:eastAsia="宋体"/>
          <w:lang w:val="en-US" w:eastAsia="zh-CN"/>
        </w:rPr>
      </w:pPr>
      <w:r>
        <w:rPr>
          <w:rFonts w:hint="eastAsia"/>
          <w:lang w:val="en-US" w:eastAsia="zh-CN"/>
        </w:rPr>
        <w:t>民和肉牛养殖品种为以秦川黄牛为父本、当地蒙古小型黄牛为母本实施杂交，再引进中国西门塔尔冻精进行三元杂交形成的肉用牛。</w:t>
      </w:r>
    </w:p>
    <w:p w14:paraId="0F99B952">
      <w:pPr>
        <w:pStyle w:val="106"/>
        <w:bidi w:val="0"/>
        <w:rPr>
          <w:rFonts w:hint="default"/>
          <w:lang w:val="en-US" w:eastAsia="zh-CN"/>
        </w:rPr>
      </w:pPr>
      <w:r>
        <w:rPr>
          <w:rFonts w:hint="eastAsia"/>
          <w:lang w:val="en-US" w:eastAsia="zh-CN"/>
        </w:rPr>
        <w:t>养殖选址与环境条件</w:t>
      </w:r>
    </w:p>
    <w:p w14:paraId="633DB176">
      <w:pPr>
        <w:pStyle w:val="57"/>
        <w:rPr>
          <w:rFonts w:hint="eastAsia"/>
          <w:lang w:val="en-US" w:eastAsia="zh-CN"/>
        </w:rPr>
      </w:pPr>
      <w:r>
        <w:rPr>
          <w:rFonts w:hint="eastAsia"/>
          <w:lang w:val="en-US" w:eastAsia="zh-CN"/>
        </w:rPr>
        <w:t>养殖场选址应位于民和县地理标志产品保护范围内。养殖场地应划分为生产区、辅助生产区、管理区、隔离区，各功能区布局合理，卫生与防疫条件齐备。</w:t>
      </w:r>
    </w:p>
    <w:p w14:paraId="0F3E0591">
      <w:pPr>
        <w:pStyle w:val="106"/>
        <w:bidi w:val="0"/>
        <w:rPr>
          <w:rFonts w:hint="default"/>
          <w:lang w:val="en-US" w:eastAsia="zh-CN"/>
        </w:rPr>
      </w:pPr>
      <w:r>
        <w:rPr>
          <w:rFonts w:hint="eastAsia"/>
          <w:lang w:val="en-US" w:eastAsia="zh-CN"/>
        </w:rPr>
        <w:t>圈舍建设</w:t>
      </w:r>
    </w:p>
    <w:p w14:paraId="1DF2FD6B">
      <w:pPr>
        <w:pStyle w:val="57"/>
        <w:rPr>
          <w:rFonts w:hint="default"/>
          <w:lang w:val="en-US" w:eastAsia="zh-CN"/>
        </w:rPr>
      </w:pPr>
      <w:r>
        <w:rPr>
          <w:rFonts w:hint="eastAsia"/>
          <w:lang w:val="en-US" w:eastAsia="zh-CN"/>
        </w:rPr>
        <w:t>应符合NY/T 4627的规定。</w:t>
      </w:r>
    </w:p>
    <w:p w14:paraId="4FE33F0E">
      <w:pPr>
        <w:pStyle w:val="106"/>
        <w:bidi w:val="0"/>
        <w:rPr>
          <w:rFonts w:hint="default"/>
          <w:lang w:val="en-US" w:eastAsia="zh-CN"/>
        </w:rPr>
      </w:pPr>
      <w:r>
        <w:rPr>
          <w:rFonts w:hint="eastAsia"/>
          <w:lang w:val="en-US" w:eastAsia="zh-CN"/>
        </w:rPr>
        <w:t>饲养管理</w:t>
      </w:r>
    </w:p>
    <w:p w14:paraId="0895A78C">
      <w:pPr>
        <w:pStyle w:val="66"/>
        <w:bidi w:val="0"/>
        <w:rPr>
          <w:rFonts w:hint="eastAsia"/>
          <w:lang w:val="en-US" w:eastAsia="zh-CN"/>
        </w:rPr>
      </w:pPr>
      <w:r>
        <w:rPr>
          <w:rFonts w:hint="eastAsia"/>
          <w:lang w:val="en-US" w:eastAsia="zh-CN"/>
        </w:rPr>
        <w:t>饲养方式</w:t>
      </w:r>
    </w:p>
    <w:p w14:paraId="0457B892">
      <w:pPr>
        <w:pStyle w:val="57"/>
        <w:rPr>
          <w:rFonts w:hint="eastAsia"/>
          <w:lang w:val="en-US" w:eastAsia="zh-CN"/>
        </w:rPr>
      </w:pPr>
      <w:r>
        <w:rPr>
          <w:rFonts w:ascii="Helvetica" w:hAnsi="Helvetica" w:eastAsia="Helvetica" w:cs="Helvetica"/>
          <w:i w:val="0"/>
          <w:iCs w:val="0"/>
          <w:caps w:val="0"/>
          <w:color w:val="333333"/>
          <w:spacing w:val="0"/>
          <w:sz w:val="21"/>
          <w:szCs w:val="21"/>
          <w:shd w:val="clear" w:fill="FFFFFF"/>
        </w:rPr>
        <w:t>以舍饲和半舍饲为主</w:t>
      </w:r>
      <w:r>
        <w:rPr>
          <w:rFonts w:hint="eastAsia" w:ascii="Helvetica" w:hAnsi="Helvetica" w:cs="Helvetica"/>
          <w:i w:val="0"/>
          <w:iCs w:val="0"/>
          <w:caps w:val="0"/>
          <w:color w:val="333333"/>
          <w:spacing w:val="0"/>
          <w:sz w:val="21"/>
          <w:szCs w:val="21"/>
          <w:shd w:val="clear" w:fill="FFFFFF"/>
          <w:lang w:eastAsia="zh-CN"/>
        </w:rPr>
        <w:t>，根据季节条件和牛只生理阶段合理选择饲养方式。</w:t>
      </w:r>
      <w:r>
        <w:rPr>
          <w:rFonts w:ascii="Helvetica" w:hAnsi="Helvetica" w:eastAsia="Helvetica" w:cs="Helvetica"/>
          <w:i w:val="0"/>
          <w:iCs w:val="0"/>
          <w:caps w:val="0"/>
          <w:color w:val="333333"/>
          <w:spacing w:val="0"/>
          <w:sz w:val="21"/>
          <w:szCs w:val="21"/>
          <w:shd w:val="clear" w:fill="FFFFFF"/>
        </w:rPr>
        <w:t>。</w:t>
      </w:r>
    </w:p>
    <w:p w14:paraId="048B54FC">
      <w:pPr>
        <w:pStyle w:val="66"/>
        <w:bidi w:val="0"/>
        <w:rPr>
          <w:rFonts w:hint="eastAsia"/>
          <w:lang w:val="en-US" w:eastAsia="zh-CN"/>
        </w:rPr>
      </w:pPr>
      <w:r>
        <w:rPr>
          <w:rFonts w:hint="eastAsia"/>
          <w:lang w:val="en-US" w:eastAsia="zh-CN"/>
        </w:rPr>
        <w:t>饲料与营养</w:t>
      </w:r>
    </w:p>
    <w:p w14:paraId="21148CFD">
      <w:pPr>
        <w:pStyle w:val="57"/>
        <w:rPr>
          <w:rFonts w:hint="default"/>
          <w:lang w:val="en-US" w:eastAsia="zh-CN"/>
        </w:rPr>
      </w:pPr>
      <w:r>
        <w:rPr>
          <w:rFonts w:hint="eastAsia"/>
          <w:lang w:val="en-US" w:eastAsia="zh-CN"/>
        </w:rPr>
        <w:t>民和肉牛日粮原料应来源于产地范围内的优质饲草和精料。饲料营养需要量应符合GB/T 47364的要求。饲料原料应符合GB 13078的要求，不允许添加违禁药物和非法添加物。</w:t>
      </w:r>
    </w:p>
    <w:p w14:paraId="593B5386">
      <w:pPr>
        <w:pStyle w:val="66"/>
        <w:bidi w:val="0"/>
        <w:rPr>
          <w:rFonts w:hint="eastAsia"/>
          <w:lang w:val="en-US" w:eastAsia="zh-CN"/>
        </w:rPr>
      </w:pPr>
      <w:r>
        <w:rPr>
          <w:rFonts w:hint="eastAsia"/>
          <w:lang w:val="en-US" w:eastAsia="zh-CN"/>
        </w:rPr>
        <w:t>饲养密度</w:t>
      </w:r>
    </w:p>
    <w:p w14:paraId="1613BC39">
      <w:pPr>
        <w:pStyle w:val="57"/>
        <w:rPr>
          <w:rFonts w:hint="eastAsia"/>
          <w:lang w:val="en-US" w:eastAsia="zh-CN"/>
        </w:rPr>
      </w:pPr>
      <w:r>
        <w:rPr>
          <w:rFonts w:hint="eastAsia"/>
          <w:lang w:val="en-US" w:eastAsia="zh-CN"/>
        </w:rPr>
        <w:t>根据牛只体重、牛舍条件和气候环境合理控制饲养密度，建议饲养密度为每头牛占圈舍面积6 m</w:t>
      </w:r>
      <w:r>
        <w:rPr>
          <w:rFonts w:hint="eastAsia"/>
          <w:vertAlign w:val="superscript"/>
          <w:lang w:val="en-US" w:eastAsia="zh-CN"/>
        </w:rPr>
        <w:t>2</w:t>
      </w:r>
      <w:r>
        <w:rPr>
          <w:rFonts w:hint="eastAsia"/>
          <w:lang w:val="en-US" w:eastAsia="zh-CN"/>
        </w:rPr>
        <w:t>～8 m</w:t>
      </w:r>
      <w:r>
        <w:rPr>
          <w:rFonts w:hint="eastAsia"/>
          <w:vertAlign w:val="superscript"/>
          <w:lang w:val="en-US" w:eastAsia="zh-CN"/>
        </w:rPr>
        <w:t>2</w:t>
      </w:r>
      <w:r>
        <w:rPr>
          <w:rFonts w:hint="eastAsia"/>
          <w:lang w:val="en-US" w:eastAsia="zh-CN"/>
        </w:rPr>
        <w:t>。</w:t>
      </w:r>
    </w:p>
    <w:p w14:paraId="482C96F1">
      <w:pPr>
        <w:pStyle w:val="66"/>
        <w:bidi w:val="0"/>
        <w:rPr>
          <w:rFonts w:hint="default"/>
          <w:lang w:val="en-US" w:eastAsia="zh-CN"/>
        </w:rPr>
      </w:pPr>
      <w:r>
        <w:rPr>
          <w:rFonts w:hint="eastAsia"/>
          <w:lang w:val="en-US" w:eastAsia="zh-CN"/>
        </w:rPr>
        <w:t>出栏</w:t>
      </w:r>
    </w:p>
    <w:p w14:paraId="3F12EADA">
      <w:pPr>
        <w:pStyle w:val="57"/>
        <w:rPr>
          <w:rFonts w:hint="default"/>
          <w:lang w:val="en-US" w:eastAsia="zh-CN"/>
        </w:rPr>
      </w:pPr>
      <w:r>
        <w:rPr>
          <w:rFonts w:hint="default"/>
          <w:lang w:val="en-US" w:eastAsia="zh-CN"/>
        </w:rPr>
        <w:t>民和肉牛育肥期一般从10月龄开始，至18月龄</w:t>
      </w:r>
      <w:r>
        <w:rPr>
          <w:rFonts w:hint="eastAsia"/>
          <w:lang w:val="en-US" w:eastAsia="zh-CN"/>
        </w:rPr>
        <w:t>～</w:t>
      </w:r>
      <w:r>
        <w:rPr>
          <w:rFonts w:hint="default"/>
          <w:lang w:val="en-US" w:eastAsia="zh-CN"/>
        </w:rPr>
        <w:t>24月龄出栏。</w:t>
      </w:r>
    </w:p>
    <w:p w14:paraId="03001776">
      <w:pPr>
        <w:pStyle w:val="57"/>
        <w:rPr>
          <w:rFonts w:hint="default"/>
          <w:lang w:val="en-US" w:eastAsia="zh-CN"/>
        </w:rPr>
      </w:pPr>
      <w:r>
        <w:rPr>
          <w:rFonts w:hint="default"/>
          <w:lang w:val="en-US" w:eastAsia="zh-CN"/>
        </w:rPr>
        <w:t>出栏</w:t>
      </w:r>
      <w:r>
        <w:rPr>
          <w:rFonts w:hint="eastAsia"/>
          <w:lang w:val="en-US" w:eastAsia="zh-CN"/>
        </w:rPr>
        <w:t>时</w:t>
      </w:r>
      <w:r>
        <w:rPr>
          <w:rFonts w:hint="default"/>
          <w:lang w:val="en-US" w:eastAsia="zh-CN"/>
        </w:rPr>
        <w:t>活体重不</w:t>
      </w:r>
      <w:r>
        <w:rPr>
          <w:rFonts w:hint="eastAsia"/>
          <w:lang w:val="en-US" w:eastAsia="zh-CN"/>
        </w:rPr>
        <w:t>应</w:t>
      </w:r>
      <w:r>
        <w:rPr>
          <w:rFonts w:hint="default"/>
          <w:lang w:val="en-US" w:eastAsia="zh-CN"/>
        </w:rPr>
        <w:t>低于550 kg，体况良好，无临床疾病，经产地检疫合格，并持有有效的免疫证明和养殖档案记录。</w:t>
      </w:r>
    </w:p>
    <w:p w14:paraId="43CBD743">
      <w:pPr>
        <w:pStyle w:val="106"/>
        <w:bidi w:val="0"/>
        <w:rPr>
          <w:rFonts w:hint="default"/>
          <w:lang w:val="en-US" w:eastAsia="zh-CN"/>
        </w:rPr>
      </w:pPr>
      <w:r>
        <w:rPr>
          <w:rFonts w:hint="eastAsia"/>
          <w:lang w:val="en-US" w:eastAsia="zh-CN"/>
        </w:rPr>
        <w:t>屠宰与加工</w:t>
      </w:r>
    </w:p>
    <w:p w14:paraId="089B7BFD">
      <w:pPr>
        <w:pStyle w:val="66"/>
        <w:bidi w:val="0"/>
        <w:rPr>
          <w:rFonts w:hint="default"/>
          <w:lang w:val="en-US" w:eastAsia="zh-CN"/>
        </w:rPr>
      </w:pPr>
      <w:r>
        <w:rPr>
          <w:rFonts w:hint="eastAsia"/>
          <w:lang w:val="en-US" w:eastAsia="zh-CN"/>
        </w:rPr>
        <w:t>屠宰</w:t>
      </w:r>
    </w:p>
    <w:p w14:paraId="54A9E3AE">
      <w:pPr>
        <w:pStyle w:val="57"/>
        <w:rPr>
          <w:rFonts w:hint="default"/>
          <w:lang w:val="en-US" w:eastAsia="zh-CN"/>
        </w:rPr>
      </w:pPr>
      <w:r>
        <w:rPr>
          <w:rFonts w:hint="default"/>
          <w:lang w:val="en-US" w:eastAsia="zh-CN"/>
        </w:rPr>
        <w:t>民和肉牛的屠宰操作应符合GB/T 17237和GB/T 19477的规定。屠宰前牛只应经兽医卫生检验合格，并进行停食静养不少于12 h。</w:t>
      </w:r>
    </w:p>
    <w:p w14:paraId="7B22B13C">
      <w:pPr>
        <w:pStyle w:val="57"/>
        <w:rPr>
          <w:rFonts w:hint="default"/>
          <w:lang w:val="en-US" w:eastAsia="zh-CN"/>
        </w:rPr>
      </w:pPr>
      <w:r>
        <w:rPr>
          <w:rFonts w:hint="default"/>
          <w:lang w:val="en-US" w:eastAsia="zh-CN"/>
        </w:rPr>
        <w:t>屠宰过程应严格执行卫生操作规程，防止交叉污染。</w:t>
      </w:r>
    </w:p>
    <w:p w14:paraId="72484552">
      <w:pPr>
        <w:pStyle w:val="66"/>
        <w:bidi w:val="0"/>
        <w:rPr>
          <w:rFonts w:hint="default"/>
          <w:lang w:val="en-US" w:eastAsia="zh-CN"/>
        </w:rPr>
      </w:pPr>
      <w:r>
        <w:rPr>
          <w:rFonts w:hint="eastAsia"/>
          <w:lang w:val="en-US" w:eastAsia="zh-CN"/>
        </w:rPr>
        <w:t>加工工艺</w:t>
      </w:r>
    </w:p>
    <w:p w14:paraId="4421012B">
      <w:pPr>
        <w:pStyle w:val="95"/>
        <w:bidi w:val="0"/>
        <w:rPr>
          <w:rFonts w:hint="default"/>
          <w:lang w:val="en-US" w:eastAsia="zh-CN"/>
        </w:rPr>
      </w:pPr>
      <w:r>
        <w:rPr>
          <w:rFonts w:hint="eastAsia"/>
          <w:lang w:val="en-US" w:eastAsia="zh-CN"/>
        </w:rPr>
        <w:t>工艺流程</w:t>
      </w:r>
    </w:p>
    <w:p w14:paraId="52D88629">
      <w:pPr>
        <w:pStyle w:val="57"/>
        <w:rPr>
          <w:rFonts w:hint="default"/>
          <w:lang w:val="en-US" w:eastAsia="zh-CN"/>
        </w:rPr>
      </w:pPr>
      <w:r>
        <w:rPr>
          <w:rFonts w:hint="default"/>
          <w:lang w:val="en-US" w:eastAsia="zh-CN"/>
        </w:rPr>
        <w:t>活牛验收→停食静养→击晕</w:t>
      </w:r>
      <w:r>
        <w:rPr>
          <w:rFonts w:hint="eastAsia"/>
          <w:lang w:val="en-US" w:eastAsia="zh-CN"/>
        </w:rPr>
        <w:t>（可选）</w:t>
      </w:r>
      <w:r>
        <w:rPr>
          <w:rFonts w:hint="default"/>
          <w:lang w:val="en-US" w:eastAsia="zh-CN"/>
        </w:rPr>
        <w:t>→放血→剥皮→去头蹄→开膛去内脏→胴体修整→冲洗→排酸→分割→包装→冷藏/冷冻。</w:t>
      </w:r>
    </w:p>
    <w:p w14:paraId="162D892E">
      <w:pPr>
        <w:pStyle w:val="95"/>
        <w:bidi w:val="0"/>
        <w:rPr>
          <w:rFonts w:hint="default"/>
          <w:lang w:val="en-US" w:eastAsia="zh-CN"/>
        </w:rPr>
      </w:pPr>
      <w:r>
        <w:rPr>
          <w:rFonts w:hint="eastAsia"/>
          <w:lang w:val="en-US" w:eastAsia="zh-CN"/>
        </w:rPr>
        <w:t>关键工艺要求</w:t>
      </w:r>
    </w:p>
    <w:p w14:paraId="77AEA80B">
      <w:pPr>
        <w:pStyle w:val="99"/>
        <w:bidi w:val="0"/>
        <w:rPr>
          <w:rFonts w:hint="default"/>
          <w:lang w:val="en-US" w:eastAsia="zh-CN"/>
        </w:rPr>
      </w:pPr>
      <w:r>
        <w:rPr>
          <w:rFonts w:hint="default"/>
          <w:lang w:val="en-US" w:eastAsia="zh-CN"/>
        </w:rPr>
        <w:t>排酸</w:t>
      </w:r>
    </w:p>
    <w:p w14:paraId="3C51459A">
      <w:pPr>
        <w:pStyle w:val="57"/>
        <w:rPr>
          <w:rFonts w:hint="default"/>
          <w:lang w:val="en-US" w:eastAsia="zh-CN"/>
        </w:rPr>
      </w:pPr>
      <w:r>
        <w:rPr>
          <w:rFonts w:hint="default"/>
          <w:lang w:val="en-US" w:eastAsia="zh-CN"/>
        </w:rPr>
        <w:t>胴体应在0 ℃</w:t>
      </w:r>
      <w:r>
        <w:rPr>
          <w:rFonts w:hint="eastAsia"/>
          <w:lang w:val="en-US" w:eastAsia="zh-CN"/>
        </w:rPr>
        <w:t>～</w:t>
      </w:r>
      <w:r>
        <w:rPr>
          <w:rFonts w:hint="default"/>
          <w:lang w:val="en-US" w:eastAsia="zh-CN"/>
        </w:rPr>
        <w:t>4 ℃条件下排酸不少于48 h，排酸间相对湿度保持在85%</w:t>
      </w:r>
      <w:r>
        <w:rPr>
          <w:rFonts w:hint="eastAsia"/>
          <w:lang w:val="en-US" w:eastAsia="zh-CN"/>
        </w:rPr>
        <w:t>～</w:t>
      </w:r>
      <w:r>
        <w:rPr>
          <w:rFonts w:hint="default"/>
          <w:lang w:val="en-US" w:eastAsia="zh-CN"/>
        </w:rPr>
        <w:t>90%。</w:t>
      </w:r>
    </w:p>
    <w:p w14:paraId="4C792526">
      <w:pPr>
        <w:pStyle w:val="99"/>
        <w:bidi w:val="0"/>
        <w:rPr>
          <w:rFonts w:hint="default"/>
          <w:lang w:val="en-US" w:eastAsia="zh-CN"/>
        </w:rPr>
      </w:pPr>
      <w:r>
        <w:rPr>
          <w:rFonts w:hint="default"/>
          <w:lang w:val="en-US" w:eastAsia="zh-CN"/>
        </w:rPr>
        <w:t>分割</w:t>
      </w:r>
    </w:p>
    <w:p w14:paraId="7574EA10">
      <w:pPr>
        <w:pStyle w:val="57"/>
        <w:rPr>
          <w:rFonts w:hint="default"/>
          <w:lang w:val="en-US" w:eastAsia="zh-CN"/>
        </w:rPr>
      </w:pPr>
      <w:r>
        <w:rPr>
          <w:rFonts w:hint="default"/>
          <w:lang w:val="en-US" w:eastAsia="zh-CN"/>
        </w:rPr>
        <w:t>排酸后的牛胴体按NY/T 2836的规定进行分割，分割车间温度应控制在12 ℃以下。</w:t>
      </w:r>
    </w:p>
    <w:p w14:paraId="07C734DE">
      <w:pPr>
        <w:pStyle w:val="99"/>
        <w:bidi w:val="0"/>
        <w:rPr>
          <w:rFonts w:hint="default"/>
          <w:lang w:val="en-US" w:eastAsia="zh-CN"/>
        </w:rPr>
      </w:pPr>
      <w:r>
        <w:rPr>
          <w:rFonts w:hint="default"/>
          <w:lang w:val="en-US" w:eastAsia="zh-CN"/>
        </w:rPr>
        <w:t>包装</w:t>
      </w:r>
    </w:p>
    <w:p w14:paraId="2B8FFA78">
      <w:pPr>
        <w:pStyle w:val="57"/>
        <w:rPr>
          <w:rFonts w:hint="default"/>
          <w:lang w:val="en-US" w:eastAsia="zh-CN"/>
        </w:rPr>
      </w:pPr>
      <w:r>
        <w:rPr>
          <w:rFonts w:hint="default"/>
          <w:lang w:val="en-US" w:eastAsia="zh-CN"/>
        </w:rPr>
        <w:t>采用符合食品安全标准的包装材料进行真空包装或气调包装，包装后注明产品名称、产地、生产日期及保质期。</w:t>
      </w:r>
    </w:p>
    <w:p w14:paraId="3C9C67BC">
      <w:pPr>
        <w:pStyle w:val="105"/>
        <w:bidi w:val="0"/>
        <w:rPr>
          <w:rFonts w:hint="default"/>
          <w:lang w:val="en-US" w:eastAsia="zh-CN"/>
        </w:rPr>
      </w:pPr>
      <w:r>
        <w:rPr>
          <w:rFonts w:hint="eastAsia"/>
          <w:lang w:val="en-US" w:eastAsia="zh-CN"/>
        </w:rPr>
        <w:t>质量要求</w:t>
      </w:r>
    </w:p>
    <w:p w14:paraId="4F9185F5">
      <w:pPr>
        <w:pStyle w:val="106"/>
        <w:bidi w:val="0"/>
        <w:rPr>
          <w:rFonts w:hint="default"/>
          <w:lang w:val="en-US" w:eastAsia="zh-CN"/>
        </w:rPr>
      </w:pPr>
      <w:r>
        <w:rPr>
          <w:rFonts w:hint="eastAsia"/>
          <w:lang w:val="en-US" w:eastAsia="zh-CN"/>
        </w:rPr>
        <w:t>感官要求</w:t>
      </w:r>
    </w:p>
    <w:p w14:paraId="3B8BB6D7">
      <w:pPr>
        <w:pStyle w:val="66"/>
        <w:bidi w:val="0"/>
        <w:rPr>
          <w:rFonts w:hint="eastAsia"/>
          <w:lang w:val="en-US" w:eastAsia="zh-CN"/>
        </w:rPr>
      </w:pPr>
      <w:r>
        <w:rPr>
          <w:rFonts w:hint="eastAsia"/>
          <w:lang w:val="en-US" w:eastAsia="zh-CN"/>
        </w:rPr>
        <w:t>活体牛体型外貌</w:t>
      </w:r>
    </w:p>
    <w:p w14:paraId="716CBBD3">
      <w:pPr>
        <w:pStyle w:val="57"/>
        <w:rPr>
          <w:rFonts w:hint="eastAsia"/>
          <w:lang w:val="en-US" w:eastAsia="zh-CN"/>
        </w:rPr>
      </w:pPr>
      <w:r>
        <w:rPr>
          <w:rFonts w:hint="eastAsia"/>
          <w:lang w:val="en-US" w:eastAsia="zh-CN"/>
        </w:rPr>
        <w:t>体型身宽高达，结构匀称，体质结实，体格粗壮，体驱呈圆筒状，多为红（黄）白花角为蜡白色，四肢健壮有力，具有六白特征。眼大有神，头颈结合良好，颈下垂发达，肩背腰平直，粗壮结实，角大小适中，乳房前伸后展良好，乳头分布均匀乳静脉明细发达。</w:t>
      </w:r>
    </w:p>
    <w:p w14:paraId="2007947E">
      <w:pPr>
        <w:pStyle w:val="66"/>
        <w:bidi w:val="0"/>
        <w:rPr>
          <w:rFonts w:hint="default"/>
          <w:lang w:val="en-US" w:eastAsia="zh-CN"/>
        </w:rPr>
      </w:pPr>
      <w:r>
        <w:rPr>
          <w:rFonts w:hint="eastAsia"/>
          <w:lang w:val="en-US" w:eastAsia="zh-CN"/>
        </w:rPr>
        <w:t>牛肉感官要求</w:t>
      </w:r>
    </w:p>
    <w:p w14:paraId="42918A8D">
      <w:pPr>
        <w:pStyle w:val="57"/>
        <w:rPr>
          <w:rFonts w:hint="default"/>
          <w:lang w:val="en-US" w:eastAsia="zh-CN"/>
        </w:rPr>
      </w:pPr>
      <w:r>
        <w:rPr>
          <w:rFonts w:hint="eastAsia"/>
          <w:lang w:val="en-US" w:eastAsia="zh-CN"/>
        </w:rPr>
        <w:t>应符合表1的规定。</w:t>
      </w:r>
    </w:p>
    <w:p w14:paraId="187AC184">
      <w:pPr>
        <w:pStyle w:val="113"/>
        <w:bidi w:val="0"/>
        <w:rPr>
          <w:rFonts w:hint="default"/>
          <w:lang w:val="en-US" w:eastAsia="zh-CN"/>
        </w:rPr>
      </w:pPr>
      <w:r>
        <w:rPr>
          <w:rFonts w:hint="eastAsia"/>
          <w:lang w:val="en-US" w:eastAsia="zh-CN"/>
        </w:rPr>
        <w:t>牛肉感官要求</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3115"/>
        <w:gridCol w:w="6439"/>
      </w:tblGrid>
      <w:tr w14:paraId="512554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3115" w:type="dxa"/>
            <w:tcBorders>
              <w:bottom w:val="single" w:color="auto" w:sz="8" w:space="0"/>
            </w:tcBorders>
            <w:vAlign w:val="center"/>
          </w:tcPr>
          <w:p w14:paraId="19E80582">
            <w:pPr>
              <w:pStyle w:val="179"/>
              <w:bidi w:val="0"/>
              <w:spacing w:line="240" w:lineRule="auto"/>
              <w:jc w:val="center"/>
              <w:rPr>
                <w:rFonts w:hint="default"/>
                <w:lang w:val="en-US" w:eastAsia="zh-CN"/>
              </w:rPr>
            </w:pPr>
            <w:r>
              <w:rPr>
                <w:rFonts w:hint="eastAsia"/>
                <w:lang w:val="en-US" w:eastAsia="zh-CN"/>
              </w:rPr>
              <w:t>项目</w:t>
            </w:r>
          </w:p>
        </w:tc>
        <w:tc>
          <w:tcPr>
            <w:tcW w:w="6439" w:type="dxa"/>
            <w:tcBorders>
              <w:bottom w:val="single" w:color="auto" w:sz="8" w:space="0"/>
            </w:tcBorders>
            <w:vAlign w:val="center"/>
          </w:tcPr>
          <w:p w14:paraId="0D8E428E">
            <w:pPr>
              <w:pStyle w:val="179"/>
              <w:bidi w:val="0"/>
              <w:spacing w:line="240" w:lineRule="auto"/>
              <w:jc w:val="center"/>
              <w:rPr>
                <w:rFonts w:hint="default"/>
                <w:lang w:val="en-US" w:eastAsia="zh-CN"/>
              </w:rPr>
            </w:pPr>
            <w:r>
              <w:rPr>
                <w:rFonts w:hint="eastAsia"/>
                <w:lang w:val="en-US" w:eastAsia="zh-CN"/>
              </w:rPr>
              <w:t>要求</w:t>
            </w:r>
          </w:p>
        </w:tc>
      </w:tr>
      <w:tr w14:paraId="1356D4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5" w:type="dxa"/>
            <w:tcBorders>
              <w:top w:val="single" w:color="auto" w:sz="8" w:space="0"/>
            </w:tcBorders>
            <w:vAlign w:val="center"/>
          </w:tcPr>
          <w:p w14:paraId="5F743AD7">
            <w:pPr>
              <w:pStyle w:val="179"/>
              <w:bidi w:val="0"/>
              <w:spacing w:line="240" w:lineRule="auto"/>
              <w:jc w:val="center"/>
              <w:rPr>
                <w:rFonts w:hint="default"/>
                <w:lang w:val="en-US" w:eastAsia="zh-CN"/>
              </w:rPr>
            </w:pPr>
            <w:r>
              <w:rPr>
                <w:rFonts w:hint="default"/>
                <w:lang w:val="en-US" w:eastAsia="zh-CN"/>
              </w:rPr>
              <w:t>色泽</w:t>
            </w:r>
          </w:p>
        </w:tc>
        <w:tc>
          <w:tcPr>
            <w:tcW w:w="6439" w:type="dxa"/>
            <w:tcBorders>
              <w:top w:val="single" w:color="auto" w:sz="8" w:space="0"/>
            </w:tcBorders>
            <w:vAlign w:val="center"/>
          </w:tcPr>
          <w:p w14:paraId="4491D3AE">
            <w:pPr>
              <w:pStyle w:val="179"/>
              <w:bidi w:val="0"/>
              <w:spacing w:line="240" w:lineRule="auto"/>
              <w:jc w:val="center"/>
              <w:rPr>
                <w:rFonts w:hint="default"/>
                <w:lang w:val="en-US" w:eastAsia="zh-CN"/>
              </w:rPr>
            </w:pPr>
            <w:r>
              <w:rPr>
                <w:rFonts w:hint="default"/>
                <w:lang w:val="en-US" w:eastAsia="zh-CN"/>
              </w:rPr>
              <w:t>肌肉呈鲜红色或深红色，光泽良好；脂肪呈乳白色或淡黄色</w:t>
            </w:r>
          </w:p>
        </w:tc>
      </w:tr>
      <w:tr w14:paraId="26181D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5" w:type="dxa"/>
            <w:vAlign w:val="center"/>
          </w:tcPr>
          <w:p w14:paraId="49ADA6DD">
            <w:pPr>
              <w:pStyle w:val="179"/>
              <w:bidi w:val="0"/>
              <w:spacing w:line="240" w:lineRule="auto"/>
              <w:jc w:val="center"/>
              <w:rPr>
                <w:rFonts w:hint="default"/>
                <w:lang w:val="en-US" w:eastAsia="zh-CN"/>
              </w:rPr>
            </w:pPr>
            <w:r>
              <w:rPr>
                <w:rFonts w:hint="default"/>
                <w:lang w:val="en-US" w:eastAsia="zh-CN"/>
              </w:rPr>
              <w:t>气味</w:t>
            </w:r>
          </w:p>
        </w:tc>
        <w:tc>
          <w:tcPr>
            <w:tcW w:w="6439" w:type="dxa"/>
            <w:vAlign w:val="center"/>
          </w:tcPr>
          <w:p w14:paraId="3AC362CB">
            <w:pPr>
              <w:pStyle w:val="179"/>
              <w:bidi w:val="0"/>
              <w:spacing w:line="240" w:lineRule="auto"/>
              <w:jc w:val="center"/>
              <w:rPr>
                <w:rFonts w:hint="default"/>
                <w:lang w:val="en-US" w:eastAsia="zh-CN"/>
              </w:rPr>
            </w:pPr>
            <w:r>
              <w:rPr>
                <w:rFonts w:hint="default"/>
                <w:lang w:val="en-US" w:eastAsia="zh-CN"/>
              </w:rPr>
              <w:t>具有牛肉固有的香味，无异味</w:t>
            </w:r>
          </w:p>
        </w:tc>
      </w:tr>
      <w:tr w14:paraId="7D8FFE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5" w:type="dxa"/>
            <w:vAlign w:val="center"/>
          </w:tcPr>
          <w:p w14:paraId="77A0E065">
            <w:pPr>
              <w:pStyle w:val="179"/>
              <w:bidi w:val="0"/>
              <w:spacing w:line="240" w:lineRule="auto"/>
              <w:jc w:val="center"/>
              <w:rPr>
                <w:rFonts w:hint="default"/>
                <w:lang w:val="en-US" w:eastAsia="zh-CN"/>
              </w:rPr>
            </w:pPr>
            <w:r>
              <w:rPr>
                <w:rFonts w:hint="default"/>
                <w:lang w:val="en-US" w:eastAsia="zh-CN"/>
              </w:rPr>
              <w:t>组织状态</w:t>
            </w:r>
          </w:p>
        </w:tc>
        <w:tc>
          <w:tcPr>
            <w:tcW w:w="6439" w:type="dxa"/>
            <w:vAlign w:val="center"/>
          </w:tcPr>
          <w:p w14:paraId="18FD5CAB">
            <w:pPr>
              <w:pStyle w:val="179"/>
              <w:bidi w:val="0"/>
              <w:spacing w:line="240" w:lineRule="auto"/>
              <w:jc w:val="center"/>
              <w:rPr>
                <w:rFonts w:hint="default"/>
                <w:lang w:val="en-US" w:eastAsia="zh-CN"/>
              </w:rPr>
            </w:pPr>
            <w:r>
              <w:rPr>
                <w:rFonts w:hint="default"/>
                <w:lang w:val="en-US" w:eastAsia="zh-CN"/>
              </w:rPr>
              <w:t>肉质细嫩，肌纤维纹理清晰，指压后凹陷恢复较快</w:t>
            </w:r>
          </w:p>
        </w:tc>
      </w:tr>
      <w:tr w14:paraId="45EFBE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5" w:type="dxa"/>
            <w:vAlign w:val="center"/>
          </w:tcPr>
          <w:p w14:paraId="2BC58D67">
            <w:pPr>
              <w:pStyle w:val="179"/>
              <w:bidi w:val="0"/>
              <w:spacing w:line="240" w:lineRule="auto"/>
              <w:jc w:val="center"/>
              <w:rPr>
                <w:rFonts w:hint="default"/>
                <w:lang w:val="en-US" w:eastAsia="zh-CN"/>
              </w:rPr>
            </w:pPr>
            <w:r>
              <w:rPr>
                <w:rFonts w:hint="default"/>
                <w:lang w:val="en-US" w:eastAsia="zh-CN"/>
              </w:rPr>
              <w:t>煮沸后肉汤</w:t>
            </w:r>
          </w:p>
        </w:tc>
        <w:tc>
          <w:tcPr>
            <w:tcW w:w="6439" w:type="dxa"/>
            <w:vAlign w:val="center"/>
          </w:tcPr>
          <w:p w14:paraId="531AA17C">
            <w:pPr>
              <w:pStyle w:val="179"/>
              <w:bidi w:val="0"/>
              <w:spacing w:line="240" w:lineRule="auto"/>
              <w:jc w:val="center"/>
              <w:rPr>
                <w:rFonts w:hint="default"/>
                <w:lang w:val="en-US" w:eastAsia="zh-CN"/>
              </w:rPr>
            </w:pPr>
            <w:r>
              <w:rPr>
                <w:rFonts w:hint="default"/>
                <w:lang w:val="en-US" w:eastAsia="zh-CN"/>
              </w:rPr>
              <w:t>肉汤澄清透明，脂肪团聚于表面，具有浓郁的牛肉香味</w:t>
            </w:r>
          </w:p>
        </w:tc>
      </w:tr>
    </w:tbl>
    <w:p w14:paraId="14D0E2EE">
      <w:pPr>
        <w:pStyle w:val="57"/>
        <w:bidi w:val="0"/>
        <w:rPr>
          <w:rFonts w:hint="default"/>
          <w:lang w:val="en-US" w:eastAsia="zh-CN"/>
        </w:rPr>
      </w:pPr>
    </w:p>
    <w:p w14:paraId="489B6B62">
      <w:pPr>
        <w:pStyle w:val="106"/>
        <w:bidi w:val="0"/>
        <w:rPr>
          <w:rFonts w:hint="default"/>
          <w:lang w:val="en-US" w:eastAsia="zh-CN"/>
        </w:rPr>
      </w:pPr>
      <w:r>
        <w:rPr>
          <w:rFonts w:hint="eastAsia"/>
          <w:lang w:val="en-US" w:eastAsia="zh-CN"/>
        </w:rPr>
        <w:t>理化指标</w:t>
      </w:r>
    </w:p>
    <w:p w14:paraId="7BFF42FF">
      <w:pPr>
        <w:pStyle w:val="57"/>
        <w:rPr>
          <w:rFonts w:hint="eastAsia"/>
          <w:lang w:val="en-US" w:eastAsia="zh-CN"/>
        </w:rPr>
      </w:pPr>
      <w:r>
        <w:rPr>
          <w:rFonts w:hint="eastAsia"/>
          <w:lang w:val="en-US" w:eastAsia="zh-CN"/>
        </w:rPr>
        <w:t>应符合表2的规定。</w:t>
      </w:r>
    </w:p>
    <w:p w14:paraId="274A404C">
      <w:pPr>
        <w:pStyle w:val="113"/>
        <w:bidi w:val="0"/>
        <w:rPr>
          <w:rFonts w:hint="default"/>
          <w:lang w:val="en-US" w:eastAsia="zh-CN"/>
        </w:rPr>
      </w:pPr>
      <w:r>
        <w:rPr>
          <w:rFonts w:hint="eastAsia"/>
          <w:lang w:val="en-US" w:eastAsia="zh-CN"/>
        </w:rPr>
        <w:t>理化指标</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777"/>
        <w:gridCol w:w="4777"/>
      </w:tblGrid>
      <w:tr w14:paraId="6BE918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777" w:type="dxa"/>
            <w:tcBorders>
              <w:bottom w:val="single" w:color="auto" w:sz="8" w:space="0"/>
            </w:tcBorders>
            <w:vAlign w:val="center"/>
          </w:tcPr>
          <w:p w14:paraId="20AA37BA">
            <w:pPr>
              <w:pStyle w:val="179"/>
              <w:bidi w:val="0"/>
              <w:spacing w:line="240" w:lineRule="auto"/>
              <w:jc w:val="center"/>
              <w:rPr>
                <w:rFonts w:hint="default"/>
                <w:lang w:val="en-US" w:eastAsia="zh-CN"/>
              </w:rPr>
            </w:pPr>
            <w:r>
              <w:rPr>
                <w:rFonts w:hint="eastAsia"/>
                <w:lang w:val="en-US" w:eastAsia="zh-CN"/>
              </w:rPr>
              <w:t>项目</w:t>
            </w:r>
          </w:p>
        </w:tc>
        <w:tc>
          <w:tcPr>
            <w:tcW w:w="4777" w:type="dxa"/>
            <w:tcBorders>
              <w:bottom w:val="single" w:color="auto" w:sz="8" w:space="0"/>
            </w:tcBorders>
            <w:vAlign w:val="center"/>
          </w:tcPr>
          <w:p w14:paraId="67B49470">
            <w:pPr>
              <w:pStyle w:val="179"/>
              <w:bidi w:val="0"/>
              <w:spacing w:line="240" w:lineRule="auto"/>
              <w:jc w:val="center"/>
              <w:rPr>
                <w:rFonts w:hint="default"/>
                <w:lang w:val="en-US" w:eastAsia="zh-CN"/>
              </w:rPr>
            </w:pPr>
            <w:r>
              <w:rPr>
                <w:rFonts w:hint="eastAsia"/>
                <w:lang w:val="en-US" w:eastAsia="zh-CN"/>
              </w:rPr>
              <w:t>指标</w:t>
            </w:r>
          </w:p>
        </w:tc>
      </w:tr>
      <w:tr w14:paraId="365210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7" w:type="dxa"/>
            <w:tcBorders>
              <w:top w:val="single" w:color="auto" w:sz="8" w:space="0"/>
            </w:tcBorders>
            <w:vAlign w:val="center"/>
          </w:tcPr>
          <w:p w14:paraId="6F0EC4EA">
            <w:pPr>
              <w:pStyle w:val="179"/>
              <w:bidi w:val="0"/>
              <w:spacing w:line="240" w:lineRule="auto"/>
              <w:jc w:val="center"/>
              <w:rPr>
                <w:rFonts w:hint="default"/>
                <w:lang w:val="en-US" w:eastAsia="zh-CN"/>
              </w:rPr>
            </w:pPr>
            <w:r>
              <w:rPr>
                <w:rFonts w:hint="default"/>
                <w:lang w:val="en-US" w:eastAsia="zh-CN"/>
              </w:rPr>
              <w:t>蛋白质含量</w:t>
            </w:r>
          </w:p>
        </w:tc>
        <w:tc>
          <w:tcPr>
            <w:tcW w:w="4777" w:type="dxa"/>
            <w:tcBorders>
              <w:top w:val="single" w:color="auto" w:sz="8" w:space="0"/>
            </w:tcBorders>
            <w:vAlign w:val="center"/>
          </w:tcPr>
          <w:p w14:paraId="274C7C1C">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22.0%</w:t>
            </w:r>
          </w:p>
        </w:tc>
      </w:tr>
      <w:tr w14:paraId="7B68CB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7" w:type="dxa"/>
            <w:vAlign w:val="center"/>
          </w:tcPr>
          <w:p w14:paraId="04414266">
            <w:pPr>
              <w:pStyle w:val="179"/>
              <w:bidi w:val="0"/>
              <w:spacing w:line="240" w:lineRule="auto"/>
              <w:jc w:val="center"/>
              <w:rPr>
                <w:rFonts w:hint="default"/>
                <w:lang w:val="en-US" w:eastAsia="zh-CN"/>
              </w:rPr>
            </w:pPr>
            <w:r>
              <w:rPr>
                <w:rFonts w:hint="default"/>
                <w:lang w:val="en-US" w:eastAsia="zh-CN"/>
              </w:rPr>
              <w:t>脂肪含量</w:t>
            </w:r>
          </w:p>
        </w:tc>
        <w:tc>
          <w:tcPr>
            <w:tcW w:w="4777" w:type="dxa"/>
            <w:vAlign w:val="center"/>
          </w:tcPr>
          <w:p w14:paraId="2ACBD7E0">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5.5%</w:t>
            </w:r>
          </w:p>
        </w:tc>
      </w:tr>
      <w:tr w14:paraId="79D052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7" w:type="dxa"/>
            <w:vAlign w:val="center"/>
          </w:tcPr>
          <w:p w14:paraId="13E8965D">
            <w:pPr>
              <w:pStyle w:val="179"/>
              <w:bidi w:val="0"/>
              <w:spacing w:line="240" w:lineRule="auto"/>
              <w:jc w:val="center"/>
              <w:rPr>
                <w:rFonts w:hint="default"/>
                <w:lang w:val="en-US" w:eastAsia="zh-CN"/>
              </w:rPr>
            </w:pPr>
            <w:r>
              <w:rPr>
                <w:rFonts w:hint="default"/>
                <w:lang w:val="en-US" w:eastAsia="zh-CN"/>
              </w:rPr>
              <w:t>水分含量</w:t>
            </w:r>
          </w:p>
        </w:tc>
        <w:tc>
          <w:tcPr>
            <w:tcW w:w="4777" w:type="dxa"/>
            <w:vAlign w:val="center"/>
          </w:tcPr>
          <w:p w14:paraId="41BA70F6">
            <w:pPr>
              <w:pStyle w:val="179"/>
              <w:bidi w:val="0"/>
              <w:spacing w:line="240" w:lineRule="auto"/>
              <w:jc w:val="center"/>
              <w:rPr>
                <w:rFonts w:hint="default"/>
                <w:lang w:val="en-US" w:eastAsia="zh-CN"/>
              </w:rPr>
            </w:pPr>
            <w:r>
              <w:rPr>
                <w:rFonts w:hint="eastAsia"/>
                <w:lang w:val="en-US" w:eastAsia="zh-CN"/>
              </w:rPr>
              <w:t>≤73.0%</w:t>
            </w:r>
          </w:p>
        </w:tc>
      </w:tr>
      <w:tr w14:paraId="5A0157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7" w:type="dxa"/>
            <w:vAlign w:val="center"/>
          </w:tcPr>
          <w:p w14:paraId="068C5F88">
            <w:pPr>
              <w:pStyle w:val="179"/>
              <w:bidi w:val="0"/>
              <w:spacing w:line="240" w:lineRule="auto"/>
              <w:jc w:val="center"/>
              <w:rPr>
                <w:rFonts w:hint="default"/>
                <w:lang w:val="en-US" w:eastAsia="zh-CN"/>
              </w:rPr>
            </w:pPr>
            <w:r>
              <w:rPr>
                <w:rFonts w:hint="default"/>
                <w:lang w:val="en-US" w:eastAsia="zh-CN"/>
              </w:rPr>
              <w:t>氨基酸总量</w:t>
            </w:r>
          </w:p>
        </w:tc>
        <w:tc>
          <w:tcPr>
            <w:tcW w:w="4777" w:type="dxa"/>
            <w:vAlign w:val="center"/>
          </w:tcPr>
          <w:p w14:paraId="6B979A60">
            <w:pPr>
              <w:pStyle w:val="179"/>
              <w:bidi w:val="0"/>
              <w:spacing w:line="240" w:lineRule="auto"/>
              <w:jc w:val="center"/>
              <w:rPr>
                <w:rFonts w:hint="default"/>
                <w:lang w:val="en-US" w:eastAsia="zh-CN"/>
              </w:rPr>
            </w:pPr>
            <w:r>
              <w:rPr>
                <w:rFonts w:hint="eastAsia"/>
                <w:lang w:val="en-US" w:eastAsia="zh-CN"/>
              </w:rPr>
              <w:t>≥</w:t>
            </w:r>
            <w:r>
              <w:rPr>
                <w:rFonts w:hint="default"/>
                <w:lang w:val="en-US" w:eastAsia="zh-CN"/>
              </w:rPr>
              <w:t>19.5%</w:t>
            </w:r>
          </w:p>
        </w:tc>
      </w:tr>
      <w:tr w14:paraId="7F51A3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554" w:type="dxa"/>
            <w:gridSpan w:val="2"/>
            <w:vAlign w:val="center"/>
          </w:tcPr>
          <w:p w14:paraId="6094AF80">
            <w:pPr>
              <w:pStyle w:val="180"/>
              <w:bidi w:val="0"/>
              <w:rPr>
                <w:rFonts w:hint="default"/>
                <w:lang w:val="en-US" w:eastAsia="zh-CN"/>
              </w:rPr>
            </w:pPr>
            <w:r>
              <w:rPr>
                <w:rFonts w:hint="default"/>
                <w:lang w:val="en-US" w:eastAsia="zh-CN"/>
              </w:rPr>
              <w:t>以上指标以鲜牛肉计，检测部位以背最长肌为标准采样部位。</w:t>
            </w:r>
          </w:p>
        </w:tc>
      </w:tr>
    </w:tbl>
    <w:p w14:paraId="0B096C5E">
      <w:pPr>
        <w:pStyle w:val="106"/>
        <w:bidi w:val="0"/>
        <w:rPr>
          <w:rFonts w:hint="default"/>
          <w:lang w:val="en-US" w:eastAsia="zh-CN"/>
        </w:rPr>
      </w:pPr>
      <w:r>
        <w:rPr>
          <w:rFonts w:hint="eastAsia"/>
          <w:lang w:val="en-US" w:eastAsia="zh-CN"/>
        </w:rPr>
        <w:t>卫生与安全要求</w:t>
      </w:r>
    </w:p>
    <w:p w14:paraId="699EF6F4">
      <w:pPr>
        <w:pStyle w:val="57"/>
        <w:rPr>
          <w:rFonts w:hint="default"/>
          <w:lang w:val="en-US" w:eastAsia="zh-CN"/>
        </w:rPr>
      </w:pPr>
      <w:r>
        <w:rPr>
          <w:rFonts w:hint="default"/>
          <w:lang w:val="en-US" w:eastAsia="zh-CN"/>
        </w:rPr>
        <w:t>污染物限量应符合GB 2762的规定；农药残留限量应符合GB 2763的规定；兽药残留限量应符合GB 31650</w:t>
      </w:r>
      <w:r>
        <w:rPr>
          <w:rFonts w:hint="eastAsia"/>
          <w:lang w:val="en-US" w:eastAsia="zh-CN"/>
        </w:rPr>
        <w:t>的</w:t>
      </w:r>
      <w:r>
        <w:rPr>
          <w:rFonts w:hint="default"/>
          <w:lang w:val="en-US" w:eastAsia="zh-CN"/>
        </w:rPr>
        <w:t>规定。微生物指标应符合GB 2707的规定。</w:t>
      </w:r>
    </w:p>
    <w:p w14:paraId="42F05922">
      <w:pPr>
        <w:pStyle w:val="57"/>
        <w:rPr>
          <w:rFonts w:hint="default"/>
          <w:lang w:val="en-US" w:eastAsia="zh-CN"/>
        </w:rPr>
      </w:pPr>
    </w:p>
    <w:p w14:paraId="627D7818">
      <w:pPr>
        <w:pStyle w:val="105"/>
        <w:bidi w:val="0"/>
        <w:rPr>
          <w:rFonts w:hint="default"/>
          <w:lang w:val="en-US" w:eastAsia="zh-CN"/>
        </w:rPr>
      </w:pPr>
      <w:r>
        <w:rPr>
          <w:rFonts w:hint="eastAsia"/>
          <w:lang w:val="en-US" w:eastAsia="zh-CN"/>
        </w:rPr>
        <w:t>检验方法</w:t>
      </w:r>
    </w:p>
    <w:p w14:paraId="6D45BD7B">
      <w:pPr>
        <w:pStyle w:val="106"/>
        <w:bidi w:val="0"/>
        <w:rPr>
          <w:rFonts w:hint="eastAsia"/>
          <w:lang w:val="en-US" w:eastAsia="zh-CN"/>
        </w:rPr>
      </w:pPr>
      <w:r>
        <w:rPr>
          <w:rFonts w:hint="eastAsia"/>
          <w:lang w:val="en-US" w:eastAsia="zh-CN"/>
        </w:rPr>
        <w:t>感官检验</w:t>
      </w:r>
    </w:p>
    <w:p w14:paraId="371367D3">
      <w:pPr>
        <w:pStyle w:val="66"/>
        <w:bidi w:val="0"/>
        <w:rPr>
          <w:rFonts w:hint="eastAsia"/>
          <w:lang w:val="en-US" w:eastAsia="zh-CN"/>
        </w:rPr>
      </w:pPr>
      <w:r>
        <w:rPr>
          <w:rFonts w:hint="eastAsia"/>
          <w:lang w:val="en-US" w:eastAsia="zh-CN"/>
        </w:rPr>
        <w:t>活体牛体型外貌</w:t>
      </w:r>
    </w:p>
    <w:p w14:paraId="577CED95">
      <w:pPr>
        <w:pStyle w:val="57"/>
        <w:rPr>
          <w:rFonts w:hint="eastAsia"/>
          <w:lang w:val="en-US" w:eastAsia="zh-CN"/>
        </w:rPr>
      </w:pPr>
      <w:r>
        <w:rPr>
          <w:rFonts w:hint="eastAsia"/>
          <w:lang w:val="en-US" w:eastAsia="zh-CN"/>
        </w:rPr>
        <w:t>在自然光下目测检验。</w:t>
      </w:r>
    </w:p>
    <w:p w14:paraId="2001C64C">
      <w:pPr>
        <w:pStyle w:val="66"/>
        <w:bidi w:val="0"/>
        <w:rPr>
          <w:rFonts w:hint="default"/>
          <w:lang w:val="en-US" w:eastAsia="zh-CN"/>
        </w:rPr>
      </w:pPr>
      <w:r>
        <w:rPr>
          <w:rFonts w:hint="eastAsia"/>
          <w:lang w:val="en-US" w:eastAsia="zh-CN"/>
        </w:rPr>
        <w:t>牛肉</w:t>
      </w:r>
    </w:p>
    <w:p w14:paraId="4BE260F0">
      <w:pPr>
        <w:pStyle w:val="165"/>
        <w:bidi w:val="0"/>
        <w:rPr>
          <w:rFonts w:hint="default"/>
          <w:lang w:val="en-US" w:eastAsia="zh-CN"/>
        </w:rPr>
      </w:pPr>
      <w:r>
        <w:rPr>
          <w:rFonts w:hint="default"/>
          <w:lang w:val="en-US" w:eastAsia="zh-CN"/>
        </w:rPr>
        <w:t>取适量试样置于洁净的白色盘(瓷盘或同类容器)中，在自然光下观察色泽和状态，闻其气味。</w:t>
      </w:r>
    </w:p>
    <w:p w14:paraId="2DB1A685">
      <w:pPr>
        <w:pStyle w:val="165"/>
        <w:bidi w:val="0"/>
        <w:rPr>
          <w:rFonts w:hint="default"/>
          <w:lang w:val="en-US" w:eastAsia="zh-CN"/>
        </w:rPr>
      </w:pPr>
      <w:r>
        <w:rPr>
          <w:rFonts w:hint="default"/>
          <w:lang w:val="en-US" w:eastAsia="zh-CN"/>
        </w:rPr>
        <w:t>称取20g切碎的试样</w:t>
      </w:r>
      <w:r>
        <w:rPr>
          <w:rFonts w:hint="eastAsia"/>
          <w:lang w:val="en-US" w:eastAsia="zh-CN"/>
        </w:rPr>
        <w:t>，</w:t>
      </w:r>
      <w:r>
        <w:rPr>
          <w:rFonts w:hint="default"/>
          <w:lang w:val="en-US" w:eastAsia="zh-CN"/>
        </w:rPr>
        <w:t>置于200ml烧杯中</w:t>
      </w:r>
      <w:r>
        <w:rPr>
          <w:rFonts w:hint="eastAsia"/>
          <w:lang w:val="en-US" w:eastAsia="zh-CN"/>
        </w:rPr>
        <w:t>，</w:t>
      </w:r>
      <w:r>
        <w:rPr>
          <w:rFonts w:hint="default"/>
          <w:lang w:val="en-US" w:eastAsia="zh-CN"/>
        </w:rPr>
        <w:t>加100ml水</w:t>
      </w:r>
      <w:r>
        <w:rPr>
          <w:rFonts w:hint="eastAsia"/>
          <w:lang w:val="en-US" w:eastAsia="zh-CN"/>
        </w:rPr>
        <w:t>，</w:t>
      </w:r>
      <w:r>
        <w:rPr>
          <w:rFonts w:hint="default"/>
          <w:lang w:val="en-US" w:eastAsia="zh-CN"/>
        </w:rPr>
        <w:t>用表面皿盖上加热煮沸20min</w:t>
      </w:r>
      <w:r>
        <w:rPr>
          <w:rFonts w:hint="eastAsia"/>
          <w:lang w:val="en-US" w:eastAsia="zh-CN"/>
        </w:rPr>
        <w:t>～</w:t>
      </w:r>
      <w:r>
        <w:rPr>
          <w:rFonts w:hint="default"/>
          <w:lang w:val="en-US" w:eastAsia="zh-CN"/>
        </w:rPr>
        <w:t>30min，检查肉汤的状态、气味。</w:t>
      </w:r>
    </w:p>
    <w:p w14:paraId="745DE02E">
      <w:pPr>
        <w:pStyle w:val="106"/>
        <w:bidi w:val="0"/>
        <w:rPr>
          <w:rFonts w:hint="default"/>
          <w:lang w:val="en-US" w:eastAsia="zh-CN"/>
        </w:rPr>
      </w:pPr>
      <w:r>
        <w:rPr>
          <w:rFonts w:hint="eastAsia"/>
          <w:lang w:val="en-US" w:eastAsia="zh-CN"/>
        </w:rPr>
        <w:t>理化检验</w:t>
      </w:r>
    </w:p>
    <w:p w14:paraId="4CA311FE">
      <w:pPr>
        <w:pStyle w:val="66"/>
        <w:bidi w:val="0"/>
        <w:rPr>
          <w:rFonts w:hint="eastAsia"/>
          <w:lang w:val="en-US" w:eastAsia="zh-CN"/>
        </w:rPr>
      </w:pPr>
      <w:r>
        <w:rPr>
          <w:rFonts w:hint="eastAsia"/>
          <w:lang w:val="en-US" w:eastAsia="zh-CN"/>
        </w:rPr>
        <w:t>蛋白质</w:t>
      </w:r>
    </w:p>
    <w:p w14:paraId="3C6AD2BB">
      <w:pPr>
        <w:pStyle w:val="57"/>
        <w:rPr>
          <w:rFonts w:hint="default"/>
          <w:lang w:val="en-US" w:eastAsia="zh-CN"/>
        </w:rPr>
      </w:pPr>
      <w:r>
        <w:rPr>
          <w:rFonts w:hint="eastAsia"/>
          <w:lang w:val="en-US" w:eastAsia="zh-CN"/>
        </w:rPr>
        <w:t>按GB 5009.5的规定进行测定。</w:t>
      </w:r>
    </w:p>
    <w:p w14:paraId="6B5593DC">
      <w:pPr>
        <w:pStyle w:val="66"/>
        <w:bidi w:val="0"/>
        <w:rPr>
          <w:rFonts w:hint="eastAsia"/>
          <w:lang w:val="en-US" w:eastAsia="zh-CN"/>
        </w:rPr>
      </w:pPr>
      <w:r>
        <w:rPr>
          <w:rFonts w:hint="eastAsia"/>
          <w:lang w:val="en-US" w:eastAsia="zh-CN"/>
        </w:rPr>
        <w:t>脂肪</w:t>
      </w:r>
    </w:p>
    <w:p w14:paraId="0024C4A4">
      <w:pPr>
        <w:pStyle w:val="57"/>
        <w:rPr>
          <w:rFonts w:hint="eastAsia"/>
          <w:lang w:val="en-US" w:eastAsia="zh-CN"/>
        </w:rPr>
      </w:pPr>
      <w:r>
        <w:rPr>
          <w:rFonts w:hint="eastAsia"/>
          <w:lang w:val="en-US" w:eastAsia="zh-CN"/>
        </w:rPr>
        <w:t>按</w:t>
      </w:r>
      <w:r>
        <w:rPr>
          <w:rFonts w:hint="default"/>
          <w:lang w:val="en-US" w:eastAsia="zh-CN"/>
        </w:rPr>
        <w:t>GB 5009.6</w:t>
      </w:r>
      <w:r>
        <w:rPr>
          <w:rFonts w:hint="eastAsia"/>
          <w:lang w:val="en-US" w:eastAsia="zh-CN"/>
        </w:rPr>
        <w:t>的规定进行测定。</w:t>
      </w:r>
    </w:p>
    <w:p w14:paraId="5B6869A8">
      <w:pPr>
        <w:pStyle w:val="66"/>
        <w:bidi w:val="0"/>
        <w:rPr>
          <w:rFonts w:hint="eastAsia"/>
          <w:lang w:val="en-US" w:eastAsia="zh-CN"/>
        </w:rPr>
      </w:pPr>
      <w:r>
        <w:rPr>
          <w:rFonts w:hint="eastAsia"/>
          <w:lang w:val="en-US" w:eastAsia="zh-CN"/>
        </w:rPr>
        <w:t>水分</w:t>
      </w:r>
    </w:p>
    <w:p w14:paraId="60147529">
      <w:pPr>
        <w:pStyle w:val="57"/>
        <w:rPr>
          <w:rFonts w:hint="eastAsia"/>
          <w:lang w:val="en-US" w:eastAsia="zh-CN"/>
        </w:rPr>
      </w:pPr>
      <w:r>
        <w:rPr>
          <w:rFonts w:hint="eastAsia"/>
          <w:lang w:val="en-US" w:eastAsia="zh-CN"/>
        </w:rPr>
        <w:t>按</w:t>
      </w:r>
      <w:r>
        <w:rPr>
          <w:rFonts w:hint="default"/>
          <w:lang w:val="en-US" w:eastAsia="zh-CN"/>
        </w:rPr>
        <w:t>GB 5009.3</w:t>
      </w:r>
      <w:r>
        <w:rPr>
          <w:rFonts w:hint="eastAsia"/>
          <w:lang w:val="en-US" w:eastAsia="zh-CN"/>
        </w:rPr>
        <w:t>的规定进行测定。</w:t>
      </w:r>
    </w:p>
    <w:p w14:paraId="08D9A8AF">
      <w:pPr>
        <w:pStyle w:val="66"/>
        <w:bidi w:val="0"/>
        <w:rPr>
          <w:rFonts w:hint="default"/>
          <w:lang w:val="en-US" w:eastAsia="zh-CN"/>
        </w:rPr>
      </w:pPr>
      <w:r>
        <w:rPr>
          <w:rFonts w:hint="eastAsia"/>
          <w:lang w:val="en-US" w:eastAsia="zh-CN"/>
        </w:rPr>
        <w:t>氨基酸</w:t>
      </w:r>
    </w:p>
    <w:p w14:paraId="247C4F2D">
      <w:pPr>
        <w:pStyle w:val="57"/>
        <w:rPr>
          <w:rFonts w:hint="default"/>
          <w:lang w:val="en-US" w:eastAsia="zh-CN"/>
        </w:rPr>
      </w:pPr>
      <w:r>
        <w:rPr>
          <w:rFonts w:hint="eastAsia"/>
          <w:lang w:val="en-US" w:eastAsia="zh-CN"/>
        </w:rPr>
        <w:t>按GB 5009.124的规定进行测定。</w:t>
      </w:r>
    </w:p>
    <w:p w14:paraId="2D82E68B">
      <w:pPr>
        <w:pStyle w:val="105"/>
        <w:bidi w:val="0"/>
        <w:rPr>
          <w:rFonts w:hint="default"/>
          <w:lang w:val="en-US" w:eastAsia="zh-CN"/>
        </w:rPr>
      </w:pPr>
      <w:r>
        <w:rPr>
          <w:rFonts w:hint="eastAsia"/>
          <w:lang w:val="en-US" w:eastAsia="zh-CN"/>
        </w:rPr>
        <w:t>检验规则</w:t>
      </w:r>
    </w:p>
    <w:p w14:paraId="23BAE6D3">
      <w:pPr>
        <w:pStyle w:val="106"/>
        <w:bidi w:val="0"/>
        <w:rPr>
          <w:rFonts w:hint="default"/>
          <w:lang w:val="en-US" w:eastAsia="zh-CN"/>
        </w:rPr>
      </w:pPr>
      <w:r>
        <w:rPr>
          <w:rFonts w:hint="default"/>
          <w:lang w:val="en-US" w:eastAsia="zh-CN"/>
        </w:rPr>
        <w:t>组批</w:t>
      </w:r>
    </w:p>
    <w:p w14:paraId="0586F315">
      <w:pPr>
        <w:pStyle w:val="57"/>
        <w:rPr>
          <w:rFonts w:hint="default"/>
          <w:lang w:val="en-US" w:eastAsia="zh-CN"/>
        </w:rPr>
      </w:pPr>
      <w:r>
        <w:rPr>
          <w:rFonts w:hint="default"/>
          <w:lang w:val="en-US" w:eastAsia="zh-CN"/>
        </w:rPr>
        <w:t>同一养殖场、同一批次、同日屠宰加工的民和牛肉产品为一批。</w:t>
      </w:r>
    </w:p>
    <w:p w14:paraId="753B9A83">
      <w:pPr>
        <w:pStyle w:val="106"/>
        <w:bidi w:val="0"/>
        <w:rPr>
          <w:rFonts w:hint="default"/>
          <w:lang w:val="en-US" w:eastAsia="zh-CN"/>
        </w:rPr>
      </w:pPr>
      <w:r>
        <w:rPr>
          <w:rFonts w:hint="default"/>
          <w:lang w:val="en-US" w:eastAsia="zh-CN"/>
        </w:rPr>
        <w:t>抽样</w:t>
      </w:r>
    </w:p>
    <w:p w14:paraId="768147F7">
      <w:pPr>
        <w:pStyle w:val="57"/>
        <w:rPr>
          <w:rFonts w:hint="default"/>
          <w:lang w:val="en-US" w:eastAsia="zh-CN"/>
        </w:rPr>
      </w:pPr>
      <w:r>
        <w:rPr>
          <w:rFonts w:hint="default"/>
          <w:lang w:val="en-US" w:eastAsia="zh-CN"/>
        </w:rPr>
        <w:t>抽样方法按照GB/T 9695.19的规定执行。每批产品按不少于5%的比例随机取样，取样量应满足各项检验项目所需。</w:t>
      </w:r>
    </w:p>
    <w:p w14:paraId="39A21ABE">
      <w:pPr>
        <w:pStyle w:val="106"/>
        <w:bidi w:val="0"/>
        <w:rPr>
          <w:rFonts w:hint="default"/>
          <w:lang w:val="en-US" w:eastAsia="zh-CN"/>
        </w:rPr>
      </w:pPr>
      <w:r>
        <w:rPr>
          <w:rFonts w:hint="default"/>
          <w:lang w:val="en-US" w:eastAsia="zh-CN"/>
        </w:rPr>
        <w:t>检验分类</w:t>
      </w:r>
    </w:p>
    <w:p w14:paraId="5E161C0E">
      <w:pPr>
        <w:pStyle w:val="66"/>
        <w:bidi w:val="0"/>
        <w:rPr>
          <w:rFonts w:hint="default"/>
          <w:lang w:val="en-US" w:eastAsia="zh-CN"/>
        </w:rPr>
      </w:pPr>
      <w:r>
        <w:rPr>
          <w:rFonts w:hint="default"/>
          <w:lang w:val="en-US" w:eastAsia="zh-CN"/>
        </w:rPr>
        <w:t>出厂检验</w:t>
      </w:r>
    </w:p>
    <w:p w14:paraId="42166205">
      <w:pPr>
        <w:pStyle w:val="57"/>
        <w:rPr>
          <w:rFonts w:hint="default"/>
          <w:lang w:val="en-US" w:eastAsia="zh-CN"/>
        </w:rPr>
      </w:pPr>
      <w:r>
        <w:rPr>
          <w:rFonts w:hint="default"/>
          <w:lang w:val="en-US" w:eastAsia="zh-CN"/>
        </w:rPr>
        <w:t>每批产品出厂前应进行感官检验、净含量检验，检验合格后方可出厂。</w:t>
      </w:r>
    </w:p>
    <w:p w14:paraId="483F6A82">
      <w:pPr>
        <w:pStyle w:val="66"/>
        <w:bidi w:val="0"/>
        <w:rPr>
          <w:rFonts w:hint="default"/>
          <w:lang w:val="en-US" w:eastAsia="zh-CN"/>
        </w:rPr>
      </w:pPr>
      <w:r>
        <w:rPr>
          <w:rFonts w:hint="default"/>
          <w:lang w:val="en-US" w:eastAsia="zh-CN"/>
        </w:rPr>
        <w:t>型式检验</w:t>
      </w:r>
    </w:p>
    <w:p w14:paraId="7875C87E">
      <w:pPr>
        <w:pStyle w:val="57"/>
        <w:rPr>
          <w:rFonts w:hint="default"/>
          <w:lang w:val="en-US" w:eastAsia="zh-CN"/>
        </w:rPr>
      </w:pPr>
      <w:r>
        <w:rPr>
          <w:rFonts w:hint="default"/>
          <w:lang w:val="en-US" w:eastAsia="zh-CN"/>
        </w:rPr>
        <w:t>有下列情况之一时，应进行型式检验：</w:t>
      </w:r>
    </w:p>
    <w:p w14:paraId="330A9E5B">
      <w:pPr>
        <w:pStyle w:val="175"/>
        <w:bidi w:val="0"/>
        <w:ind w:left="851" w:leftChars="0" w:hanging="426" w:firstLineChars="0"/>
        <w:rPr>
          <w:rFonts w:hint="default"/>
          <w:lang w:val="en-US" w:eastAsia="zh-CN"/>
        </w:rPr>
      </w:pPr>
      <w:r>
        <w:rPr>
          <w:rFonts w:hint="default"/>
          <w:lang w:val="en-US" w:eastAsia="zh-CN"/>
        </w:rPr>
        <w:t>新产品投产鉴定时；</w:t>
      </w:r>
    </w:p>
    <w:p w14:paraId="5213ED5B">
      <w:pPr>
        <w:pStyle w:val="175"/>
        <w:bidi w:val="0"/>
        <w:ind w:left="851" w:leftChars="0" w:hanging="426" w:firstLineChars="0"/>
        <w:rPr>
          <w:rFonts w:hint="default"/>
          <w:lang w:val="en-US" w:eastAsia="zh-CN"/>
        </w:rPr>
      </w:pPr>
      <w:r>
        <w:rPr>
          <w:rFonts w:hint="default"/>
          <w:lang w:val="en-US" w:eastAsia="zh-CN"/>
        </w:rPr>
        <w:t>正式生产后，原料、工艺、设备发生较大变化可能影响产品质量时；</w:t>
      </w:r>
    </w:p>
    <w:p w14:paraId="6025900B">
      <w:pPr>
        <w:pStyle w:val="175"/>
        <w:bidi w:val="0"/>
        <w:ind w:left="851" w:leftChars="0" w:hanging="426" w:firstLineChars="0"/>
        <w:rPr>
          <w:rFonts w:hint="default"/>
          <w:lang w:val="en-US" w:eastAsia="zh-CN"/>
        </w:rPr>
      </w:pPr>
      <w:r>
        <w:rPr>
          <w:rFonts w:hint="default"/>
          <w:lang w:val="en-US" w:eastAsia="zh-CN"/>
        </w:rPr>
        <w:t>国家有关行政主管部门提出要求时；</w:t>
      </w:r>
    </w:p>
    <w:p w14:paraId="5F994BB7">
      <w:pPr>
        <w:pStyle w:val="175"/>
        <w:bidi w:val="0"/>
        <w:ind w:left="851" w:leftChars="0" w:hanging="426" w:firstLineChars="0"/>
        <w:rPr>
          <w:rFonts w:hint="default"/>
          <w:lang w:val="en-US" w:eastAsia="zh-CN"/>
        </w:rPr>
      </w:pPr>
      <w:r>
        <w:rPr>
          <w:rFonts w:hint="default"/>
          <w:lang w:val="en-US" w:eastAsia="zh-CN"/>
        </w:rPr>
        <w:t>正常生产时每年度至少进行一次。</w:t>
      </w:r>
    </w:p>
    <w:p w14:paraId="1D0FB597">
      <w:pPr>
        <w:pStyle w:val="106"/>
        <w:bidi w:val="0"/>
        <w:rPr>
          <w:rFonts w:hint="default"/>
          <w:lang w:val="en-US" w:eastAsia="zh-CN"/>
        </w:rPr>
      </w:pPr>
      <w:r>
        <w:rPr>
          <w:rFonts w:hint="default"/>
          <w:lang w:val="en-US" w:eastAsia="zh-CN"/>
        </w:rPr>
        <w:t>判定规则</w:t>
      </w:r>
    </w:p>
    <w:p w14:paraId="7EE039DD">
      <w:pPr>
        <w:pStyle w:val="57"/>
        <w:rPr>
          <w:rFonts w:hint="default"/>
          <w:lang w:val="en-US" w:eastAsia="zh-CN"/>
        </w:rPr>
      </w:pPr>
      <w:r>
        <w:rPr>
          <w:rFonts w:hint="default"/>
          <w:lang w:val="en-US" w:eastAsia="zh-CN"/>
        </w:rPr>
        <w:t>检验结果全部符合本文件要求时，判定该批产品为合格。感官或理化指标中有不合格项时，可加倍抽样复检；复检结果仍不合格时，判定该批产品为不合格。</w:t>
      </w:r>
    </w:p>
    <w:p w14:paraId="5F69DE9A">
      <w:pPr>
        <w:pStyle w:val="105"/>
        <w:bidi w:val="0"/>
        <w:rPr>
          <w:rFonts w:hint="default"/>
          <w:lang w:val="en-US" w:eastAsia="zh-CN"/>
        </w:rPr>
      </w:pPr>
      <w:r>
        <w:rPr>
          <w:rFonts w:hint="eastAsia"/>
          <w:lang w:val="en-US" w:eastAsia="zh-CN"/>
        </w:rPr>
        <w:t>标志、标签</w:t>
      </w:r>
    </w:p>
    <w:p w14:paraId="71E15E43">
      <w:pPr>
        <w:pStyle w:val="163"/>
        <w:bidi w:val="0"/>
        <w:rPr>
          <w:rFonts w:hint="default"/>
          <w:lang w:val="en-US" w:eastAsia="zh-CN"/>
        </w:rPr>
      </w:pPr>
      <w:r>
        <w:rPr>
          <w:rFonts w:hint="default"/>
          <w:lang w:val="en-US" w:eastAsia="zh-CN"/>
        </w:rPr>
        <w:t>符合本文件要求的产品方可在产品标签或包装物上标注地理标志名称及本文件编号，并应同时使用经国家知识产权行政管理部门核准公告的地理标志专用标志。</w:t>
      </w:r>
    </w:p>
    <w:p w14:paraId="134E543A">
      <w:pPr>
        <w:pStyle w:val="163"/>
        <w:bidi w:val="0"/>
        <w:rPr>
          <w:rFonts w:hint="default"/>
          <w:lang w:val="en-US" w:eastAsia="zh-CN"/>
        </w:rPr>
      </w:pPr>
      <w:r>
        <w:rPr>
          <w:rFonts w:hint="default"/>
          <w:lang w:val="en-US" w:eastAsia="zh-CN"/>
        </w:rPr>
        <w:t>产品的包装储运图示标志应符合GB/T</w:t>
      </w:r>
      <w:r>
        <w:rPr>
          <w:rFonts w:hint="eastAsia"/>
          <w:lang w:val="en-US" w:eastAsia="zh-CN"/>
        </w:rPr>
        <w:t xml:space="preserve"> </w:t>
      </w:r>
      <w:r>
        <w:rPr>
          <w:rFonts w:hint="default"/>
          <w:lang w:val="en-US" w:eastAsia="zh-CN"/>
        </w:rPr>
        <w:t>191的规定。</w:t>
      </w:r>
    </w:p>
    <w:p w14:paraId="080145EA">
      <w:pPr>
        <w:pStyle w:val="163"/>
        <w:bidi w:val="0"/>
        <w:rPr>
          <w:rFonts w:hint="default"/>
          <w:lang w:val="en-US" w:eastAsia="zh-CN"/>
        </w:rPr>
      </w:pPr>
      <w:r>
        <w:rPr>
          <w:rFonts w:hint="default"/>
          <w:lang w:val="en-US" w:eastAsia="zh-CN"/>
        </w:rPr>
        <w:t>预包装食品标签应符合GB</w:t>
      </w:r>
      <w:r>
        <w:rPr>
          <w:rFonts w:hint="eastAsia"/>
          <w:lang w:val="en-US" w:eastAsia="zh-CN"/>
        </w:rPr>
        <w:t xml:space="preserve"> </w:t>
      </w:r>
      <w:r>
        <w:rPr>
          <w:rFonts w:hint="default"/>
          <w:lang w:val="en-US" w:eastAsia="zh-CN"/>
        </w:rPr>
        <w:t>7718的规定。</w:t>
      </w:r>
    </w:p>
    <w:p w14:paraId="197E611F">
      <w:pPr>
        <w:pStyle w:val="105"/>
        <w:bidi w:val="0"/>
        <w:rPr>
          <w:rFonts w:hint="default"/>
          <w:lang w:val="en-US" w:eastAsia="zh-CN"/>
        </w:rPr>
      </w:pPr>
      <w:r>
        <w:rPr>
          <w:rFonts w:hint="eastAsia"/>
          <w:lang w:val="en-US" w:eastAsia="zh-CN"/>
        </w:rPr>
        <w:t>包装、运输和贮存</w:t>
      </w:r>
    </w:p>
    <w:p w14:paraId="73D3D7F2">
      <w:pPr>
        <w:pStyle w:val="106"/>
        <w:bidi w:val="0"/>
        <w:rPr>
          <w:rFonts w:hint="eastAsia"/>
          <w:lang w:val="en-US" w:eastAsia="zh-CN"/>
        </w:rPr>
      </w:pPr>
      <w:r>
        <w:rPr>
          <w:rFonts w:hint="eastAsia"/>
          <w:lang w:val="en-US" w:eastAsia="zh-CN"/>
        </w:rPr>
        <w:t>包装</w:t>
      </w:r>
    </w:p>
    <w:p w14:paraId="7805D603">
      <w:pPr>
        <w:pStyle w:val="57"/>
        <w:rPr>
          <w:rFonts w:hint="default"/>
          <w:lang w:val="en-US" w:eastAsia="zh-CN"/>
        </w:rPr>
      </w:pPr>
      <w:r>
        <w:rPr>
          <w:rFonts w:hint="default"/>
          <w:lang w:val="en-US" w:eastAsia="zh-CN"/>
        </w:rPr>
        <w:t>包装材料按GB</w:t>
      </w:r>
      <w:r>
        <w:rPr>
          <w:rFonts w:hint="eastAsia"/>
          <w:lang w:val="en-US" w:eastAsia="zh-CN"/>
        </w:rPr>
        <w:t xml:space="preserve"> </w:t>
      </w:r>
      <w:r>
        <w:rPr>
          <w:rFonts w:hint="default"/>
          <w:lang w:val="en-US" w:eastAsia="zh-CN"/>
        </w:rPr>
        <w:t>4806.7和GB</w:t>
      </w:r>
      <w:r>
        <w:rPr>
          <w:rFonts w:hint="eastAsia"/>
          <w:lang w:val="en-US" w:eastAsia="zh-CN"/>
        </w:rPr>
        <w:t xml:space="preserve"> </w:t>
      </w:r>
      <w:r>
        <w:rPr>
          <w:rFonts w:hint="default"/>
          <w:lang w:val="en-US" w:eastAsia="zh-CN"/>
        </w:rPr>
        <w:t>4806.8</w:t>
      </w:r>
      <w:r>
        <w:rPr>
          <w:rFonts w:hint="eastAsia"/>
          <w:lang w:val="en-US" w:eastAsia="zh-CN"/>
        </w:rPr>
        <w:t>的</w:t>
      </w:r>
      <w:r>
        <w:rPr>
          <w:rFonts w:hint="default"/>
          <w:lang w:val="en-US" w:eastAsia="zh-CN"/>
        </w:rPr>
        <w:t>规定执行。</w:t>
      </w:r>
    </w:p>
    <w:p w14:paraId="47A6E1E2">
      <w:pPr>
        <w:pStyle w:val="106"/>
        <w:bidi w:val="0"/>
        <w:rPr>
          <w:rFonts w:hint="default"/>
          <w:lang w:val="en-US" w:eastAsia="zh-CN"/>
        </w:rPr>
      </w:pPr>
      <w:r>
        <w:rPr>
          <w:rFonts w:hint="eastAsia"/>
          <w:lang w:val="en-US" w:eastAsia="zh-CN"/>
        </w:rPr>
        <w:t>运输、贮存</w:t>
      </w:r>
    </w:p>
    <w:p w14:paraId="145FDA0A">
      <w:pPr>
        <w:pStyle w:val="166"/>
        <w:bidi w:val="0"/>
        <w:rPr>
          <w:rFonts w:hint="default"/>
          <w:lang w:val="en-US" w:eastAsia="zh-CN"/>
        </w:rPr>
      </w:pPr>
      <w:r>
        <w:rPr>
          <w:rFonts w:hint="default"/>
          <w:lang w:val="en-US" w:eastAsia="zh-CN"/>
        </w:rPr>
        <w:t>活</w:t>
      </w:r>
      <w:r>
        <w:rPr>
          <w:rFonts w:hint="eastAsia"/>
          <w:lang w:val="en-US" w:eastAsia="zh-CN"/>
        </w:rPr>
        <w:t>牛</w:t>
      </w:r>
      <w:r>
        <w:rPr>
          <w:rFonts w:hint="default"/>
          <w:lang w:val="en-US" w:eastAsia="zh-CN"/>
        </w:rPr>
        <w:t>的运输应符合SN/T 3774的规定。</w:t>
      </w:r>
    </w:p>
    <w:p w14:paraId="71422160">
      <w:pPr>
        <w:pStyle w:val="166"/>
        <w:bidi w:val="0"/>
        <w:rPr>
          <w:rFonts w:hint="default"/>
          <w:lang w:val="en-US" w:eastAsia="zh-CN"/>
        </w:rPr>
      </w:pPr>
      <w:r>
        <w:rPr>
          <w:rFonts w:hint="default"/>
          <w:lang w:val="en-US" w:eastAsia="zh-CN"/>
        </w:rPr>
        <w:t>鲜肉、冷鲜肉、冻肉产品运输</w:t>
      </w:r>
      <w:r>
        <w:rPr>
          <w:rFonts w:hint="eastAsia"/>
          <w:lang w:val="en-US" w:eastAsia="zh-CN"/>
        </w:rPr>
        <w:t>和贮存</w:t>
      </w:r>
      <w:r>
        <w:rPr>
          <w:rFonts w:hint="default"/>
          <w:lang w:val="en-US" w:eastAsia="zh-CN"/>
        </w:rPr>
        <w:t>应符合GB</w:t>
      </w:r>
      <w:r>
        <w:rPr>
          <w:rFonts w:hint="eastAsia"/>
          <w:lang w:val="en-US" w:eastAsia="zh-CN"/>
        </w:rPr>
        <w:t xml:space="preserve"> </w:t>
      </w:r>
      <w:r>
        <w:rPr>
          <w:rFonts w:hint="default"/>
          <w:lang w:val="en-US" w:eastAsia="zh-CN"/>
        </w:rPr>
        <w:t>20799的规定。</w:t>
      </w:r>
    </w:p>
    <w:p w14:paraId="31601898">
      <w:pPr>
        <w:pStyle w:val="166"/>
        <w:bidi w:val="0"/>
        <w:rPr>
          <w:rFonts w:hint="default"/>
          <w:lang w:val="en-US" w:eastAsia="zh-CN"/>
        </w:rPr>
      </w:pPr>
      <w:r>
        <w:rPr>
          <w:rFonts w:hint="default"/>
          <w:lang w:val="en-US" w:eastAsia="zh-CN"/>
        </w:rPr>
        <w:t>产品贮存地应清洁、无毒、无任何有害残留，防止在贮存过程中受其它物质的污染。</w:t>
      </w:r>
    </w:p>
    <w:p w14:paraId="09C378B4">
      <w:pPr>
        <w:pStyle w:val="166"/>
        <w:bidi w:val="0"/>
        <w:rPr>
          <w:rFonts w:hint="default"/>
          <w:lang w:val="en-US" w:eastAsia="zh-CN"/>
        </w:rPr>
      </w:pPr>
      <w:r>
        <w:rPr>
          <w:rFonts w:hint="default"/>
          <w:lang w:val="en-US" w:eastAsia="zh-CN"/>
        </w:rPr>
        <w:t>不同批次产品应单独分区存放，并有醒目的标识。</w:t>
      </w:r>
    </w:p>
    <w:p w14:paraId="79F23C14">
      <w:pPr>
        <w:pStyle w:val="105"/>
        <w:bidi w:val="0"/>
        <w:rPr>
          <w:rFonts w:hint="default"/>
          <w:lang w:val="en-US" w:eastAsia="zh-CN"/>
        </w:rPr>
      </w:pPr>
      <w:r>
        <w:rPr>
          <w:rFonts w:hint="eastAsia"/>
          <w:lang w:val="en-US" w:eastAsia="zh-CN"/>
        </w:rPr>
        <w:t>溯源管理</w:t>
      </w:r>
    </w:p>
    <w:p w14:paraId="4A04F93E">
      <w:pPr>
        <w:pStyle w:val="163"/>
        <w:bidi w:val="0"/>
        <w:rPr>
          <w:rFonts w:hint="default"/>
          <w:lang w:val="en-US" w:eastAsia="zh-CN"/>
        </w:rPr>
      </w:pPr>
      <w:r>
        <w:rPr>
          <w:rFonts w:hint="default"/>
          <w:lang w:val="en-US" w:eastAsia="zh-CN"/>
        </w:rPr>
        <w:t>应建立从养殖到销售全过程的质量安全溯源体系。溯源记录应包括：牛只来源、饲养管理记录、饲料及兽药使用记录、免疫记录、产地检疫记录、屠宰加工记录、产品检验记录、产品销售流向等信息，相关记录保存期不少于2年。</w:t>
      </w:r>
    </w:p>
    <w:p w14:paraId="5DA39022">
      <w:pPr>
        <w:pStyle w:val="163"/>
        <w:bidi w:val="0"/>
        <w:rPr>
          <w:rFonts w:hint="default"/>
          <w:lang w:val="en-US" w:eastAsia="zh-CN"/>
        </w:rPr>
      </w:pPr>
      <w:r>
        <w:rPr>
          <w:rFonts w:hint="default"/>
          <w:lang w:val="en-US" w:eastAsia="zh-CN"/>
        </w:rPr>
        <w:t>鼓励采用信息化手段建立电子溯源档案。</w:t>
      </w:r>
    </w:p>
    <w:p w14:paraId="5CF7D3A2">
      <w:pPr>
        <w:pStyle w:val="57"/>
        <w:ind w:firstLine="420"/>
      </w:pPr>
    </w:p>
    <w:p w14:paraId="1AC81E48">
      <w:pPr>
        <w:pStyle w:val="57"/>
        <w:bidi w:val="0"/>
        <w:ind w:firstLine="0" w:firstLineChars="0"/>
        <w:jc w:val="center"/>
        <w:rPr>
          <w:rFonts w:hint="eastAsia" w:eastAsia="宋体"/>
          <w:lang w:eastAsia="zh-CN"/>
        </w:rPr>
      </w:pPr>
    </w:p>
    <w:p w14:paraId="2E788E82">
      <w:pPr>
        <w:pStyle w:val="57"/>
        <w:bidi w:val="0"/>
        <w:ind w:firstLine="0" w:firstLineChars="0"/>
        <w:jc w:val="center"/>
        <w:rPr>
          <w:rFonts w:hint="eastAsia" w:eastAsia="宋体"/>
          <w:lang w:eastAsia="zh-CN"/>
        </w:rPr>
        <w:sectPr>
          <w:pgSz w:w="11906" w:h="16838"/>
          <w:pgMar w:top="1928" w:right="1134" w:bottom="1134" w:left="1134" w:header="1418" w:footer="1134" w:gutter="284"/>
          <w:pgNumType w:start="1"/>
          <w:cols w:space="425" w:num="1"/>
          <w:formProt w:val="0"/>
          <w:docGrid w:linePitch="312" w:charSpace="0"/>
        </w:sectPr>
      </w:pPr>
    </w:p>
    <w:bookmarkEnd w:id="22"/>
    <w:p w14:paraId="197268C2">
      <w:pPr>
        <w:pStyle w:val="199"/>
        <w:bidi w:val="0"/>
        <w:rPr>
          <w:rFonts w:hint="eastAsia"/>
          <w:lang w:eastAsia="zh-CN"/>
        </w:rPr>
      </w:pPr>
      <w:bookmarkStart w:id="44" w:name="BookMark5"/>
    </w:p>
    <w:p w14:paraId="2C29DB80">
      <w:pPr>
        <w:pStyle w:val="200"/>
        <w:bidi w:val="0"/>
        <w:rPr>
          <w:rFonts w:hint="eastAsia"/>
          <w:lang w:eastAsia="zh-CN"/>
        </w:rPr>
      </w:pPr>
    </w:p>
    <w:p w14:paraId="7F15538C">
      <w:pPr>
        <w:pStyle w:val="77"/>
        <w:bidi w:val="0"/>
        <w:rPr>
          <w:rFonts w:hint="eastAsia"/>
          <w:lang w:eastAsia="zh-CN"/>
        </w:rPr>
      </w:pPr>
      <w:r>
        <w:rPr>
          <w:rFonts w:hint="eastAsia"/>
          <w:lang w:eastAsia="zh-CN"/>
        </w:rPr>
        <w:br w:type="textWrapping"/>
      </w:r>
      <w:r>
        <w:rPr>
          <w:rFonts w:hint="eastAsia"/>
          <w:lang w:eastAsia="zh-CN"/>
        </w:rPr>
        <w:t>（规范性）</w:t>
      </w:r>
      <w:r>
        <w:rPr>
          <w:rFonts w:hint="eastAsia"/>
          <w:lang w:eastAsia="zh-CN"/>
        </w:rPr>
        <w:br w:type="textWrapping"/>
      </w:r>
      <w:r>
        <w:rPr>
          <w:rFonts w:hint="eastAsia"/>
          <w:lang w:eastAsia="zh-CN"/>
        </w:rPr>
        <w:t>地理标志产品民和肉牛产地范围</w:t>
      </w:r>
    </w:p>
    <w:p w14:paraId="41151D84">
      <w:pPr>
        <w:pStyle w:val="57"/>
        <w:bidi w:val="0"/>
        <w:rPr>
          <w:rFonts w:hint="eastAsia"/>
          <w:lang w:val="en-US" w:eastAsia="zh-CN"/>
        </w:rPr>
      </w:pPr>
      <w:r>
        <w:rPr>
          <w:rFonts w:hint="eastAsia"/>
          <w:lang w:val="en-US" w:eastAsia="zh-CN"/>
        </w:rPr>
        <w:t>地理标志产品民和肉牛产地范围应符合图A.1所示的地理范围。</w:t>
      </w:r>
    </w:p>
    <w:p w14:paraId="4AC35DDC">
      <w:pPr>
        <w:pStyle w:val="57"/>
        <w:keepNext w:val="0"/>
        <w:keepLines w:val="0"/>
        <w:pageBreakBefore w:val="0"/>
        <w:widowControl/>
        <w:kinsoku/>
        <w:wordWrap/>
        <w:overflowPunct/>
        <w:topLinePunct w:val="0"/>
        <w:autoSpaceDE w:val="0"/>
        <w:autoSpaceDN w:val="0"/>
        <w:bidi w:val="0"/>
        <w:adjustRightInd/>
        <w:snapToGrid/>
        <w:ind w:firstLine="0" w:firstLineChars="0"/>
        <w:jc w:val="center"/>
        <w:textAlignment w:val="auto"/>
        <w:rPr>
          <w:rFonts w:hint="default"/>
          <w:lang w:val="en-US" w:eastAsia="zh-CN"/>
        </w:rPr>
      </w:pPr>
      <w:r>
        <w:rPr>
          <w:rFonts w:hint="default"/>
          <w:lang w:val="en-US" w:eastAsia="zh-CN"/>
        </w:rPr>
        <w:drawing>
          <wp:inline distT="0" distB="0" distL="114300" distR="114300">
            <wp:extent cx="3515995" cy="5363845"/>
            <wp:effectExtent l="0" t="0" r="8255" b="8255"/>
            <wp:docPr id="3" name="图片 3" descr="6b45a73acf029f84a6daf358935dad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6b45a73acf029f84a6daf358935dada4"/>
                    <pic:cNvPicPr>
                      <a:picLocks noChangeAspect="1"/>
                    </pic:cNvPicPr>
                  </pic:nvPicPr>
                  <pic:blipFill>
                    <a:blip r:embed="rId15"/>
                    <a:stretch>
                      <a:fillRect/>
                    </a:stretch>
                  </pic:blipFill>
                  <pic:spPr>
                    <a:xfrm>
                      <a:off x="0" y="0"/>
                      <a:ext cx="3515995" cy="5363845"/>
                    </a:xfrm>
                    <a:prstGeom prst="rect">
                      <a:avLst/>
                    </a:prstGeom>
                  </pic:spPr>
                </pic:pic>
              </a:graphicData>
            </a:graphic>
          </wp:inline>
        </w:drawing>
      </w:r>
    </w:p>
    <w:p w14:paraId="3CFCF037">
      <w:pPr>
        <w:pStyle w:val="57"/>
        <w:bidi w:val="0"/>
        <w:rPr>
          <w:rFonts w:hint="eastAsia"/>
          <w:lang w:eastAsia="zh-CN"/>
        </w:rPr>
      </w:pPr>
    </w:p>
    <w:p w14:paraId="72F2DAD4">
      <w:pPr>
        <w:pStyle w:val="84"/>
        <w:bidi w:val="0"/>
        <w:rPr>
          <w:rFonts w:hint="eastAsia"/>
          <w:lang w:eastAsia="zh-CN"/>
        </w:rPr>
      </w:pPr>
      <w:r>
        <w:rPr>
          <w:rFonts w:hint="eastAsia"/>
          <w:lang w:val="en-US" w:eastAsia="zh-CN"/>
        </w:rPr>
        <w:t>地理标志产品民和肉牛产地范围</w:t>
      </w:r>
    </w:p>
    <w:p w14:paraId="68A3D799">
      <w:pPr>
        <w:pStyle w:val="57"/>
        <w:bidi w:val="0"/>
        <w:rPr>
          <w:rFonts w:hint="eastAsia"/>
          <w:lang w:eastAsia="zh-CN"/>
        </w:rPr>
      </w:pPr>
    </w:p>
    <w:bookmarkEnd w:id="44"/>
    <w:p w14:paraId="590F8EC3">
      <w:pPr>
        <w:pStyle w:val="57"/>
        <w:bidi w:val="0"/>
        <w:rPr>
          <w:rFonts w:hint="eastAsia"/>
          <w:lang w:eastAsia="zh-CN"/>
        </w:rPr>
        <w:sectPr>
          <w:pgSz w:w="11906" w:h="16838"/>
          <w:pgMar w:top="1928" w:right="1134" w:bottom="1134" w:left="1134" w:header="1418" w:footer="1134" w:gutter="284"/>
          <w:pgNumType w:fmt="decimal"/>
          <w:cols w:space="425" w:num="1"/>
          <w:formProt w:val="0"/>
          <w:docGrid w:linePitch="312" w:charSpace="0"/>
        </w:sectPr>
      </w:pPr>
      <w:bookmarkStart w:id="45" w:name="BookMark6"/>
    </w:p>
    <w:p w14:paraId="02EE44AB">
      <w:pPr>
        <w:pStyle w:val="64"/>
        <w:bidi w:val="0"/>
        <w:rPr>
          <w:rFonts w:hint="eastAsia"/>
          <w:lang w:eastAsia="zh-CN"/>
        </w:rPr>
      </w:pPr>
      <w:r>
        <w:rPr>
          <w:rFonts w:hint="eastAsia"/>
          <w:spacing w:val="105"/>
          <w:lang w:eastAsia="zh-CN"/>
        </w:rPr>
        <w:t>参考文</w:t>
      </w:r>
      <w:r>
        <w:rPr>
          <w:rFonts w:hint="eastAsia"/>
          <w:lang w:eastAsia="zh-CN"/>
        </w:rPr>
        <w:t>献</w:t>
      </w:r>
    </w:p>
    <w:p w14:paraId="1DEE4399">
      <w:pPr>
        <w:pStyle w:val="57"/>
        <w:bidi w:val="0"/>
        <w:rPr>
          <w:rFonts w:hint="eastAsia"/>
          <w:lang w:eastAsia="zh-CN"/>
        </w:rPr>
      </w:pPr>
    </w:p>
    <w:p w14:paraId="040BDEB5">
      <w:pPr>
        <w:pStyle w:val="57"/>
        <w:bidi w:val="0"/>
        <w:rPr>
          <w:rFonts w:hint="eastAsia"/>
          <w:lang w:eastAsia="zh-CN"/>
        </w:rPr>
      </w:pPr>
    </w:p>
    <w:p w14:paraId="2376F29F">
      <w:pPr>
        <w:pStyle w:val="57"/>
        <w:bidi w:val="0"/>
        <w:rPr>
          <w:rFonts w:hint="eastAsia"/>
          <w:lang w:val="en-US" w:eastAsia="zh-CN"/>
        </w:rPr>
      </w:pPr>
      <w:r>
        <w:rPr>
          <w:rFonts w:hint="eastAsia"/>
          <w:lang w:val="en-US" w:eastAsia="zh-CN"/>
        </w:rPr>
        <w:t>[1]  地理标志产品保护办法（国家知识产权局令第80号）</w:t>
      </w:r>
    </w:p>
    <w:p w14:paraId="24D83AB1">
      <w:pPr>
        <w:pStyle w:val="57"/>
        <w:bidi w:val="0"/>
        <w:rPr>
          <w:rFonts w:hint="eastAsia"/>
          <w:lang w:val="en-US" w:eastAsia="zh-CN"/>
        </w:rPr>
      </w:pPr>
      <w:r>
        <w:rPr>
          <w:rFonts w:hint="eastAsia"/>
          <w:lang w:val="en-US" w:eastAsia="zh-CN"/>
        </w:rPr>
        <w:t>[2]  地理标志专用标志使用管理办法（试行）（国家知识产权局公告第354号）</w:t>
      </w:r>
    </w:p>
    <w:p w14:paraId="2D93749B">
      <w:pPr>
        <w:pStyle w:val="57"/>
        <w:bidi w:val="0"/>
        <w:rPr>
          <w:rFonts w:hint="default"/>
          <w:lang w:val="en-US" w:eastAsia="zh-CN"/>
        </w:rPr>
      </w:pPr>
      <w:r>
        <w:rPr>
          <w:rFonts w:hint="eastAsia"/>
          <w:lang w:val="en-US" w:eastAsia="zh-CN"/>
        </w:rPr>
        <w:t>[3]  定量包装商品计量监督管理办法（国家市场监督管理总局令第70号）</w:t>
      </w:r>
    </w:p>
    <w:p w14:paraId="3FDADF7B">
      <w:pPr>
        <w:pStyle w:val="57"/>
        <w:bidi w:val="0"/>
        <w:rPr>
          <w:rFonts w:hint="eastAsia"/>
          <w:lang w:eastAsia="zh-CN"/>
        </w:rPr>
      </w:pPr>
    </w:p>
    <w:p w14:paraId="7E4E8A33">
      <w:pPr>
        <w:pStyle w:val="57"/>
        <w:bidi w:val="0"/>
        <w:rPr>
          <w:rFonts w:hint="eastAsia"/>
          <w:lang w:eastAsia="zh-CN"/>
        </w:rPr>
      </w:pPr>
    </w:p>
    <w:bookmarkEnd w:id="45"/>
    <w:p w14:paraId="07E0FACD">
      <w:pPr>
        <w:pStyle w:val="57"/>
        <w:bidi w:val="0"/>
        <w:ind w:firstLine="0" w:firstLineChars="0"/>
        <w:jc w:val="center"/>
        <w:rPr>
          <w:rFonts w:hint="eastAsia"/>
          <w:lang w:eastAsia="zh-CN"/>
        </w:rPr>
      </w:pPr>
      <w:bookmarkStart w:id="46" w:name="BookMark8"/>
      <w:r>
        <w:rPr>
          <w:rFonts w:hint="eastAsia"/>
          <w:lang w:eastAsia="zh-CN"/>
        </w:rPr>
        <w:drawing>
          <wp:inline distT="0" distB="0" distL="114300" distR="114300">
            <wp:extent cx="1485900" cy="317500"/>
            <wp:effectExtent l="0" t="0" r="0" b="6350"/>
            <wp:docPr id="4" name="图片 4" descr="1"/>
            <wp:cNvGraphicFramePr/>
            <a:graphic xmlns:a="http://schemas.openxmlformats.org/drawingml/2006/main">
              <a:graphicData uri="http://schemas.openxmlformats.org/drawingml/2006/picture">
                <pic:pic xmlns:pic="http://schemas.openxmlformats.org/drawingml/2006/picture">
                  <pic:nvPicPr>
                    <pic:cNvPr id="4" name="图片 4" descr="1"/>
                    <pic:cNvPicPr/>
                  </pic:nvPicPr>
                  <pic:blipFill>
                    <a:blip r:embed="rId16"/>
                    <a:stretch>
                      <a:fillRect/>
                    </a:stretch>
                  </pic:blipFill>
                  <pic:spPr>
                    <a:xfrm>
                      <a:off x="0" y="0"/>
                      <a:ext cx="1485900" cy="317500"/>
                    </a:xfrm>
                    <a:prstGeom prst="rect">
                      <a:avLst/>
                    </a:prstGeom>
                  </pic:spPr>
                </pic:pic>
              </a:graphicData>
            </a:graphic>
          </wp:inline>
        </w:drawing>
      </w:r>
      <w:bookmarkEnd w:id="46"/>
    </w:p>
    <w:sectPr>
      <w:pgSz w:w="11906" w:h="16838"/>
      <w:pgMar w:top="1928" w:right="1134" w:bottom="1134" w:left="1134" w:header="1418" w:footer="1134" w:gutter="284"/>
      <w:pgNumType w:fmt="decimal"/>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Helvetica">
    <w:altName w:val="Arial"/>
    <w:panose1 w:val="00000000000000000000"/>
    <w:charset w:val="00"/>
    <w:family w:val="auto"/>
    <w:pitch w:val="default"/>
    <w:sig w:usb0="00000000" w:usb1="00000000" w:usb2="00000000" w:usb3="00000000" w:csb0="00000000" w:csb1="00000000"/>
  </w:font>
  <w:font w:name="KSOF7FC4CF2A">
    <w:panose1 w:val="020B0604020202020204"/>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3"/>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2"/>
      <w:rPr>
        <w:rFonts w:hint="eastAsia"/>
      </w:rPr>
    </w:pPr>
    <w:r>
      <w:fldChar w:fldCharType="begin"/>
    </w:r>
    <w:r>
      <w:instrText xml:space="preserve"> STYLEREF  标准文件_文件编号  \* MERGEFORMAT </w:instrText>
    </w:r>
    <w:r>
      <w:fldChar w:fldCharType="separate"/>
    </w:r>
    <w:r>
      <w:t>T/QAS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18"/>
      <w:jc w:val="right"/>
    </w:pPr>
    <w:r>
      <w:fldChar w:fldCharType="begin"/>
    </w:r>
    <w:r>
      <w:instrText xml:space="preserve"> STYLEREF  标准文件_文件编号  \* MERGEFORMAT </w:instrText>
    </w:r>
    <w:r>
      <w:fldChar w:fldCharType="separate"/>
    </w:r>
    <w:r>
      <w:t>T/QAS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32B4961"/>
    <w:multiLevelType w:val="multilevel"/>
    <w:tmpl w:val="432B4961"/>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attachedTemplate r:id="rId1"/>
  <w:documentProtection w:edit="forms" w:enforcement="1" w:cryptProviderType="rsaFull" w:cryptAlgorithmClass="hash" w:cryptAlgorithmType="typeAny" w:cryptAlgorithmSid="4" w:cryptSpinCount="0" w:hash="gppiD6WPrIiaPS1fQmVkHScqJUU=" w:salt="GHh0a+DusdVekQ+cdKHaDA=="/>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D714F19"/>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FDB7197"/>
    <w:rsid w:val="1C6E5940"/>
    <w:rsid w:val="21CB7674"/>
    <w:rsid w:val="26F14944"/>
    <w:rsid w:val="3D714F19"/>
    <w:rsid w:val="6D9E74C2"/>
    <w:rsid w:val="6F74215F"/>
    <w:rsid w:val="75202C40"/>
    <w:rsid w:val="75CA4207"/>
    <w:rsid w:val="784D18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b/>
      <w:bCs/>
      <w:kern w:val="44"/>
      <w:sz w:val="44"/>
      <w:szCs w:val="44"/>
    </w:rPr>
  </w:style>
  <w:style w:type="character" w:customStyle="1" w:styleId="36">
    <w:name w:val="标题 2 字符"/>
    <w:link w:val="3"/>
    <w:qFormat/>
    <w:uiPriority w:val="0"/>
    <w:rPr>
      <w:rFonts w:ascii="Arial" w:hAnsi="Arial" w:eastAsia="黑体"/>
      <w:b/>
      <w:bCs/>
      <w:kern w:val="2"/>
      <w:sz w:val="32"/>
      <w:szCs w:val="32"/>
    </w:rPr>
  </w:style>
  <w:style w:type="character" w:customStyle="1" w:styleId="37">
    <w:name w:val="标题 3 字符"/>
    <w:link w:val="4"/>
    <w:qFormat/>
    <w:uiPriority w:val="0"/>
    <w:rPr>
      <w:b/>
      <w:bCs/>
      <w:kern w:val="2"/>
      <w:sz w:val="32"/>
      <w:szCs w:val="32"/>
    </w:rPr>
  </w:style>
  <w:style w:type="character" w:customStyle="1" w:styleId="38">
    <w:name w:val="标题 4 字符"/>
    <w:link w:val="5"/>
    <w:qFormat/>
    <w:uiPriority w:val="0"/>
    <w:rPr>
      <w:rFonts w:ascii="Arial" w:hAnsi="Arial" w:eastAsia="黑体"/>
      <w:b/>
      <w:bCs/>
      <w:kern w:val="2"/>
      <w:sz w:val="28"/>
      <w:szCs w:val="28"/>
    </w:rPr>
  </w:style>
  <w:style w:type="character" w:customStyle="1" w:styleId="39">
    <w:name w:val="标题 5 字符"/>
    <w:link w:val="6"/>
    <w:qFormat/>
    <w:uiPriority w:val="0"/>
    <w:rPr>
      <w:b/>
      <w:bCs/>
      <w:kern w:val="2"/>
      <w:sz w:val="28"/>
      <w:szCs w:val="28"/>
    </w:rPr>
  </w:style>
  <w:style w:type="character" w:customStyle="1" w:styleId="40">
    <w:name w:val="标题 6 字符"/>
    <w:link w:val="7"/>
    <w:qFormat/>
    <w:uiPriority w:val="0"/>
    <w:rPr>
      <w:rFonts w:ascii="Arial" w:hAnsi="Arial" w:eastAsia="黑体"/>
      <w:b/>
      <w:bCs/>
      <w:kern w:val="2"/>
      <w:sz w:val="24"/>
      <w:szCs w:val="24"/>
    </w:rPr>
  </w:style>
  <w:style w:type="character" w:customStyle="1" w:styleId="41">
    <w:name w:val="标题 7 字符"/>
    <w:link w:val="8"/>
    <w:qFormat/>
    <w:uiPriority w:val="0"/>
    <w:rPr>
      <w:b/>
      <w:bCs/>
      <w:kern w:val="2"/>
      <w:sz w:val="24"/>
      <w:szCs w:val="24"/>
    </w:rPr>
  </w:style>
  <w:style w:type="character" w:customStyle="1" w:styleId="42">
    <w:name w:val="标题 8 字符"/>
    <w:link w:val="9"/>
    <w:qFormat/>
    <w:uiPriority w:val="0"/>
    <w:rPr>
      <w:rFonts w:ascii="Arial" w:hAnsi="Arial" w:eastAsia="黑体"/>
      <w:kern w:val="2"/>
      <w:sz w:val="24"/>
      <w:szCs w:val="24"/>
    </w:rPr>
  </w:style>
  <w:style w:type="character" w:customStyle="1" w:styleId="43">
    <w:name w:val="标题 9 字符"/>
    <w:link w:val="10"/>
    <w:qFormat/>
    <w:uiPriority w:val="0"/>
    <w:rPr>
      <w:rFonts w:ascii="Arial" w:hAnsi="Arial" w:eastAsia="黑体"/>
      <w:kern w:val="2"/>
      <w:sz w:val="21"/>
      <w:szCs w:val="21"/>
    </w:rPr>
  </w:style>
  <w:style w:type="character" w:customStyle="1" w:styleId="44">
    <w:name w:val="页眉 字符"/>
    <w:link w:val="18"/>
    <w:qFormat/>
    <w:uiPriority w:val="99"/>
    <w:rPr>
      <w:kern w:val="2"/>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批注框文本 字符"/>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kern w:val="2"/>
      <w:sz w:val="21"/>
      <w:szCs w:val="21"/>
    </w:rPr>
  </w:style>
  <w:style w:type="character" w:customStyle="1" w:styleId="49">
    <w:name w:val="标题 字符"/>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Times New Roman"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style>
  <w:style w:type="paragraph" w:customStyle="1" w:styleId="190">
    <w:name w:val="标准文件_一级项2"/>
    <w:basedOn w:val="57"/>
    <w:qFormat/>
    <w:uiPriority w:val="0"/>
    <w:pPr>
      <w:numPr>
        <w:ilvl w:val="0"/>
        <w:numId w:val="31"/>
      </w:numPr>
      <w:spacing w:line="300" w:lineRule="exact"/>
      <w:ind w:firstLineChars="0"/>
    </w:p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1FDC7409">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18A22D01">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3A0D1FB3">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9</Pages>
  <Words>3276</Words>
  <Characters>3694</Characters>
  <Lines>4</Lines>
  <Paragraphs>1</Paragraphs>
  <TotalTime>0</TotalTime>
  <ScaleCrop>false</ScaleCrop>
  <LinksUpToDate>false</LinksUpToDate>
  <CharactersWithSpaces>3841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2026-05-19T02:27:00Z</dcterms:created>
  <dc:creator>。</dc:creator>
  <cp:lastModifiedBy>。</cp:lastModifiedBy>
  <dcterms:modified xsi:type="dcterms:W3CDTF">2026-06-17T07:50:44Z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495829EA74C5411AB88CAB6145E7520B_11</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2052-12.1.0.26895</vt:lpwstr>
  </property>
</Properties>
</file>