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2E5B19">
      <w:pPr>
        <w:pStyle w:val="2"/>
        <w:spacing w:before="42" w:line="278" w:lineRule="auto"/>
        <w:ind w:left="50" w:right="7312" w:hanging="2"/>
        <w:rPr>
          <w:rFonts w:hint="eastAsia" w:eastAsia="宋体"/>
          <w:spacing w:val="-6"/>
          <w:sz w:val="21"/>
          <w:szCs w:val="21"/>
          <w:lang w:val="en-US" w:eastAsia="zh-CN"/>
        </w:rPr>
      </w:pPr>
      <w:r>
        <w:rPr>
          <w:rFonts w:ascii="Times New Roman" w:hAnsi="Times New Roman" w:eastAsia="Times New Roman" w:cs="Times New Roman"/>
          <w:spacing w:val="-6"/>
          <w:position w:val="1"/>
          <w:sz w:val="21"/>
          <w:szCs w:val="21"/>
        </w:rPr>
        <w:t>ICS</w:t>
      </w:r>
      <w:r>
        <w:rPr>
          <w:rFonts w:ascii="Times New Roman" w:hAnsi="Times New Roman" w:eastAsia="Times New Roman" w:cs="Times New Roman"/>
          <w:spacing w:val="13"/>
          <w:position w:val="1"/>
          <w:sz w:val="21"/>
          <w:szCs w:val="21"/>
        </w:rPr>
        <w:t xml:space="preserve">   </w:t>
      </w:r>
      <w:r>
        <w:rPr>
          <w:rFonts w:hint="eastAsia" w:eastAsia="宋体"/>
          <w:spacing w:val="-6"/>
          <w:sz w:val="21"/>
          <w:szCs w:val="21"/>
          <w:lang w:val="en-US" w:eastAsia="zh-CN"/>
        </w:rPr>
        <w:t>83.08.20</w:t>
      </w:r>
    </w:p>
    <w:p w14:paraId="114C9DB9">
      <w:pPr>
        <w:pStyle w:val="2"/>
        <w:spacing w:before="42" w:line="278" w:lineRule="auto"/>
        <w:ind w:left="50" w:right="7312" w:hanging="2"/>
        <w:rPr>
          <w:rFonts w:hint="default" w:eastAsia="宋体"/>
          <w:sz w:val="21"/>
          <w:szCs w:val="21"/>
          <w:lang w:val="en-US" w:eastAsia="zh-CN"/>
        </w:rPr>
      </w:pPr>
      <w:r>
        <w:rPr>
          <w:rFonts w:ascii="Times New Roman" w:hAnsi="Times New Roman" w:eastAsia="Times New Roman" w:cs="Times New Roman"/>
          <w:spacing w:val="-2"/>
          <w:position w:val="1"/>
          <w:sz w:val="21"/>
          <w:szCs w:val="21"/>
        </w:rPr>
        <w:t xml:space="preserve">CCS  </w:t>
      </w:r>
      <w:r>
        <w:rPr>
          <w:rFonts w:hint="eastAsia" w:eastAsia="宋体"/>
          <w:spacing w:val="-2"/>
          <w:sz w:val="21"/>
          <w:szCs w:val="21"/>
          <w:lang w:val="en-US" w:eastAsia="zh-CN"/>
        </w:rPr>
        <w:t>G31</w:t>
      </w:r>
    </w:p>
    <w:p w14:paraId="404093F8">
      <w:pPr>
        <w:spacing w:before="156" w:line="688" w:lineRule="exact"/>
        <w:ind w:firstLine="4871"/>
      </w:pPr>
      <w:r>
        <w:rPr>
          <w:position w:val="-13"/>
        </w:rPr>
        <w:drawing>
          <wp:inline distT="0" distB="0" distL="0" distR="0">
            <wp:extent cx="589280" cy="43688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9788" cy="437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A7044">
      <w:pPr>
        <w:pStyle w:val="2"/>
        <w:spacing w:before="265" w:line="218" w:lineRule="auto"/>
        <w:rPr>
          <w:sz w:val="48"/>
          <w:szCs w:val="48"/>
        </w:rPr>
      </w:pPr>
      <w:r>
        <w:rPr>
          <w:spacing w:val="-8"/>
          <w:sz w:val="48"/>
          <w:szCs w:val="48"/>
        </w:rPr>
        <w:t>浙</w:t>
      </w:r>
      <w:r>
        <w:rPr>
          <w:spacing w:val="-118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江</w:t>
      </w:r>
      <w:r>
        <w:rPr>
          <w:spacing w:val="-125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省</w:t>
      </w:r>
      <w:r>
        <w:rPr>
          <w:spacing w:val="-132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汽</w:t>
      </w:r>
      <w:r>
        <w:rPr>
          <w:spacing w:val="-123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车</w:t>
      </w:r>
      <w:r>
        <w:rPr>
          <w:spacing w:val="-126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工</w:t>
      </w:r>
      <w:r>
        <w:rPr>
          <w:spacing w:val="-123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业</w:t>
      </w:r>
      <w:r>
        <w:rPr>
          <w:spacing w:val="-130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技</w:t>
      </w:r>
      <w:r>
        <w:rPr>
          <w:spacing w:val="-133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术</w:t>
      </w:r>
      <w:r>
        <w:rPr>
          <w:spacing w:val="-132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创</w:t>
      </w:r>
      <w:r>
        <w:rPr>
          <w:spacing w:val="-130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新</w:t>
      </w:r>
      <w:r>
        <w:rPr>
          <w:spacing w:val="-132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协</w:t>
      </w:r>
      <w:r>
        <w:rPr>
          <w:spacing w:val="-135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会</w:t>
      </w:r>
      <w:r>
        <w:rPr>
          <w:spacing w:val="-92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团体</w:t>
      </w:r>
      <w:r>
        <w:rPr>
          <w:spacing w:val="-139"/>
          <w:sz w:val="48"/>
          <w:szCs w:val="48"/>
        </w:rPr>
        <w:t xml:space="preserve"> </w:t>
      </w:r>
      <w:r>
        <w:rPr>
          <w:spacing w:val="-8"/>
          <w:sz w:val="48"/>
          <w:szCs w:val="48"/>
        </w:rPr>
        <w:t>标准</w:t>
      </w:r>
    </w:p>
    <w:p w14:paraId="1B7FF84E">
      <w:pPr>
        <w:spacing w:line="267" w:lineRule="auto"/>
        <w:rPr>
          <w:rFonts w:ascii="Arial"/>
          <w:sz w:val="21"/>
        </w:rPr>
      </w:pPr>
    </w:p>
    <w:p w14:paraId="3841A937">
      <w:pPr>
        <w:pStyle w:val="2"/>
        <w:spacing w:before="91" w:line="234" w:lineRule="auto"/>
        <w:ind w:left="7219"/>
        <w:rPr>
          <w:rFonts w:hint="default" w:eastAsia="黑体"/>
          <w:highlight w:val="none"/>
          <w:lang w:val="en-US" w:eastAsia="zh-CN"/>
        </w:rPr>
      </w:pPr>
      <w:r>
        <w:rPr>
          <w:spacing w:val="-1"/>
          <w:highlight w:val="none"/>
        </w:rPr>
        <w:t>T/</w:t>
      </w:r>
      <w:r>
        <w:rPr>
          <w:rFonts w:hint="eastAsia"/>
          <w:spacing w:val="-1"/>
          <w:highlight w:val="none"/>
          <w:lang w:val="en-US" w:eastAsia="zh-CN"/>
        </w:rPr>
        <w:t>ZZB</w:t>
      </w:r>
      <w:r>
        <w:rPr>
          <w:spacing w:val="-1"/>
          <w:highlight w:val="none"/>
        </w:rPr>
        <w:t xml:space="preserve"> XXXX—</w:t>
      </w:r>
      <w:r>
        <w:rPr>
          <w:rFonts w:hint="eastAsia"/>
          <w:spacing w:val="-1"/>
          <w:highlight w:val="none"/>
          <w:lang w:val="en-US" w:eastAsia="zh-CN"/>
        </w:rPr>
        <w:t>2026</w:t>
      </w:r>
    </w:p>
    <w:p w14:paraId="1364C045">
      <w:pPr>
        <w:spacing w:line="246" w:lineRule="auto"/>
        <w:rPr>
          <w:rFonts w:ascii="Arial"/>
          <w:sz w:val="21"/>
        </w:rPr>
      </w:pPr>
    </w:p>
    <w:p w14:paraId="02029ADB">
      <w:pPr>
        <w:spacing w:line="246" w:lineRule="auto"/>
        <w:rPr>
          <w:rFonts w:ascii="Arial"/>
          <w:sz w:val="21"/>
        </w:rPr>
      </w:pPr>
    </w:p>
    <w:p w14:paraId="6B510D8C">
      <w:pPr>
        <w:spacing w:line="247" w:lineRule="auto"/>
        <w:rPr>
          <w:rFonts w:ascii="Arial"/>
          <w:sz w:val="21"/>
        </w:rPr>
      </w:pPr>
      <w:r>
        <w:pict>
          <v:shape id="_x0000_s1026" o:spid="_x0000_s1026" style="position:absolute;left:0pt;margin-left:4.85pt;margin-top:6.85pt;height:0.75pt;width:481.9pt;z-index:251660288;mso-width-relative:page;mso-height-relative:page;" filled="f" stroked="t" coordsize="9637,15" path="m0,7l9637,7e">
            <v:fill on="f" focussize="0,0"/>
            <v:stroke weight="0.72pt" color="#000000" miterlimit="10"/>
            <v:imagedata o:title=""/>
            <o:lock v:ext="edit"/>
          </v:shape>
        </w:pict>
      </w:r>
    </w:p>
    <w:p w14:paraId="49DBB7C6">
      <w:pPr>
        <w:spacing w:line="247" w:lineRule="auto"/>
        <w:rPr>
          <w:rFonts w:ascii="Arial"/>
          <w:sz w:val="21"/>
        </w:rPr>
      </w:pPr>
    </w:p>
    <w:p w14:paraId="081AA8FF">
      <w:pPr>
        <w:spacing w:line="247" w:lineRule="auto"/>
        <w:rPr>
          <w:rFonts w:ascii="Arial"/>
          <w:sz w:val="21"/>
        </w:rPr>
      </w:pPr>
    </w:p>
    <w:p w14:paraId="31DD54F8">
      <w:pPr>
        <w:spacing w:line="247" w:lineRule="auto"/>
        <w:rPr>
          <w:rFonts w:ascii="Arial"/>
          <w:sz w:val="21"/>
        </w:rPr>
      </w:pPr>
    </w:p>
    <w:p w14:paraId="11372E81">
      <w:pPr>
        <w:spacing w:line="247" w:lineRule="auto"/>
        <w:rPr>
          <w:rFonts w:ascii="Arial"/>
          <w:sz w:val="21"/>
        </w:rPr>
      </w:pPr>
    </w:p>
    <w:p w14:paraId="3813333C">
      <w:pPr>
        <w:spacing w:line="247" w:lineRule="auto"/>
        <w:rPr>
          <w:rFonts w:ascii="Arial"/>
          <w:sz w:val="21"/>
        </w:rPr>
      </w:pPr>
    </w:p>
    <w:p w14:paraId="20B478C8">
      <w:pPr>
        <w:spacing w:line="247" w:lineRule="auto"/>
        <w:rPr>
          <w:rFonts w:ascii="Arial"/>
          <w:sz w:val="21"/>
        </w:rPr>
      </w:pPr>
    </w:p>
    <w:p w14:paraId="19366D01">
      <w:pPr>
        <w:spacing w:line="247" w:lineRule="auto"/>
        <w:rPr>
          <w:rFonts w:ascii="Arial"/>
          <w:sz w:val="21"/>
        </w:rPr>
      </w:pPr>
    </w:p>
    <w:p w14:paraId="4B222F18">
      <w:pPr>
        <w:spacing w:line="247" w:lineRule="auto"/>
        <w:rPr>
          <w:rFonts w:ascii="Arial"/>
          <w:sz w:val="21"/>
        </w:rPr>
      </w:pPr>
    </w:p>
    <w:p w14:paraId="54A827B1">
      <w:pPr>
        <w:pStyle w:val="2"/>
        <w:spacing w:before="82" w:line="218" w:lineRule="auto"/>
        <w:jc w:val="center"/>
        <w:outlineLvl w:val="0"/>
        <w:rPr>
          <w:rFonts w:hint="eastAsia" w:eastAsia="黑体"/>
          <w:spacing w:val="-2"/>
          <w:sz w:val="52"/>
          <w:szCs w:val="52"/>
          <w:lang w:eastAsia="zh-CN"/>
        </w:rPr>
      </w:pPr>
      <w:bookmarkStart w:id="0" w:name="heading_1"/>
      <w:r>
        <w:rPr>
          <w:spacing w:val="-2"/>
          <w:sz w:val="52"/>
          <w:szCs w:val="52"/>
        </w:rPr>
        <w:t>汽车用无卤阻燃低析出玻纤增强高温聚酰胺（PPA）复合材料</w:t>
      </w:r>
      <w:bookmarkEnd w:id="0"/>
      <w:r>
        <w:rPr>
          <w:rFonts w:hint="eastAsia"/>
          <w:spacing w:val="-2"/>
          <w:sz w:val="52"/>
          <w:szCs w:val="52"/>
          <w:lang w:eastAsia="zh-CN"/>
        </w:rPr>
        <w:t>技术要求</w:t>
      </w:r>
    </w:p>
    <w:p w14:paraId="4449E3F0">
      <w:pPr>
        <w:pStyle w:val="2"/>
        <w:spacing w:before="82" w:line="218" w:lineRule="auto"/>
        <w:ind w:left="3117"/>
        <w:outlineLvl w:val="0"/>
        <w:rPr>
          <w:sz w:val="52"/>
          <w:szCs w:val="52"/>
        </w:rPr>
      </w:pPr>
    </w:p>
    <w:p w14:paraId="5A77EA38">
      <w:pPr>
        <w:rPr>
          <w:rFonts w:ascii="Arial"/>
          <w:sz w:val="21"/>
        </w:rPr>
      </w:pPr>
    </w:p>
    <w:p w14:paraId="283ECEE4">
      <w:pPr>
        <w:rPr>
          <w:rFonts w:ascii="Arial"/>
          <w:sz w:val="21"/>
        </w:rPr>
      </w:pPr>
    </w:p>
    <w:p w14:paraId="0B26C264">
      <w:pPr>
        <w:rPr>
          <w:rFonts w:ascii="Arial"/>
          <w:sz w:val="21"/>
        </w:rPr>
      </w:pPr>
    </w:p>
    <w:p w14:paraId="13DFE4C0">
      <w:pPr>
        <w:rPr>
          <w:rFonts w:ascii="Arial"/>
          <w:sz w:val="21"/>
        </w:rPr>
      </w:pPr>
    </w:p>
    <w:p w14:paraId="15DC4AD4">
      <w:pPr>
        <w:spacing w:line="241" w:lineRule="auto"/>
        <w:rPr>
          <w:rFonts w:ascii="Arial"/>
          <w:sz w:val="21"/>
        </w:rPr>
      </w:pPr>
    </w:p>
    <w:p w14:paraId="3E1BA99E">
      <w:pPr>
        <w:spacing w:line="241" w:lineRule="auto"/>
        <w:rPr>
          <w:rFonts w:ascii="Arial"/>
          <w:sz w:val="21"/>
        </w:rPr>
      </w:pPr>
    </w:p>
    <w:p w14:paraId="7F424F77">
      <w:pPr>
        <w:spacing w:line="241" w:lineRule="auto"/>
        <w:rPr>
          <w:rFonts w:ascii="Arial"/>
          <w:sz w:val="21"/>
        </w:rPr>
      </w:pPr>
    </w:p>
    <w:p w14:paraId="1BCFB8B2">
      <w:pPr>
        <w:spacing w:line="241" w:lineRule="auto"/>
        <w:rPr>
          <w:rFonts w:ascii="Arial"/>
          <w:sz w:val="21"/>
        </w:rPr>
      </w:pPr>
    </w:p>
    <w:p w14:paraId="6B56D12A">
      <w:pPr>
        <w:spacing w:before="78" w:line="220" w:lineRule="auto"/>
        <w:ind w:left="4201"/>
        <w:outlineLvl w:val="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>草案版次选择</w:t>
      </w:r>
    </w:p>
    <w:p w14:paraId="230FEC25">
      <w:pPr>
        <w:spacing w:line="273" w:lineRule="auto"/>
        <w:rPr>
          <w:rFonts w:ascii="Arial"/>
          <w:sz w:val="21"/>
        </w:rPr>
      </w:pPr>
    </w:p>
    <w:p w14:paraId="08663029">
      <w:pPr>
        <w:spacing w:line="273" w:lineRule="auto"/>
        <w:rPr>
          <w:rFonts w:ascii="Arial"/>
          <w:sz w:val="21"/>
        </w:rPr>
      </w:pPr>
    </w:p>
    <w:p w14:paraId="76A95808">
      <w:pPr>
        <w:spacing w:line="273" w:lineRule="auto"/>
        <w:rPr>
          <w:rFonts w:ascii="Arial"/>
          <w:sz w:val="21"/>
        </w:rPr>
      </w:pPr>
    </w:p>
    <w:p w14:paraId="73252478">
      <w:pPr>
        <w:spacing w:line="273" w:lineRule="auto"/>
        <w:rPr>
          <w:rFonts w:ascii="Arial"/>
          <w:sz w:val="21"/>
        </w:rPr>
      </w:pPr>
    </w:p>
    <w:p w14:paraId="6F8A4722">
      <w:pPr>
        <w:spacing w:before="68" w:line="220" w:lineRule="auto"/>
        <w:ind w:left="1648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z w:val="21"/>
          <w:szCs w:val="21"/>
        </w:rPr>
        <w:t>在提交反馈意见时，请将您知道的相关专利连同支持性文件一并附上。</w:t>
      </w:r>
    </w:p>
    <w:p w14:paraId="5AB32E49">
      <w:pPr>
        <w:spacing w:line="255" w:lineRule="auto"/>
        <w:rPr>
          <w:rFonts w:ascii="Arial"/>
          <w:sz w:val="21"/>
        </w:rPr>
      </w:pPr>
    </w:p>
    <w:p w14:paraId="0A2283B5">
      <w:pPr>
        <w:spacing w:line="256" w:lineRule="auto"/>
        <w:rPr>
          <w:rFonts w:ascii="Arial"/>
          <w:sz w:val="21"/>
        </w:rPr>
      </w:pPr>
    </w:p>
    <w:p w14:paraId="09F52D0A">
      <w:pPr>
        <w:spacing w:line="256" w:lineRule="auto"/>
        <w:rPr>
          <w:rFonts w:ascii="Arial"/>
          <w:sz w:val="21"/>
        </w:rPr>
      </w:pPr>
    </w:p>
    <w:p w14:paraId="050693B2">
      <w:pPr>
        <w:spacing w:line="256" w:lineRule="auto"/>
        <w:rPr>
          <w:rFonts w:ascii="Arial"/>
          <w:sz w:val="21"/>
        </w:rPr>
      </w:pPr>
    </w:p>
    <w:p w14:paraId="13AE9DAA">
      <w:pPr>
        <w:spacing w:line="256" w:lineRule="auto"/>
        <w:rPr>
          <w:rFonts w:ascii="Arial"/>
          <w:sz w:val="21"/>
        </w:rPr>
      </w:pPr>
    </w:p>
    <w:p w14:paraId="68697068">
      <w:pPr>
        <w:spacing w:line="256" w:lineRule="auto"/>
        <w:rPr>
          <w:rFonts w:ascii="Arial"/>
          <w:sz w:val="21"/>
        </w:rPr>
      </w:pPr>
    </w:p>
    <w:p w14:paraId="4B5B5481">
      <w:pPr>
        <w:spacing w:line="256" w:lineRule="auto"/>
        <w:rPr>
          <w:rFonts w:ascii="Arial"/>
          <w:sz w:val="21"/>
        </w:rPr>
      </w:pPr>
    </w:p>
    <w:p w14:paraId="4561B2F1">
      <w:pPr>
        <w:spacing w:line="256" w:lineRule="auto"/>
        <w:rPr>
          <w:rFonts w:ascii="Arial"/>
          <w:sz w:val="21"/>
        </w:rPr>
      </w:pPr>
    </w:p>
    <w:p w14:paraId="3211793E">
      <w:pPr>
        <w:spacing w:line="256" w:lineRule="auto"/>
        <w:rPr>
          <w:rFonts w:ascii="Arial"/>
          <w:sz w:val="21"/>
        </w:rPr>
      </w:pPr>
    </w:p>
    <w:p w14:paraId="628D5532">
      <w:pPr>
        <w:spacing w:line="256" w:lineRule="auto"/>
        <w:rPr>
          <w:rFonts w:ascii="Arial"/>
          <w:sz w:val="21"/>
        </w:rPr>
      </w:pPr>
    </w:p>
    <w:p w14:paraId="6DE5B322">
      <w:pPr>
        <w:pStyle w:val="2"/>
        <w:spacing w:before="91" w:line="219" w:lineRule="auto"/>
        <w:jc w:val="right"/>
        <w:rPr>
          <w:highlight w:val="none"/>
        </w:rPr>
      </w:pPr>
      <w:bookmarkStart w:id="40" w:name="_GoBack"/>
      <w:r>
        <w:rPr>
          <w:spacing w:val="-3"/>
          <w:highlight w:val="none"/>
        </w:rPr>
        <w:t>XXXX</w:t>
      </w:r>
      <w:r>
        <w:rPr>
          <w:spacing w:val="-64"/>
          <w:highlight w:val="none"/>
        </w:rPr>
        <w:t xml:space="preserve"> </w:t>
      </w:r>
      <w:r>
        <w:rPr>
          <w:spacing w:val="-3"/>
          <w:highlight w:val="none"/>
        </w:rPr>
        <w:t>-</w:t>
      </w:r>
      <w:r>
        <w:rPr>
          <w:spacing w:val="-67"/>
          <w:highlight w:val="none"/>
        </w:rPr>
        <w:t xml:space="preserve"> </w:t>
      </w:r>
      <w:r>
        <w:rPr>
          <w:spacing w:val="-3"/>
          <w:highlight w:val="none"/>
        </w:rPr>
        <w:t>XX</w:t>
      </w:r>
      <w:r>
        <w:rPr>
          <w:spacing w:val="-66"/>
          <w:highlight w:val="none"/>
        </w:rPr>
        <w:t xml:space="preserve"> </w:t>
      </w:r>
      <w:r>
        <w:rPr>
          <w:spacing w:val="-3"/>
          <w:highlight w:val="none"/>
        </w:rPr>
        <w:t>-</w:t>
      </w:r>
      <w:r>
        <w:rPr>
          <w:spacing w:val="-65"/>
          <w:highlight w:val="none"/>
        </w:rPr>
        <w:t xml:space="preserve"> </w:t>
      </w:r>
      <w:r>
        <w:rPr>
          <w:spacing w:val="-3"/>
          <w:highlight w:val="none"/>
        </w:rPr>
        <w:t>XX</w:t>
      </w:r>
      <w:r>
        <w:rPr>
          <w:spacing w:val="-58"/>
          <w:highlight w:val="none"/>
        </w:rPr>
        <w:t xml:space="preserve"> </w:t>
      </w:r>
      <w:r>
        <w:rPr>
          <w:spacing w:val="-3"/>
          <w:highlight w:val="none"/>
        </w:rPr>
        <w:t>发布</w:t>
      </w:r>
      <w:r>
        <w:rPr>
          <w:highlight w:val="none"/>
        </w:rPr>
        <w:t xml:space="preserve">                                    </w:t>
      </w:r>
      <w:r>
        <w:rPr>
          <w:spacing w:val="-3"/>
          <w:highlight w:val="none"/>
        </w:rPr>
        <w:t>XXXX</w:t>
      </w:r>
      <w:r>
        <w:rPr>
          <w:spacing w:val="-55"/>
          <w:highlight w:val="none"/>
        </w:rPr>
        <w:t xml:space="preserve"> </w:t>
      </w:r>
      <w:r>
        <w:rPr>
          <w:spacing w:val="-3"/>
          <w:highlight w:val="none"/>
        </w:rPr>
        <w:t>-</w:t>
      </w:r>
      <w:r>
        <w:rPr>
          <w:spacing w:val="-67"/>
          <w:highlight w:val="none"/>
        </w:rPr>
        <w:t xml:space="preserve"> </w:t>
      </w:r>
      <w:r>
        <w:rPr>
          <w:spacing w:val="-3"/>
          <w:highlight w:val="none"/>
        </w:rPr>
        <w:t>XX</w:t>
      </w:r>
      <w:r>
        <w:rPr>
          <w:spacing w:val="-66"/>
          <w:highlight w:val="none"/>
        </w:rPr>
        <w:t xml:space="preserve"> </w:t>
      </w:r>
      <w:r>
        <w:rPr>
          <w:spacing w:val="-3"/>
          <w:highlight w:val="none"/>
        </w:rPr>
        <w:t>-</w:t>
      </w:r>
      <w:r>
        <w:rPr>
          <w:spacing w:val="-65"/>
          <w:highlight w:val="none"/>
        </w:rPr>
        <w:t xml:space="preserve"> </w:t>
      </w:r>
      <w:r>
        <w:rPr>
          <w:spacing w:val="-3"/>
          <w:highlight w:val="none"/>
        </w:rPr>
        <w:t>XX</w:t>
      </w:r>
      <w:r>
        <w:rPr>
          <w:spacing w:val="-53"/>
          <w:highlight w:val="none"/>
        </w:rPr>
        <w:t xml:space="preserve"> </w:t>
      </w:r>
      <w:r>
        <w:rPr>
          <w:spacing w:val="-4"/>
          <w:highlight w:val="none"/>
        </w:rPr>
        <w:t>实施</w:t>
      </w:r>
    </w:p>
    <w:bookmarkEnd w:id="40"/>
    <w:p w14:paraId="54C46BAC">
      <w:pPr>
        <w:spacing w:line="255" w:lineRule="auto"/>
        <w:rPr>
          <w:rFonts w:ascii="Arial"/>
          <w:sz w:val="21"/>
        </w:rPr>
      </w:pPr>
      <w:r>
        <w:pict>
          <v:shape id="_x0000_s1027" o:spid="_x0000_s1027" style="position:absolute;left:0pt;margin-left:4.75pt;margin-top:1.1pt;height:0.75pt;width:481.85pt;z-index:251659264;mso-width-relative:page;mso-height-relative:page;" filled="f" stroked="t" coordsize="9637,15" path="m0,7l9636,7e">
            <v:fill on="f" focussize="0,0"/>
            <v:stroke weight="0.72pt" color="#000000" miterlimit="10"/>
            <v:imagedata o:title=""/>
            <o:lock v:ext="edit"/>
          </v:shape>
        </w:pict>
      </w:r>
    </w:p>
    <w:p w14:paraId="465A8DED">
      <w:pPr>
        <w:spacing w:line="256" w:lineRule="auto"/>
        <w:rPr>
          <w:rFonts w:ascii="Arial"/>
          <w:sz w:val="21"/>
        </w:rPr>
      </w:pPr>
    </w:p>
    <w:p w14:paraId="6108DDB1">
      <w:pPr>
        <w:spacing w:line="256" w:lineRule="auto"/>
        <w:rPr>
          <w:rFonts w:ascii="Arial"/>
          <w:sz w:val="21"/>
        </w:rPr>
      </w:pPr>
    </w:p>
    <w:p w14:paraId="5EB1E9DC">
      <w:pPr>
        <w:pStyle w:val="2"/>
        <w:spacing w:before="92" w:line="219" w:lineRule="auto"/>
        <w:ind w:left="2315"/>
      </w:pPr>
      <w:r>
        <w:rPr>
          <w:spacing w:val="-1"/>
        </w:rPr>
        <w:t>浙江省汽车工业技术创新协会    发</w:t>
      </w:r>
      <w:r>
        <w:rPr>
          <w:spacing w:val="42"/>
        </w:rPr>
        <w:t xml:space="preserve"> </w:t>
      </w:r>
      <w:r>
        <w:rPr>
          <w:spacing w:val="-1"/>
        </w:rPr>
        <w:t>布</w:t>
      </w:r>
    </w:p>
    <w:p w14:paraId="44877EA8">
      <w:pPr>
        <w:spacing w:line="219" w:lineRule="auto"/>
        <w:sectPr>
          <w:pgSz w:w="11907" w:h="16839"/>
          <w:pgMar w:top="553" w:right="821" w:bottom="0" w:left="1328" w:header="0" w:footer="0" w:gutter="0"/>
          <w:cols w:space="720" w:num="1"/>
        </w:sectPr>
      </w:pPr>
    </w:p>
    <w:p w14:paraId="0EEB5316">
      <w:pPr>
        <w:spacing w:line="317" w:lineRule="auto"/>
        <w:rPr>
          <w:rFonts w:ascii="Arial"/>
          <w:sz w:val="21"/>
        </w:rPr>
      </w:pPr>
    </w:p>
    <w:p w14:paraId="40B367C2">
      <w:pPr>
        <w:spacing w:line="317" w:lineRule="auto"/>
        <w:rPr>
          <w:rFonts w:ascii="Arial"/>
          <w:sz w:val="21"/>
        </w:rPr>
      </w:pPr>
    </w:p>
    <w:p w14:paraId="462DAFF2">
      <w:pPr>
        <w:pStyle w:val="2"/>
        <w:spacing w:before="100" w:line="225" w:lineRule="auto"/>
        <w:ind w:left="4040"/>
        <w:outlineLvl w:val="0"/>
        <w:rPr>
          <w:sz w:val="31"/>
          <w:szCs w:val="31"/>
        </w:rPr>
      </w:pPr>
      <w:r>
        <w:rPr>
          <w:spacing w:val="-2"/>
          <w:sz w:val="31"/>
          <w:szCs w:val="31"/>
        </w:rPr>
        <w:t>前</w:t>
      </w:r>
      <w:r>
        <w:rPr>
          <w:spacing w:val="11"/>
          <w:sz w:val="31"/>
          <w:szCs w:val="31"/>
        </w:rPr>
        <w:t xml:space="preserve">    </w:t>
      </w:r>
      <w:r>
        <w:rPr>
          <w:spacing w:val="-2"/>
          <w:sz w:val="31"/>
          <w:szCs w:val="31"/>
        </w:rPr>
        <w:t>言</w:t>
      </w:r>
    </w:p>
    <w:p w14:paraId="6CC24D1D">
      <w:pPr>
        <w:spacing w:line="313" w:lineRule="auto"/>
        <w:rPr>
          <w:rFonts w:ascii="Arial"/>
          <w:sz w:val="21"/>
        </w:rPr>
      </w:pPr>
    </w:p>
    <w:p w14:paraId="4BF57F16">
      <w:pPr>
        <w:spacing w:before="68" w:line="239" w:lineRule="auto"/>
        <w:ind w:firstLine="42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本文件按照GB/T 1.1—2020《标准化工作导则  第1部分：标准化文件的结构和起草规则》的规定</w:t>
      </w:r>
      <w:r>
        <w:rPr>
          <w:rFonts w:ascii="宋体" w:hAnsi="宋体" w:eastAsia="宋体" w:cs="宋体"/>
          <w:spacing w:val="-9"/>
          <w:sz w:val="21"/>
          <w:szCs w:val="21"/>
        </w:rPr>
        <w:t>起草。</w:t>
      </w:r>
    </w:p>
    <w:p w14:paraId="36EDB7E3">
      <w:pPr>
        <w:spacing w:line="219" w:lineRule="auto"/>
        <w:ind w:left="417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ascii="宋体" w:hAnsi="宋体" w:eastAsia="宋体" w:cs="宋体"/>
          <w:sz w:val="21"/>
          <w:szCs w:val="21"/>
        </w:rPr>
        <w:t>请注意本文件的某些内容可能涉及专利。本文件的发布机构不承担识别专利的责任。</w:t>
      </w:r>
    </w:p>
    <w:p w14:paraId="145D1C98">
      <w:pPr>
        <w:spacing w:before="23" w:line="220" w:lineRule="auto"/>
        <w:ind w:left="42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本文件由浙江省汽车工业技术创新协会提出并归口。</w:t>
      </w:r>
    </w:p>
    <w:p w14:paraId="23B3D3DC">
      <w:pPr>
        <w:spacing w:line="219" w:lineRule="auto"/>
        <w:ind w:left="417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ascii="宋体" w:hAnsi="宋体" w:eastAsia="宋体" w:cs="宋体"/>
          <w:spacing w:val="-1"/>
          <w:sz w:val="21"/>
          <w:szCs w:val="21"/>
        </w:rPr>
        <w:t>本文件起草单位：</w:t>
      </w:r>
      <w:r>
        <w:rPr>
          <w:rFonts w:ascii="宋体" w:hAnsi="宋体" w:eastAsia="宋体" w:cs="宋体"/>
          <w:sz w:val="21"/>
          <w:szCs w:val="21"/>
        </w:rPr>
        <w:t>浙江新力新材料股份有限公司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、杭州捷尔思阻燃化工有限公司、浙江省智能网联汽车创新中心、杭州良淋电子科技股份有限公司。</w:t>
      </w:r>
    </w:p>
    <w:p w14:paraId="66929337">
      <w:pPr>
        <w:spacing w:line="219" w:lineRule="auto"/>
        <w:ind w:left="417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本文件主要起草人：路丹、朱寿权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、胡燕、</w:t>
      </w:r>
      <w:r>
        <w:rPr>
          <w:rFonts w:ascii="宋体" w:hAnsi="宋体" w:eastAsia="宋体" w:cs="宋体"/>
          <w:sz w:val="21"/>
          <w:szCs w:val="21"/>
        </w:rPr>
        <w:t>马炼、聂帅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</w:t>
      </w:r>
      <w:r>
        <w:rPr>
          <w:rFonts w:ascii="宋体" w:hAnsi="宋体" w:eastAsia="宋体" w:cs="宋体"/>
          <w:sz w:val="21"/>
          <w:szCs w:val="21"/>
        </w:rPr>
        <w:t>刘文、毛燕青、方奇、姚振宇、张慧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、管远华、倪建清</w:t>
      </w:r>
      <w:r>
        <w:rPr>
          <w:rFonts w:ascii="宋体" w:hAnsi="宋体" w:eastAsia="宋体" w:cs="宋体"/>
          <w:sz w:val="21"/>
          <w:szCs w:val="21"/>
        </w:rPr>
        <w:t>。</w:t>
      </w:r>
    </w:p>
    <w:p w14:paraId="72862B6E">
      <w:pPr>
        <w:spacing w:line="219" w:lineRule="auto"/>
        <w:ind w:left="417"/>
        <w:rPr>
          <w:rFonts w:ascii="宋体" w:hAnsi="宋体" w:eastAsia="宋体" w:cs="宋体"/>
          <w:sz w:val="21"/>
          <w:szCs w:val="21"/>
        </w:rPr>
        <w:sectPr>
          <w:headerReference r:id="rId5" w:type="default"/>
          <w:footerReference r:id="rId6" w:type="default"/>
          <w:pgSz w:w="11907" w:h="16839"/>
          <w:pgMar w:top="1716" w:right="1128" w:bottom="1340" w:left="1427" w:header="1391" w:footer="1105" w:gutter="0"/>
          <w:cols w:space="720" w:num="1"/>
        </w:sectPr>
      </w:pPr>
    </w:p>
    <w:p w14:paraId="52CF5172">
      <w:pPr>
        <w:spacing w:line="338" w:lineRule="auto"/>
        <w:rPr>
          <w:rFonts w:ascii="Arial"/>
          <w:sz w:val="21"/>
        </w:rPr>
      </w:pPr>
    </w:p>
    <w:p w14:paraId="7C9853E8">
      <w:pPr>
        <w:spacing w:line="338" w:lineRule="auto"/>
        <w:rPr>
          <w:rFonts w:ascii="Arial"/>
          <w:sz w:val="21"/>
        </w:rPr>
      </w:pPr>
    </w:p>
    <w:p w14:paraId="5F8DB169">
      <w:pPr>
        <w:spacing w:line="465" w:lineRule="auto"/>
        <w:jc w:val="center"/>
        <w:rPr>
          <w:b/>
          <w:bCs/>
          <w:spacing w:val="8"/>
          <w:sz w:val="31"/>
          <w:szCs w:val="31"/>
        </w:rPr>
      </w:pPr>
      <w:r>
        <w:rPr>
          <w:b/>
          <w:bCs/>
          <w:spacing w:val="8"/>
          <w:sz w:val="31"/>
          <w:szCs w:val="31"/>
        </w:rPr>
        <w:t>汽车用无卤阻燃低析出玻纤增强高温聚酰胺（PPA）复合材料</w:t>
      </w:r>
    </w:p>
    <w:p w14:paraId="696A4B2A">
      <w:pPr>
        <w:spacing w:line="465" w:lineRule="auto"/>
        <w:jc w:val="center"/>
        <w:rPr>
          <w:rFonts w:hint="eastAsia"/>
          <w:b/>
          <w:bCs/>
          <w:spacing w:val="8"/>
          <w:sz w:val="31"/>
          <w:szCs w:val="31"/>
          <w:lang w:eastAsia="zh-CN"/>
        </w:rPr>
      </w:pPr>
      <w:r>
        <w:rPr>
          <w:rFonts w:hint="eastAsia"/>
          <w:b/>
          <w:bCs/>
          <w:spacing w:val="8"/>
          <w:sz w:val="31"/>
          <w:szCs w:val="31"/>
          <w:lang w:eastAsia="zh-CN"/>
        </w:rPr>
        <w:t>技术要求</w:t>
      </w:r>
    </w:p>
    <w:p w14:paraId="6BC03728">
      <w:pPr>
        <w:pStyle w:val="2"/>
        <w:spacing w:before="68" w:line="221" w:lineRule="auto"/>
        <w:ind w:left="14"/>
        <w:outlineLvl w:val="1"/>
        <w:rPr>
          <w:sz w:val="24"/>
          <w:szCs w:val="24"/>
        </w:rPr>
      </w:pPr>
      <w:r>
        <w:rPr>
          <w:spacing w:val="-8"/>
          <w:sz w:val="24"/>
          <w:szCs w:val="24"/>
        </w:rPr>
        <w:t>1</w:t>
      </w:r>
      <w:r>
        <w:rPr>
          <w:spacing w:val="5"/>
          <w:sz w:val="24"/>
          <w:szCs w:val="24"/>
        </w:rPr>
        <w:t xml:space="preserve">  </w:t>
      </w:r>
      <w:r>
        <w:rPr>
          <w:spacing w:val="-8"/>
          <w:sz w:val="24"/>
          <w:szCs w:val="24"/>
        </w:rPr>
        <w:t>范围</w:t>
      </w:r>
    </w:p>
    <w:p w14:paraId="5D70FA6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本标准规定了汽车用无卤阻燃低析出玻纤增强高温聚酰胺（PPA）复合材料的术语和定义、技术要求、试验方法、检验规则、标志、包装、运输和贮存要求。</w:t>
      </w:r>
    </w:p>
    <w:p w14:paraId="36EBFA1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适用于以高温聚酰胺（PPA）为基体树脂，采用磷硅复合协效无卤阻燃体系、玻纤增强工艺制备的无卤阻燃、低析出、高刚性耐高温改性PPA复合材料，主要用于新能源汽车及传统燃油汽车电气配件、动力系统结构件、车载精密塑件等部件，适用于行业内同类汽车用改性PPA产品的研发、生产、检验与交付。</w:t>
      </w:r>
    </w:p>
    <w:p w14:paraId="114092C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r>
        <w:rPr>
          <w:spacing w:val="-8"/>
          <w:sz w:val="24"/>
          <w:szCs w:val="24"/>
        </w:rPr>
        <w:t>2  规范性引用文件</w:t>
      </w:r>
    </w:p>
    <w:p w14:paraId="0669BD3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下列文件对于本文件的应用是必不可少的。凡是注日期的引用文件，仅所注日期的版本适用于本文件。凡是不注日期的引用文件，其最新版本（包括所有的修改单）适用于本文件。</w:t>
      </w:r>
    </w:p>
    <w:p w14:paraId="6A26833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1.1—2020标准化工作导则 第1部分：标准的结构和编写</w:t>
      </w:r>
    </w:p>
    <w:p w14:paraId="32FF40B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1040.2—2018塑料 拉伸性能的测定 第2部分：模塑和挤塑塑料的试验条件</w:t>
      </w:r>
    </w:p>
    <w:p w14:paraId="59958C8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9341—2008塑料 弯曲性能的测定</w:t>
      </w:r>
    </w:p>
    <w:p w14:paraId="47FE68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2408—2021塑料 燃烧性能的测定 水平法和垂直法</w:t>
      </w:r>
    </w:p>
    <w:p w14:paraId="40B7B5B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2917.1—2021 塑料 热塑性塑料熔体质量流动速率（MFR）和熔体体积流动速率（MVR）的测定 第1部分：标准方法</w:t>
      </w:r>
    </w:p>
    <w:p w14:paraId="2615D23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39600—2020 塑料 摩擦和磨损试验方法 销-盘法</w:t>
      </w:r>
    </w:p>
    <w:p w14:paraId="4CA9E45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16422.2—2014 塑料 实验室光源暴露试验方法 第2部分：氙弧灯</w:t>
      </w:r>
    </w:p>
    <w:p w14:paraId="4AB0D18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26572—2011 电子电气产品中限用物质的限量要求</w:t>
      </w:r>
    </w:p>
    <w:p w14:paraId="0EE032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QC/T 1035—2016 汽车用改性聚丙烯塑料零件技术条件</w:t>
      </w:r>
    </w:p>
    <w:p w14:paraId="09FAE38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GB/T 30981—2020 工业通用塑料 通用要求</w:t>
      </w:r>
    </w:p>
    <w:p w14:paraId="57FC8E78">
      <w:pPr>
        <w:pStyle w:val="2"/>
        <w:spacing w:before="68" w:line="221" w:lineRule="auto"/>
        <w:ind w:left="14"/>
        <w:outlineLvl w:val="1"/>
        <w:rPr>
          <w:spacing w:val="-8"/>
          <w:sz w:val="24"/>
          <w:szCs w:val="24"/>
        </w:rPr>
      </w:pPr>
    </w:p>
    <w:p w14:paraId="7BDDC1C0">
      <w:pPr>
        <w:pStyle w:val="2"/>
        <w:spacing w:before="68" w:line="221" w:lineRule="auto"/>
        <w:ind w:left="14"/>
        <w:outlineLvl w:val="1"/>
        <w:rPr>
          <w:spacing w:val="-8"/>
          <w:sz w:val="24"/>
          <w:szCs w:val="24"/>
        </w:rPr>
      </w:pPr>
      <w:r>
        <w:rPr>
          <w:spacing w:val="-8"/>
          <w:sz w:val="24"/>
          <w:szCs w:val="24"/>
        </w:rPr>
        <w:t>3  术语和定义</w:t>
      </w:r>
    </w:p>
    <w:p w14:paraId="4FB9422C">
      <w:pPr>
        <w:spacing w:before="28" w:line="241" w:lineRule="auto"/>
        <w:ind w:right="65"/>
        <w:rPr>
          <w:rFonts w:ascii="Times New Roman" w:hAnsi="Times New Roman" w:eastAsia="Times New Roman" w:cs="Times New Roman"/>
          <w:spacing w:val="-2"/>
          <w:sz w:val="21"/>
          <w:szCs w:val="21"/>
        </w:rPr>
      </w:pPr>
      <w:r>
        <w:rPr>
          <w:rFonts w:ascii="Times New Roman" w:hAnsi="Times New Roman" w:eastAsia="Times New Roman" w:cs="Times New Roman"/>
          <w:spacing w:val="-2"/>
          <w:sz w:val="21"/>
          <w:szCs w:val="21"/>
        </w:rPr>
        <w:t>3.1</w:t>
      </w:r>
    </w:p>
    <w:p w14:paraId="0F1F577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221" w:lineRule="auto"/>
        <w:ind w:left="425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汽车用无卤阻燃低析出玻纤增强高温聚酰胺（PPA）复合材料</w:t>
      </w:r>
    </w:p>
    <w:p w14:paraId="53D771E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以高温聚酰胺（PPA）为基体，采用烷基次磷酸盐、有机硅、无机镁复配磷硅协同阻燃体系，搭配二氧化硅包覆改性MCA、磷硅双改性无机协效体系，辅以高分子量耐温抗氧剂与热稳定剂，经无碱玻璃纤维增强、熔融共混、挤出造粒制备而成，具备无卤环保、低析出无模垢、高刚性、耐高温、力学性能优异的专用改性聚酰胺复合材料，适配汽车动力、电控、车载精密部件严苛工况使用。</w:t>
      </w:r>
    </w:p>
    <w:p w14:paraId="52C51D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  <w:sectPr>
          <w:headerReference r:id="rId7" w:type="default"/>
          <w:footerReference r:id="rId8" w:type="default"/>
          <w:pgSz w:w="11907" w:h="16839"/>
          <w:pgMar w:top="1716" w:right="1070" w:bottom="1340" w:left="1423" w:header="1391" w:footer="1105" w:gutter="0"/>
          <w:cols w:space="720" w:num="1"/>
        </w:sectPr>
      </w:pPr>
    </w:p>
    <w:p w14:paraId="6DCB1A6B">
      <w:pPr>
        <w:spacing w:line="325" w:lineRule="auto"/>
        <w:rPr>
          <w:rFonts w:ascii="Arial"/>
          <w:sz w:val="21"/>
        </w:rPr>
      </w:pPr>
    </w:p>
    <w:p w14:paraId="34ED7CE9">
      <w:pPr>
        <w:spacing w:line="325" w:lineRule="auto"/>
        <w:rPr>
          <w:rFonts w:ascii="Arial"/>
          <w:sz w:val="21"/>
        </w:rPr>
      </w:pPr>
    </w:p>
    <w:p w14:paraId="082182A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r>
        <w:rPr>
          <w:spacing w:val="-8"/>
          <w:sz w:val="24"/>
          <w:szCs w:val="24"/>
        </w:rPr>
        <w:t>4  技术要求</w:t>
      </w:r>
    </w:p>
    <w:p w14:paraId="51CB8D95">
      <w:pPr>
        <w:spacing w:before="141" w:line="220" w:lineRule="auto"/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</w:pP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>4,1  外观质量</w:t>
      </w:r>
    </w:p>
    <w:p w14:paraId="65A9652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产品为均匀规整的圆柱状颗粒，颗粒大小均匀、色泽一致，无明显色差、杂质、气泡、粘连结块，表面光洁无破损，满足汽车塑件精密注塑成型要求。</w:t>
      </w:r>
    </w:p>
    <w:p w14:paraId="7ACB1ABA">
      <w:pPr>
        <w:spacing w:before="141" w:line="220" w:lineRule="auto"/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</w:pP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>4.2  核心工艺特征</w:t>
      </w:r>
    </w:p>
    <w:p w14:paraId="3CEB787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采用磷硅复合协效无卤阻燃技术、核-壳结构阻燃改性技术、原位双改性无机阻燃协同技术，有效解决传统汽车阻燃尼龙阻燃剂易迁移、加工模垢大、设备腐蚀、制品色差缺陷；材料阻燃剂迁移析出量≤150ppm，加工稳定性优异，适配汽车零部件大批量、高精密注塑生产需求。</w:t>
      </w:r>
    </w:p>
    <w:p w14:paraId="21C790D9">
      <w:pPr>
        <w:spacing w:before="141" w:line="220" w:lineRule="auto"/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</w:pP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>4.3  关键性能指标</w:t>
      </w:r>
    </w:p>
    <w:p w14:paraId="33702450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产品力学性能、阻燃性能、析出性能需符合表1规定。</w:t>
      </w:r>
    </w:p>
    <w:p w14:paraId="3133E3EE">
      <w:pPr>
        <w:spacing w:before="120" w:after="120" w:line="288" w:lineRule="auto"/>
        <w:ind w:left="0"/>
        <w:jc w:val="center"/>
        <w:rPr>
          <w:b w:val="0"/>
          <w:bCs/>
        </w:rPr>
      </w:pPr>
      <w:r>
        <w:rPr>
          <w:rFonts w:ascii="Arial" w:hAnsi="Arial" w:eastAsia="等线" w:cs="Arial"/>
          <w:b w:val="0"/>
          <w:bCs/>
          <w:sz w:val="22"/>
        </w:rPr>
        <w:t>表1 汽车用PPA复合材料关键技术指标</w:t>
      </w:r>
    </w:p>
    <w:tbl>
      <w:tblPr>
        <w:tblStyle w:val="5"/>
        <w:tblW w:w="0" w:type="auto"/>
        <w:tblInd w:w="322" w:type="dxa"/>
        <w:tblBorders>
          <w:top w:val="single" w:color="DEE0E3" w:sz="0" w:space="0"/>
          <w:left w:val="single" w:color="DEE0E3" w:sz="0" w:space="0"/>
          <w:bottom w:val="single" w:color="DEE0E3" w:sz="0" w:space="0"/>
          <w:right w:val="single" w:color="DEE0E3" w:sz="0" w:space="0"/>
          <w:insideH w:val="single" w:color="DEE0E3" w:sz="0" w:space="0"/>
          <w:insideV w:val="single" w:color="DEE0E3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40"/>
        <w:gridCol w:w="2507"/>
        <w:gridCol w:w="1867"/>
        <w:gridCol w:w="2266"/>
      </w:tblGrid>
      <w:tr w14:paraId="2228E725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133C83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序号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ADD29B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检测项目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6A887D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单位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9E63622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技术指标</w:t>
            </w:r>
          </w:p>
        </w:tc>
      </w:tr>
      <w:tr w14:paraId="26878A35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508F7E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2C48414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垂直阻燃等级（1.5mm试样）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870E7CA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—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304F3B5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V-0级，无熔滴</w:t>
            </w:r>
          </w:p>
        </w:tc>
      </w:tr>
      <w:tr w14:paraId="5CF25C76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569516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BFE0F8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拉伸强度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68236D7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MPa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5CBF814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≥140</w:t>
            </w:r>
          </w:p>
        </w:tc>
      </w:tr>
      <w:tr w14:paraId="2910755E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16848E3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3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7769D0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弯曲强度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40EC471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MPa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19CF63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≥220</w:t>
            </w:r>
          </w:p>
        </w:tc>
      </w:tr>
      <w:tr w14:paraId="2BCB449D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E96F9A0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4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5B51951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弯曲模量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B14EFF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GPa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BB50EE1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≥10</w:t>
            </w:r>
          </w:p>
        </w:tc>
      </w:tr>
      <w:tr w14:paraId="40C99BE2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</w:tblPrEx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AE25C5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5</w:t>
            </w: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13A4274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阻燃剂迁移析出量</w:t>
            </w:r>
          </w:p>
        </w:tc>
        <w:tc>
          <w:tcPr>
            <w:tcW w:w="1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3192A9D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ppm</w:t>
            </w:r>
          </w:p>
        </w:tc>
        <w:tc>
          <w:tcPr>
            <w:tcW w:w="2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E47A36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≤150</w:t>
            </w:r>
          </w:p>
        </w:tc>
      </w:tr>
    </w:tbl>
    <w:p w14:paraId="3B06D6A7">
      <w:pPr>
        <w:spacing w:before="141" w:line="220" w:lineRule="auto"/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</w:pP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>4.</w:t>
      </w:r>
      <w:r>
        <w:rPr>
          <w:rFonts w:hint="eastAsia"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zh-CN" w:bidi="ar-SA"/>
        </w:rPr>
        <w:t>4</w:t>
      </w: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 xml:space="preserve">  环保与车载适配性能</w:t>
      </w:r>
    </w:p>
    <w:p w14:paraId="645BEC6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  <w:lang w:val="en-US" w:eastAsia="en-US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产品不含卤素、锑系等有害阻燃体系，无腐蚀性气体析出，符合RoHS 2.0及汽车内饰环保管控要</w:t>
      </w:r>
      <w:r>
        <w:rPr>
          <w:rFonts w:ascii="宋体" w:hAnsi="宋体" w:eastAsia="宋体" w:cs="宋体"/>
          <w:spacing w:val="-3"/>
          <w:sz w:val="21"/>
          <w:szCs w:val="21"/>
          <w:lang w:val="en-US" w:eastAsia="en-US"/>
        </w:rPr>
        <w:t>求；燃烧烟密度低、无毒无害，满足新能源汽车车载安全环保标准。</w:t>
      </w:r>
    </w:p>
    <w:p w14:paraId="3535231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1" w:line="221" w:lineRule="auto"/>
        <w:textAlignment w:val="baseline"/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</w:pPr>
      <w:bookmarkStart w:id="1" w:name="heading_11"/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 xml:space="preserve">4.5 </w:t>
      </w:r>
      <w:r>
        <w:rPr>
          <w:rFonts w:hint="eastAsia"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zh-CN" w:bidi="ar-SA"/>
        </w:rPr>
        <w:t xml:space="preserve"> </w:t>
      </w:r>
      <w:r>
        <w:rPr>
          <w:rFonts w:ascii="黑体" w:hAnsi="黑体" w:eastAsia="黑体" w:cs="黑体"/>
          <w:snapToGrid w:val="0"/>
          <w:color w:val="000000"/>
          <w:spacing w:val="1"/>
          <w:kern w:val="0"/>
          <w:position w:val="-1"/>
          <w:sz w:val="21"/>
          <w:szCs w:val="21"/>
          <w:lang w:val="en-US" w:eastAsia="en-US" w:bidi="ar-SA"/>
        </w:rPr>
        <w:t>加工与耐温耐久性能</w:t>
      </w:r>
      <w:bookmarkEnd w:id="1"/>
    </w:p>
    <w:p w14:paraId="51470A2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产品热稳定性优异，高温加工无热氧老化、降解、变色、析出现象，耐高温、抗热老化性能优良，可适配汽车动力舱高低温交变复杂工况，长期车载使用尺寸稳定、性能耐久。</w:t>
      </w:r>
    </w:p>
    <w:p w14:paraId="2142A35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r>
        <w:rPr>
          <w:spacing w:val="-8"/>
          <w:sz w:val="24"/>
          <w:szCs w:val="24"/>
        </w:rPr>
        <w:t>5  试验方法</w:t>
      </w:r>
    </w:p>
    <w:p w14:paraId="66F3A658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" w:name="heading_13"/>
      <w:r>
        <w:rPr>
          <w:spacing w:val="-1"/>
          <w:sz w:val="21"/>
          <w:szCs w:val="21"/>
        </w:rPr>
        <w:t>5.1 外观检测</w:t>
      </w:r>
      <w:bookmarkEnd w:id="2"/>
    </w:p>
    <w:p w14:paraId="57FE27F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在自然光或标准光源下目视观察产品颗粒状态，检查外观、色泽、杂质、气泡、结块等指标。</w:t>
      </w:r>
    </w:p>
    <w:p w14:paraId="3E368994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" w:name="heading_14"/>
      <w:r>
        <w:rPr>
          <w:spacing w:val="-1"/>
          <w:sz w:val="21"/>
          <w:szCs w:val="21"/>
        </w:rPr>
        <w:t xml:space="preserve">5.2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拉伸强度测试</w:t>
      </w:r>
      <w:bookmarkEnd w:id="3"/>
    </w:p>
    <w:p w14:paraId="2A8C1B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按照GB/T 1040.2—2018标准执行，采用标准试验试样，室温环境下测试。</w:t>
      </w:r>
    </w:p>
    <w:p w14:paraId="48CEB73C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4" w:name="heading_15"/>
      <w:r>
        <w:rPr>
          <w:spacing w:val="-1"/>
          <w:sz w:val="21"/>
          <w:szCs w:val="21"/>
        </w:rPr>
        <w:t xml:space="preserve">5.3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弯曲性能测试</w:t>
      </w:r>
      <w:bookmarkEnd w:id="4"/>
    </w:p>
    <w:p w14:paraId="16A3592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按照GB/T 9341—2008标准执行，测试样品弯曲强度、弯曲模量，记录试验数据。</w:t>
      </w:r>
    </w:p>
    <w:p w14:paraId="162F1A6A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5" w:name="heading_16"/>
      <w:r>
        <w:rPr>
          <w:spacing w:val="-1"/>
          <w:sz w:val="21"/>
          <w:szCs w:val="21"/>
        </w:rPr>
        <w:t xml:space="preserve">5.4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阻燃性能测试</w:t>
      </w:r>
      <w:bookmarkEnd w:id="5"/>
    </w:p>
    <w:p w14:paraId="322DB8B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按照GB/T 2408—2021标准执行，采用1.5mm厚度试样，测试垂直燃烧等级，观察燃烧熔滴情况。</w:t>
      </w:r>
    </w:p>
    <w:p w14:paraId="4C5D487E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6" w:name="heading_17"/>
      <w:r>
        <w:rPr>
          <w:spacing w:val="-1"/>
          <w:sz w:val="21"/>
          <w:szCs w:val="21"/>
        </w:rPr>
        <w:t xml:space="preserve">5.5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析出量测试</w:t>
      </w:r>
      <w:bookmarkEnd w:id="6"/>
    </w:p>
    <w:p w14:paraId="37B4942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采用行业通用迁移析出检测方法，测试材料中阻燃剂迁移析出量，满足车载低析出、无模垢使用要求。</w:t>
      </w:r>
    </w:p>
    <w:p w14:paraId="0479912F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7" w:name="heading_18"/>
      <w:r>
        <w:rPr>
          <w:spacing w:val="-1"/>
          <w:sz w:val="21"/>
          <w:szCs w:val="21"/>
        </w:rPr>
        <w:t xml:space="preserve">5.6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环保性能检测</w:t>
      </w:r>
      <w:bookmarkEnd w:id="7"/>
    </w:p>
    <w:p w14:paraId="096DFCD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按照GB/T 26572—2011标准检测产品限用有害物质含量，符合汽车行业环保准入要求。</w:t>
      </w:r>
    </w:p>
    <w:p w14:paraId="5A0CE696">
      <w:pPr>
        <w:pStyle w:val="2"/>
        <w:spacing w:before="263" w:line="220" w:lineRule="auto"/>
        <w:ind w:left="2"/>
        <w:outlineLvl w:val="1"/>
        <w:rPr>
          <w:b w:val="0"/>
          <w:bCs w:val="0"/>
          <w:spacing w:val="-1"/>
          <w:sz w:val="24"/>
          <w:szCs w:val="24"/>
        </w:rPr>
      </w:pPr>
      <w:bookmarkStart w:id="8" w:name="heading_19"/>
      <w:r>
        <w:rPr>
          <w:b w:val="0"/>
          <w:bCs w:val="0"/>
          <w:spacing w:val="-1"/>
          <w:sz w:val="24"/>
          <w:szCs w:val="24"/>
        </w:rPr>
        <w:t xml:space="preserve">6 </w:t>
      </w:r>
      <w:r>
        <w:rPr>
          <w:rFonts w:hint="eastAsia"/>
          <w:b w:val="0"/>
          <w:bCs w:val="0"/>
          <w:spacing w:val="-1"/>
          <w:sz w:val="24"/>
          <w:szCs w:val="24"/>
          <w:lang w:val="en-US" w:eastAsia="zh-CN"/>
        </w:rPr>
        <w:t xml:space="preserve"> </w:t>
      </w:r>
      <w:r>
        <w:rPr>
          <w:b w:val="0"/>
          <w:bCs w:val="0"/>
          <w:spacing w:val="-1"/>
          <w:sz w:val="24"/>
          <w:szCs w:val="24"/>
        </w:rPr>
        <w:t>检验规则</w:t>
      </w:r>
      <w:bookmarkEnd w:id="8"/>
    </w:p>
    <w:p w14:paraId="232186C7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9" w:name="heading_20"/>
      <w:r>
        <w:rPr>
          <w:spacing w:val="-1"/>
          <w:sz w:val="21"/>
          <w:szCs w:val="21"/>
        </w:rPr>
        <w:t xml:space="preserve">6.1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组批规则</w:t>
      </w:r>
      <w:bookmarkEnd w:id="9"/>
    </w:p>
    <w:p w14:paraId="39F475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采用相同原材料、相同配方、同一生产工艺、同一设备连续生产的产品为一批，每批产品产量不超过50t。</w:t>
      </w:r>
    </w:p>
    <w:p w14:paraId="567E4209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0" w:name="heading_21"/>
      <w:r>
        <w:rPr>
          <w:spacing w:val="-1"/>
          <w:sz w:val="21"/>
          <w:szCs w:val="21"/>
        </w:rPr>
        <w:t xml:space="preserve">6.2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出厂检验</w:t>
      </w:r>
      <w:bookmarkEnd w:id="10"/>
    </w:p>
    <w:p w14:paraId="54A2BC4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每批产品出厂前必须进行出厂检验，检验项目包含：外观质量、拉伸强度、弯曲强度、弯曲模量、阻燃等级。检验合格后方可出厂配套汽车零部件生产。</w:t>
      </w:r>
    </w:p>
    <w:p w14:paraId="4FC2A161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1" w:name="heading_22"/>
      <w:r>
        <w:rPr>
          <w:spacing w:val="-1"/>
          <w:sz w:val="21"/>
          <w:szCs w:val="21"/>
        </w:rPr>
        <w:t xml:space="preserve">6.3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型式检验</w:t>
      </w:r>
      <w:bookmarkEnd w:id="11"/>
    </w:p>
    <w:p w14:paraId="2F379A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有下列情况之一时，需进行全项目型式检验：</w:t>
      </w:r>
    </w:p>
    <w:p w14:paraId="74C2373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a）新产品批量投产、工艺配方重大调整后；</w:t>
      </w:r>
    </w:p>
    <w:p w14:paraId="761F880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b）原材料、生产设备发生重大变更时；</w:t>
      </w:r>
    </w:p>
    <w:p w14:paraId="03FF1E0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c）连续生产满12个月；</w:t>
      </w:r>
    </w:p>
    <w:p w14:paraId="0EC6F76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d）出厂检验结果出现异常波动时；</w:t>
      </w:r>
    </w:p>
    <w:p w14:paraId="4F77407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e）行业主管部门、标准归口单位及汽车下游终端企业提出检验要求时。</w:t>
      </w:r>
    </w:p>
    <w:p w14:paraId="6423C4CE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2" w:name="heading_23"/>
      <w:r>
        <w:rPr>
          <w:spacing w:val="-1"/>
          <w:sz w:val="21"/>
          <w:szCs w:val="21"/>
        </w:rPr>
        <w:t xml:space="preserve">6.4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判定规则</w:t>
      </w:r>
      <w:bookmarkEnd w:id="12"/>
    </w:p>
    <w:p w14:paraId="6B2A1D2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所有检验项目全部符合本标准要求，判定该批次产品合格；若出现不合格项目，可加倍抽样复检，复检合格则判定批次合格，复检仍不合格则判定批次产品不合格，严禁用于汽车零部件配套生产。</w:t>
      </w:r>
    </w:p>
    <w:p w14:paraId="5DDDBC4B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3" w:name="heading_24"/>
      <w:r>
        <w:rPr>
          <w:spacing w:val="-1"/>
          <w:sz w:val="21"/>
          <w:szCs w:val="21"/>
        </w:rPr>
        <w:t xml:space="preserve">7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标志、包装、运输和贮存</w:t>
      </w:r>
      <w:bookmarkEnd w:id="13"/>
    </w:p>
    <w:p w14:paraId="42FBB5DD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4" w:name="heading_25"/>
      <w:r>
        <w:rPr>
          <w:spacing w:val="-1"/>
          <w:sz w:val="21"/>
          <w:szCs w:val="21"/>
        </w:rPr>
        <w:t xml:space="preserve">7.1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标志</w:t>
      </w:r>
      <w:bookmarkEnd w:id="14"/>
    </w:p>
    <w:p w14:paraId="0EF5E39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产品外包装需清晰标注产品名称、汽车专用改性材料标识、规格型号、生产批次、生产日期、生产企业名称、执行标准号、净含量等信息。</w:t>
      </w:r>
    </w:p>
    <w:p w14:paraId="581122C1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5" w:name="heading_26"/>
      <w:r>
        <w:rPr>
          <w:spacing w:val="-1"/>
          <w:sz w:val="21"/>
          <w:szCs w:val="21"/>
        </w:rPr>
        <w:t>7.2 包装</w:t>
      </w:r>
      <w:bookmarkEnd w:id="15"/>
    </w:p>
    <w:p w14:paraId="1034095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产品采用内层PE防潮袋、外层编织袋双层包装，标准净重25kg/袋，包装密封严实、防潮防尘，适配汽车供应链仓储周转要求。</w:t>
      </w:r>
    </w:p>
    <w:p w14:paraId="3B79118C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6" w:name="heading_27"/>
      <w:r>
        <w:rPr>
          <w:spacing w:val="-1"/>
          <w:sz w:val="21"/>
          <w:szCs w:val="21"/>
        </w:rPr>
        <w:t xml:space="preserve">7.3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运输</w:t>
      </w:r>
      <w:bookmarkEnd w:id="16"/>
    </w:p>
    <w:p w14:paraId="1731B51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运输过程中需防雨、防潮、防晒、防剧烈撞击，严禁与腐蚀性、易燃易爆物品混运，保障汽车专用材料品质稳定。</w:t>
      </w:r>
    </w:p>
    <w:p w14:paraId="2BAFE119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7" w:name="heading_28"/>
      <w:r>
        <w:rPr>
          <w:spacing w:val="-1"/>
          <w:sz w:val="21"/>
          <w:szCs w:val="21"/>
        </w:rPr>
        <w:t xml:space="preserve">7.4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贮存</w:t>
      </w:r>
      <w:bookmarkEnd w:id="17"/>
    </w:p>
    <w:p w14:paraId="0B49A07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  <w:r>
        <w:rPr>
          <w:rFonts w:ascii="宋体" w:hAnsi="宋体" w:eastAsia="宋体" w:cs="宋体"/>
          <w:spacing w:val="-3"/>
          <w:sz w:val="21"/>
          <w:szCs w:val="21"/>
        </w:rPr>
        <w:t>产品需存放于阴凉、干燥、通风的室内仓库，环境温度≤30℃，相对湿度≤65%，远离火源、热源与腐蚀性物质，产品贮存有效期12个月。</w:t>
      </w:r>
    </w:p>
    <w:p w14:paraId="6C9EF0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3" w:line="221" w:lineRule="auto"/>
        <w:ind w:firstLine="408" w:firstLineChars="200"/>
        <w:textAlignment w:val="baseline"/>
        <w:rPr>
          <w:rFonts w:ascii="宋体" w:hAnsi="宋体" w:eastAsia="宋体" w:cs="宋体"/>
          <w:spacing w:val="-3"/>
          <w:sz w:val="21"/>
          <w:szCs w:val="21"/>
        </w:rPr>
      </w:pPr>
    </w:p>
    <w:p w14:paraId="1BBE3DEA">
      <w:pPr>
        <w:spacing w:line="325" w:lineRule="auto"/>
        <w:rPr>
          <w:rFonts w:ascii="Arial"/>
          <w:sz w:val="21"/>
        </w:rPr>
      </w:pPr>
    </w:p>
    <w:p w14:paraId="13D41854">
      <w:pPr>
        <w:spacing w:line="325" w:lineRule="auto"/>
        <w:rPr>
          <w:rFonts w:ascii="Arial"/>
          <w:sz w:val="21"/>
        </w:rPr>
      </w:pPr>
    </w:p>
    <w:p w14:paraId="52838947">
      <w:pPr>
        <w:spacing w:line="325" w:lineRule="auto"/>
        <w:rPr>
          <w:rFonts w:ascii="Arial"/>
          <w:sz w:val="21"/>
        </w:rPr>
      </w:pPr>
    </w:p>
    <w:p w14:paraId="76E00A46">
      <w:pPr>
        <w:spacing w:line="325" w:lineRule="auto"/>
        <w:rPr>
          <w:rFonts w:ascii="Arial"/>
          <w:sz w:val="21"/>
        </w:rPr>
      </w:pPr>
    </w:p>
    <w:p w14:paraId="3C9DFD33">
      <w:pPr>
        <w:spacing w:line="325" w:lineRule="auto"/>
        <w:rPr>
          <w:rFonts w:ascii="Arial"/>
          <w:sz w:val="21"/>
        </w:rPr>
      </w:pPr>
    </w:p>
    <w:p w14:paraId="28ADC880">
      <w:pPr>
        <w:spacing w:line="325" w:lineRule="auto"/>
        <w:rPr>
          <w:rFonts w:ascii="Arial"/>
          <w:sz w:val="21"/>
        </w:rPr>
      </w:pPr>
    </w:p>
    <w:p w14:paraId="6BCFDC40">
      <w:pPr>
        <w:spacing w:line="325" w:lineRule="auto"/>
        <w:rPr>
          <w:rFonts w:ascii="Arial"/>
          <w:sz w:val="21"/>
        </w:rPr>
      </w:pPr>
    </w:p>
    <w:p w14:paraId="3AB18EE9">
      <w:pPr>
        <w:spacing w:line="325" w:lineRule="auto"/>
        <w:rPr>
          <w:rFonts w:ascii="Arial"/>
          <w:sz w:val="21"/>
        </w:rPr>
      </w:pPr>
    </w:p>
    <w:p w14:paraId="4FCED409">
      <w:pPr>
        <w:spacing w:line="325" w:lineRule="auto"/>
        <w:rPr>
          <w:rFonts w:ascii="Arial"/>
          <w:sz w:val="21"/>
        </w:rPr>
      </w:pPr>
    </w:p>
    <w:p w14:paraId="7A4C9403">
      <w:pPr>
        <w:spacing w:line="325" w:lineRule="auto"/>
        <w:rPr>
          <w:rFonts w:ascii="Arial"/>
          <w:sz w:val="21"/>
        </w:rPr>
      </w:pPr>
    </w:p>
    <w:p w14:paraId="05FF070D">
      <w:pPr>
        <w:spacing w:line="325" w:lineRule="auto"/>
        <w:rPr>
          <w:rFonts w:ascii="Arial"/>
          <w:sz w:val="21"/>
        </w:rPr>
      </w:pPr>
    </w:p>
    <w:p w14:paraId="4BBA0A02">
      <w:pPr>
        <w:spacing w:line="326" w:lineRule="auto"/>
        <w:rPr>
          <w:rFonts w:ascii="Arial"/>
          <w:sz w:val="21"/>
        </w:rPr>
      </w:pPr>
    </w:p>
    <w:p w14:paraId="6FCE2A29">
      <w:pPr>
        <w:rPr>
          <w:rFonts w:ascii="宋体" w:hAnsi="宋体" w:eastAsia="宋体" w:cs="宋体"/>
          <w:spacing w:val="-7"/>
          <w:sz w:val="21"/>
          <w:szCs w:val="21"/>
        </w:rPr>
      </w:pPr>
      <w:r>
        <w:rPr>
          <w:rFonts w:ascii="宋体" w:hAnsi="宋体" w:eastAsia="宋体" w:cs="宋体"/>
          <w:spacing w:val="-7"/>
          <w:sz w:val="21"/>
          <w:szCs w:val="21"/>
        </w:rPr>
        <w:br w:type="page"/>
      </w:r>
    </w:p>
    <w:p w14:paraId="7B595A41">
      <w:pPr>
        <w:spacing w:line="465" w:lineRule="auto"/>
        <w:jc w:val="center"/>
        <w:rPr>
          <w:b/>
          <w:bCs/>
          <w:spacing w:val="8"/>
          <w:sz w:val="31"/>
          <w:szCs w:val="31"/>
        </w:rPr>
      </w:pPr>
      <w:bookmarkStart w:id="18" w:name="heading_29"/>
      <w:r>
        <w:rPr>
          <w:b/>
          <w:bCs/>
          <w:spacing w:val="8"/>
          <w:sz w:val="31"/>
          <w:szCs w:val="31"/>
        </w:rPr>
        <w:t>《汽车用无卤阻燃低析出玻纤增强高温聚酰胺（PPA）复合材料》编制说明</w:t>
      </w:r>
      <w:bookmarkEnd w:id="18"/>
    </w:p>
    <w:p w14:paraId="677D6588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19" w:name="heading_30"/>
      <w:r>
        <w:rPr>
          <w:spacing w:val="-1"/>
          <w:sz w:val="21"/>
          <w:szCs w:val="21"/>
        </w:rPr>
        <w:t>一、工作简况</w:t>
      </w:r>
      <w:bookmarkEnd w:id="19"/>
    </w:p>
    <w:p w14:paraId="56C46B95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0" w:name="heading_31"/>
      <w:r>
        <w:rPr>
          <w:spacing w:val="-1"/>
          <w:sz w:val="21"/>
          <w:szCs w:val="21"/>
        </w:rPr>
        <w:t xml:space="preserve">1.1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任务来源</w:t>
      </w:r>
      <w:bookmarkEnd w:id="20"/>
    </w:p>
    <w:p w14:paraId="248E4D6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</w:pPr>
      <w:r>
        <w:rPr>
          <w:rFonts w:ascii="宋体" w:hAnsi="宋体" w:eastAsia="宋体" w:cs="宋体"/>
          <w:sz w:val="21"/>
          <w:szCs w:val="21"/>
        </w:rPr>
        <w:t>本标准为浙江省团体标准，由浙江省工业塑料行业协会提出并归口，浙江新力新材料股份有限公司牵头起草，联合省内多家汽车材料、改性塑料及汽车零部件企业共同参编。本标准依托浙江省2022年度省级工业新产品开发立项项目（立项编号：202211A05843）成熟技术成果制定，聚焦汽车专用无卤阻燃低析出玻纤增强PPA细分领域，适配新能源汽车、传统燃油汽车电控、动力系统、车载精密塑件的标准化生产与配套应用，技术成熟、适配性广，具备行业统一推广条件</w:t>
      </w:r>
      <w:r>
        <w:rPr>
          <w:rFonts w:ascii="Arial" w:hAnsi="Arial" w:eastAsia="等线" w:cs="Arial"/>
          <w:sz w:val="22"/>
        </w:rPr>
        <w:t>。</w:t>
      </w:r>
    </w:p>
    <w:p w14:paraId="697C714C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1" w:name="heading_32"/>
      <w:r>
        <w:rPr>
          <w:spacing w:val="-1"/>
          <w:sz w:val="21"/>
          <w:szCs w:val="21"/>
        </w:rPr>
        <w:t xml:space="preserve">1.2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起草单位</w:t>
      </w:r>
      <w:bookmarkEnd w:id="21"/>
    </w:p>
    <w:p w14:paraId="1A97CB5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牵头起草单位：浙江新力新材料股份有限公司；</w:t>
      </w:r>
    </w:p>
    <w:p w14:paraId="6789A9E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  <w:highlight w:val="yellow"/>
        </w:rPr>
      </w:pPr>
      <w:r>
        <w:rPr>
          <w:rFonts w:ascii="宋体" w:hAnsi="宋体" w:eastAsia="宋体" w:cs="宋体"/>
          <w:sz w:val="21"/>
          <w:szCs w:val="21"/>
          <w:highlight w:val="yellow"/>
        </w:rPr>
        <w:t>参编单位：省内汽车新材料、改性塑料、汽车零部件相关企业</w:t>
      </w:r>
    </w:p>
    <w:p w14:paraId="3CAC8104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2" w:name="heading_33"/>
      <w:r>
        <w:rPr>
          <w:spacing w:val="-1"/>
          <w:sz w:val="21"/>
          <w:szCs w:val="21"/>
        </w:rPr>
        <w:t xml:space="preserve">1.3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主要起草人员及分工</w:t>
      </w:r>
      <w:bookmarkEnd w:id="22"/>
    </w:p>
    <w:p w14:paraId="25D6AB8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路丹：项目负责人，负责标准整体框架设计、汽车工况技术指标审定、标准统筹起草；</w:t>
      </w:r>
    </w:p>
    <w:p w14:paraId="6D0A64E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马炼、聂帅、刘文：负责汽车级产品试验数据整理、技术内容梳理、试验方法验证；</w:t>
      </w:r>
    </w:p>
    <w:p w14:paraId="4C3929C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朱寿权、毛燕青、方奇、姚振宇、张慧：负责配方工艺核查、车载性能复核、资料汇编及标准校对。</w:t>
      </w:r>
    </w:p>
    <w:p w14:paraId="0E3E8515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3" w:name="heading_34"/>
      <w:r>
        <w:rPr>
          <w:spacing w:val="-1"/>
          <w:sz w:val="21"/>
          <w:szCs w:val="21"/>
        </w:rPr>
        <w:t xml:space="preserve">1.4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标准编制工作过程</w:t>
      </w:r>
      <w:bookmarkEnd w:id="23"/>
    </w:p>
    <w:p w14:paraId="0697184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2022年4月，企业立项启动无卤阻燃低析出玻纤增强高温聚酰胺（PPA）研发项目，瞄准汽车高端配套场景，攻克低析出、高阻燃、耐高温协同技术难题；</w:t>
      </w:r>
    </w:p>
    <w:p w14:paraId="099681B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2022年11月，项目成功列入浙江省省级工业新产品开发计划，系统化开展汽车级PPA材料配方迭代与工艺优化；</w:t>
      </w:r>
    </w:p>
    <w:p w14:paraId="6917291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2022年5月-2023年10月，完成市场调研、汽车工况适配试验、样品试制与性能检测，产品可完全替代进口汽车级PPA材料；</w:t>
      </w:r>
    </w:p>
    <w:p w14:paraId="07EB08E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2023年12月，项目通过浙江省省级新产品认定，各项汽车配套技术指标均达标；</w:t>
      </w:r>
    </w:p>
    <w:p w14:paraId="3E73989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2024年1月，项目完成企业结题验收，经费使用合理、技术成果成熟稳定；</w:t>
      </w:r>
    </w:p>
    <w:p w14:paraId="784B20C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  <w:highlight w:val="yellow"/>
        </w:rPr>
        <w:t>202X年XX月</w:t>
      </w:r>
      <w:r>
        <w:rPr>
          <w:rFonts w:ascii="宋体" w:hAnsi="宋体" w:eastAsia="宋体" w:cs="宋体"/>
          <w:sz w:val="21"/>
          <w:szCs w:val="21"/>
        </w:rPr>
        <w:t>，启动汽车专用团体标准编制工作，结合汽车行业准入规范、车载使用工况，完成标准草案及编制说明编制，适配多企业参编推广。</w:t>
      </w:r>
    </w:p>
    <w:p w14:paraId="77C1E41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24" w:name="heading_35"/>
      <w:r>
        <w:rPr>
          <w:spacing w:val="-8"/>
          <w:sz w:val="24"/>
          <w:szCs w:val="24"/>
        </w:rPr>
        <w:t>二、标准制定的必要性</w:t>
      </w:r>
      <w:bookmarkEnd w:id="24"/>
    </w:p>
    <w:p w14:paraId="6907ED33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5" w:name="heading_36"/>
      <w:r>
        <w:rPr>
          <w:spacing w:val="-1"/>
          <w:sz w:val="21"/>
          <w:szCs w:val="21"/>
        </w:rPr>
        <w:t xml:space="preserve">2.1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汽车行业发展刚需</w:t>
      </w:r>
      <w:bookmarkEnd w:id="25"/>
    </w:p>
    <w:p w14:paraId="25960AE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随着新能源汽车产业高速发展，汽车电控系统、动力组件、车载精密塑件对工程塑料的阻燃、环保、低析出、耐高温、高刚性要求持续升级。传统阻燃聚酰胺材料多采用溴锑体系，存在烟尘大、腐蚀性强、阻燃剂易迁移、注塑模垢严重等问题，极易造成汽车精密电器接触不良、部件污染、使用寿命下降，无法满足高端汽车配套标准。目前国内暂无汽车专用无卤阻燃低析出玻纤增强PPA统一团体标准，行业产品质量参差不齐、准入门槛不一，严重制约浙江省汽车新材料产业规范化、高端化发展。因此，制定通用性汽车专用团体标准，联合行业企业共同参编，统一技术指标与检测规范，对规范行业发展、提升国产汽车新材料配套能力具有重要意义。</w:t>
      </w:r>
    </w:p>
    <w:p w14:paraId="06389727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6" w:name="heading_37"/>
      <w:r>
        <w:rPr>
          <w:spacing w:val="-1"/>
          <w:sz w:val="21"/>
          <w:szCs w:val="21"/>
        </w:rPr>
        <w:t xml:space="preserve">2.2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产品技术创新与车载适配优势</w:t>
      </w:r>
      <w:bookmarkEnd w:id="26"/>
    </w:p>
    <w:p w14:paraId="4068695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对应产品突破传统阻燃尼龙技术短板，适配汽车严苛工况创新多重改性技术：采用烷基次磷酸盐复配有机硅、无机镁磷硅协同阻燃体系，实现无卤高阻燃、低析出、无加工色差；通过氨基改性有机硅提升树脂相容性，兼顾汽车部件高强度与阻燃稳定性；复配高端耐温抗氧体系，适配汽车动力舱高低温交变环境；创新核壳结构改性与原位双改性技术，将阻燃剂迁移量控制在150ppm以内，彻底解决汽车精密注塑模垢、析出污染痛点，整体技术达到国内汽车新材料行业先进水平，可对标进口高端汽车PPA材料。</w:t>
      </w:r>
    </w:p>
    <w:p w14:paraId="08F42B3E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7" w:name="heading_38"/>
      <w:r>
        <w:rPr>
          <w:spacing w:val="-1"/>
          <w:sz w:val="21"/>
          <w:szCs w:val="21"/>
        </w:rPr>
        <w:t xml:space="preserve">2.3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产业与市场价值</w:t>
      </w:r>
      <w:bookmarkEnd w:id="27"/>
    </w:p>
    <w:p w14:paraId="276985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产品广泛适配新能源汽车电控模块、连接器、动力结构件、车载绝缘部件等核心配件，可完全替代苏威、杜邦等进口汽车级PPA产品，大幅降低汽车产业链采购成本。标准发布实施后，可统一浙江省汽车用高端阻燃PPA材料生产规范与质量标准，带动省内汽车新材料企业协同升级，提升国产汽车工程塑料的国产化替代率，助力区域新能源汽车产业链高质量发展，经济效益与社会效益显著。</w:t>
      </w:r>
    </w:p>
    <w:p w14:paraId="3894483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28" w:name="heading_39"/>
      <w:r>
        <w:rPr>
          <w:spacing w:val="-8"/>
          <w:sz w:val="24"/>
          <w:szCs w:val="24"/>
        </w:rPr>
        <w:t>三、标准编制原则与依据</w:t>
      </w:r>
      <w:bookmarkEnd w:id="28"/>
    </w:p>
    <w:p w14:paraId="0EFA216A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29" w:name="heading_40"/>
      <w:r>
        <w:rPr>
          <w:spacing w:val="-1"/>
          <w:sz w:val="21"/>
          <w:szCs w:val="21"/>
        </w:rPr>
        <w:t xml:space="preserve">3.1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编制原则</w:t>
      </w:r>
      <w:bookmarkEnd w:id="29"/>
    </w:p>
    <w:p w14:paraId="7BFDAA0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1.合规性原则：严格遵循GB/T 1.1—2020标准化编写规范，贴合国家新能源汽车、绿色新材料产业政策及汽车材料环保准入标准；</w:t>
      </w:r>
    </w:p>
    <w:p w14:paraId="3CE1E5B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2.车载适配原则：立足汽车零部件高低温交变、精密注塑、长期耐久、环保安全的核心工况要求，指标贴合汽车行业准入规范；</w:t>
      </w:r>
    </w:p>
    <w:p w14:paraId="056901B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3.行业通用原则：弱化企业专属技术限定，兼顾省内多家改性塑料企业生产能力，适配多单位参编、全行业推广；</w:t>
      </w:r>
    </w:p>
    <w:p w14:paraId="09A3F21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4.先进实用原则：指标优于普通民用阻燃PPA，对标进口汽车级材料，同时贴合国内企业实际生产工艺，可落地、可检测、可规模化应用。</w:t>
      </w:r>
    </w:p>
    <w:p w14:paraId="062B9A5E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0" w:name="heading_41"/>
      <w:r>
        <w:rPr>
          <w:spacing w:val="-1"/>
          <w:sz w:val="21"/>
          <w:szCs w:val="21"/>
        </w:rPr>
        <w:t xml:space="preserve">3.2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编制依据</w:t>
      </w:r>
      <w:bookmarkEnd w:id="30"/>
    </w:p>
    <w:p w14:paraId="36D37CA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1.国家、行业塑料检测通用国家标准及汽车材料行业规范；</w:t>
      </w:r>
    </w:p>
    <w:p w14:paraId="14AF610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2.浙江省省级工业新产品立项通知书、新产品认定证书、项目验收报告；</w:t>
      </w:r>
    </w:p>
    <w:p w14:paraId="381F0C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3.汽车零部件终端准入技术要求、车载材料环保与耐久标准；</w:t>
      </w:r>
    </w:p>
    <w:p w14:paraId="52D7EF7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4.进口高端汽车级PPA产品技术参数及行业通用技术规范。</w:t>
      </w:r>
    </w:p>
    <w:p w14:paraId="1E98C95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31" w:name="heading_42"/>
      <w:r>
        <w:rPr>
          <w:spacing w:val="-8"/>
          <w:sz w:val="24"/>
          <w:szCs w:val="24"/>
        </w:rPr>
        <w:t>四、主要技术内容说明</w:t>
      </w:r>
      <w:bookmarkEnd w:id="31"/>
    </w:p>
    <w:p w14:paraId="6286AE60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2" w:name="heading_43"/>
      <w:r>
        <w:rPr>
          <w:spacing w:val="-1"/>
          <w:sz w:val="21"/>
          <w:szCs w:val="21"/>
        </w:rPr>
        <w:t xml:space="preserve">4.1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适用范围界定</w:t>
      </w:r>
      <w:bookmarkEnd w:id="32"/>
    </w:p>
    <w:p w14:paraId="650CD29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本标准专门针对汽车专用无卤阻燃低析出玻纤增强PPA复合材料制定，精准覆盖新能源及传统汽车电控、动力、车载精密塑件应用场景，适用省内所有同类汽车新材料生产企业，通用性强、行业适配度高。</w:t>
      </w:r>
    </w:p>
    <w:p w14:paraId="14AAD740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3" w:name="heading_44"/>
      <w:r>
        <w:rPr>
          <w:spacing w:val="-1"/>
          <w:sz w:val="21"/>
          <w:szCs w:val="21"/>
        </w:rPr>
        <w:t xml:space="preserve">4.2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核心技术指标设定依据</w:t>
      </w:r>
      <w:bookmarkEnd w:id="33"/>
    </w:p>
    <w:p w14:paraId="15D3AC9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1.阻燃指标：1.5mm试样V-0级无熔滴，满足汽车电气部件阻燃安全强制要求，适配车载防火规范；</w:t>
      </w:r>
    </w:p>
    <w:p w14:paraId="1C915A1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2.力学刚性指标：拉伸≥140MPa、弯曲≥220MPa、模量≥10GPa，满足汽车结构件承重、抗形变、长期耐久使用需求；</w:t>
      </w:r>
    </w:p>
    <w:p w14:paraId="7EDEAD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3.低析出核心指标：阻燃剂迁移量≤150ppm，解决汽车精密注塑模垢、部件污染、电路腐蚀行业痛点，契合高端汽车材料准入标准；</w:t>
      </w:r>
    </w:p>
    <w:p w14:paraId="71976E3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4.环保指标：无卤无锑、低烟无毒，符合汽车车载环保、RoHS管控要求，适配整车绿色制造体系。</w:t>
      </w:r>
    </w:p>
    <w:p w14:paraId="7AB7BDB6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4" w:name="heading_45"/>
      <w:r>
        <w:rPr>
          <w:spacing w:val="-1"/>
          <w:sz w:val="21"/>
          <w:szCs w:val="21"/>
        </w:rPr>
        <w:t xml:space="preserve">4.3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试验方法说明</w:t>
      </w:r>
      <w:bookmarkEnd w:id="34"/>
    </w:p>
    <w:p w14:paraId="161996C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本标准全部采用国标通用检测方法，统一试样规格、试验环境与检测流程，数据精准可比，适配企业自检、第三方汽车材料检测、终端车企抽检等各类场景。</w:t>
      </w:r>
    </w:p>
    <w:p w14:paraId="0DD8D39B">
      <w:pPr>
        <w:pStyle w:val="2"/>
        <w:spacing w:before="263" w:line="220" w:lineRule="auto"/>
        <w:ind w:left="2"/>
        <w:outlineLvl w:val="1"/>
        <w:rPr>
          <w:spacing w:val="-1"/>
          <w:sz w:val="21"/>
          <w:szCs w:val="21"/>
        </w:rPr>
      </w:pPr>
      <w:bookmarkStart w:id="35" w:name="heading_46"/>
      <w:r>
        <w:rPr>
          <w:spacing w:val="-1"/>
          <w:sz w:val="21"/>
          <w:szCs w:val="21"/>
        </w:rPr>
        <w:t xml:space="preserve">4.4 </w:t>
      </w:r>
      <w:r>
        <w:rPr>
          <w:rFonts w:hint="eastAsia"/>
          <w:spacing w:val="-1"/>
          <w:sz w:val="21"/>
          <w:szCs w:val="21"/>
          <w:lang w:val="en-US" w:eastAsia="zh-CN"/>
        </w:rPr>
        <w:t xml:space="preserve"> </w:t>
      </w:r>
      <w:r>
        <w:rPr>
          <w:spacing w:val="-1"/>
          <w:sz w:val="21"/>
          <w:szCs w:val="21"/>
        </w:rPr>
        <w:t>检验规则说明</w:t>
      </w:r>
      <w:bookmarkEnd w:id="35"/>
    </w:p>
    <w:p w14:paraId="51ADA69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区分出厂常规检验与年度型式检验，贴合汽车供应链严苛质检要求，判定规则科学严谨，保障批量供货品质稳定，满足车企准入供货标准。</w:t>
      </w:r>
    </w:p>
    <w:p w14:paraId="597B201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36" w:name="heading_47"/>
      <w:r>
        <w:rPr>
          <w:spacing w:val="-8"/>
          <w:sz w:val="24"/>
          <w:szCs w:val="24"/>
        </w:rPr>
        <w:t>五、与现行标准对比情况</w:t>
      </w:r>
      <w:bookmarkEnd w:id="36"/>
    </w:p>
    <w:p w14:paraId="5E3C965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目前国内现有标准仅针对通用阻燃PPA、普通改性尼龙，暂无专门针对汽车用无卤阻燃低析出玻纤增强高温聚酰胺的国家、行业、地方标准，未覆盖汽车工况所需的低析出、耐高温、车载环保、高耐久等核心特性。本标准为浙江省首个汽车专用高端阻燃PPA团体标准，填补行业细分领域空白，技术指标优于民用通用PPA标准，对标进口汽车级高端产品，可作为省内汽车新材料行业统一生产、检验、供货依据。</w:t>
      </w:r>
    </w:p>
    <w:p w14:paraId="60D4155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37" w:name="heading_48"/>
      <w:r>
        <w:rPr>
          <w:spacing w:val="-8"/>
          <w:sz w:val="24"/>
          <w:szCs w:val="24"/>
        </w:rPr>
        <w:t>六、重大分歧意见处理</w:t>
      </w:r>
      <w:bookmarkEnd w:id="37"/>
    </w:p>
    <w:p w14:paraId="3976AB5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本标准编制过程中无重大技术分歧、指标争议，所有技术条款均基于车载工况实测数据、省级成熟科研成果及汽车行业通用规范，内容科学可靠、适配行业共识。</w:t>
      </w:r>
    </w:p>
    <w:p w14:paraId="0A6D7A8D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38" w:name="heading_49"/>
      <w:r>
        <w:rPr>
          <w:spacing w:val="-8"/>
          <w:sz w:val="24"/>
          <w:szCs w:val="24"/>
        </w:rPr>
        <w:t>七、标准实施建议</w:t>
      </w:r>
      <w:bookmarkEnd w:id="38"/>
    </w:p>
    <w:p w14:paraId="6D716D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  <w:highlight w:val="yellow"/>
        </w:rPr>
        <w:t>1.建议本标准自202X年XX月XX日起正式实施</w:t>
      </w:r>
      <w:r>
        <w:rPr>
          <w:rFonts w:ascii="宋体" w:hAnsi="宋体" w:eastAsia="宋体" w:cs="宋体"/>
          <w:sz w:val="21"/>
          <w:szCs w:val="21"/>
        </w:rPr>
        <w:t>，在浙江省汽车新材料、改性塑料、汽车零部件行业全面推广应用；</w:t>
      </w:r>
    </w:p>
    <w:p w14:paraId="7CA7E86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2.鼓励省内同行材料企业、汽车零部件配套企业、整车配套供应链采用本标准开展生产、质检与采购验收；</w:t>
      </w:r>
    </w:p>
    <w:p w14:paraId="3362868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3.依托行业协会开展标准宣贯与技术培训，推动省内汽车高端阻燃PPA材料国产化、标准化升级；</w:t>
      </w:r>
    </w:p>
    <w:p w14:paraId="1AFEB78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4.标准实施后持续跟踪车载应用效果，结合汽车技术迭代适时修订完善，保持标准先进性与适用性。</w:t>
      </w:r>
    </w:p>
    <w:p w14:paraId="1F243E6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bookmarkStart w:id="39" w:name="heading_50"/>
    </w:p>
    <w:p w14:paraId="1B70FB3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08" w:line="221" w:lineRule="auto"/>
        <w:ind w:left="11"/>
        <w:textAlignment w:val="baseline"/>
        <w:outlineLvl w:val="1"/>
        <w:rPr>
          <w:spacing w:val="-8"/>
          <w:sz w:val="24"/>
          <w:szCs w:val="24"/>
        </w:rPr>
      </w:pPr>
      <w:r>
        <w:rPr>
          <w:spacing w:val="-8"/>
          <w:sz w:val="24"/>
          <w:szCs w:val="24"/>
        </w:rPr>
        <w:t>八、结语</w:t>
      </w:r>
      <w:bookmarkEnd w:id="39"/>
    </w:p>
    <w:p w14:paraId="0C96ACB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after="120" w:line="288" w:lineRule="auto"/>
        <w:ind w:left="0" w:firstLine="420" w:firstLineChars="200"/>
        <w:jc w:val="left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本团体标准立足新能源汽车产业发展需求，依托成熟省级新产品技术成果编制，是针对汽车专用无卤阻燃低析出玻纤增强PPA材料的行业通用规范。标准有效填补了浙江省汽车高端改性聚酰胺材料的标准空白，技术指标科学、贴合车载工况、可操作性强。标准发布实施后，可有效规范行业产品质量、集聚行业企业参编共建、推动汽车新材料国产替代，助力浙江省新能源汽车产业链高质量、绿色化、高端化发展，具备重要的行业推广价值与产业意义。</w:t>
      </w:r>
    </w:p>
    <w:p w14:paraId="40D398A0">
      <w:pPr>
        <w:rPr>
          <w:rFonts w:ascii="Arial"/>
          <w:sz w:val="21"/>
        </w:rPr>
      </w:pPr>
    </w:p>
    <w:sectPr>
      <w:headerReference r:id="rId9" w:type="default"/>
      <w:footerReference r:id="rId10" w:type="default"/>
      <w:pgSz w:w="11907" w:h="16839"/>
      <w:pgMar w:top="1716" w:right="981" w:bottom="1340" w:left="1265" w:header="1391" w:footer="110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FTTok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FT Thyme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-简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HarmonyOS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FT Thymes">
    <w:panose1 w:val="02020603050405020304"/>
    <w:charset w:val="00"/>
    <w:family w:val="auto"/>
    <w:pitch w:val="default"/>
    <w:sig w:usb0="E0002EFF" w:usb1="C000785B" w:usb2="00000009" w:usb3="00000000" w:csb0="00000001" w:csb1="00000000"/>
  </w:font>
  <w:font w:name="Calibri">
    <w:altName w:val="FT Thyme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书宋-简">
    <w:panose1 w:val="02010600030101010101"/>
    <w:charset w:val="86"/>
    <w:family w:val="auto"/>
    <w:pitch w:val="default"/>
    <w:sig w:usb0="A00002BF" w:usb1="3ACF7CFA" w:usb2="00000016" w:usb3="00000000" w:csb0="00040001" w:csb1="00000000"/>
  </w:font>
  <w:font w:name="SimSun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等线">
    <w:altName w:val="方正等线-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等线-简">
    <w:panose1 w:val="02000500000000000000"/>
    <w:charset w:val="86"/>
    <w:family w:val="auto"/>
    <w:pitch w:val="default"/>
    <w:sig w:usb0="A10102FF" w:usb1="38CF7CFB" w:usb2="0001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9A2133">
    <w:pPr>
      <w:spacing w:line="230" w:lineRule="auto"/>
      <w:ind w:left="9045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z w:val="18"/>
        <w:szCs w:val="18"/>
      </w:rPr>
      <w:t>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F4DC70">
    <w:pPr>
      <w:spacing w:line="230" w:lineRule="auto"/>
      <w:ind w:left="9053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z w:val="18"/>
        <w:szCs w:val="18"/>
      </w:rPr>
      <w:t>1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148682">
    <w:pPr>
      <w:spacing w:line="229" w:lineRule="auto"/>
      <w:ind w:left="9198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z w:val="18"/>
        <w:szCs w:val="18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9B5E14">
    <w:pPr>
      <w:pStyle w:val="2"/>
      <w:spacing w:before="56" w:line="227" w:lineRule="auto"/>
      <w:ind w:right="2"/>
      <w:jc w:val="right"/>
      <w:rPr>
        <w:rFonts w:hint="default" w:eastAsia="宋体"/>
        <w:sz w:val="21"/>
        <w:szCs w:val="21"/>
        <w:lang w:val="en-US" w:eastAsia="zh-CN"/>
      </w:rPr>
    </w:pPr>
    <w:r>
      <w:rPr>
        <w:sz w:val="21"/>
        <w:szCs w:val="21"/>
      </w:rPr>
      <w:t>T/</w:t>
    </w:r>
    <w:r>
      <w:rPr>
        <w:rFonts w:hint="eastAsia"/>
        <w:sz w:val="21"/>
        <w:szCs w:val="21"/>
        <w:lang w:val="en-US" w:eastAsia="zh-CN"/>
      </w:rPr>
      <w:t>ZZB</w:t>
    </w:r>
    <w:r>
      <w:rPr>
        <w:sz w:val="21"/>
        <w:szCs w:val="21"/>
      </w:rPr>
      <w:t xml:space="preserve"> XXXX</w:t>
    </w:r>
    <w:r>
      <w:rPr>
        <w:rFonts w:ascii="宋体" w:hAnsi="宋体" w:eastAsia="宋体" w:cs="宋体"/>
        <w:sz w:val="21"/>
        <w:szCs w:val="21"/>
      </w:rPr>
      <w:t>—</w:t>
    </w:r>
    <w:r>
      <w:rPr>
        <w:rFonts w:hint="eastAsia" w:eastAsia="宋体"/>
        <w:sz w:val="21"/>
        <w:szCs w:val="21"/>
        <w:lang w:val="en-US" w:eastAsia="zh-CN"/>
      </w:rPr>
      <w:t>2026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473185">
    <w:pPr>
      <w:pStyle w:val="2"/>
      <w:spacing w:before="56" w:line="227" w:lineRule="auto"/>
      <w:ind w:left="7671"/>
      <w:rPr>
        <w:rFonts w:hint="default" w:eastAsia="宋体"/>
        <w:sz w:val="21"/>
        <w:szCs w:val="21"/>
        <w:lang w:val="en-US" w:eastAsia="zh-CN"/>
      </w:rPr>
    </w:pPr>
    <w:r>
      <w:rPr>
        <w:sz w:val="21"/>
        <w:szCs w:val="21"/>
      </w:rPr>
      <w:t>T/</w:t>
    </w:r>
    <w:r>
      <w:rPr>
        <w:rFonts w:hint="eastAsia"/>
        <w:sz w:val="21"/>
        <w:szCs w:val="21"/>
        <w:lang w:val="en-US" w:eastAsia="zh-CN"/>
      </w:rPr>
      <w:t>ZZB</w:t>
    </w:r>
    <w:r>
      <w:rPr>
        <w:sz w:val="21"/>
        <w:szCs w:val="21"/>
      </w:rPr>
      <w:t xml:space="preserve"> XXXX</w:t>
    </w:r>
    <w:r>
      <w:rPr>
        <w:rFonts w:ascii="宋体" w:hAnsi="宋体" w:eastAsia="宋体" w:cs="宋体"/>
        <w:sz w:val="21"/>
        <w:szCs w:val="21"/>
      </w:rPr>
      <w:t>—</w:t>
    </w:r>
    <w:r>
      <w:rPr>
        <w:rFonts w:hint="eastAsia" w:eastAsia="宋体"/>
        <w:sz w:val="21"/>
        <w:szCs w:val="21"/>
        <w:lang w:val="en-US" w:eastAsia="zh-CN"/>
      </w:rPr>
      <w:t>2026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63B6C5">
    <w:pPr>
      <w:pStyle w:val="2"/>
      <w:spacing w:before="56" w:line="227" w:lineRule="auto"/>
      <w:ind w:left="7829"/>
      <w:rPr>
        <w:rFonts w:hint="default" w:eastAsia="宋体"/>
        <w:sz w:val="21"/>
        <w:szCs w:val="21"/>
        <w:lang w:val="en-US" w:eastAsia="zh-CN"/>
      </w:rPr>
    </w:pPr>
    <w:r>
      <w:rPr>
        <w:sz w:val="21"/>
        <w:szCs w:val="21"/>
      </w:rPr>
      <w:t>T/</w:t>
    </w:r>
    <w:r>
      <w:rPr>
        <w:rFonts w:hint="eastAsia"/>
        <w:sz w:val="21"/>
        <w:szCs w:val="21"/>
        <w:lang w:val="en-US" w:eastAsia="zh-CN"/>
      </w:rPr>
      <w:t>ZZB</w:t>
    </w:r>
    <w:r>
      <w:rPr>
        <w:sz w:val="21"/>
        <w:szCs w:val="21"/>
      </w:rPr>
      <w:t xml:space="preserve"> XXXX</w:t>
    </w:r>
    <w:r>
      <w:rPr>
        <w:rFonts w:ascii="宋体" w:hAnsi="宋体" w:eastAsia="宋体" w:cs="宋体"/>
        <w:sz w:val="21"/>
        <w:szCs w:val="21"/>
      </w:rPr>
      <w:t>—</w:t>
    </w:r>
    <w:r>
      <w:rPr>
        <w:rFonts w:hint="eastAsia" w:eastAsia="宋体"/>
        <w:sz w:val="21"/>
        <w:szCs w:val="21"/>
        <w:lang w:val="en-US" w:eastAsia="zh-CN"/>
      </w:rPr>
      <w:t>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C1856E4"/>
    <w:rsid w:val="1DF429F1"/>
    <w:rsid w:val="251326C8"/>
    <w:rsid w:val="28DC43AF"/>
    <w:rsid w:val="31374878"/>
    <w:rsid w:val="37F741E2"/>
    <w:rsid w:val="39DFD519"/>
    <w:rsid w:val="3CB925E5"/>
    <w:rsid w:val="558F4D6E"/>
    <w:rsid w:val="55E62F17"/>
    <w:rsid w:val="5C6F7EB5"/>
    <w:rsid w:val="603C58BA"/>
    <w:rsid w:val="7E3F2CE7"/>
    <w:rsid w:val="7FBE40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黑体" w:hAnsi="黑体" w:eastAsia="黑体" w:cs="黑体"/>
      <w:sz w:val="28"/>
      <w:szCs w:val="2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3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1.pn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5281</Words>
  <Characters>5733</Characters>
  <TotalTime>4</TotalTime>
  <ScaleCrop>false</ScaleCrop>
  <LinksUpToDate>false</LinksUpToDate>
  <CharactersWithSpaces>5923</CharactersWithSpaces>
  <Application>WPS Office_12.1.3.26881_F1E327BC-269C-435d-A152-05C5408002CA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2026-04-04T21:19:00Z</dcterms:created>
  <dc:creator>焦明顺</dc:creator>
  <cp:lastModifiedBy>Rita</cp:lastModifiedBy>
  <dcterms:modified xsi:type="dcterms:W3CDTF">2026-06-17T08:49:05Z</dcterms:modified>
  <dc:title>团体标准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2026-06-01T17:46:43Z</vt:filetime>
  </property>
  <property fmtid="{D5CDD505-2E9C-101B-9397-08002B2CF9AE}" pid="4" name="KSOProductBuildVer">
    <vt:lpwstr>2052-12.1.3.26881</vt:lpwstr>
  </property>
  <property fmtid="{D5CDD505-2E9C-101B-9397-08002B2CF9AE}" pid="5" name="ICV">
    <vt:lpwstr>4B66FA71C09643898ECC84E5339C9EFB_13</vt:lpwstr>
  </property>
  <property fmtid="{D5CDD505-2E9C-101B-9397-08002B2CF9AE}" pid="6" name="KSOTemplateDocerSaveRecord">
    <vt:lpwstr>eyJoZGlkIjoiZjY1MWJlZjY3NGMyYTQ2NDk1MTkyNTU0NzhkNDQyMzYiLCJ1c2VySWQiOiIxMjkwOTU1MTU0In0=</vt:lpwstr>
  </property>
</Properties>
</file>